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3506B">
      <w:pPr>
        <w:jc w:val="center"/>
        <w:rPr>
          <w:rFonts w:eastAsia="方正小标宋简体"/>
          <w:color w:val="FF0000"/>
          <w:sz w:val="72"/>
          <w:szCs w:val="20"/>
        </w:rPr>
      </w:pPr>
    </w:p>
    <w:p w14:paraId="48642135">
      <w:pPr>
        <w:pStyle w:val="24"/>
        <w:rPr>
          <w:rFonts w:hint="default" w:eastAsia="宋体"/>
          <w:color w:val="FF0000"/>
          <w:lang w:val="en-US" w:eastAsia="zh-CN"/>
        </w:rPr>
      </w:pPr>
    </w:p>
    <w:p w14:paraId="3B933FE6">
      <w:pPr>
        <w:jc w:val="center"/>
        <w:rPr>
          <w:rFonts w:eastAsia="方正小标宋简体"/>
          <w:color w:val="FF0000"/>
          <w:sz w:val="72"/>
          <w:szCs w:val="20"/>
        </w:rPr>
      </w:pPr>
    </w:p>
    <w:p w14:paraId="7A6306AF">
      <w:pPr>
        <w:jc w:val="center"/>
        <w:rPr>
          <w:rFonts w:eastAsia="黑体"/>
          <w:b/>
          <w:bCs/>
          <w:color w:val="auto"/>
          <w:sz w:val="72"/>
          <w:szCs w:val="20"/>
        </w:rPr>
      </w:pPr>
      <w:r>
        <w:rPr>
          <w:rFonts w:eastAsia="黑体"/>
          <w:b/>
          <w:bCs/>
          <w:color w:val="auto"/>
          <w:sz w:val="72"/>
          <w:szCs w:val="20"/>
        </w:rPr>
        <w:t>建设项目环境影响报告表</w:t>
      </w:r>
    </w:p>
    <w:p w14:paraId="74AE50BF">
      <w:pPr>
        <w:jc w:val="center"/>
        <w:rPr>
          <w:rFonts w:ascii="楷体" w:hAnsi="楷体" w:eastAsia="楷体"/>
          <w:color w:val="auto"/>
          <w:sz w:val="44"/>
          <w:szCs w:val="44"/>
        </w:rPr>
      </w:pPr>
      <w:r>
        <w:rPr>
          <w:rFonts w:hint="eastAsia" w:ascii="楷体" w:hAnsi="楷体" w:eastAsia="楷体"/>
          <w:color w:val="auto"/>
          <w:sz w:val="44"/>
          <w:szCs w:val="44"/>
        </w:rPr>
        <w:t>（</w:t>
      </w:r>
      <w:r>
        <w:rPr>
          <w:rFonts w:hint="eastAsia" w:ascii="楷体" w:hAnsi="楷体" w:eastAsia="楷体"/>
          <w:color w:val="auto"/>
          <w:sz w:val="44"/>
          <w:szCs w:val="44"/>
          <w:lang w:val="en-US" w:eastAsia="zh-CN"/>
        </w:rPr>
        <w:t>公示</w:t>
      </w:r>
      <w:r>
        <w:rPr>
          <w:rFonts w:hint="eastAsia" w:ascii="楷体" w:hAnsi="楷体" w:eastAsia="楷体"/>
          <w:color w:val="auto"/>
          <w:sz w:val="44"/>
          <w:szCs w:val="44"/>
        </w:rPr>
        <w:t>本）</w:t>
      </w:r>
    </w:p>
    <w:p w14:paraId="48FDF894">
      <w:pPr>
        <w:rPr>
          <w:rFonts w:eastAsia="黑体"/>
          <w:color w:val="auto"/>
          <w:sz w:val="32"/>
          <w:szCs w:val="20"/>
        </w:rPr>
      </w:pPr>
    </w:p>
    <w:p w14:paraId="6768C3C8">
      <w:pPr>
        <w:rPr>
          <w:rFonts w:eastAsia="黑体"/>
          <w:color w:val="auto"/>
          <w:sz w:val="32"/>
          <w:szCs w:val="20"/>
        </w:rPr>
      </w:pPr>
    </w:p>
    <w:p w14:paraId="65960046">
      <w:pPr>
        <w:rPr>
          <w:rFonts w:eastAsia="黑体"/>
          <w:color w:val="auto"/>
          <w:sz w:val="32"/>
          <w:szCs w:val="20"/>
        </w:rPr>
      </w:pPr>
    </w:p>
    <w:p w14:paraId="7B93C4AE">
      <w:pPr>
        <w:rPr>
          <w:rFonts w:eastAsia="黑体"/>
          <w:color w:val="auto"/>
          <w:sz w:val="32"/>
          <w:szCs w:val="20"/>
        </w:rPr>
      </w:pPr>
    </w:p>
    <w:p w14:paraId="4877377A">
      <w:pPr>
        <w:spacing w:line="360" w:lineRule="exact"/>
        <w:rPr>
          <w:rFonts w:eastAsia="黑体"/>
          <w:color w:val="auto"/>
          <w:sz w:val="32"/>
          <w:szCs w:val="20"/>
        </w:rPr>
      </w:pPr>
    </w:p>
    <w:p w14:paraId="7DFC87B8">
      <w:pPr>
        <w:adjustRightInd w:val="0"/>
        <w:spacing w:line="360" w:lineRule="auto"/>
        <w:rPr>
          <w:rFonts w:eastAsia="仿宋_GB2312"/>
          <w:color w:val="auto"/>
          <w:sz w:val="36"/>
          <w:szCs w:val="36"/>
        </w:rPr>
      </w:pPr>
    </w:p>
    <w:p w14:paraId="58EB7DD9">
      <w:pPr>
        <w:adjustRightInd w:val="0"/>
        <w:spacing w:line="360" w:lineRule="auto"/>
        <w:ind w:firstLine="540" w:firstLineChars="150"/>
        <w:rPr>
          <w:rFonts w:eastAsia="仿宋_GB2312"/>
          <w:color w:val="auto"/>
          <w:sz w:val="36"/>
          <w:szCs w:val="36"/>
          <w:u w:val="single"/>
        </w:rPr>
      </w:pPr>
      <w:r>
        <w:rPr>
          <w:rFonts w:eastAsia="仿宋_GB2312"/>
          <w:color w:val="auto"/>
          <w:sz w:val="36"/>
          <w:szCs w:val="36"/>
        </w:rPr>
        <w:t>项目名称：</w:t>
      </w:r>
      <w:r>
        <w:rPr>
          <w:rFonts w:hint="eastAsia" w:eastAsia="仿宋_GB2312"/>
          <w:color w:val="auto"/>
          <w:sz w:val="36"/>
          <w:szCs w:val="36"/>
          <w:u w:val="single"/>
        </w:rPr>
        <w:t xml:space="preserve"> </w:t>
      </w:r>
      <w:r>
        <w:rPr>
          <w:rFonts w:hint="eastAsia" w:eastAsia="仿宋_GB2312"/>
          <w:color w:val="auto"/>
          <w:sz w:val="36"/>
          <w:szCs w:val="36"/>
          <w:u w:val="single"/>
          <w:lang w:val="en-US" w:eastAsia="zh-CN"/>
        </w:rPr>
        <w:t xml:space="preserve">  巴中恩阳司城110千伏输变电工程  </w:t>
      </w:r>
      <w:r>
        <w:rPr>
          <w:rFonts w:hint="eastAsia" w:eastAsia="仿宋_GB2312"/>
          <w:color w:val="auto"/>
          <w:sz w:val="36"/>
          <w:szCs w:val="36"/>
          <w:u w:val="single"/>
        </w:rPr>
        <w:t xml:space="preserve"> </w:t>
      </w:r>
    </w:p>
    <w:p w14:paraId="5DB42C5B">
      <w:pPr>
        <w:adjustRightInd w:val="0"/>
        <w:spacing w:line="360" w:lineRule="auto"/>
        <w:ind w:firstLine="540" w:firstLineChars="150"/>
        <w:rPr>
          <w:rFonts w:hint="eastAsia" w:eastAsia="仿宋_GB2312"/>
          <w:color w:val="auto"/>
          <w:sz w:val="36"/>
          <w:szCs w:val="36"/>
          <w:u w:val="single"/>
          <w:lang w:eastAsia="zh-CN"/>
        </w:rPr>
      </w:pPr>
      <w:r>
        <w:rPr>
          <w:rFonts w:eastAsia="仿宋_GB2312"/>
          <w:color w:val="auto"/>
          <w:sz w:val="36"/>
          <w:szCs w:val="36"/>
        </w:rPr>
        <w:t>建设单位（盖章）：</w:t>
      </w:r>
      <w:r>
        <w:rPr>
          <w:rFonts w:hint="eastAsia" w:eastAsia="仿宋_GB2312"/>
          <w:color w:val="auto"/>
          <w:sz w:val="36"/>
          <w:szCs w:val="36"/>
          <w:u w:val="single"/>
          <w:lang w:eastAsia="zh-CN"/>
        </w:rPr>
        <w:t>国网四川省电力公司</w:t>
      </w:r>
      <w:r>
        <w:rPr>
          <w:rFonts w:hint="eastAsia" w:eastAsia="仿宋_GB2312"/>
          <w:color w:val="auto"/>
          <w:sz w:val="36"/>
          <w:szCs w:val="36"/>
          <w:u w:val="single"/>
          <w:lang w:val="en-US" w:eastAsia="zh-CN"/>
        </w:rPr>
        <w:t>巴中</w:t>
      </w:r>
      <w:r>
        <w:rPr>
          <w:rFonts w:hint="eastAsia" w:eastAsia="仿宋_GB2312"/>
          <w:color w:val="auto"/>
          <w:sz w:val="36"/>
          <w:szCs w:val="36"/>
          <w:u w:val="single"/>
          <w:lang w:eastAsia="zh-CN"/>
        </w:rPr>
        <w:t>供电公司</w:t>
      </w:r>
    </w:p>
    <w:p w14:paraId="27AA5961">
      <w:pPr>
        <w:adjustRightInd w:val="0"/>
        <w:spacing w:line="360" w:lineRule="auto"/>
        <w:ind w:firstLine="540" w:firstLineChars="150"/>
        <w:rPr>
          <w:rFonts w:eastAsia="仿宋_GB2312"/>
          <w:color w:val="auto"/>
          <w:sz w:val="36"/>
          <w:szCs w:val="36"/>
          <w:u w:val="single"/>
        </w:rPr>
      </w:pPr>
      <w:r>
        <w:rPr>
          <w:rFonts w:eastAsia="仿宋_GB2312"/>
          <w:color w:val="auto"/>
          <w:sz w:val="36"/>
          <w:szCs w:val="36"/>
        </w:rPr>
        <w:t>编制日期：</w:t>
      </w:r>
      <w:r>
        <w:rPr>
          <w:rFonts w:eastAsia="仿宋_GB2312"/>
          <w:color w:val="auto"/>
          <w:sz w:val="36"/>
          <w:szCs w:val="36"/>
          <w:u w:val="single"/>
        </w:rPr>
        <w:t xml:space="preserve"> </w:t>
      </w:r>
      <w:r>
        <w:rPr>
          <w:rFonts w:hint="eastAsia" w:eastAsia="仿宋_GB2312"/>
          <w:color w:val="auto"/>
          <w:sz w:val="36"/>
          <w:szCs w:val="36"/>
          <w:u w:val="single"/>
        </w:rPr>
        <w:t xml:space="preserve">            </w:t>
      </w:r>
      <w:r>
        <w:rPr>
          <w:rFonts w:eastAsia="仿宋_GB2312"/>
          <w:color w:val="auto"/>
          <w:sz w:val="36"/>
          <w:szCs w:val="36"/>
          <w:u w:val="single"/>
        </w:rPr>
        <w:t>202</w:t>
      </w:r>
      <w:r>
        <w:rPr>
          <w:rFonts w:hint="eastAsia" w:eastAsia="仿宋_GB2312"/>
          <w:color w:val="auto"/>
          <w:sz w:val="36"/>
          <w:szCs w:val="36"/>
          <w:u w:val="single"/>
          <w:lang w:val="en-US" w:eastAsia="zh-CN"/>
        </w:rPr>
        <w:t>6</w:t>
      </w:r>
      <w:r>
        <w:rPr>
          <w:rFonts w:eastAsia="仿宋_GB2312"/>
          <w:color w:val="auto"/>
          <w:sz w:val="36"/>
          <w:szCs w:val="36"/>
          <w:u w:val="single"/>
        </w:rPr>
        <w:t>年</w:t>
      </w:r>
      <w:r>
        <w:rPr>
          <w:rFonts w:hint="eastAsia" w:eastAsia="仿宋_GB2312"/>
          <w:color w:val="auto"/>
          <w:sz w:val="36"/>
          <w:szCs w:val="36"/>
          <w:u w:val="single"/>
          <w:lang w:val="en-US" w:eastAsia="zh-CN"/>
        </w:rPr>
        <w:t>7</w:t>
      </w:r>
      <w:r>
        <w:rPr>
          <w:rFonts w:eastAsia="仿宋_GB2312"/>
          <w:color w:val="auto"/>
          <w:sz w:val="36"/>
          <w:szCs w:val="36"/>
          <w:u w:val="single"/>
        </w:rPr>
        <w:t xml:space="preserve">月           </w:t>
      </w:r>
      <w:r>
        <w:rPr>
          <w:rFonts w:hint="eastAsia" w:eastAsia="仿宋_GB2312"/>
          <w:color w:val="auto"/>
          <w:sz w:val="36"/>
          <w:szCs w:val="36"/>
          <w:u w:val="single"/>
        </w:rPr>
        <w:t xml:space="preserve"> </w:t>
      </w:r>
      <w:r>
        <w:rPr>
          <w:rFonts w:eastAsia="仿宋_GB2312"/>
          <w:color w:val="auto"/>
          <w:sz w:val="36"/>
          <w:szCs w:val="36"/>
          <w:u w:val="single"/>
        </w:rPr>
        <w:t xml:space="preserve"> </w:t>
      </w:r>
    </w:p>
    <w:p w14:paraId="641E86DB">
      <w:pPr>
        <w:spacing w:line="360" w:lineRule="exact"/>
        <w:rPr>
          <w:rFonts w:eastAsia="黑体"/>
          <w:color w:val="auto"/>
          <w:sz w:val="32"/>
          <w:szCs w:val="20"/>
        </w:rPr>
      </w:pPr>
    </w:p>
    <w:p w14:paraId="7674128B">
      <w:pPr>
        <w:spacing w:line="360" w:lineRule="auto"/>
        <w:jc w:val="left"/>
        <w:rPr>
          <w:b/>
          <w:color w:val="auto"/>
          <w:sz w:val="32"/>
          <w:szCs w:val="32"/>
          <w:u w:val="single"/>
        </w:rPr>
      </w:pPr>
    </w:p>
    <w:p w14:paraId="6860EE8A">
      <w:pPr>
        <w:spacing w:line="360" w:lineRule="auto"/>
        <w:jc w:val="left"/>
        <w:rPr>
          <w:b/>
          <w:color w:val="auto"/>
          <w:sz w:val="32"/>
          <w:szCs w:val="32"/>
          <w:u w:val="single"/>
        </w:rPr>
      </w:pPr>
    </w:p>
    <w:p w14:paraId="20BDB526">
      <w:pPr>
        <w:rPr>
          <w:b/>
          <w:color w:val="auto"/>
          <w:sz w:val="32"/>
          <w:szCs w:val="32"/>
        </w:rPr>
      </w:pPr>
    </w:p>
    <w:p w14:paraId="7D9597A3">
      <w:pPr>
        <w:rPr>
          <w:rFonts w:ascii="楷体_GB2312" w:eastAsia="楷体_GB2312"/>
          <w:color w:val="auto"/>
          <w:sz w:val="36"/>
          <w:szCs w:val="36"/>
        </w:rPr>
      </w:pPr>
    </w:p>
    <w:p w14:paraId="084B9461">
      <w:pPr>
        <w:jc w:val="center"/>
        <w:rPr>
          <w:rFonts w:eastAsia="黑体"/>
          <w:color w:val="auto"/>
          <w:sz w:val="32"/>
          <w:szCs w:val="20"/>
        </w:rPr>
      </w:pPr>
      <w:r>
        <w:rPr>
          <w:rFonts w:hint="eastAsia" w:ascii="楷体_GB2312" w:eastAsia="楷体_GB2312"/>
          <w:color w:val="auto"/>
          <w:sz w:val="36"/>
          <w:szCs w:val="36"/>
        </w:rPr>
        <w:t>中华人民共和国生态环境部制</w:t>
      </w:r>
    </w:p>
    <w:p w14:paraId="2F0DC937">
      <w:pPr>
        <w:jc w:val="center"/>
        <w:rPr>
          <w:rFonts w:eastAsia="黑体"/>
          <w:b/>
          <w:color w:val="auto"/>
          <w:sz w:val="36"/>
          <w:szCs w:val="20"/>
        </w:rPr>
      </w:pPr>
    </w:p>
    <w:p w14:paraId="4ABD6ACA">
      <w:pPr>
        <w:spacing w:line="360" w:lineRule="auto"/>
        <w:ind w:firstLine="720" w:firstLineChars="200"/>
        <w:jc w:val="center"/>
        <w:rPr>
          <w:rFonts w:eastAsia="黑体"/>
          <w:b/>
          <w:color w:val="auto"/>
          <w:sz w:val="36"/>
          <w:szCs w:val="20"/>
        </w:rPr>
        <w:sectPr>
          <w:headerReference r:id="rId3" w:type="default"/>
          <w:footerReference r:id="rId4" w:type="even"/>
          <w:pgSz w:w="11906" w:h="16838"/>
          <w:pgMar w:top="1440" w:right="1418" w:bottom="1440" w:left="1418" w:header="851" w:footer="992" w:gutter="0"/>
          <w:pgBorders>
            <w:top w:val="none" w:sz="0" w:space="0"/>
            <w:left w:val="none" w:sz="0" w:space="0"/>
            <w:bottom w:val="none" w:sz="0" w:space="0"/>
            <w:right w:val="none" w:sz="0" w:space="0"/>
          </w:pgBorders>
          <w:pgNumType w:start="1"/>
          <w:cols w:space="720" w:num="1"/>
          <w:docGrid w:type="linesAndChars" w:linePitch="312" w:charSpace="0"/>
        </w:sectPr>
      </w:pPr>
    </w:p>
    <w:p w14:paraId="5CDF0213">
      <w:pPr>
        <w:adjustRightInd w:val="0"/>
        <w:snapToGrid w:val="0"/>
        <w:spacing w:line="288" w:lineRule="auto"/>
        <w:jc w:val="center"/>
        <w:rPr>
          <w:rFonts w:eastAsia="黑体"/>
          <w:color w:val="auto"/>
          <w:sz w:val="30"/>
          <w:szCs w:val="30"/>
        </w:rPr>
      </w:pPr>
    </w:p>
    <w:p w14:paraId="3612D638">
      <w:pPr>
        <w:adjustRightInd w:val="0"/>
        <w:snapToGrid w:val="0"/>
        <w:spacing w:line="288" w:lineRule="auto"/>
        <w:jc w:val="center"/>
        <w:rPr>
          <w:rFonts w:eastAsia="黑体"/>
          <w:color w:val="auto"/>
          <w:sz w:val="30"/>
          <w:szCs w:val="30"/>
        </w:rPr>
      </w:pPr>
      <w:r>
        <w:rPr>
          <w:rFonts w:eastAsia="黑体"/>
          <w:color w:val="auto"/>
          <w:sz w:val="30"/>
          <w:szCs w:val="30"/>
        </w:rPr>
        <w:t>目  录</w:t>
      </w:r>
    </w:p>
    <w:p w14:paraId="4BA7C817">
      <w:pPr>
        <w:pStyle w:val="18"/>
        <w:tabs>
          <w:tab w:val="right" w:leader="dot" w:pos="8296"/>
        </w:tabs>
        <w:spacing w:line="360" w:lineRule="auto"/>
        <w:rPr>
          <w:rFonts w:ascii="Times New Roman" w:hAnsi="Times New Roman" w:cs="Times New Roman"/>
          <w:color w:val="auto"/>
          <w:sz w:val="24"/>
          <w:szCs w:val="24"/>
        </w:rPr>
      </w:pPr>
    </w:p>
    <w:p w14:paraId="7E60B051">
      <w:pPr>
        <w:pStyle w:val="18"/>
        <w:tabs>
          <w:tab w:val="right" w:leader="dot" w:pos="8296"/>
        </w:tabs>
        <w:spacing w:line="360" w:lineRule="auto"/>
        <w:rPr>
          <w:rFonts w:ascii="Times New Roman" w:hAnsi="Times New Roman" w:cs="Times New Roman"/>
          <w:color w:val="auto"/>
          <w:kern w:val="2"/>
          <w:sz w:val="24"/>
          <w:szCs w:val="24"/>
        </w:rPr>
      </w:pP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TOC \o "1-1" \h \z \u </w:instrText>
      </w:r>
      <w:r>
        <w:rPr>
          <w:rFonts w:ascii="Times New Roman" w:hAnsi="Times New Roman" w:cs="Times New Roman"/>
          <w:color w:val="auto"/>
          <w:sz w:val="24"/>
          <w:szCs w:val="24"/>
        </w:rPr>
        <w:fldChar w:fldCharType="separate"/>
      </w:r>
      <w:r>
        <w:rPr>
          <w:color w:val="auto"/>
        </w:rPr>
        <w:fldChar w:fldCharType="begin"/>
      </w:r>
      <w:r>
        <w:rPr>
          <w:color w:val="auto"/>
        </w:rPr>
        <w:instrText xml:space="preserve"> HYPERLINK \l "_Toc63026904" </w:instrText>
      </w:r>
      <w:r>
        <w:rPr>
          <w:color w:val="auto"/>
        </w:rPr>
        <w:fldChar w:fldCharType="separate"/>
      </w:r>
      <w:r>
        <w:rPr>
          <w:rStyle w:val="31"/>
          <w:rFonts w:ascii="Times New Roman" w:hAnsi="Times New Roman" w:cs="Times New Roman"/>
          <w:snapToGrid w:val="0"/>
          <w:color w:val="auto"/>
          <w:sz w:val="24"/>
          <w:szCs w:val="24"/>
        </w:rPr>
        <w:t>一、建设项目基本情况</w:t>
      </w:r>
      <w:r>
        <w:rPr>
          <w:rFonts w:ascii="Times New Roman" w:hAnsi="Times New Roman" w:cs="Times New Roman"/>
          <w:color w:val="auto"/>
          <w:sz w:val="24"/>
          <w:szCs w:val="24"/>
        </w:rPr>
        <w:tab/>
      </w:r>
      <w:r>
        <w:rPr>
          <w:rFonts w:hint="eastAsia" w:ascii="Times New Roman" w:hAnsi="Times New Roman" w:cs="Times New Roman"/>
          <w:color w:val="auto"/>
          <w:sz w:val="24"/>
          <w:szCs w:val="24"/>
        </w:rPr>
        <w:t>1</w:t>
      </w:r>
      <w:r>
        <w:rPr>
          <w:rFonts w:hint="eastAsia" w:ascii="Times New Roman" w:hAnsi="Times New Roman" w:cs="Times New Roman"/>
          <w:color w:val="auto"/>
          <w:sz w:val="24"/>
          <w:szCs w:val="24"/>
        </w:rPr>
        <w:fldChar w:fldCharType="end"/>
      </w:r>
    </w:p>
    <w:p w14:paraId="090BF7DD">
      <w:pPr>
        <w:pStyle w:val="18"/>
        <w:tabs>
          <w:tab w:val="right" w:leader="dot" w:pos="8296"/>
        </w:tabs>
        <w:spacing w:line="360" w:lineRule="auto"/>
        <w:rPr>
          <w:rFonts w:hint="default" w:ascii="Times New Roman" w:hAnsi="Times New Roman" w:cs="Times New Roman" w:eastAsiaTheme="minorEastAsia"/>
          <w:color w:val="auto"/>
          <w:kern w:val="2"/>
          <w:sz w:val="24"/>
          <w:szCs w:val="24"/>
          <w:lang w:val="en-US" w:eastAsia="zh-CN"/>
        </w:rPr>
      </w:pPr>
      <w:r>
        <w:rPr>
          <w:color w:val="auto"/>
        </w:rPr>
        <w:fldChar w:fldCharType="begin"/>
      </w:r>
      <w:r>
        <w:rPr>
          <w:color w:val="auto"/>
        </w:rPr>
        <w:instrText xml:space="preserve"> HYPERLINK \l "_Toc63026905" </w:instrText>
      </w:r>
      <w:r>
        <w:rPr>
          <w:color w:val="auto"/>
        </w:rPr>
        <w:fldChar w:fldCharType="separate"/>
      </w:r>
      <w:r>
        <w:rPr>
          <w:rStyle w:val="31"/>
          <w:rFonts w:ascii="Times New Roman" w:hAnsi="Times New Roman" w:cs="Times New Roman"/>
          <w:snapToGrid w:val="0"/>
          <w:color w:val="auto"/>
          <w:sz w:val="24"/>
          <w:szCs w:val="24"/>
        </w:rPr>
        <w:t>二、建设内容</w:t>
      </w:r>
      <w:r>
        <w:rPr>
          <w:rFonts w:ascii="Times New Roman" w:hAnsi="Times New Roman" w:cs="Times New Roman"/>
          <w:color w:val="auto"/>
          <w:sz w:val="24"/>
          <w:szCs w:val="24"/>
        </w:rPr>
        <w:tab/>
      </w:r>
      <w:r>
        <w:rPr>
          <w:rFonts w:ascii="Times New Roman" w:hAnsi="Times New Roman" w:cs="Times New Roman"/>
          <w:color w:val="auto"/>
          <w:sz w:val="24"/>
          <w:szCs w:val="24"/>
        </w:rPr>
        <w:fldChar w:fldCharType="end"/>
      </w:r>
      <w:r>
        <w:rPr>
          <w:rFonts w:hint="eastAsia" w:ascii="Times New Roman" w:hAnsi="Times New Roman" w:cs="Times New Roman"/>
          <w:color w:val="auto"/>
          <w:sz w:val="24"/>
          <w:szCs w:val="24"/>
          <w:lang w:val="en-US" w:eastAsia="zh-CN"/>
        </w:rPr>
        <w:t>28</w:t>
      </w:r>
    </w:p>
    <w:p w14:paraId="2F3D31D4">
      <w:pPr>
        <w:pStyle w:val="18"/>
        <w:tabs>
          <w:tab w:val="right" w:leader="dot" w:pos="8296"/>
        </w:tabs>
        <w:spacing w:line="360" w:lineRule="auto"/>
        <w:rPr>
          <w:rFonts w:hint="eastAsia" w:ascii="Times New Roman" w:hAnsi="Times New Roman" w:cs="Times New Roman" w:eastAsiaTheme="minorEastAsia"/>
          <w:color w:val="auto"/>
          <w:kern w:val="2"/>
          <w:sz w:val="24"/>
          <w:szCs w:val="24"/>
          <w:lang w:val="en-US" w:eastAsia="zh-CN"/>
        </w:rPr>
      </w:pPr>
      <w:r>
        <w:rPr>
          <w:color w:val="auto"/>
        </w:rPr>
        <w:fldChar w:fldCharType="begin"/>
      </w:r>
      <w:r>
        <w:rPr>
          <w:color w:val="auto"/>
        </w:rPr>
        <w:instrText xml:space="preserve"> HYPERLINK \l "_Toc63026906" </w:instrText>
      </w:r>
      <w:r>
        <w:rPr>
          <w:color w:val="auto"/>
        </w:rPr>
        <w:fldChar w:fldCharType="separate"/>
      </w:r>
      <w:r>
        <w:rPr>
          <w:rStyle w:val="31"/>
          <w:rFonts w:ascii="Times New Roman" w:hAnsi="Times New Roman" w:cs="Times New Roman"/>
          <w:snapToGrid w:val="0"/>
          <w:color w:val="auto"/>
          <w:sz w:val="24"/>
          <w:szCs w:val="24"/>
        </w:rPr>
        <w:t>三、生态环境现状、保护目标及评价标准</w:t>
      </w:r>
      <w:r>
        <w:rPr>
          <w:rFonts w:ascii="Times New Roman" w:hAnsi="Times New Roman" w:cs="Times New Roman"/>
          <w:color w:val="auto"/>
          <w:sz w:val="24"/>
          <w:szCs w:val="24"/>
        </w:rPr>
        <w:tab/>
      </w:r>
      <w:r>
        <w:rPr>
          <w:rFonts w:hint="eastAsia" w:ascii="Times New Roman" w:hAnsi="Times New Roman" w:cs="Times New Roman"/>
          <w:color w:val="auto"/>
          <w:sz w:val="24"/>
          <w:szCs w:val="24"/>
          <w:lang w:val="en-US" w:eastAsia="zh-CN"/>
        </w:rPr>
        <w:t>6</w:t>
      </w:r>
      <w:r>
        <w:rPr>
          <w:rFonts w:ascii="Times New Roman" w:hAnsi="Times New Roman" w:cs="Times New Roman"/>
          <w:color w:val="auto"/>
          <w:sz w:val="24"/>
          <w:szCs w:val="24"/>
        </w:rPr>
        <w:fldChar w:fldCharType="end"/>
      </w:r>
      <w:r>
        <w:rPr>
          <w:rFonts w:hint="eastAsia" w:ascii="Times New Roman" w:hAnsi="Times New Roman" w:cs="Times New Roman"/>
          <w:color w:val="auto"/>
          <w:sz w:val="24"/>
          <w:szCs w:val="24"/>
          <w:lang w:val="en-US" w:eastAsia="zh-CN"/>
        </w:rPr>
        <w:t>1</w:t>
      </w:r>
    </w:p>
    <w:p w14:paraId="1EC1C5B2">
      <w:pPr>
        <w:pStyle w:val="18"/>
        <w:tabs>
          <w:tab w:val="right" w:leader="dot" w:pos="8296"/>
        </w:tabs>
        <w:spacing w:line="360" w:lineRule="auto"/>
        <w:rPr>
          <w:rFonts w:hint="default" w:ascii="Times New Roman" w:hAnsi="Times New Roman" w:cs="Times New Roman" w:eastAsiaTheme="minorEastAsia"/>
          <w:color w:val="auto"/>
          <w:kern w:val="2"/>
          <w:sz w:val="24"/>
          <w:szCs w:val="24"/>
          <w:lang w:val="en-US" w:eastAsia="zh-CN"/>
        </w:rPr>
      </w:pPr>
      <w:r>
        <w:rPr>
          <w:color w:val="auto"/>
        </w:rPr>
        <w:fldChar w:fldCharType="begin"/>
      </w:r>
      <w:r>
        <w:rPr>
          <w:color w:val="auto"/>
        </w:rPr>
        <w:instrText xml:space="preserve"> HYPERLINK \l "_Toc63026907" </w:instrText>
      </w:r>
      <w:r>
        <w:rPr>
          <w:color w:val="auto"/>
        </w:rPr>
        <w:fldChar w:fldCharType="separate"/>
      </w:r>
      <w:r>
        <w:rPr>
          <w:rStyle w:val="31"/>
          <w:rFonts w:ascii="Times New Roman" w:hAnsi="Times New Roman" w:cs="Times New Roman"/>
          <w:snapToGrid w:val="0"/>
          <w:color w:val="auto"/>
          <w:sz w:val="24"/>
          <w:szCs w:val="24"/>
        </w:rPr>
        <w:t>四、生态环境影响分析</w:t>
      </w:r>
      <w:r>
        <w:rPr>
          <w:rFonts w:ascii="Times New Roman" w:hAnsi="Times New Roman" w:cs="Times New Roman"/>
          <w:color w:val="auto"/>
          <w:sz w:val="24"/>
          <w:szCs w:val="24"/>
        </w:rPr>
        <w:tab/>
      </w:r>
      <w:r>
        <w:rPr>
          <w:rFonts w:ascii="Times New Roman" w:hAnsi="Times New Roman" w:cs="Times New Roman"/>
          <w:color w:val="auto"/>
          <w:sz w:val="24"/>
          <w:szCs w:val="24"/>
        </w:rPr>
        <w:fldChar w:fldCharType="end"/>
      </w:r>
      <w:r>
        <w:rPr>
          <w:rFonts w:hint="eastAsia" w:ascii="Times New Roman" w:hAnsi="Times New Roman" w:cs="Times New Roman"/>
          <w:color w:val="auto"/>
          <w:sz w:val="24"/>
          <w:szCs w:val="24"/>
          <w:lang w:val="en-US" w:eastAsia="zh-CN"/>
        </w:rPr>
        <w:t>85</w:t>
      </w:r>
    </w:p>
    <w:p w14:paraId="6CB46025">
      <w:pPr>
        <w:pStyle w:val="18"/>
        <w:tabs>
          <w:tab w:val="right" w:leader="dot" w:pos="8296"/>
        </w:tabs>
        <w:spacing w:line="360" w:lineRule="auto"/>
        <w:rPr>
          <w:rFonts w:hint="default" w:ascii="Times New Roman" w:hAnsi="Times New Roman" w:cs="Times New Roman" w:eastAsiaTheme="minorEastAsia"/>
          <w:color w:val="auto"/>
          <w:kern w:val="2"/>
          <w:sz w:val="24"/>
          <w:szCs w:val="24"/>
          <w:lang w:val="en-US" w:eastAsia="zh-CN"/>
        </w:rPr>
      </w:pPr>
      <w:r>
        <w:rPr>
          <w:color w:val="auto"/>
        </w:rPr>
        <w:fldChar w:fldCharType="begin"/>
      </w:r>
      <w:r>
        <w:rPr>
          <w:color w:val="auto"/>
        </w:rPr>
        <w:instrText xml:space="preserve"> HYPERLINK \l "_Toc63026908" </w:instrText>
      </w:r>
      <w:r>
        <w:rPr>
          <w:color w:val="auto"/>
        </w:rPr>
        <w:fldChar w:fldCharType="separate"/>
      </w:r>
      <w:r>
        <w:rPr>
          <w:rStyle w:val="31"/>
          <w:rFonts w:ascii="Times New Roman" w:hAnsi="Times New Roman" w:cs="Times New Roman"/>
          <w:snapToGrid w:val="0"/>
          <w:color w:val="auto"/>
          <w:sz w:val="24"/>
          <w:szCs w:val="24"/>
        </w:rPr>
        <w:t>五、主要生态环境保护措施</w:t>
      </w:r>
      <w:r>
        <w:rPr>
          <w:rFonts w:ascii="Times New Roman" w:hAnsi="Times New Roman" w:cs="Times New Roman"/>
          <w:color w:val="auto"/>
          <w:sz w:val="24"/>
          <w:szCs w:val="24"/>
        </w:rPr>
        <w:tab/>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PAGEREF _Toc63026908 \h </w:instrText>
      </w:r>
      <w:r>
        <w:rPr>
          <w:rFonts w:ascii="Times New Roman" w:hAnsi="Times New Roman" w:cs="Times New Roman"/>
          <w:color w:val="auto"/>
          <w:sz w:val="24"/>
          <w:szCs w:val="24"/>
        </w:rPr>
        <w:fldChar w:fldCharType="separate"/>
      </w:r>
      <w:r>
        <w:rPr>
          <w:rFonts w:ascii="Times New Roman" w:hAnsi="Times New Roman" w:cs="Times New Roman"/>
          <w:color w:val="auto"/>
          <w:sz w:val="24"/>
          <w:szCs w:val="24"/>
        </w:rPr>
        <w:t>107</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fldChar w:fldCharType="end"/>
      </w:r>
    </w:p>
    <w:p w14:paraId="4B9EA76E">
      <w:pPr>
        <w:pStyle w:val="18"/>
        <w:tabs>
          <w:tab w:val="right" w:leader="dot" w:pos="8296"/>
        </w:tabs>
        <w:spacing w:line="360" w:lineRule="auto"/>
        <w:rPr>
          <w:rFonts w:hint="default" w:ascii="Times New Roman" w:hAnsi="Times New Roman" w:cs="Times New Roman" w:eastAsiaTheme="minorEastAsia"/>
          <w:color w:val="auto"/>
          <w:kern w:val="2"/>
          <w:sz w:val="24"/>
          <w:szCs w:val="24"/>
          <w:lang w:val="en-US" w:eastAsia="zh-CN"/>
        </w:rPr>
      </w:pPr>
      <w:r>
        <w:rPr>
          <w:color w:val="auto"/>
        </w:rPr>
        <w:fldChar w:fldCharType="begin"/>
      </w:r>
      <w:r>
        <w:rPr>
          <w:color w:val="auto"/>
        </w:rPr>
        <w:instrText xml:space="preserve"> HYPERLINK \l "_Toc63026909" </w:instrText>
      </w:r>
      <w:r>
        <w:rPr>
          <w:color w:val="auto"/>
        </w:rPr>
        <w:fldChar w:fldCharType="separate"/>
      </w:r>
      <w:r>
        <w:rPr>
          <w:rStyle w:val="31"/>
          <w:rFonts w:ascii="Times New Roman" w:hAnsi="Times New Roman" w:cs="Times New Roman"/>
          <w:snapToGrid w:val="0"/>
          <w:color w:val="auto"/>
          <w:sz w:val="24"/>
          <w:szCs w:val="24"/>
        </w:rPr>
        <w:t>六、主要环境保护措施监督检查清单</w:t>
      </w:r>
      <w:r>
        <w:rPr>
          <w:rFonts w:ascii="Times New Roman" w:hAnsi="Times New Roman" w:cs="Times New Roman"/>
          <w:color w:val="auto"/>
          <w:sz w:val="24"/>
          <w:szCs w:val="24"/>
        </w:rPr>
        <w:tab/>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PAGEREF _Toc63026909 \h </w:instrText>
      </w:r>
      <w:r>
        <w:rPr>
          <w:rFonts w:ascii="Times New Roman" w:hAnsi="Times New Roman" w:cs="Times New Roman"/>
          <w:color w:val="auto"/>
          <w:sz w:val="24"/>
          <w:szCs w:val="24"/>
        </w:rPr>
        <w:fldChar w:fldCharType="separate"/>
      </w:r>
      <w:r>
        <w:rPr>
          <w:rFonts w:ascii="Times New Roman" w:hAnsi="Times New Roman" w:cs="Times New Roman"/>
          <w:color w:val="auto"/>
          <w:sz w:val="24"/>
          <w:szCs w:val="24"/>
        </w:rPr>
        <w:t>118</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fldChar w:fldCharType="end"/>
      </w:r>
    </w:p>
    <w:p w14:paraId="2F760B77">
      <w:pPr>
        <w:pStyle w:val="18"/>
        <w:tabs>
          <w:tab w:val="right" w:leader="dot" w:pos="8296"/>
        </w:tabs>
        <w:spacing w:line="360" w:lineRule="auto"/>
        <w:rPr>
          <w:rFonts w:hint="default" w:ascii="Times New Roman" w:hAnsi="Times New Roman" w:cs="Times New Roman" w:eastAsiaTheme="minorEastAsia"/>
          <w:color w:val="auto"/>
          <w:kern w:val="2"/>
          <w:sz w:val="24"/>
          <w:szCs w:val="24"/>
          <w:lang w:val="en-US" w:eastAsia="zh-CN"/>
        </w:rPr>
      </w:pPr>
      <w:r>
        <w:rPr>
          <w:color w:val="auto"/>
        </w:rPr>
        <w:fldChar w:fldCharType="begin"/>
      </w:r>
      <w:r>
        <w:rPr>
          <w:color w:val="auto"/>
        </w:rPr>
        <w:instrText xml:space="preserve"> HYPERLINK \l "_Toc63026910" </w:instrText>
      </w:r>
      <w:r>
        <w:rPr>
          <w:color w:val="auto"/>
        </w:rPr>
        <w:fldChar w:fldCharType="separate"/>
      </w:r>
      <w:r>
        <w:rPr>
          <w:rStyle w:val="31"/>
          <w:rFonts w:ascii="Times New Roman" w:hAnsi="Times New Roman" w:cs="Times New Roman"/>
          <w:snapToGrid w:val="0"/>
          <w:color w:val="auto"/>
          <w:sz w:val="24"/>
          <w:szCs w:val="24"/>
        </w:rPr>
        <w:t>七、结论</w:t>
      </w:r>
      <w:r>
        <w:rPr>
          <w:rFonts w:ascii="Times New Roman" w:hAnsi="Times New Roman" w:cs="Times New Roman"/>
          <w:color w:val="auto"/>
          <w:sz w:val="24"/>
          <w:szCs w:val="24"/>
        </w:rPr>
        <w:tab/>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PAGEREF _Toc63026910 \h </w:instrText>
      </w:r>
      <w:r>
        <w:rPr>
          <w:rFonts w:ascii="Times New Roman" w:hAnsi="Times New Roman" w:cs="Times New Roman"/>
          <w:color w:val="auto"/>
          <w:sz w:val="24"/>
          <w:szCs w:val="24"/>
        </w:rPr>
        <w:fldChar w:fldCharType="separate"/>
      </w:r>
      <w:r>
        <w:rPr>
          <w:rFonts w:ascii="Times New Roman" w:hAnsi="Times New Roman" w:cs="Times New Roman"/>
          <w:color w:val="auto"/>
          <w:sz w:val="24"/>
          <w:szCs w:val="24"/>
        </w:rPr>
        <w:t>128</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fldChar w:fldCharType="end"/>
      </w:r>
    </w:p>
    <w:p w14:paraId="29B9CE98">
      <w:pPr>
        <w:adjustRightInd w:val="0"/>
        <w:snapToGrid w:val="0"/>
        <w:spacing w:line="360" w:lineRule="auto"/>
        <w:jc w:val="center"/>
        <w:rPr>
          <w:rFonts w:eastAsia="黑体"/>
          <w:color w:val="auto"/>
          <w:sz w:val="30"/>
          <w:szCs w:val="30"/>
        </w:rPr>
      </w:pPr>
      <w:r>
        <w:rPr>
          <w:rFonts w:eastAsiaTheme="minorEastAsia"/>
          <w:color w:val="auto"/>
          <w:sz w:val="24"/>
        </w:rPr>
        <w:fldChar w:fldCharType="end"/>
      </w:r>
    </w:p>
    <w:p w14:paraId="406E6C4A">
      <w:pPr>
        <w:adjustRightInd w:val="0"/>
        <w:snapToGrid w:val="0"/>
        <w:spacing w:line="288" w:lineRule="auto"/>
        <w:jc w:val="center"/>
        <w:rPr>
          <w:rFonts w:eastAsia="楷体_GB2312"/>
          <w:color w:val="auto"/>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A45EDBE">
      <w:pPr>
        <w:pStyle w:val="22"/>
        <w:spacing w:before="0" w:beforeAutospacing="0" w:after="0" w:afterAutospacing="0" w:line="360" w:lineRule="auto"/>
        <w:jc w:val="center"/>
        <w:outlineLvl w:val="0"/>
        <w:rPr>
          <w:rFonts w:ascii="Times New Roman" w:hAnsi="Times New Roman" w:eastAsia="黑体"/>
          <w:snapToGrid w:val="0"/>
          <w:color w:val="auto"/>
          <w:sz w:val="30"/>
          <w:szCs w:val="30"/>
        </w:rPr>
      </w:pPr>
      <w:bookmarkStart w:id="0" w:name="_Toc63026904"/>
      <w:r>
        <w:rPr>
          <w:rFonts w:ascii="Times New Roman" w:hAnsi="Times New Roman" w:eastAsia="黑体"/>
          <w:snapToGrid w:val="0"/>
          <w:color w:val="auto"/>
          <w:sz w:val="30"/>
          <w:szCs w:val="30"/>
        </w:rPr>
        <w:t>一、建设项目基本情况</w:t>
      </w:r>
      <w:bookmarkEnd w:id="0"/>
    </w:p>
    <w:tbl>
      <w:tblPr>
        <w:tblStyle w:val="25"/>
        <w:tblW w:w="949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39"/>
        <w:gridCol w:w="2239"/>
        <w:gridCol w:w="172"/>
        <w:gridCol w:w="2116"/>
        <w:gridCol w:w="241"/>
        <w:gridCol w:w="3191"/>
      </w:tblGrid>
      <w:tr w14:paraId="05479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536EBB59">
            <w:pPr>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建设项目名称</w:t>
            </w:r>
          </w:p>
        </w:tc>
        <w:tc>
          <w:tcPr>
            <w:tcW w:w="7959" w:type="dxa"/>
            <w:gridSpan w:val="5"/>
            <w:vAlign w:val="center"/>
          </w:tcPr>
          <w:p w14:paraId="60F34009">
            <w:pPr>
              <w:spacing w:line="360" w:lineRule="auto"/>
              <w:jc w:val="center"/>
              <w:rPr>
                <w:rFonts w:hint="default" w:ascii="Times New Roman" w:hAnsi="Times New Roman" w:eastAsia="宋体" w:cs="Times New Roman"/>
                <w:color w:val="auto"/>
                <w:szCs w:val="21"/>
                <w:lang w:eastAsia="zh-CN"/>
              </w:rPr>
            </w:pPr>
            <w:r>
              <w:rPr>
                <w:rFonts w:hint="eastAsia" w:cs="Times New Roman"/>
                <w:color w:val="auto"/>
                <w:szCs w:val="21"/>
                <w:lang w:eastAsia="zh-CN"/>
              </w:rPr>
              <w:t>巴中恩阳司城110</w:t>
            </w:r>
            <w:r>
              <w:rPr>
                <w:rFonts w:hint="eastAsia" w:cs="Times New Roman"/>
                <w:color w:val="auto"/>
                <w:szCs w:val="21"/>
                <w:lang w:val="en-US" w:eastAsia="zh-CN"/>
              </w:rPr>
              <w:t>千伏</w:t>
            </w:r>
            <w:r>
              <w:rPr>
                <w:rFonts w:hint="eastAsia" w:cs="Times New Roman"/>
                <w:color w:val="auto"/>
                <w:szCs w:val="21"/>
                <w:lang w:eastAsia="zh-CN"/>
              </w:rPr>
              <w:t>输变电工程</w:t>
            </w:r>
          </w:p>
        </w:tc>
      </w:tr>
      <w:tr w14:paraId="2DA519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39" w:type="dxa"/>
            <w:tcMar>
              <w:top w:w="16" w:type="dxa"/>
              <w:left w:w="16" w:type="dxa"/>
              <w:right w:w="16" w:type="dxa"/>
            </w:tcMar>
            <w:vAlign w:val="center"/>
          </w:tcPr>
          <w:p w14:paraId="73B61165">
            <w:pPr>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项目代码</w:t>
            </w:r>
          </w:p>
        </w:tc>
        <w:tc>
          <w:tcPr>
            <w:tcW w:w="7959" w:type="dxa"/>
            <w:gridSpan w:val="5"/>
            <w:vAlign w:val="center"/>
          </w:tcPr>
          <w:p w14:paraId="29D3A617">
            <w:pPr>
              <w:spacing w:line="360" w:lineRule="auto"/>
              <w:jc w:val="center"/>
              <w:rPr>
                <w:rFonts w:hint="default" w:ascii="Times New Roman" w:hAnsi="Times New Roman" w:eastAsia="宋体" w:cs="Times New Roman"/>
                <w:color w:val="FF0000"/>
                <w:szCs w:val="21"/>
                <w:lang w:val="en-US" w:eastAsia="zh-CN"/>
              </w:rPr>
            </w:pPr>
            <w:r>
              <w:rPr>
                <w:rFonts w:hint="default" w:ascii="Times New Roman" w:hAnsi="Times New Roman" w:eastAsia="宋体" w:cs="Times New Roman"/>
                <w:color w:val="auto"/>
                <w:szCs w:val="21"/>
                <w:lang w:val="en-US" w:eastAsia="zh-CN"/>
              </w:rPr>
              <w:t>2506-511900-04-01-289063</w:t>
            </w:r>
          </w:p>
        </w:tc>
      </w:tr>
      <w:tr w14:paraId="6ACAFA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67494055">
            <w:pPr>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建设单位联系人</w:t>
            </w:r>
          </w:p>
        </w:tc>
        <w:tc>
          <w:tcPr>
            <w:tcW w:w="2411" w:type="dxa"/>
            <w:gridSpan w:val="2"/>
            <w:vAlign w:val="center"/>
          </w:tcPr>
          <w:p w14:paraId="6D99AA37">
            <w:pPr>
              <w:spacing w:line="36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w:t>
            </w:r>
          </w:p>
        </w:tc>
        <w:tc>
          <w:tcPr>
            <w:tcW w:w="2357" w:type="dxa"/>
            <w:gridSpan w:val="2"/>
            <w:vAlign w:val="center"/>
          </w:tcPr>
          <w:p w14:paraId="40F593FC">
            <w:pPr>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联系方式</w:t>
            </w:r>
          </w:p>
        </w:tc>
        <w:tc>
          <w:tcPr>
            <w:tcW w:w="3191" w:type="dxa"/>
            <w:vAlign w:val="center"/>
          </w:tcPr>
          <w:p w14:paraId="09540524">
            <w:pPr>
              <w:spacing w:line="36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w:t>
            </w:r>
          </w:p>
        </w:tc>
      </w:tr>
      <w:tr w14:paraId="3007B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39" w:type="dxa"/>
            <w:tcMar>
              <w:top w:w="16" w:type="dxa"/>
              <w:left w:w="16" w:type="dxa"/>
              <w:right w:w="16" w:type="dxa"/>
            </w:tcMar>
            <w:vAlign w:val="center"/>
          </w:tcPr>
          <w:p w14:paraId="37B0C132">
            <w:pPr>
              <w:spacing w:line="360" w:lineRule="auto"/>
              <w:jc w:val="center"/>
              <w:rPr>
                <w:rFonts w:hint="default" w:ascii="Times New Roman" w:hAnsi="Times New Roman" w:eastAsia="宋体" w:cs="Times New Roman"/>
                <w:color w:val="FF0000"/>
                <w:szCs w:val="21"/>
              </w:rPr>
            </w:pPr>
            <w:r>
              <w:rPr>
                <w:rFonts w:hint="default" w:ascii="Times New Roman" w:hAnsi="Times New Roman" w:eastAsia="宋体" w:cs="Times New Roman"/>
                <w:color w:val="auto"/>
                <w:szCs w:val="21"/>
              </w:rPr>
              <w:t>建设地点</w:t>
            </w:r>
          </w:p>
        </w:tc>
        <w:tc>
          <w:tcPr>
            <w:tcW w:w="7959" w:type="dxa"/>
            <w:gridSpan w:val="5"/>
            <w:vAlign w:val="center"/>
          </w:tcPr>
          <w:p w14:paraId="15F7B700">
            <w:pPr>
              <w:rPr>
                <w:rFonts w:hint="default" w:ascii="Times New Roman" w:hAnsi="Times New Roman" w:eastAsia="宋体" w:cs="Times New Roman"/>
                <w:color w:val="FF0000"/>
                <w:szCs w:val="21"/>
                <w:u w:val="none"/>
              </w:rPr>
            </w:pPr>
            <w:r>
              <w:rPr>
                <w:rFonts w:hint="eastAsia" w:cs="Times New Roman"/>
                <w:color w:val="auto"/>
                <w:szCs w:val="21"/>
                <w:lang w:val="en-US" w:eastAsia="zh-CN"/>
              </w:rPr>
              <w:t>司城</w:t>
            </w:r>
            <w:r>
              <w:rPr>
                <w:rFonts w:hint="default" w:ascii="Times New Roman" w:hAnsi="Times New Roman" w:eastAsia="宋体" w:cs="Times New Roman"/>
                <w:color w:val="auto"/>
                <w:szCs w:val="21"/>
              </w:rPr>
              <w:t>110</w:t>
            </w:r>
            <w:r>
              <w:rPr>
                <w:rFonts w:hint="eastAsia" w:cs="Times New Roman"/>
                <w:color w:val="auto"/>
                <w:szCs w:val="21"/>
                <w:lang w:val="en-US" w:eastAsia="zh-CN"/>
              </w:rPr>
              <w:t>千伏</w:t>
            </w:r>
            <w:r>
              <w:rPr>
                <w:rFonts w:hint="default" w:ascii="Times New Roman" w:hAnsi="Times New Roman" w:eastAsia="宋体" w:cs="Times New Roman"/>
                <w:color w:val="auto"/>
                <w:szCs w:val="21"/>
              </w:rPr>
              <w:t>变电站新建工程：</w:t>
            </w:r>
            <w:r>
              <w:rPr>
                <w:rFonts w:hint="default" w:ascii="Times New Roman" w:hAnsi="Times New Roman" w:eastAsia="宋体" w:cs="Times New Roman"/>
                <w:color w:val="auto"/>
                <w:szCs w:val="21"/>
                <w:u w:val="single"/>
              </w:rPr>
              <w:t>位于</w:t>
            </w:r>
            <w:r>
              <w:rPr>
                <w:rFonts w:hint="eastAsia" w:cs="Times New Roman"/>
                <w:color w:val="auto"/>
                <w:szCs w:val="21"/>
                <w:u w:val="single"/>
                <w:lang w:val="en-US" w:eastAsia="zh-CN"/>
              </w:rPr>
              <w:t>巴中</w:t>
            </w:r>
            <w:r>
              <w:rPr>
                <w:rFonts w:hint="default" w:ascii="Times New Roman" w:hAnsi="Times New Roman" w:eastAsia="宋体" w:cs="Times New Roman"/>
                <w:color w:val="auto"/>
                <w:szCs w:val="21"/>
                <w:u w:val="single"/>
              </w:rPr>
              <w:t>市</w:t>
            </w:r>
            <w:r>
              <w:rPr>
                <w:rFonts w:hint="eastAsia" w:cs="Times New Roman"/>
                <w:color w:val="auto"/>
                <w:szCs w:val="21"/>
                <w:u w:val="single"/>
                <w:lang w:val="en-US" w:eastAsia="zh-CN"/>
              </w:rPr>
              <w:t>恩阳区登科</w:t>
            </w:r>
            <w:r>
              <w:rPr>
                <w:rFonts w:hint="default" w:ascii="Times New Roman" w:hAnsi="Times New Roman" w:eastAsia="宋体" w:cs="Times New Roman"/>
                <w:color w:val="auto"/>
                <w:szCs w:val="21"/>
                <w:u w:val="single"/>
                <w:lang w:val="zh-CN"/>
              </w:rPr>
              <w:t>街道</w:t>
            </w:r>
            <w:r>
              <w:rPr>
                <w:rFonts w:hint="eastAsia" w:cs="Times New Roman"/>
                <w:color w:val="auto"/>
                <w:szCs w:val="21"/>
                <w:u w:val="single"/>
                <w:lang w:val="en-US" w:eastAsia="zh-CN"/>
              </w:rPr>
              <w:t>石马</w:t>
            </w:r>
            <w:r>
              <w:rPr>
                <w:rFonts w:hint="default" w:ascii="Times New Roman" w:hAnsi="Times New Roman" w:eastAsia="宋体" w:cs="Times New Roman"/>
                <w:color w:val="auto"/>
                <w:szCs w:val="21"/>
                <w:u w:val="single"/>
                <w:lang w:val="zh-CN"/>
              </w:rPr>
              <w:t>社区</w:t>
            </w:r>
            <w:r>
              <w:rPr>
                <w:rFonts w:hint="eastAsia" w:cs="Times New Roman"/>
                <w:color w:val="auto"/>
                <w:szCs w:val="21"/>
                <w:u w:val="single"/>
                <w:lang w:val="en-US" w:eastAsia="zh-CN"/>
              </w:rPr>
              <w:t>5</w:t>
            </w:r>
            <w:r>
              <w:rPr>
                <w:rFonts w:hint="default" w:ascii="Times New Roman" w:hAnsi="Times New Roman" w:eastAsia="宋体" w:cs="Times New Roman"/>
                <w:color w:val="auto"/>
                <w:szCs w:val="21"/>
                <w:u w:val="single"/>
                <w:lang w:val="zh-CN"/>
              </w:rPr>
              <w:t>组</w:t>
            </w:r>
            <w:r>
              <w:rPr>
                <w:rFonts w:hint="default" w:ascii="Times New Roman" w:hAnsi="Times New Roman" w:eastAsia="宋体" w:cs="Times New Roman"/>
                <w:color w:val="auto"/>
                <w:szCs w:val="21"/>
                <w:u w:val="none"/>
              </w:rPr>
              <w:t>；</w:t>
            </w:r>
          </w:p>
          <w:p w14:paraId="320194F2">
            <w:pPr>
              <w:rPr>
                <w:rFonts w:hint="default" w:ascii="Times New Roman" w:hAnsi="Times New Roman" w:eastAsia="宋体" w:cs="Times New Roman"/>
                <w:color w:val="auto"/>
                <w:szCs w:val="21"/>
                <w:u w:val="none"/>
                <w:lang w:val="en-US" w:eastAsia="zh-CN"/>
              </w:rPr>
            </w:pPr>
            <w:r>
              <w:rPr>
                <w:rFonts w:hint="eastAsia" w:cs="Times New Roman"/>
                <w:color w:val="auto"/>
                <w:szCs w:val="21"/>
                <w:u w:val="none"/>
                <w:lang w:val="en-US" w:eastAsia="zh-CN"/>
              </w:rPr>
              <w:t>印合110千伏</w:t>
            </w:r>
            <w:r>
              <w:rPr>
                <w:rFonts w:hint="default" w:ascii="Times New Roman" w:hAnsi="Times New Roman" w:eastAsia="宋体" w:cs="Times New Roman"/>
                <w:color w:val="auto"/>
                <w:kern w:val="2"/>
                <w:sz w:val="21"/>
                <w:szCs w:val="21"/>
                <w:u w:val="none"/>
                <w:lang w:val="en-US" w:eastAsia="zh-CN" w:bidi="ar-SA"/>
              </w:rPr>
              <w:t>变电站110</w:t>
            </w:r>
            <w:r>
              <w:rPr>
                <w:rFonts w:hint="eastAsia" w:cs="Times New Roman"/>
                <w:color w:val="auto"/>
                <w:kern w:val="2"/>
                <w:sz w:val="21"/>
                <w:szCs w:val="21"/>
                <w:u w:val="none"/>
                <w:lang w:val="en-US" w:eastAsia="zh-CN" w:bidi="ar-SA"/>
              </w:rPr>
              <w:t>千伏</w:t>
            </w:r>
            <w:r>
              <w:rPr>
                <w:rFonts w:hint="default" w:ascii="Times New Roman" w:hAnsi="Times New Roman" w:eastAsia="宋体" w:cs="Times New Roman"/>
                <w:color w:val="auto"/>
                <w:kern w:val="2"/>
                <w:sz w:val="21"/>
                <w:szCs w:val="21"/>
                <w:u w:val="none"/>
                <w:lang w:val="en-US" w:eastAsia="zh-CN" w:bidi="ar-SA"/>
              </w:rPr>
              <w:t>间隔</w:t>
            </w:r>
            <w:r>
              <w:rPr>
                <w:rFonts w:hint="eastAsia" w:cs="Times New Roman"/>
                <w:color w:val="auto"/>
                <w:kern w:val="2"/>
                <w:sz w:val="21"/>
                <w:szCs w:val="21"/>
                <w:u w:val="none"/>
                <w:lang w:val="en-US" w:eastAsia="zh-CN" w:bidi="ar-SA"/>
              </w:rPr>
              <w:t>扩建</w:t>
            </w:r>
            <w:r>
              <w:rPr>
                <w:rFonts w:hint="default" w:ascii="Times New Roman" w:hAnsi="Times New Roman" w:eastAsia="宋体" w:cs="Times New Roman"/>
                <w:color w:val="auto"/>
                <w:kern w:val="2"/>
                <w:sz w:val="21"/>
                <w:szCs w:val="21"/>
                <w:u w:val="none"/>
                <w:lang w:val="en-US" w:eastAsia="zh-CN" w:bidi="ar-SA"/>
              </w:rPr>
              <w:t>工程</w:t>
            </w:r>
            <w:r>
              <w:rPr>
                <w:rFonts w:hint="default" w:ascii="Times New Roman" w:hAnsi="Times New Roman" w:eastAsia="宋体" w:cs="Times New Roman"/>
                <w:color w:val="auto"/>
                <w:szCs w:val="21"/>
                <w:u w:val="none"/>
                <w:lang w:val="en-US" w:eastAsia="zh-CN"/>
              </w:rPr>
              <w:t>：</w:t>
            </w:r>
            <w:r>
              <w:rPr>
                <w:rFonts w:hint="default" w:ascii="Times New Roman" w:hAnsi="Times New Roman" w:eastAsia="宋体" w:cs="Times New Roman"/>
                <w:color w:val="auto"/>
                <w:szCs w:val="21"/>
                <w:u w:val="single"/>
                <w:lang w:val="en-US" w:eastAsia="zh-CN"/>
              </w:rPr>
              <w:t>位于巴中市南江县正直镇沿溪河村3组</w:t>
            </w:r>
            <w:r>
              <w:rPr>
                <w:rFonts w:hint="default" w:ascii="Times New Roman" w:hAnsi="Times New Roman" w:eastAsia="宋体" w:cs="Times New Roman"/>
                <w:color w:val="auto"/>
                <w:kern w:val="2"/>
                <w:sz w:val="21"/>
                <w:szCs w:val="21"/>
                <w:u w:val="none"/>
                <w:lang w:val="en-US" w:eastAsia="zh-CN" w:bidi="ar-SA"/>
              </w:rPr>
              <w:t>；</w:t>
            </w:r>
          </w:p>
          <w:p w14:paraId="6A89F6B2">
            <w:pPr>
              <w:pStyle w:val="21"/>
              <w:keepNext w:val="0"/>
              <w:keepLines w:val="0"/>
              <w:widowControl/>
              <w:suppressLineNumbers w:val="0"/>
              <w:ind w:left="0" w:firstLine="0"/>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cs="Times New Roman"/>
                <w:color w:val="auto"/>
                <w:kern w:val="2"/>
                <w:sz w:val="21"/>
                <w:szCs w:val="21"/>
                <w:u w:val="none"/>
                <w:lang w:val="en-US" w:eastAsia="zh-CN" w:bidi="ar-SA"/>
              </w:rPr>
              <w:t>盘兴</w:t>
            </w:r>
            <w:r>
              <w:rPr>
                <w:rFonts w:hint="default" w:ascii="Times New Roman" w:hAnsi="Times New Roman" w:eastAsia="宋体" w:cs="Times New Roman"/>
                <w:color w:val="auto"/>
                <w:kern w:val="2"/>
                <w:sz w:val="21"/>
                <w:szCs w:val="21"/>
                <w:u w:val="none"/>
                <w:lang w:val="en-US" w:eastAsia="zh-CN" w:bidi="ar-SA"/>
              </w:rPr>
              <w:t>220</w:t>
            </w:r>
            <w:r>
              <w:rPr>
                <w:rFonts w:hint="eastAsia" w:ascii="Times New Roman" w:hAnsi="Times New Roman" w:cs="Times New Roman"/>
                <w:color w:val="auto"/>
                <w:kern w:val="2"/>
                <w:sz w:val="21"/>
                <w:szCs w:val="21"/>
                <w:u w:val="none"/>
                <w:lang w:val="en-US" w:eastAsia="zh-CN" w:bidi="ar-SA"/>
              </w:rPr>
              <w:t>千伏</w:t>
            </w:r>
            <w:r>
              <w:rPr>
                <w:rFonts w:hint="default" w:ascii="Times New Roman" w:hAnsi="Times New Roman" w:eastAsia="宋体" w:cs="Times New Roman"/>
                <w:color w:val="auto"/>
                <w:kern w:val="2"/>
                <w:sz w:val="21"/>
                <w:szCs w:val="21"/>
                <w:u w:val="none"/>
                <w:lang w:val="en-US" w:eastAsia="zh-CN" w:bidi="ar-SA"/>
              </w:rPr>
              <w:t>变电站</w:t>
            </w:r>
            <w:r>
              <w:rPr>
                <w:rFonts w:hint="eastAsia" w:ascii="Times New Roman" w:hAnsi="Times New Roman" w:cs="Times New Roman"/>
                <w:color w:val="auto"/>
                <w:kern w:val="2"/>
                <w:sz w:val="21"/>
                <w:szCs w:val="21"/>
                <w:u w:val="none"/>
                <w:lang w:val="en-US" w:eastAsia="zh-CN" w:bidi="ar-SA"/>
              </w:rPr>
              <w:t>二次完善</w:t>
            </w:r>
            <w:r>
              <w:rPr>
                <w:rFonts w:hint="default" w:ascii="Times New Roman" w:hAnsi="Times New Roman" w:eastAsia="宋体" w:cs="Times New Roman"/>
                <w:color w:val="auto"/>
                <w:kern w:val="2"/>
                <w:sz w:val="21"/>
                <w:szCs w:val="21"/>
                <w:u w:val="none"/>
                <w:lang w:val="en-US" w:eastAsia="zh-CN" w:bidi="ar-SA"/>
              </w:rPr>
              <w:t>工程：</w:t>
            </w:r>
            <w:r>
              <w:rPr>
                <w:rFonts w:hint="default" w:ascii="Times New Roman" w:hAnsi="Times New Roman" w:eastAsia="宋体" w:cs="Times New Roman"/>
                <w:color w:val="auto"/>
                <w:kern w:val="2"/>
                <w:sz w:val="21"/>
                <w:szCs w:val="21"/>
                <w:u w:val="single"/>
                <w:lang w:val="en-US" w:eastAsia="zh-CN" w:bidi="ar-SA"/>
              </w:rPr>
              <w:t>位于巴中市巴州区回风街道</w:t>
            </w:r>
            <w:r>
              <w:rPr>
                <w:rFonts w:hint="eastAsia" w:ascii="Times New Roman" w:hAnsi="Times New Roman" w:cs="Times New Roman"/>
                <w:color w:val="auto"/>
                <w:kern w:val="2"/>
                <w:sz w:val="21"/>
                <w:szCs w:val="21"/>
                <w:u w:val="single"/>
                <w:lang w:val="en-US" w:eastAsia="zh-CN" w:bidi="ar-SA"/>
              </w:rPr>
              <w:t>八王村3组</w:t>
            </w:r>
            <w:r>
              <w:rPr>
                <w:rFonts w:hint="default" w:ascii="Times New Roman" w:hAnsi="Times New Roman" w:eastAsia="宋体" w:cs="Times New Roman"/>
                <w:color w:val="auto"/>
                <w:kern w:val="2"/>
                <w:sz w:val="21"/>
                <w:szCs w:val="21"/>
                <w:u w:val="single"/>
                <w:lang w:val="en-US" w:eastAsia="zh-CN" w:bidi="ar-SA"/>
              </w:rPr>
              <w:t>已建盘兴220kV变电站内</w:t>
            </w:r>
            <w:r>
              <w:rPr>
                <w:rFonts w:hint="default" w:ascii="Times New Roman" w:hAnsi="Times New Roman" w:eastAsia="宋体" w:cs="Times New Roman"/>
                <w:color w:val="auto"/>
                <w:kern w:val="2"/>
                <w:sz w:val="21"/>
                <w:szCs w:val="21"/>
                <w:u w:val="none"/>
                <w:lang w:val="en-US" w:eastAsia="zh-CN" w:bidi="ar-SA"/>
              </w:rPr>
              <w:t>；</w:t>
            </w:r>
          </w:p>
          <w:p w14:paraId="5EAFEB01">
            <w:pPr>
              <w:rPr>
                <w:rFonts w:hint="default" w:ascii="Times New Roman" w:hAnsi="Times New Roman" w:eastAsia="宋体" w:cs="Times New Roman"/>
                <w:color w:val="auto"/>
                <w:szCs w:val="21"/>
                <w:u w:val="none"/>
                <w:lang w:eastAsia="zh-CN"/>
              </w:rPr>
            </w:pPr>
            <w:r>
              <w:rPr>
                <w:rFonts w:hint="eastAsia" w:cs="Times New Roman"/>
                <w:color w:val="auto"/>
                <w:szCs w:val="21"/>
                <w:u w:val="none"/>
                <w:lang w:val="en-US" w:eastAsia="zh-CN"/>
              </w:rPr>
              <w:t>盘兴</w:t>
            </w:r>
            <w:r>
              <w:rPr>
                <w:rFonts w:hint="default" w:ascii="Times New Roman" w:hAnsi="Times New Roman" w:eastAsia="宋体" w:cs="Times New Roman"/>
                <w:b w:val="0"/>
                <w:bCs/>
                <w:color w:val="auto"/>
                <w:szCs w:val="21"/>
                <w:u w:val="none"/>
                <w:lang w:eastAsia="zh-CN"/>
              </w:rPr>
              <w:t>～</w:t>
            </w:r>
            <w:r>
              <w:rPr>
                <w:rFonts w:hint="eastAsia" w:cs="Times New Roman"/>
                <w:color w:val="auto"/>
                <w:szCs w:val="21"/>
                <w:u w:val="none"/>
                <w:lang w:val="en-US" w:eastAsia="zh-CN"/>
              </w:rPr>
              <w:t>司城</w:t>
            </w:r>
            <w:r>
              <w:rPr>
                <w:rFonts w:hint="default" w:ascii="Times New Roman" w:hAnsi="Times New Roman" w:eastAsia="宋体" w:cs="Times New Roman"/>
                <w:color w:val="auto"/>
                <w:szCs w:val="21"/>
                <w:u w:val="none"/>
              </w:rPr>
              <w:t>110</w:t>
            </w:r>
            <w:r>
              <w:rPr>
                <w:rFonts w:hint="eastAsia" w:cs="Times New Roman"/>
                <w:color w:val="auto"/>
                <w:szCs w:val="21"/>
                <w:u w:val="none"/>
                <w:lang w:val="en-US" w:eastAsia="zh-CN"/>
              </w:rPr>
              <w:t>千伏</w:t>
            </w:r>
            <w:r>
              <w:rPr>
                <w:rFonts w:hint="default" w:ascii="Times New Roman" w:hAnsi="Times New Roman" w:eastAsia="宋体" w:cs="Times New Roman"/>
                <w:color w:val="auto"/>
                <w:szCs w:val="21"/>
                <w:u w:val="none"/>
              </w:rPr>
              <w:t>线路工程：</w:t>
            </w:r>
            <w:r>
              <w:rPr>
                <w:rFonts w:hint="default" w:ascii="Times New Roman" w:hAnsi="Times New Roman" w:eastAsia="宋体" w:cs="Times New Roman"/>
                <w:color w:val="auto"/>
                <w:szCs w:val="21"/>
                <w:u w:val="single"/>
              </w:rPr>
              <w:t>位于</w:t>
            </w:r>
            <w:r>
              <w:rPr>
                <w:rFonts w:hint="eastAsia" w:cs="Times New Roman"/>
                <w:color w:val="auto"/>
                <w:u w:val="single"/>
                <w:lang w:val="en-US" w:eastAsia="zh-CN"/>
              </w:rPr>
              <w:t>巴中</w:t>
            </w:r>
            <w:r>
              <w:rPr>
                <w:rFonts w:hint="default" w:ascii="Times New Roman" w:hAnsi="Times New Roman" w:eastAsia="宋体" w:cs="Times New Roman"/>
                <w:color w:val="auto"/>
                <w:u w:val="single"/>
              </w:rPr>
              <w:t>市</w:t>
            </w:r>
            <w:r>
              <w:rPr>
                <w:rFonts w:hint="eastAsia" w:cs="Times New Roman"/>
                <w:color w:val="auto"/>
                <w:u w:val="single"/>
                <w:lang w:val="en-US" w:eastAsia="zh-CN"/>
              </w:rPr>
              <w:t>巴州区、恩阳区</w:t>
            </w:r>
            <w:r>
              <w:rPr>
                <w:rFonts w:hint="default" w:ascii="Times New Roman" w:hAnsi="Times New Roman" w:eastAsia="宋体" w:cs="Times New Roman"/>
                <w:color w:val="auto"/>
                <w:szCs w:val="21"/>
                <w:u w:val="single"/>
              </w:rPr>
              <w:t>境内</w:t>
            </w:r>
            <w:r>
              <w:rPr>
                <w:rFonts w:hint="default" w:ascii="Times New Roman" w:hAnsi="Times New Roman" w:eastAsia="宋体" w:cs="Times New Roman"/>
                <w:color w:val="auto"/>
                <w:szCs w:val="21"/>
                <w:u w:val="none"/>
                <w:lang w:eastAsia="zh-CN"/>
              </w:rPr>
              <w:t>；</w:t>
            </w:r>
          </w:p>
          <w:p w14:paraId="77095F88">
            <w:pPr>
              <w:rPr>
                <w:rFonts w:hint="default" w:ascii="Times New Roman" w:hAnsi="Times New Roman" w:eastAsia="宋体" w:cs="Times New Roman"/>
                <w:color w:val="FF0000"/>
                <w:szCs w:val="21"/>
                <w:lang w:val="en-US"/>
              </w:rPr>
            </w:pPr>
            <w:r>
              <w:rPr>
                <w:rFonts w:hint="eastAsia" w:cs="Times New Roman"/>
                <w:color w:val="auto"/>
                <w:szCs w:val="21"/>
                <w:u w:val="none"/>
                <w:lang w:val="en-US" w:eastAsia="zh-CN"/>
              </w:rPr>
              <w:t>印合</w:t>
            </w:r>
            <w:r>
              <w:rPr>
                <w:rFonts w:hint="default" w:ascii="Times New Roman" w:hAnsi="Times New Roman" w:eastAsia="宋体" w:cs="Times New Roman"/>
                <w:b w:val="0"/>
                <w:bCs/>
                <w:color w:val="auto"/>
                <w:szCs w:val="21"/>
                <w:u w:val="none"/>
                <w:lang w:eastAsia="zh-CN"/>
              </w:rPr>
              <w:t>～</w:t>
            </w:r>
            <w:r>
              <w:rPr>
                <w:rFonts w:hint="eastAsia" w:cs="Times New Roman"/>
                <w:color w:val="auto"/>
                <w:szCs w:val="21"/>
                <w:u w:val="none"/>
                <w:lang w:val="en-US" w:eastAsia="zh-CN"/>
              </w:rPr>
              <w:t>司城</w:t>
            </w:r>
            <w:r>
              <w:rPr>
                <w:rFonts w:hint="default" w:ascii="Times New Roman" w:hAnsi="Times New Roman" w:eastAsia="宋体" w:cs="Times New Roman"/>
                <w:color w:val="auto"/>
                <w:szCs w:val="21"/>
                <w:u w:val="none"/>
                <w:lang w:val="en-US" w:eastAsia="zh-CN"/>
              </w:rPr>
              <w:t>110</w:t>
            </w:r>
            <w:r>
              <w:rPr>
                <w:rFonts w:hint="eastAsia" w:cs="Times New Roman"/>
                <w:color w:val="auto"/>
                <w:szCs w:val="21"/>
                <w:u w:val="none"/>
                <w:lang w:val="en-US" w:eastAsia="zh-CN"/>
              </w:rPr>
              <w:t>千伏</w:t>
            </w:r>
            <w:r>
              <w:rPr>
                <w:rFonts w:hint="default" w:ascii="Times New Roman" w:hAnsi="Times New Roman" w:eastAsia="宋体" w:cs="Times New Roman"/>
                <w:color w:val="auto"/>
                <w:szCs w:val="21"/>
                <w:u w:val="none"/>
              </w:rPr>
              <w:t>线路工程：</w:t>
            </w:r>
            <w:r>
              <w:rPr>
                <w:rFonts w:hint="default" w:ascii="Times New Roman" w:hAnsi="Times New Roman" w:eastAsia="宋体" w:cs="Times New Roman"/>
                <w:color w:val="auto"/>
                <w:szCs w:val="21"/>
                <w:u w:val="single"/>
              </w:rPr>
              <w:t>位于</w:t>
            </w:r>
            <w:r>
              <w:rPr>
                <w:rFonts w:hint="eastAsia" w:cs="Times New Roman"/>
                <w:color w:val="auto"/>
                <w:u w:val="single"/>
                <w:lang w:val="en-US" w:eastAsia="zh-CN"/>
              </w:rPr>
              <w:t>巴中</w:t>
            </w:r>
            <w:r>
              <w:rPr>
                <w:rFonts w:hint="default" w:ascii="Times New Roman" w:hAnsi="Times New Roman" w:eastAsia="宋体" w:cs="Times New Roman"/>
                <w:color w:val="auto"/>
                <w:u w:val="single"/>
              </w:rPr>
              <w:t>市</w:t>
            </w:r>
            <w:r>
              <w:rPr>
                <w:rFonts w:hint="eastAsia" w:cs="Times New Roman"/>
                <w:color w:val="auto"/>
                <w:u w:val="single"/>
                <w:lang w:val="en-US" w:eastAsia="zh-CN"/>
              </w:rPr>
              <w:t>巴州区、南江县、恩阳区</w:t>
            </w:r>
            <w:r>
              <w:rPr>
                <w:rFonts w:hint="default" w:ascii="Times New Roman" w:hAnsi="Times New Roman" w:eastAsia="宋体" w:cs="Times New Roman"/>
                <w:color w:val="auto"/>
                <w:szCs w:val="21"/>
                <w:u w:val="single"/>
              </w:rPr>
              <w:t>境内</w:t>
            </w:r>
            <w:r>
              <w:rPr>
                <w:rFonts w:hint="default" w:ascii="Times New Roman" w:hAnsi="Times New Roman" w:eastAsia="宋体" w:cs="Times New Roman"/>
                <w:color w:val="auto"/>
                <w:szCs w:val="21"/>
                <w:u w:val="none"/>
              </w:rPr>
              <w:t>。</w:t>
            </w:r>
          </w:p>
        </w:tc>
      </w:tr>
      <w:tr w14:paraId="174C5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44CE8D4C">
            <w:pPr>
              <w:spacing w:line="360" w:lineRule="auto"/>
              <w:jc w:val="center"/>
              <w:rPr>
                <w:rFonts w:hint="default" w:ascii="Times New Roman" w:hAnsi="Times New Roman" w:eastAsia="宋体" w:cs="Times New Roman"/>
                <w:color w:val="FF0000"/>
                <w:szCs w:val="21"/>
              </w:rPr>
            </w:pPr>
            <w:r>
              <w:rPr>
                <w:rFonts w:hint="default" w:ascii="Times New Roman" w:hAnsi="Times New Roman" w:eastAsia="宋体" w:cs="Times New Roman"/>
                <w:color w:val="auto"/>
                <w:szCs w:val="21"/>
              </w:rPr>
              <w:t>地理坐标</w:t>
            </w:r>
          </w:p>
        </w:tc>
        <w:tc>
          <w:tcPr>
            <w:tcW w:w="7959" w:type="dxa"/>
            <w:gridSpan w:val="5"/>
            <w:vAlign w:val="center"/>
          </w:tcPr>
          <w:p w14:paraId="31C109B5">
            <w:pPr>
              <w:adjustRightInd w:val="0"/>
              <w:snapToGrid w:val="0"/>
              <w:rPr>
                <w:rFonts w:hint="default" w:ascii="Times New Roman" w:hAnsi="Times New Roman" w:eastAsia="宋体" w:cs="Times New Roman"/>
                <w:color w:val="auto"/>
                <w:szCs w:val="21"/>
                <w:u w:val="none"/>
              </w:rPr>
            </w:pPr>
            <w:r>
              <w:rPr>
                <w:rFonts w:hint="eastAsia" w:cs="Times New Roman"/>
                <w:color w:val="auto"/>
                <w:szCs w:val="21"/>
                <w:lang w:val="en-US" w:eastAsia="zh-CN"/>
              </w:rPr>
              <w:t>司城</w:t>
            </w:r>
            <w:r>
              <w:rPr>
                <w:rFonts w:hint="default" w:ascii="Times New Roman" w:hAnsi="Times New Roman" w:eastAsia="宋体" w:cs="Times New Roman"/>
                <w:color w:val="auto"/>
                <w:szCs w:val="21"/>
              </w:rPr>
              <w:t>110</w:t>
            </w:r>
            <w:r>
              <w:rPr>
                <w:rFonts w:hint="eastAsia" w:cs="Times New Roman"/>
                <w:color w:val="auto"/>
                <w:szCs w:val="21"/>
                <w:lang w:val="en-US" w:eastAsia="zh-CN"/>
              </w:rPr>
              <w:t>千伏</w:t>
            </w:r>
            <w:r>
              <w:rPr>
                <w:rFonts w:hint="default" w:ascii="Times New Roman" w:hAnsi="Times New Roman" w:eastAsia="宋体" w:cs="Times New Roman"/>
                <w:color w:val="auto"/>
                <w:szCs w:val="21"/>
              </w:rPr>
              <w:t>变电站新建工程中心坐标</w:t>
            </w:r>
            <w:r>
              <w:rPr>
                <w:rFonts w:hint="default" w:ascii="Times New Roman" w:hAnsi="Times New Roman" w:eastAsia="宋体" w:cs="Times New Roman"/>
                <w:color w:val="auto"/>
                <w:szCs w:val="21"/>
                <w:u w:val="none"/>
              </w:rPr>
              <w:t>：经度：106度39分5</w:t>
            </w:r>
            <w:r>
              <w:rPr>
                <w:rFonts w:hint="eastAsia" w:cs="Times New Roman"/>
                <w:color w:val="auto"/>
                <w:szCs w:val="21"/>
                <w:u w:val="none"/>
                <w:lang w:val="en-US" w:eastAsia="zh-CN"/>
              </w:rPr>
              <w:t>2</w:t>
            </w:r>
            <w:r>
              <w:rPr>
                <w:rFonts w:hint="default" w:ascii="Times New Roman" w:hAnsi="Times New Roman" w:eastAsia="宋体" w:cs="Times New Roman"/>
                <w:color w:val="auto"/>
                <w:szCs w:val="21"/>
                <w:u w:val="none"/>
              </w:rPr>
              <w:t>.</w:t>
            </w:r>
            <w:r>
              <w:rPr>
                <w:rFonts w:hint="eastAsia" w:cs="Times New Roman"/>
                <w:color w:val="auto"/>
                <w:szCs w:val="21"/>
                <w:u w:val="none"/>
                <w:lang w:val="en-US" w:eastAsia="zh-CN"/>
              </w:rPr>
              <w:t>795</w:t>
            </w:r>
            <w:r>
              <w:rPr>
                <w:rFonts w:hint="default" w:ascii="Times New Roman" w:hAnsi="Times New Roman" w:eastAsia="宋体" w:cs="Times New Roman"/>
                <w:color w:val="auto"/>
                <w:szCs w:val="21"/>
                <w:u w:val="none"/>
              </w:rPr>
              <w:t>秒，纬度：</w:t>
            </w:r>
            <w:r>
              <w:rPr>
                <w:rFonts w:hint="default" w:ascii="Times New Roman" w:hAnsi="Times New Roman" w:eastAsia="宋体" w:cs="Times New Roman"/>
                <w:color w:val="auto"/>
                <w:szCs w:val="21"/>
                <w:u w:val="none"/>
                <w:lang w:val="en-US" w:eastAsia="zh-CN"/>
              </w:rPr>
              <w:t>31</w:t>
            </w:r>
            <w:r>
              <w:rPr>
                <w:rFonts w:hint="default" w:ascii="Times New Roman" w:hAnsi="Times New Roman" w:eastAsia="宋体" w:cs="Times New Roman"/>
                <w:color w:val="auto"/>
                <w:szCs w:val="21"/>
                <w:u w:val="none"/>
              </w:rPr>
              <w:t>度47分37.</w:t>
            </w:r>
            <w:r>
              <w:rPr>
                <w:rFonts w:hint="eastAsia" w:cs="Times New Roman"/>
                <w:color w:val="auto"/>
                <w:szCs w:val="21"/>
                <w:u w:val="none"/>
                <w:lang w:val="en-US" w:eastAsia="zh-CN"/>
              </w:rPr>
              <w:t>742</w:t>
            </w:r>
            <w:r>
              <w:rPr>
                <w:rFonts w:hint="default" w:ascii="Times New Roman" w:hAnsi="Times New Roman" w:eastAsia="宋体" w:cs="Times New Roman"/>
                <w:color w:val="auto"/>
                <w:szCs w:val="21"/>
                <w:u w:val="none"/>
              </w:rPr>
              <w:t>秒；</w:t>
            </w:r>
          </w:p>
          <w:p w14:paraId="4858DEB8">
            <w:pPr>
              <w:adjustRightInd w:val="0"/>
              <w:snapToGrid w:val="0"/>
              <w:rPr>
                <w:rFonts w:hint="default" w:ascii="Times New Roman" w:hAnsi="Times New Roman" w:eastAsia="宋体" w:cs="Times New Roman"/>
                <w:color w:val="auto"/>
                <w:szCs w:val="21"/>
                <w:u w:val="none"/>
              </w:rPr>
            </w:pPr>
            <w:r>
              <w:rPr>
                <w:rFonts w:hint="eastAsia" w:cs="Times New Roman"/>
                <w:color w:val="auto"/>
                <w:kern w:val="2"/>
                <w:sz w:val="21"/>
                <w:szCs w:val="21"/>
                <w:u w:val="none"/>
                <w:lang w:val="en-US" w:eastAsia="zh-CN" w:bidi="ar-SA"/>
              </w:rPr>
              <w:t>印合110千伏变电站110kV间隔扩建工程</w:t>
            </w:r>
            <w:r>
              <w:rPr>
                <w:rFonts w:hint="default" w:ascii="Times New Roman" w:hAnsi="Times New Roman" w:eastAsia="宋体" w:cs="Times New Roman"/>
                <w:color w:val="auto"/>
                <w:szCs w:val="21"/>
                <w:u w:val="none"/>
              </w:rPr>
              <w:t>坐标：经度：10</w:t>
            </w:r>
            <w:r>
              <w:rPr>
                <w:rFonts w:hint="default" w:ascii="Times New Roman" w:hAnsi="Times New Roman" w:eastAsia="宋体" w:cs="Times New Roman"/>
                <w:color w:val="auto"/>
                <w:szCs w:val="21"/>
                <w:u w:val="none"/>
                <w:lang w:val="en-US" w:eastAsia="zh-CN"/>
              </w:rPr>
              <w:t>6</w:t>
            </w:r>
            <w:r>
              <w:rPr>
                <w:rFonts w:hint="default" w:ascii="Times New Roman" w:hAnsi="Times New Roman" w:eastAsia="宋体" w:cs="Times New Roman"/>
                <w:color w:val="auto"/>
                <w:szCs w:val="21"/>
                <w:u w:val="none"/>
              </w:rPr>
              <w:t>度35分29.</w:t>
            </w:r>
            <w:r>
              <w:rPr>
                <w:rFonts w:hint="eastAsia" w:cs="Times New Roman"/>
                <w:color w:val="auto"/>
                <w:szCs w:val="21"/>
                <w:u w:val="none"/>
                <w:lang w:val="en-US" w:eastAsia="zh-CN"/>
              </w:rPr>
              <w:t>999</w:t>
            </w:r>
            <w:r>
              <w:rPr>
                <w:rFonts w:hint="default" w:ascii="Times New Roman" w:hAnsi="Times New Roman" w:eastAsia="宋体" w:cs="Times New Roman"/>
                <w:color w:val="auto"/>
                <w:szCs w:val="21"/>
                <w:u w:val="none"/>
              </w:rPr>
              <w:t>秒，纬度：</w:t>
            </w:r>
            <w:r>
              <w:rPr>
                <w:rFonts w:hint="default" w:ascii="Times New Roman" w:hAnsi="Times New Roman" w:eastAsia="宋体" w:cs="Times New Roman"/>
                <w:color w:val="auto"/>
                <w:szCs w:val="21"/>
                <w:u w:val="none"/>
                <w:lang w:val="en-US" w:eastAsia="zh-CN"/>
              </w:rPr>
              <w:t>31</w:t>
            </w:r>
            <w:r>
              <w:rPr>
                <w:rFonts w:hint="default" w:ascii="Times New Roman" w:hAnsi="Times New Roman" w:eastAsia="宋体" w:cs="Times New Roman"/>
                <w:color w:val="auto"/>
                <w:szCs w:val="21"/>
                <w:u w:val="none"/>
              </w:rPr>
              <w:t>度59分4</w:t>
            </w:r>
            <w:r>
              <w:rPr>
                <w:rFonts w:hint="eastAsia" w:cs="Times New Roman"/>
                <w:color w:val="auto"/>
                <w:szCs w:val="21"/>
                <w:u w:val="none"/>
                <w:lang w:val="en-US" w:eastAsia="zh-CN"/>
              </w:rPr>
              <w:t>2</w:t>
            </w:r>
            <w:r>
              <w:rPr>
                <w:rFonts w:hint="default" w:ascii="Times New Roman" w:hAnsi="Times New Roman" w:eastAsia="宋体" w:cs="Times New Roman"/>
                <w:color w:val="auto"/>
                <w:szCs w:val="21"/>
                <w:u w:val="none"/>
              </w:rPr>
              <w:t>.</w:t>
            </w:r>
            <w:r>
              <w:rPr>
                <w:rFonts w:hint="eastAsia" w:cs="Times New Roman"/>
                <w:color w:val="auto"/>
                <w:szCs w:val="21"/>
                <w:u w:val="none"/>
                <w:lang w:val="en-US" w:eastAsia="zh-CN"/>
              </w:rPr>
              <w:t>556</w:t>
            </w:r>
            <w:r>
              <w:rPr>
                <w:rFonts w:hint="default" w:ascii="Times New Roman" w:hAnsi="Times New Roman" w:eastAsia="宋体" w:cs="Times New Roman"/>
                <w:color w:val="auto"/>
                <w:szCs w:val="21"/>
                <w:u w:val="none"/>
              </w:rPr>
              <w:t>秒；</w:t>
            </w:r>
          </w:p>
          <w:p w14:paraId="1264C1AB">
            <w:pPr>
              <w:adjustRightInd w:val="0"/>
              <w:snapToGrid w:val="0"/>
              <w:rPr>
                <w:rFonts w:hint="default" w:ascii="Times New Roman" w:hAnsi="Times New Roman" w:eastAsia="宋体" w:cs="Times New Roman"/>
                <w:color w:val="auto"/>
                <w:szCs w:val="21"/>
                <w:u w:val="none"/>
              </w:rPr>
            </w:pPr>
            <w:r>
              <w:rPr>
                <w:rFonts w:hint="eastAsia" w:cs="Times New Roman"/>
                <w:color w:val="auto"/>
                <w:szCs w:val="21"/>
                <w:u w:val="none"/>
                <w:lang w:val="en-US" w:eastAsia="zh-CN"/>
              </w:rPr>
              <w:t>盘兴220千伏变电站二次完善工程</w:t>
            </w:r>
            <w:r>
              <w:rPr>
                <w:rFonts w:hint="default" w:ascii="Times New Roman" w:hAnsi="Times New Roman" w:eastAsia="宋体" w:cs="Times New Roman"/>
                <w:color w:val="auto"/>
                <w:szCs w:val="21"/>
                <w:u w:val="none"/>
              </w:rPr>
              <w:t>坐标：经度：10</w:t>
            </w:r>
            <w:r>
              <w:rPr>
                <w:rFonts w:hint="default" w:ascii="Times New Roman" w:hAnsi="Times New Roman" w:eastAsia="宋体" w:cs="Times New Roman"/>
                <w:color w:val="auto"/>
                <w:szCs w:val="21"/>
                <w:u w:val="none"/>
                <w:lang w:val="en-US" w:eastAsia="zh-CN"/>
              </w:rPr>
              <w:t>6</w:t>
            </w:r>
            <w:r>
              <w:rPr>
                <w:rFonts w:hint="default" w:ascii="Times New Roman" w:hAnsi="Times New Roman" w:eastAsia="宋体" w:cs="Times New Roman"/>
                <w:color w:val="auto"/>
                <w:szCs w:val="21"/>
                <w:u w:val="none"/>
              </w:rPr>
              <w:t>度</w:t>
            </w:r>
            <w:r>
              <w:rPr>
                <w:rFonts w:hint="default" w:ascii="Times New Roman" w:hAnsi="Times New Roman" w:eastAsia="宋体" w:cs="Times New Roman"/>
                <w:color w:val="auto"/>
                <w:szCs w:val="21"/>
                <w:u w:val="none"/>
                <w:lang w:val="en-US" w:eastAsia="zh-CN"/>
              </w:rPr>
              <w:t>42</w:t>
            </w:r>
            <w:r>
              <w:rPr>
                <w:rFonts w:hint="default" w:ascii="Times New Roman" w:hAnsi="Times New Roman" w:eastAsia="宋体" w:cs="Times New Roman"/>
                <w:color w:val="auto"/>
                <w:szCs w:val="21"/>
                <w:u w:val="none"/>
              </w:rPr>
              <w:t>分22.</w:t>
            </w:r>
            <w:r>
              <w:rPr>
                <w:rFonts w:hint="eastAsia" w:cs="Times New Roman"/>
                <w:color w:val="auto"/>
                <w:szCs w:val="21"/>
                <w:u w:val="none"/>
                <w:lang w:val="en-US" w:eastAsia="zh-CN"/>
              </w:rPr>
              <w:t>502</w:t>
            </w:r>
            <w:r>
              <w:rPr>
                <w:rFonts w:hint="default" w:ascii="Times New Roman" w:hAnsi="Times New Roman" w:eastAsia="宋体" w:cs="Times New Roman"/>
                <w:color w:val="auto"/>
                <w:szCs w:val="21"/>
                <w:u w:val="none"/>
              </w:rPr>
              <w:t>秒，纬度：</w:t>
            </w:r>
            <w:r>
              <w:rPr>
                <w:rFonts w:hint="default" w:ascii="Times New Roman" w:hAnsi="Times New Roman" w:eastAsia="宋体" w:cs="Times New Roman"/>
                <w:color w:val="auto"/>
                <w:szCs w:val="21"/>
                <w:u w:val="none"/>
                <w:lang w:val="en-US" w:eastAsia="zh-CN"/>
              </w:rPr>
              <w:t>31</w:t>
            </w:r>
            <w:r>
              <w:rPr>
                <w:rFonts w:hint="default" w:ascii="Times New Roman" w:hAnsi="Times New Roman" w:eastAsia="宋体" w:cs="Times New Roman"/>
                <w:color w:val="auto"/>
                <w:szCs w:val="21"/>
                <w:u w:val="none"/>
              </w:rPr>
              <w:t>度</w:t>
            </w:r>
            <w:r>
              <w:rPr>
                <w:rFonts w:hint="default" w:ascii="Times New Roman" w:hAnsi="Times New Roman" w:eastAsia="宋体" w:cs="Times New Roman"/>
                <w:color w:val="auto"/>
                <w:szCs w:val="21"/>
                <w:u w:val="none"/>
                <w:lang w:val="en-US" w:eastAsia="zh-CN"/>
              </w:rPr>
              <w:t>49</w:t>
            </w:r>
            <w:r>
              <w:rPr>
                <w:rFonts w:hint="default" w:ascii="Times New Roman" w:hAnsi="Times New Roman" w:eastAsia="宋体" w:cs="Times New Roman"/>
                <w:color w:val="auto"/>
                <w:szCs w:val="21"/>
                <w:u w:val="none"/>
              </w:rPr>
              <w:t>分53.</w:t>
            </w:r>
            <w:r>
              <w:rPr>
                <w:rFonts w:hint="eastAsia" w:cs="Times New Roman"/>
                <w:color w:val="auto"/>
                <w:szCs w:val="21"/>
                <w:u w:val="none"/>
                <w:lang w:val="en-US" w:eastAsia="zh-CN"/>
              </w:rPr>
              <w:t>388</w:t>
            </w:r>
            <w:r>
              <w:rPr>
                <w:rFonts w:hint="default" w:ascii="Times New Roman" w:hAnsi="Times New Roman" w:eastAsia="宋体" w:cs="Times New Roman"/>
                <w:color w:val="auto"/>
                <w:szCs w:val="21"/>
                <w:u w:val="none"/>
              </w:rPr>
              <w:t>秒；</w:t>
            </w:r>
          </w:p>
          <w:p w14:paraId="220D6535">
            <w:pPr>
              <w:adjustRightInd w:val="0"/>
              <w:snapToGrid w:val="0"/>
              <w:rPr>
                <w:rFonts w:hint="eastAsia" w:ascii="Times New Roman" w:hAnsi="Times New Roman" w:eastAsia="宋体" w:cs="Times New Roman"/>
                <w:color w:val="auto"/>
                <w:szCs w:val="21"/>
                <w:u w:val="none"/>
                <w:lang w:eastAsia="zh-CN"/>
              </w:rPr>
            </w:pPr>
            <w:r>
              <w:rPr>
                <w:rFonts w:hint="eastAsia" w:cs="Times New Roman"/>
                <w:color w:val="auto"/>
                <w:szCs w:val="21"/>
                <w:u w:val="none"/>
                <w:lang w:val="en-US" w:eastAsia="zh-CN"/>
              </w:rPr>
              <w:t>盘兴</w:t>
            </w:r>
            <w:r>
              <w:rPr>
                <w:rFonts w:hint="default" w:ascii="Times New Roman" w:hAnsi="Times New Roman" w:eastAsia="宋体" w:cs="Times New Roman"/>
                <w:b w:val="0"/>
                <w:bCs/>
                <w:color w:val="auto"/>
                <w:szCs w:val="21"/>
                <w:u w:val="none"/>
                <w:lang w:eastAsia="zh-CN"/>
              </w:rPr>
              <w:t>～</w:t>
            </w:r>
            <w:r>
              <w:rPr>
                <w:rFonts w:hint="eastAsia" w:cs="Times New Roman"/>
                <w:color w:val="auto"/>
                <w:szCs w:val="21"/>
                <w:u w:val="none"/>
                <w:lang w:val="en-US" w:eastAsia="zh-CN"/>
              </w:rPr>
              <w:t>司城</w:t>
            </w:r>
            <w:r>
              <w:rPr>
                <w:rFonts w:hint="default" w:ascii="Times New Roman" w:hAnsi="Times New Roman" w:eastAsia="宋体" w:cs="Times New Roman"/>
                <w:color w:val="auto"/>
                <w:szCs w:val="21"/>
                <w:u w:val="none"/>
              </w:rPr>
              <w:t>110</w:t>
            </w:r>
            <w:r>
              <w:rPr>
                <w:rFonts w:hint="eastAsia" w:cs="Times New Roman"/>
                <w:color w:val="auto"/>
                <w:kern w:val="2"/>
                <w:sz w:val="21"/>
                <w:szCs w:val="21"/>
                <w:u w:val="none"/>
                <w:lang w:val="en-US" w:eastAsia="zh-CN" w:bidi="ar-SA"/>
              </w:rPr>
              <w:t>千伏</w:t>
            </w:r>
            <w:r>
              <w:rPr>
                <w:rFonts w:hint="default" w:ascii="Times New Roman" w:hAnsi="Times New Roman" w:eastAsia="宋体" w:cs="Times New Roman"/>
                <w:color w:val="auto"/>
                <w:szCs w:val="21"/>
                <w:u w:val="none"/>
              </w:rPr>
              <w:t>线路工程起点：经度：10</w:t>
            </w:r>
            <w:r>
              <w:rPr>
                <w:rFonts w:hint="default" w:ascii="Times New Roman" w:hAnsi="Times New Roman" w:eastAsia="宋体" w:cs="Times New Roman"/>
                <w:color w:val="auto"/>
                <w:szCs w:val="21"/>
                <w:u w:val="none"/>
                <w:lang w:val="en-US" w:eastAsia="zh-CN"/>
              </w:rPr>
              <w:t>6</w:t>
            </w:r>
            <w:r>
              <w:rPr>
                <w:rFonts w:hint="default" w:ascii="Times New Roman" w:hAnsi="Times New Roman" w:eastAsia="宋体" w:cs="Times New Roman"/>
                <w:color w:val="auto"/>
                <w:szCs w:val="21"/>
                <w:u w:val="none"/>
              </w:rPr>
              <w:t>度</w:t>
            </w:r>
            <w:r>
              <w:rPr>
                <w:rFonts w:hint="default" w:ascii="Times New Roman" w:hAnsi="Times New Roman" w:eastAsia="宋体" w:cs="Times New Roman"/>
                <w:color w:val="auto"/>
                <w:szCs w:val="21"/>
                <w:u w:val="none"/>
                <w:lang w:val="en-US" w:eastAsia="zh-CN"/>
              </w:rPr>
              <w:t>42</w:t>
            </w:r>
            <w:r>
              <w:rPr>
                <w:rFonts w:hint="default" w:ascii="Times New Roman" w:hAnsi="Times New Roman" w:eastAsia="宋体" w:cs="Times New Roman"/>
                <w:color w:val="auto"/>
                <w:szCs w:val="21"/>
                <w:u w:val="none"/>
              </w:rPr>
              <w:t>分22.</w:t>
            </w:r>
            <w:r>
              <w:rPr>
                <w:rFonts w:hint="eastAsia" w:cs="Times New Roman"/>
                <w:color w:val="auto"/>
                <w:szCs w:val="21"/>
                <w:u w:val="none"/>
                <w:lang w:val="en-US" w:eastAsia="zh-CN"/>
              </w:rPr>
              <w:t>502</w:t>
            </w:r>
            <w:r>
              <w:rPr>
                <w:rFonts w:hint="default" w:ascii="Times New Roman" w:hAnsi="Times New Roman" w:eastAsia="宋体" w:cs="Times New Roman"/>
                <w:color w:val="auto"/>
                <w:szCs w:val="21"/>
                <w:u w:val="none"/>
              </w:rPr>
              <w:t>秒，纬度：</w:t>
            </w:r>
            <w:r>
              <w:rPr>
                <w:rFonts w:hint="default" w:ascii="Times New Roman" w:hAnsi="Times New Roman" w:eastAsia="宋体" w:cs="Times New Roman"/>
                <w:color w:val="auto"/>
                <w:szCs w:val="21"/>
                <w:u w:val="none"/>
                <w:lang w:val="en-US" w:eastAsia="zh-CN"/>
              </w:rPr>
              <w:t>31</w:t>
            </w:r>
            <w:r>
              <w:rPr>
                <w:rFonts w:hint="default" w:ascii="Times New Roman" w:hAnsi="Times New Roman" w:eastAsia="宋体" w:cs="Times New Roman"/>
                <w:color w:val="auto"/>
                <w:szCs w:val="21"/>
                <w:u w:val="none"/>
              </w:rPr>
              <w:t>度</w:t>
            </w:r>
            <w:r>
              <w:rPr>
                <w:rFonts w:hint="default" w:ascii="Times New Roman" w:hAnsi="Times New Roman" w:eastAsia="宋体" w:cs="Times New Roman"/>
                <w:color w:val="auto"/>
                <w:szCs w:val="21"/>
                <w:u w:val="none"/>
                <w:lang w:val="en-US" w:eastAsia="zh-CN"/>
              </w:rPr>
              <w:t>49</w:t>
            </w:r>
            <w:r>
              <w:rPr>
                <w:rFonts w:hint="default" w:ascii="Times New Roman" w:hAnsi="Times New Roman" w:eastAsia="宋体" w:cs="Times New Roman"/>
                <w:color w:val="auto"/>
                <w:szCs w:val="21"/>
                <w:u w:val="none"/>
              </w:rPr>
              <w:t>分53.</w:t>
            </w:r>
            <w:r>
              <w:rPr>
                <w:rFonts w:hint="eastAsia" w:cs="Times New Roman"/>
                <w:color w:val="auto"/>
                <w:szCs w:val="21"/>
                <w:u w:val="none"/>
                <w:lang w:val="en-US" w:eastAsia="zh-CN"/>
              </w:rPr>
              <w:t>388</w:t>
            </w:r>
            <w:r>
              <w:rPr>
                <w:rFonts w:hint="default" w:ascii="Times New Roman" w:hAnsi="Times New Roman" w:eastAsia="宋体" w:cs="Times New Roman"/>
                <w:color w:val="auto"/>
                <w:szCs w:val="21"/>
                <w:u w:val="none"/>
              </w:rPr>
              <w:t>秒，终点：经度：106度39分53.5</w:t>
            </w:r>
            <w:r>
              <w:rPr>
                <w:rFonts w:hint="eastAsia" w:cs="Times New Roman"/>
                <w:color w:val="auto"/>
                <w:szCs w:val="21"/>
                <w:u w:val="none"/>
                <w:lang w:val="en-US" w:eastAsia="zh-CN"/>
              </w:rPr>
              <w:t>10</w:t>
            </w:r>
            <w:r>
              <w:rPr>
                <w:rFonts w:hint="default" w:ascii="Times New Roman" w:hAnsi="Times New Roman" w:eastAsia="宋体" w:cs="Times New Roman"/>
                <w:color w:val="auto"/>
                <w:szCs w:val="21"/>
                <w:u w:val="none"/>
              </w:rPr>
              <w:t>秒，纬度：</w:t>
            </w:r>
            <w:r>
              <w:rPr>
                <w:rFonts w:hint="default" w:ascii="Times New Roman" w:hAnsi="Times New Roman" w:eastAsia="宋体" w:cs="Times New Roman"/>
                <w:color w:val="auto"/>
                <w:szCs w:val="21"/>
                <w:u w:val="none"/>
                <w:lang w:val="en-US" w:eastAsia="zh-CN"/>
              </w:rPr>
              <w:t>31</w:t>
            </w:r>
            <w:r>
              <w:rPr>
                <w:rFonts w:hint="default" w:ascii="Times New Roman" w:hAnsi="Times New Roman" w:eastAsia="宋体" w:cs="Times New Roman"/>
                <w:color w:val="auto"/>
                <w:szCs w:val="21"/>
                <w:u w:val="none"/>
              </w:rPr>
              <w:t>度47分38.</w:t>
            </w:r>
            <w:r>
              <w:rPr>
                <w:rFonts w:hint="eastAsia" w:cs="Times New Roman"/>
                <w:color w:val="auto"/>
                <w:szCs w:val="21"/>
                <w:u w:val="none"/>
                <w:lang w:val="en-US" w:eastAsia="zh-CN"/>
              </w:rPr>
              <w:t>842</w:t>
            </w:r>
            <w:r>
              <w:rPr>
                <w:rFonts w:hint="default" w:ascii="Times New Roman" w:hAnsi="Times New Roman" w:eastAsia="宋体" w:cs="Times New Roman"/>
                <w:color w:val="auto"/>
                <w:szCs w:val="21"/>
                <w:u w:val="none"/>
              </w:rPr>
              <w:t>秒；</w:t>
            </w:r>
          </w:p>
          <w:p w14:paraId="2906AC58">
            <w:pPr>
              <w:adjustRightInd w:val="0"/>
              <w:snapToGrid w:val="0"/>
              <w:rPr>
                <w:rFonts w:hint="eastAsia" w:ascii="Times New Roman" w:hAnsi="Times New Roman" w:eastAsia="宋体" w:cs="Times New Roman"/>
                <w:color w:val="FF0000"/>
                <w:szCs w:val="21"/>
                <w:lang w:eastAsia="zh-CN"/>
              </w:rPr>
            </w:pPr>
            <w:r>
              <w:rPr>
                <w:rFonts w:hint="eastAsia" w:cs="Times New Roman"/>
                <w:color w:val="auto"/>
                <w:szCs w:val="21"/>
                <w:u w:val="none"/>
                <w:lang w:val="en-US" w:eastAsia="zh-CN"/>
              </w:rPr>
              <w:t>印合</w:t>
            </w:r>
            <w:r>
              <w:rPr>
                <w:rFonts w:hint="default" w:ascii="Times New Roman" w:hAnsi="Times New Roman" w:eastAsia="宋体" w:cs="Times New Roman"/>
                <w:b w:val="0"/>
                <w:bCs/>
                <w:color w:val="auto"/>
                <w:szCs w:val="21"/>
                <w:u w:val="none"/>
                <w:lang w:eastAsia="zh-CN"/>
              </w:rPr>
              <w:t>～</w:t>
            </w:r>
            <w:r>
              <w:rPr>
                <w:rFonts w:hint="eastAsia" w:cs="Times New Roman"/>
                <w:color w:val="auto"/>
                <w:szCs w:val="21"/>
                <w:u w:val="none"/>
                <w:lang w:val="en-US" w:eastAsia="zh-CN"/>
              </w:rPr>
              <w:t>司城</w:t>
            </w:r>
            <w:r>
              <w:rPr>
                <w:rFonts w:hint="default" w:ascii="Times New Roman" w:hAnsi="Times New Roman" w:eastAsia="宋体" w:cs="Times New Roman"/>
                <w:color w:val="auto"/>
                <w:szCs w:val="21"/>
                <w:u w:val="none"/>
                <w:lang w:val="en-US" w:eastAsia="zh-CN"/>
              </w:rPr>
              <w:t>110</w:t>
            </w:r>
            <w:r>
              <w:rPr>
                <w:rFonts w:hint="eastAsia" w:cs="Times New Roman"/>
                <w:color w:val="auto"/>
                <w:kern w:val="2"/>
                <w:sz w:val="21"/>
                <w:szCs w:val="21"/>
                <w:u w:val="none"/>
                <w:lang w:val="en-US" w:eastAsia="zh-CN" w:bidi="ar-SA"/>
              </w:rPr>
              <w:t>千伏</w:t>
            </w:r>
            <w:r>
              <w:rPr>
                <w:rFonts w:hint="default" w:ascii="Times New Roman" w:hAnsi="Times New Roman" w:eastAsia="宋体" w:cs="Times New Roman"/>
                <w:color w:val="auto"/>
                <w:szCs w:val="21"/>
                <w:u w:val="none"/>
              </w:rPr>
              <w:t>线路工程起点：经度：10</w:t>
            </w:r>
            <w:r>
              <w:rPr>
                <w:rFonts w:hint="default" w:ascii="Times New Roman" w:hAnsi="Times New Roman" w:eastAsia="宋体" w:cs="Times New Roman"/>
                <w:color w:val="auto"/>
                <w:szCs w:val="21"/>
                <w:u w:val="none"/>
                <w:lang w:val="en-US" w:eastAsia="zh-CN"/>
              </w:rPr>
              <w:t>6</w:t>
            </w:r>
            <w:r>
              <w:rPr>
                <w:rFonts w:hint="default" w:ascii="Times New Roman" w:hAnsi="Times New Roman" w:eastAsia="宋体" w:cs="Times New Roman"/>
                <w:color w:val="auto"/>
                <w:szCs w:val="21"/>
                <w:u w:val="none"/>
              </w:rPr>
              <w:t>度35分29.344秒，纬度：</w:t>
            </w:r>
            <w:r>
              <w:rPr>
                <w:rFonts w:hint="default" w:ascii="Times New Roman" w:hAnsi="Times New Roman" w:eastAsia="宋体" w:cs="Times New Roman"/>
                <w:color w:val="auto"/>
                <w:szCs w:val="21"/>
                <w:u w:val="none"/>
                <w:lang w:val="en-US" w:eastAsia="zh-CN"/>
              </w:rPr>
              <w:t>31</w:t>
            </w:r>
            <w:r>
              <w:rPr>
                <w:rFonts w:hint="default" w:ascii="Times New Roman" w:hAnsi="Times New Roman" w:eastAsia="宋体" w:cs="Times New Roman"/>
                <w:color w:val="auto"/>
                <w:szCs w:val="21"/>
                <w:u w:val="none"/>
              </w:rPr>
              <w:t>度59分43.137秒，终点：经度：106度39分52.</w:t>
            </w:r>
            <w:r>
              <w:rPr>
                <w:rFonts w:hint="eastAsia" w:cs="Times New Roman"/>
                <w:color w:val="auto"/>
                <w:szCs w:val="21"/>
                <w:u w:val="none"/>
                <w:lang w:val="en-US" w:eastAsia="zh-CN"/>
              </w:rPr>
              <w:t>332</w:t>
            </w:r>
            <w:r>
              <w:rPr>
                <w:rFonts w:hint="default" w:ascii="Times New Roman" w:hAnsi="Times New Roman" w:eastAsia="宋体" w:cs="Times New Roman"/>
                <w:color w:val="auto"/>
                <w:szCs w:val="21"/>
                <w:u w:val="none"/>
              </w:rPr>
              <w:t>秒，纬度：</w:t>
            </w:r>
            <w:r>
              <w:rPr>
                <w:rFonts w:hint="default" w:ascii="Times New Roman" w:hAnsi="Times New Roman" w:eastAsia="宋体" w:cs="Times New Roman"/>
                <w:color w:val="auto"/>
                <w:szCs w:val="21"/>
                <w:u w:val="none"/>
                <w:lang w:val="en-US" w:eastAsia="zh-CN"/>
              </w:rPr>
              <w:t>31</w:t>
            </w:r>
            <w:r>
              <w:rPr>
                <w:rFonts w:hint="default" w:ascii="Times New Roman" w:hAnsi="Times New Roman" w:eastAsia="宋体" w:cs="Times New Roman"/>
                <w:color w:val="auto"/>
                <w:szCs w:val="21"/>
                <w:u w:val="none"/>
              </w:rPr>
              <w:t>度47分3</w:t>
            </w:r>
            <w:r>
              <w:rPr>
                <w:rFonts w:hint="eastAsia" w:cs="Times New Roman"/>
                <w:color w:val="auto"/>
                <w:szCs w:val="21"/>
                <w:u w:val="none"/>
                <w:lang w:val="en-US" w:eastAsia="zh-CN"/>
              </w:rPr>
              <w:t>8</w:t>
            </w:r>
            <w:r>
              <w:rPr>
                <w:rFonts w:hint="default" w:ascii="Times New Roman" w:hAnsi="Times New Roman" w:eastAsia="宋体" w:cs="Times New Roman"/>
                <w:color w:val="auto"/>
                <w:szCs w:val="21"/>
                <w:u w:val="none"/>
              </w:rPr>
              <w:t>.</w:t>
            </w:r>
            <w:r>
              <w:rPr>
                <w:rFonts w:hint="eastAsia" w:cs="Times New Roman"/>
                <w:color w:val="auto"/>
                <w:szCs w:val="21"/>
                <w:u w:val="none"/>
                <w:lang w:val="en-US" w:eastAsia="zh-CN"/>
              </w:rPr>
              <w:t>089</w:t>
            </w:r>
            <w:r>
              <w:rPr>
                <w:rFonts w:hint="default" w:ascii="Times New Roman" w:hAnsi="Times New Roman" w:eastAsia="宋体" w:cs="Times New Roman"/>
                <w:color w:val="auto"/>
                <w:szCs w:val="21"/>
                <w:u w:val="none"/>
              </w:rPr>
              <w:t>秒</w:t>
            </w:r>
            <w:r>
              <w:rPr>
                <w:rFonts w:hint="eastAsia" w:cs="Times New Roman"/>
                <w:color w:val="auto"/>
                <w:szCs w:val="21"/>
                <w:u w:val="none"/>
                <w:lang w:eastAsia="zh-CN"/>
              </w:rPr>
              <w:t>。</w:t>
            </w:r>
          </w:p>
        </w:tc>
      </w:tr>
      <w:tr w14:paraId="31C32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5F5FDD77">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w:t>
            </w:r>
          </w:p>
          <w:p w14:paraId="5F7C415C">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行业类别</w:t>
            </w:r>
          </w:p>
        </w:tc>
        <w:tc>
          <w:tcPr>
            <w:tcW w:w="2239" w:type="dxa"/>
            <w:vAlign w:val="center"/>
          </w:tcPr>
          <w:p w14:paraId="79691595">
            <w:pPr>
              <w:adjustRightInd w:val="0"/>
              <w:snapToGrid w:val="0"/>
              <w:jc w:val="center"/>
              <w:rPr>
                <w:rFonts w:hint="default" w:ascii="Times New Roman" w:hAnsi="Times New Roman" w:eastAsia="宋体" w:cs="Times New Roman"/>
                <w:color w:val="auto"/>
                <w:szCs w:val="21"/>
              </w:rPr>
            </w:pPr>
            <w:r>
              <w:rPr>
                <w:rFonts w:hint="eastAsia" w:asciiTheme="minorEastAsia" w:hAnsiTheme="minorEastAsia" w:eastAsiaTheme="minorEastAsia" w:cstheme="minorEastAsia"/>
                <w:color w:val="auto"/>
                <w:szCs w:val="21"/>
              </w:rPr>
              <w:t>“五十五、核与辐射中</w:t>
            </w:r>
            <w:r>
              <w:rPr>
                <w:rFonts w:hint="default" w:ascii="Times New Roman" w:hAnsi="Times New Roman" w:cs="Times New Roman" w:eastAsiaTheme="minorEastAsia"/>
                <w:color w:val="auto"/>
                <w:szCs w:val="21"/>
              </w:rPr>
              <w:t>161</w:t>
            </w:r>
            <w:r>
              <w:rPr>
                <w:rFonts w:hint="eastAsia" w:asciiTheme="minorEastAsia" w:hAnsiTheme="minorEastAsia" w:eastAsiaTheme="minorEastAsia" w:cstheme="minorEastAsia"/>
                <w:color w:val="auto"/>
                <w:szCs w:val="21"/>
              </w:rPr>
              <w:t>、输变电工程”</w:t>
            </w:r>
          </w:p>
        </w:tc>
        <w:tc>
          <w:tcPr>
            <w:tcW w:w="2288" w:type="dxa"/>
            <w:gridSpan w:val="2"/>
            <w:vAlign w:val="center"/>
          </w:tcPr>
          <w:p w14:paraId="57A983FA">
            <w:pP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用地面积（m</w:t>
            </w:r>
            <w:r>
              <w:rPr>
                <w:rFonts w:hint="default" w:ascii="Times New Roman" w:hAnsi="Times New Roman" w:eastAsia="宋体" w:cs="Times New Roman"/>
                <w:color w:val="auto"/>
                <w:szCs w:val="21"/>
                <w:vertAlign w:val="superscript"/>
              </w:rPr>
              <w:t>2</w:t>
            </w:r>
            <w:r>
              <w:rPr>
                <w:rFonts w:hint="default" w:ascii="Times New Roman" w:hAnsi="Times New Roman" w:eastAsia="宋体" w:cs="Times New Roman"/>
                <w:color w:val="auto"/>
                <w:szCs w:val="21"/>
              </w:rPr>
              <w:t>）</w:t>
            </w:r>
            <w:r>
              <w:rPr>
                <w:rFonts w:hint="eastAsia" w:ascii="宋体" w:hAnsi="宋体" w:eastAsia="宋体" w:cs="宋体"/>
                <w:color w:val="auto"/>
                <w:szCs w:val="21"/>
              </w:rPr>
              <w:t>/</w:t>
            </w:r>
            <w:r>
              <w:rPr>
                <w:rFonts w:hint="default" w:ascii="Times New Roman" w:hAnsi="Times New Roman" w:eastAsia="宋体" w:cs="Times New Roman"/>
                <w:color w:val="auto"/>
                <w:szCs w:val="21"/>
              </w:rPr>
              <w:t>长度（km）</w:t>
            </w:r>
          </w:p>
        </w:tc>
        <w:tc>
          <w:tcPr>
            <w:tcW w:w="3432" w:type="dxa"/>
            <w:gridSpan w:val="2"/>
            <w:vAlign w:val="center"/>
          </w:tcPr>
          <w:p w14:paraId="14A40400">
            <w:pPr>
              <w:wordWrap w:val="0"/>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用地面积</w:t>
            </w:r>
            <w:r>
              <w:rPr>
                <w:rFonts w:hint="eastAsia" w:cs="Times New Roman"/>
                <w:color w:val="auto"/>
                <w:szCs w:val="21"/>
                <w:highlight w:val="none"/>
                <w:lang w:eastAsia="zh-CN"/>
              </w:rPr>
              <w:t>：</w:t>
            </w:r>
            <w:r>
              <w:rPr>
                <w:rFonts w:hint="eastAsia" w:cs="Times New Roman"/>
                <w:color w:val="auto"/>
                <w:szCs w:val="21"/>
                <w:highlight w:val="none"/>
                <w:lang w:val="en-US" w:eastAsia="zh-CN"/>
              </w:rPr>
              <w:t>73471</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vertAlign w:val="superscript"/>
              </w:rPr>
              <w:t>2</w:t>
            </w:r>
            <w:r>
              <w:rPr>
                <w:rFonts w:hint="default" w:ascii="Times New Roman" w:hAnsi="Times New Roman" w:eastAsia="宋体" w:cs="Times New Roman"/>
                <w:color w:val="auto"/>
                <w:szCs w:val="21"/>
                <w:highlight w:val="none"/>
              </w:rPr>
              <w:t>(变电站永</w:t>
            </w:r>
            <w:r>
              <w:rPr>
                <w:rFonts w:hint="eastAsia" w:cs="Times New Roman"/>
                <w:color w:val="auto"/>
                <w:szCs w:val="21"/>
                <w:highlight w:val="none"/>
                <w:lang w:val="en-US" w:eastAsia="zh-CN"/>
              </w:rPr>
              <w:t>久</w:t>
            </w:r>
            <w:r>
              <w:rPr>
                <w:rFonts w:hint="default" w:ascii="Times New Roman" w:hAnsi="Times New Roman" w:eastAsia="宋体" w:cs="Times New Roman"/>
                <w:color w:val="auto"/>
                <w:szCs w:val="21"/>
                <w:highlight w:val="none"/>
              </w:rPr>
              <w:t>占地</w:t>
            </w:r>
            <w:r>
              <w:rPr>
                <w:rFonts w:hint="eastAsia" w:cs="Times New Roman"/>
                <w:color w:val="auto"/>
                <w:szCs w:val="21"/>
                <w:highlight w:val="none"/>
                <w:lang w:val="en-US" w:eastAsia="zh-CN"/>
              </w:rPr>
              <w:t>8141</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vertAlign w:val="superscript"/>
              </w:rPr>
              <w:t>2</w:t>
            </w:r>
            <w:r>
              <w:rPr>
                <w:rFonts w:hint="default" w:ascii="Times New Roman" w:hAnsi="Times New Roman" w:eastAsia="宋体" w:cs="Times New Roman"/>
                <w:color w:val="auto"/>
                <w:szCs w:val="21"/>
                <w:highlight w:val="none"/>
              </w:rPr>
              <w:t>，塔基永久占地</w:t>
            </w:r>
            <w:r>
              <w:rPr>
                <w:rFonts w:hint="eastAsia" w:cs="Times New Roman"/>
                <w:color w:val="auto"/>
                <w:szCs w:val="21"/>
                <w:highlight w:val="none"/>
                <w:lang w:val="en-US" w:eastAsia="zh-CN"/>
              </w:rPr>
              <w:t>11760</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vertAlign w:val="superscript"/>
              </w:rPr>
              <w:t>2</w:t>
            </w:r>
            <w:r>
              <w:rPr>
                <w:rFonts w:hint="default" w:ascii="Times New Roman" w:hAnsi="Times New Roman" w:eastAsia="宋体" w:cs="Times New Roman"/>
                <w:color w:val="auto"/>
                <w:szCs w:val="21"/>
                <w:highlight w:val="none"/>
              </w:rPr>
              <w:t>，临时用地</w:t>
            </w:r>
            <w:r>
              <w:rPr>
                <w:rFonts w:hint="eastAsia" w:cs="Times New Roman"/>
                <w:color w:val="auto"/>
                <w:szCs w:val="21"/>
                <w:highlight w:val="none"/>
                <w:lang w:val="en-US" w:eastAsia="zh-CN"/>
              </w:rPr>
              <w:t>53570</w:t>
            </w:r>
            <w:r>
              <w:rPr>
                <w:rFonts w:hint="default" w:ascii="Times New Roman" w:hAnsi="Times New Roman" w:eastAsia="宋体" w:cs="Times New Roman"/>
                <w:color w:val="auto"/>
                <w:szCs w:val="21"/>
                <w:highlight w:val="none"/>
              </w:rPr>
              <w:t>m</w:t>
            </w:r>
            <w:r>
              <w:rPr>
                <w:rFonts w:hint="default" w:ascii="Times New Roman" w:hAnsi="Times New Roman" w:eastAsia="宋体" w:cs="Times New Roman"/>
                <w:color w:val="auto"/>
                <w:szCs w:val="21"/>
                <w:highlight w:val="none"/>
                <w:vertAlign w:val="superscript"/>
              </w:rPr>
              <w:t>2</w:t>
            </w:r>
            <w:r>
              <w:rPr>
                <w:rFonts w:hint="eastAsia" w:cs="Times New Roman"/>
                <w:color w:val="auto"/>
                <w:szCs w:val="21"/>
                <w:highlight w:val="none"/>
                <w:lang w:eastAsia="zh-CN"/>
              </w:rPr>
              <w:t>。</w:t>
            </w:r>
          </w:p>
          <w:p w14:paraId="1B66A2BE">
            <w:pPr>
              <w:wordWrap w:val="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highlight w:val="none"/>
              </w:rPr>
              <w:t>输电线路长度</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新建线路长约</w:t>
            </w:r>
            <w:r>
              <w:rPr>
                <w:rFonts w:hint="eastAsia" w:cs="Times New Roman"/>
                <w:color w:val="auto"/>
                <w:szCs w:val="21"/>
                <w:highlight w:val="none"/>
                <w:lang w:val="en-US" w:eastAsia="zh-CN"/>
              </w:rPr>
              <w:t>15</w:t>
            </w:r>
            <w:r>
              <w:rPr>
                <w:rFonts w:hint="default" w:ascii="Times New Roman" w:hAnsi="Times New Roman" w:eastAsia="宋体" w:cs="Times New Roman"/>
                <w:color w:val="auto"/>
                <w:szCs w:val="21"/>
                <w:highlight w:val="none"/>
              </w:rPr>
              <w:t>km+</w:t>
            </w:r>
            <w:r>
              <w:rPr>
                <w:rFonts w:hint="eastAsia" w:cs="Times New Roman"/>
                <w:color w:val="auto"/>
                <w:szCs w:val="21"/>
                <w:highlight w:val="none"/>
                <w:lang w:val="en-US" w:eastAsia="zh-CN"/>
              </w:rPr>
              <w:t>25.58</w:t>
            </w:r>
            <w:r>
              <w:rPr>
                <w:rFonts w:hint="default" w:ascii="Times New Roman" w:hAnsi="Times New Roman" w:eastAsia="宋体" w:cs="Times New Roman"/>
                <w:color w:val="auto"/>
                <w:szCs w:val="21"/>
                <w:highlight w:val="none"/>
              </w:rPr>
              <w:t>km</w:t>
            </w:r>
            <w:r>
              <w:rPr>
                <w:rFonts w:hint="eastAsia" w:cs="Times New Roman"/>
                <w:color w:val="auto"/>
                <w:highlight w:val="none"/>
                <w:lang w:val="en-US" w:eastAsia="zh-CN"/>
              </w:rPr>
              <w:t>。</w:t>
            </w:r>
          </w:p>
        </w:tc>
      </w:tr>
      <w:tr w14:paraId="04CB2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94" w:hRule="atLeast"/>
          <w:jc w:val="center"/>
        </w:trPr>
        <w:tc>
          <w:tcPr>
            <w:tcW w:w="1539" w:type="dxa"/>
            <w:tcMar>
              <w:top w:w="16" w:type="dxa"/>
              <w:left w:w="16" w:type="dxa"/>
              <w:right w:w="16" w:type="dxa"/>
            </w:tcMar>
            <w:vAlign w:val="center"/>
          </w:tcPr>
          <w:p w14:paraId="6E2008C5">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建设性质</w:t>
            </w:r>
          </w:p>
        </w:tc>
        <w:tc>
          <w:tcPr>
            <w:tcW w:w="2239" w:type="dxa"/>
            <w:vAlign w:val="center"/>
          </w:tcPr>
          <w:p w14:paraId="6085C0E8">
            <w:pP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sym w:font="Wingdings 2" w:char="F052"/>
            </w:r>
            <w:r>
              <w:rPr>
                <w:rFonts w:hint="default" w:ascii="Times New Roman" w:hAnsi="Times New Roman" w:eastAsia="宋体" w:cs="Times New Roman"/>
                <w:color w:val="auto"/>
                <w:szCs w:val="21"/>
              </w:rPr>
              <w:t>新建（迁建）</w:t>
            </w:r>
          </w:p>
          <w:p w14:paraId="71934D1A">
            <w:pPr>
              <w:rPr>
                <w:rFonts w:hint="eastAsia" w:ascii="宋体" w:hAnsi="宋体" w:eastAsia="宋体" w:cs="宋体"/>
                <w:color w:val="auto"/>
                <w:szCs w:val="21"/>
              </w:rPr>
            </w:pPr>
            <w:r>
              <w:rPr>
                <w:rFonts w:hint="eastAsia" w:ascii="宋体" w:hAnsi="宋体" w:eastAsia="宋体" w:cs="宋体"/>
                <w:color w:val="auto"/>
                <w:szCs w:val="21"/>
              </w:rPr>
              <w:t>□改建</w:t>
            </w:r>
          </w:p>
          <w:p w14:paraId="4551011A">
            <w:pPr>
              <w:rPr>
                <w:rFonts w:hint="eastAsia" w:ascii="宋体" w:hAnsi="宋体" w:eastAsia="宋体" w:cs="宋体"/>
                <w:color w:val="auto"/>
                <w:szCs w:val="21"/>
              </w:rPr>
            </w:pPr>
            <w:r>
              <w:rPr>
                <w:rFonts w:hint="eastAsia" w:ascii="宋体" w:hAnsi="宋体" w:eastAsia="宋体" w:cs="宋体"/>
                <w:color w:val="auto"/>
                <w:szCs w:val="21"/>
              </w:rPr>
              <w:t>□扩建</w:t>
            </w:r>
          </w:p>
          <w:p w14:paraId="27EF1F9D">
            <w:pPr>
              <w:rPr>
                <w:rFonts w:hint="default" w:ascii="Times New Roman" w:hAnsi="Times New Roman" w:eastAsia="宋体" w:cs="Times New Roman"/>
                <w:color w:val="auto"/>
                <w:szCs w:val="21"/>
              </w:rPr>
            </w:pPr>
            <w:r>
              <w:rPr>
                <w:rFonts w:hint="eastAsia" w:ascii="宋体" w:hAnsi="宋体" w:eastAsia="宋体" w:cs="宋体"/>
                <w:color w:val="auto"/>
                <w:szCs w:val="21"/>
              </w:rPr>
              <w:t>□技术改造</w:t>
            </w:r>
          </w:p>
        </w:tc>
        <w:tc>
          <w:tcPr>
            <w:tcW w:w="2288" w:type="dxa"/>
            <w:gridSpan w:val="2"/>
            <w:vAlign w:val="center"/>
          </w:tcPr>
          <w:p w14:paraId="1FEF69B6">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建设项目</w:t>
            </w:r>
          </w:p>
          <w:p w14:paraId="3272181C">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申报情形</w:t>
            </w:r>
          </w:p>
        </w:tc>
        <w:tc>
          <w:tcPr>
            <w:tcW w:w="3432" w:type="dxa"/>
            <w:gridSpan w:val="2"/>
            <w:vAlign w:val="center"/>
          </w:tcPr>
          <w:p w14:paraId="7EB48CB2">
            <w:pP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sym w:font="Wingdings 2" w:char="F052"/>
            </w:r>
            <w:r>
              <w:rPr>
                <w:rFonts w:hint="default" w:ascii="Times New Roman" w:hAnsi="Times New Roman" w:eastAsia="宋体" w:cs="Times New Roman"/>
                <w:color w:val="auto"/>
                <w:szCs w:val="21"/>
              </w:rPr>
              <w:t>首次申报项目</w:t>
            </w:r>
          </w:p>
          <w:p w14:paraId="306DCACB">
            <w:pPr>
              <w:rPr>
                <w:rFonts w:hint="eastAsia" w:ascii="宋体" w:hAnsi="宋体" w:eastAsia="宋体" w:cs="宋体"/>
                <w:color w:val="auto"/>
                <w:szCs w:val="21"/>
              </w:rPr>
            </w:pPr>
            <w:r>
              <w:rPr>
                <w:rFonts w:hint="eastAsia" w:ascii="宋体" w:hAnsi="宋体" w:eastAsia="宋体" w:cs="宋体"/>
                <w:color w:val="auto"/>
                <w:szCs w:val="21"/>
              </w:rPr>
              <w:t>□不予批准后再次申报项目</w:t>
            </w:r>
          </w:p>
          <w:p w14:paraId="33B94D18">
            <w:pPr>
              <w:rPr>
                <w:rFonts w:hint="eastAsia" w:ascii="宋体" w:hAnsi="宋体" w:eastAsia="宋体" w:cs="宋体"/>
                <w:color w:val="auto"/>
                <w:szCs w:val="21"/>
              </w:rPr>
            </w:pPr>
            <w:r>
              <w:rPr>
                <w:rFonts w:hint="eastAsia" w:ascii="宋体" w:hAnsi="宋体" w:eastAsia="宋体" w:cs="宋体"/>
                <w:color w:val="auto"/>
                <w:szCs w:val="21"/>
              </w:rPr>
              <w:t>□超五年重新审核项目</w:t>
            </w:r>
          </w:p>
          <w:p w14:paraId="7AB8401C">
            <w:pPr>
              <w:rPr>
                <w:rFonts w:hint="default" w:ascii="Times New Roman" w:hAnsi="Times New Roman" w:eastAsia="宋体" w:cs="Times New Roman"/>
                <w:color w:val="auto"/>
                <w:szCs w:val="21"/>
              </w:rPr>
            </w:pPr>
            <w:r>
              <w:rPr>
                <w:rFonts w:hint="eastAsia" w:ascii="宋体" w:hAnsi="宋体" w:eastAsia="宋体" w:cs="宋体"/>
                <w:color w:val="auto"/>
                <w:szCs w:val="21"/>
              </w:rPr>
              <w:t>□重大变动重新报批项目</w:t>
            </w:r>
          </w:p>
        </w:tc>
      </w:tr>
      <w:tr w14:paraId="770D48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6319F6E9">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项目审批（核准/</w:t>
            </w:r>
          </w:p>
          <w:p w14:paraId="260A2D56">
            <w:pPr>
              <w:jc w:val="center"/>
              <w:rPr>
                <w:rFonts w:hint="default" w:ascii="Times New Roman" w:hAnsi="Times New Roman" w:eastAsia="宋体" w:cs="Times New Roman"/>
                <w:color w:val="FF0000"/>
                <w:szCs w:val="21"/>
              </w:rPr>
            </w:pPr>
            <w:r>
              <w:rPr>
                <w:rFonts w:hint="default" w:ascii="Times New Roman" w:hAnsi="Times New Roman" w:eastAsia="宋体" w:cs="Times New Roman"/>
                <w:color w:val="auto"/>
                <w:szCs w:val="21"/>
              </w:rPr>
              <w:t>备案）部门（选填）</w:t>
            </w:r>
          </w:p>
        </w:tc>
        <w:tc>
          <w:tcPr>
            <w:tcW w:w="2239" w:type="dxa"/>
            <w:vAlign w:val="center"/>
          </w:tcPr>
          <w:p w14:paraId="3955543F">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巴中市发展和改革</w:t>
            </w:r>
          </w:p>
          <w:p w14:paraId="067106E4">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委员会</w:t>
            </w:r>
          </w:p>
        </w:tc>
        <w:tc>
          <w:tcPr>
            <w:tcW w:w="2288" w:type="dxa"/>
            <w:gridSpan w:val="2"/>
            <w:vAlign w:val="center"/>
          </w:tcPr>
          <w:p w14:paraId="73E069BF">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项目审批（核准</w:t>
            </w:r>
            <w:r>
              <w:rPr>
                <w:rFonts w:hint="eastAsia" w:ascii="宋体" w:hAnsi="宋体" w:eastAsia="宋体" w:cs="宋体"/>
                <w:color w:val="auto"/>
                <w:szCs w:val="21"/>
              </w:rPr>
              <w:t>/</w:t>
            </w:r>
          </w:p>
          <w:p w14:paraId="5399484B">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备案）文号（选填）</w:t>
            </w:r>
          </w:p>
        </w:tc>
        <w:tc>
          <w:tcPr>
            <w:tcW w:w="3432" w:type="dxa"/>
            <w:gridSpan w:val="2"/>
            <w:vAlign w:val="center"/>
          </w:tcPr>
          <w:p w14:paraId="60712D51">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巴发改审〔20</w:t>
            </w:r>
            <w:r>
              <w:rPr>
                <w:rFonts w:hint="eastAsia" w:cs="Times New Roman"/>
                <w:color w:val="auto"/>
                <w:szCs w:val="21"/>
                <w:lang w:val="en-US" w:eastAsia="zh-CN"/>
              </w:rPr>
              <w:t>25</w:t>
            </w:r>
            <w:r>
              <w:rPr>
                <w:rFonts w:hint="default" w:ascii="Times New Roman" w:hAnsi="Times New Roman" w:eastAsia="宋体" w:cs="Times New Roman"/>
                <w:color w:val="auto"/>
                <w:szCs w:val="21"/>
              </w:rPr>
              <w:t>〕37号</w:t>
            </w:r>
          </w:p>
        </w:tc>
      </w:tr>
      <w:tr w14:paraId="104D64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69D18937">
            <w:pPr>
              <w:spacing w:line="360" w:lineRule="auto"/>
              <w:jc w:val="center"/>
              <w:rPr>
                <w:rFonts w:hint="default" w:ascii="Times New Roman" w:hAnsi="Times New Roman" w:eastAsia="宋体" w:cs="Times New Roman"/>
                <w:color w:val="FF0000"/>
                <w:szCs w:val="21"/>
              </w:rPr>
            </w:pPr>
            <w:r>
              <w:rPr>
                <w:rFonts w:hint="default" w:ascii="Times New Roman" w:hAnsi="Times New Roman" w:eastAsia="宋体" w:cs="Times New Roman"/>
                <w:color w:val="auto"/>
                <w:szCs w:val="21"/>
              </w:rPr>
              <w:t>总投资（万元）</w:t>
            </w:r>
          </w:p>
        </w:tc>
        <w:tc>
          <w:tcPr>
            <w:tcW w:w="2239" w:type="dxa"/>
            <w:vAlign w:val="center"/>
          </w:tcPr>
          <w:p w14:paraId="6EDCF0D6">
            <w:pPr>
              <w:spacing w:line="36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w:t>
            </w:r>
          </w:p>
        </w:tc>
        <w:tc>
          <w:tcPr>
            <w:tcW w:w="2288" w:type="dxa"/>
            <w:gridSpan w:val="2"/>
            <w:tcMar>
              <w:top w:w="16" w:type="dxa"/>
              <w:left w:w="16" w:type="dxa"/>
              <w:right w:w="16" w:type="dxa"/>
            </w:tcMar>
            <w:vAlign w:val="center"/>
          </w:tcPr>
          <w:p w14:paraId="3C1DF61F">
            <w:pPr>
              <w:spacing w:line="360" w:lineRule="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环保投资（万元）</w:t>
            </w:r>
          </w:p>
        </w:tc>
        <w:tc>
          <w:tcPr>
            <w:tcW w:w="3432" w:type="dxa"/>
            <w:gridSpan w:val="2"/>
            <w:vAlign w:val="center"/>
          </w:tcPr>
          <w:p w14:paraId="18C6AF3F">
            <w:pPr>
              <w:spacing w:line="36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w:t>
            </w:r>
          </w:p>
        </w:tc>
      </w:tr>
      <w:tr w14:paraId="375CF0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54DF3421">
            <w:pPr>
              <w:spacing w:line="360" w:lineRule="auto"/>
              <w:jc w:val="center"/>
              <w:rPr>
                <w:rFonts w:hint="default" w:ascii="Times New Roman" w:hAnsi="Times New Roman" w:eastAsia="宋体" w:cs="Times New Roman"/>
                <w:color w:val="FF0000"/>
                <w:szCs w:val="21"/>
              </w:rPr>
            </w:pPr>
            <w:r>
              <w:rPr>
                <w:rFonts w:hint="default" w:ascii="Times New Roman" w:hAnsi="Times New Roman" w:eastAsia="宋体" w:cs="Times New Roman"/>
                <w:color w:val="auto"/>
                <w:szCs w:val="21"/>
                <w:highlight w:val="none"/>
              </w:rPr>
              <w:t>环保投资占比（%）</w:t>
            </w:r>
          </w:p>
        </w:tc>
        <w:tc>
          <w:tcPr>
            <w:tcW w:w="2239" w:type="dxa"/>
            <w:vAlign w:val="center"/>
          </w:tcPr>
          <w:p w14:paraId="31ED8E96">
            <w:pPr>
              <w:spacing w:line="36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w:t>
            </w:r>
          </w:p>
        </w:tc>
        <w:tc>
          <w:tcPr>
            <w:tcW w:w="2288" w:type="dxa"/>
            <w:gridSpan w:val="2"/>
            <w:tcMar>
              <w:top w:w="16" w:type="dxa"/>
              <w:left w:w="16" w:type="dxa"/>
              <w:right w:w="16" w:type="dxa"/>
            </w:tcMar>
            <w:vAlign w:val="center"/>
          </w:tcPr>
          <w:p w14:paraId="298FE5E5">
            <w:pPr>
              <w:spacing w:line="360" w:lineRule="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施工工期</w:t>
            </w:r>
          </w:p>
        </w:tc>
        <w:tc>
          <w:tcPr>
            <w:tcW w:w="3432" w:type="dxa"/>
            <w:gridSpan w:val="2"/>
            <w:vAlign w:val="center"/>
          </w:tcPr>
          <w:p w14:paraId="0BC659A8">
            <w:pPr>
              <w:spacing w:line="36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15个月</w:t>
            </w:r>
          </w:p>
        </w:tc>
      </w:tr>
      <w:tr w14:paraId="08B893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0953D4D1">
            <w:pPr>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是否开工建设</w:t>
            </w:r>
          </w:p>
        </w:tc>
        <w:tc>
          <w:tcPr>
            <w:tcW w:w="7959" w:type="dxa"/>
            <w:gridSpan w:val="5"/>
            <w:vAlign w:val="center"/>
          </w:tcPr>
          <w:p w14:paraId="2BBF7F8F">
            <w:pPr>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sym w:font="Wingdings 2" w:char="0052"/>
            </w:r>
            <w:r>
              <w:rPr>
                <w:rFonts w:hint="default" w:ascii="Times New Roman" w:hAnsi="Times New Roman" w:eastAsia="宋体" w:cs="Times New Roman"/>
                <w:color w:val="auto"/>
                <w:szCs w:val="21"/>
              </w:rPr>
              <w:t>否</w:t>
            </w:r>
          </w:p>
          <w:p w14:paraId="76980078">
            <w:pPr>
              <w:rPr>
                <w:rFonts w:hint="default" w:ascii="Times New Roman" w:hAnsi="Times New Roman" w:eastAsia="宋体" w:cs="Times New Roman"/>
                <w:color w:val="auto"/>
                <w:szCs w:val="21"/>
              </w:rPr>
            </w:pPr>
            <w:r>
              <w:rPr>
                <w:rFonts w:hint="eastAsia" w:ascii="宋体" w:hAnsi="宋体" w:eastAsia="宋体" w:cs="宋体"/>
                <w:color w:val="auto"/>
                <w:szCs w:val="21"/>
              </w:rPr>
              <w:t>□是：</w:t>
            </w:r>
          </w:p>
        </w:tc>
      </w:tr>
      <w:tr w14:paraId="34565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32C40904">
            <w:pPr>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专项评价设置情况</w:t>
            </w:r>
          </w:p>
        </w:tc>
        <w:tc>
          <w:tcPr>
            <w:tcW w:w="7959" w:type="dxa"/>
            <w:gridSpan w:val="5"/>
            <w:tcMar>
              <w:top w:w="16" w:type="dxa"/>
              <w:left w:w="16" w:type="dxa"/>
              <w:right w:w="16" w:type="dxa"/>
            </w:tcMar>
            <w:vAlign w:val="center"/>
          </w:tcPr>
          <w:p w14:paraId="54A179FD">
            <w:pPr>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根据《环境影响评价技术导则  输变电》（HJ24-2020）“B.2.1专题评价”，本项目应设电磁环境影响专题评价。</w:t>
            </w:r>
          </w:p>
        </w:tc>
      </w:tr>
      <w:tr w14:paraId="723F68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2860D356">
            <w:pPr>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规划情况</w:t>
            </w:r>
          </w:p>
        </w:tc>
        <w:tc>
          <w:tcPr>
            <w:tcW w:w="7959" w:type="dxa"/>
            <w:gridSpan w:val="5"/>
            <w:tcMar>
              <w:top w:w="16" w:type="dxa"/>
              <w:left w:w="16" w:type="dxa"/>
              <w:right w:w="16" w:type="dxa"/>
            </w:tcMar>
            <w:vAlign w:val="center"/>
          </w:tcPr>
          <w:p w14:paraId="0A019F3A">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w:t>
            </w:r>
          </w:p>
        </w:tc>
      </w:tr>
      <w:tr w14:paraId="3BDD93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05AA29FC">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规划环境影响</w:t>
            </w:r>
          </w:p>
          <w:p w14:paraId="25CBE619">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评价情况</w:t>
            </w:r>
          </w:p>
        </w:tc>
        <w:tc>
          <w:tcPr>
            <w:tcW w:w="7959" w:type="dxa"/>
            <w:gridSpan w:val="5"/>
            <w:tcMar>
              <w:top w:w="16" w:type="dxa"/>
              <w:left w:w="16" w:type="dxa"/>
              <w:right w:w="16" w:type="dxa"/>
            </w:tcMar>
            <w:vAlign w:val="center"/>
          </w:tcPr>
          <w:p w14:paraId="1BE8B400">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w:t>
            </w:r>
          </w:p>
        </w:tc>
      </w:tr>
      <w:tr w14:paraId="20D510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39" w:type="dxa"/>
            <w:tcMar>
              <w:top w:w="16" w:type="dxa"/>
              <w:left w:w="16" w:type="dxa"/>
              <w:right w:w="16" w:type="dxa"/>
            </w:tcMar>
            <w:vAlign w:val="center"/>
          </w:tcPr>
          <w:p w14:paraId="7BCB0267">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规划及规划环境影响评价符合性分析</w:t>
            </w:r>
          </w:p>
        </w:tc>
        <w:tc>
          <w:tcPr>
            <w:tcW w:w="7959" w:type="dxa"/>
            <w:gridSpan w:val="5"/>
            <w:tcMar>
              <w:top w:w="16" w:type="dxa"/>
              <w:left w:w="16" w:type="dxa"/>
              <w:right w:w="16" w:type="dxa"/>
            </w:tcMar>
            <w:vAlign w:val="center"/>
          </w:tcPr>
          <w:p w14:paraId="7ED8B756">
            <w:pPr>
              <w:tabs>
                <w:tab w:val="left" w:pos="840"/>
              </w:tabs>
              <w:spacing w:line="36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w:t>
            </w:r>
          </w:p>
        </w:tc>
      </w:tr>
      <w:tr w14:paraId="35863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39" w:type="dxa"/>
            <w:tcMar>
              <w:top w:w="16" w:type="dxa"/>
              <w:left w:w="16" w:type="dxa"/>
              <w:right w:w="16" w:type="dxa"/>
            </w:tcMar>
            <w:vAlign w:val="center"/>
          </w:tcPr>
          <w:p w14:paraId="23FCBCEA">
            <w:pPr>
              <w:spacing w:line="360" w:lineRule="auto"/>
              <w:jc w:val="center"/>
              <w:rPr>
                <w:color w:val="FF0000"/>
                <w:szCs w:val="21"/>
              </w:rPr>
            </w:pPr>
            <w:bookmarkStart w:id="1" w:name="_Hlk56690880"/>
            <w:r>
              <w:rPr>
                <w:color w:val="auto"/>
                <w:szCs w:val="21"/>
              </w:rPr>
              <w:t>其他符合性分析</w:t>
            </w:r>
            <w:bookmarkEnd w:id="1"/>
          </w:p>
        </w:tc>
        <w:tc>
          <w:tcPr>
            <w:tcW w:w="7959" w:type="dxa"/>
            <w:gridSpan w:val="5"/>
            <w:tcMar>
              <w:top w:w="16" w:type="dxa"/>
              <w:left w:w="16" w:type="dxa"/>
              <w:right w:w="16" w:type="dxa"/>
            </w:tcMar>
            <w:vAlign w:val="center"/>
          </w:tcPr>
          <w:p w14:paraId="2EA62064">
            <w:pPr>
              <w:tabs>
                <w:tab w:val="left" w:pos="840"/>
              </w:tabs>
              <w:spacing w:line="360" w:lineRule="auto"/>
              <w:rPr>
                <w:rFonts w:eastAsia="黑体"/>
                <w:color w:val="auto"/>
                <w:szCs w:val="21"/>
              </w:rPr>
            </w:pPr>
            <w:r>
              <w:rPr>
                <w:rFonts w:hint="eastAsia" w:eastAsia="黑体"/>
                <w:color w:val="auto"/>
                <w:szCs w:val="21"/>
                <w:lang w:val="en-US" w:eastAsia="zh-CN"/>
              </w:rPr>
              <w:t>一</w:t>
            </w:r>
            <w:r>
              <w:rPr>
                <w:rFonts w:eastAsia="黑体"/>
                <w:color w:val="auto"/>
                <w:szCs w:val="21"/>
              </w:rPr>
              <w:t>、</w:t>
            </w:r>
            <w:r>
              <w:rPr>
                <w:rFonts w:hint="eastAsia" w:eastAsia="黑体"/>
                <w:color w:val="auto"/>
                <w:szCs w:val="21"/>
              </w:rPr>
              <w:t>本项目</w:t>
            </w:r>
            <w:r>
              <w:rPr>
                <w:rFonts w:eastAsia="黑体"/>
                <w:color w:val="auto"/>
                <w:szCs w:val="21"/>
              </w:rPr>
              <w:t>与产业政策符合性</w:t>
            </w:r>
          </w:p>
          <w:p w14:paraId="557530E9">
            <w:pPr>
              <w:tabs>
                <w:tab w:val="left" w:pos="840"/>
              </w:tabs>
              <w:spacing w:line="360" w:lineRule="auto"/>
              <w:ind w:firstLine="420" w:firstLineChars="200"/>
              <w:rPr>
                <w:bCs/>
                <w:color w:val="auto"/>
              </w:rPr>
            </w:pPr>
            <w:r>
              <w:rPr>
                <w:rFonts w:hint="default" w:ascii="Times New Roman" w:hAnsi="Times New Roman" w:cs="Times New Roman" w:eastAsiaTheme="minorEastAsia"/>
                <w:bCs/>
                <w:color w:val="auto"/>
              </w:rPr>
              <w:t>本项目为电网改造与建设工程，属电力基础设施建设，是《产业结构调整指导目录（20</w:t>
            </w:r>
            <w:r>
              <w:rPr>
                <w:rFonts w:hint="default" w:ascii="Times New Roman" w:hAnsi="Times New Roman" w:cs="Times New Roman" w:eastAsiaTheme="minorEastAsia"/>
                <w:bCs/>
                <w:color w:val="auto"/>
                <w:lang w:val="en-US" w:eastAsia="zh-CN"/>
              </w:rPr>
              <w:t>24</w:t>
            </w:r>
            <w:r>
              <w:rPr>
                <w:rFonts w:hint="default" w:ascii="Times New Roman" w:hAnsi="Times New Roman" w:cs="Times New Roman" w:eastAsiaTheme="minorEastAsia"/>
                <w:bCs/>
                <w:color w:val="auto"/>
              </w:rPr>
              <w:t>年本）》中第一类鼓励类项目</w:t>
            </w:r>
            <w:r>
              <w:rPr>
                <w:rFonts w:hint="eastAsia" w:ascii="宋体" w:hAnsi="宋体" w:eastAsia="宋体" w:cs="宋体"/>
                <w:bCs/>
                <w:color w:val="auto"/>
              </w:rPr>
              <w:t>“</w:t>
            </w:r>
            <w:r>
              <w:rPr>
                <w:rFonts w:hint="default" w:ascii="Times New Roman" w:hAnsi="Times New Roman" w:cs="Times New Roman" w:eastAsiaTheme="minorEastAsia"/>
                <w:bCs/>
                <w:color w:val="auto"/>
              </w:rPr>
              <w:t>四、电力</w:t>
            </w:r>
            <w:r>
              <w:rPr>
                <w:rFonts w:hint="default" w:ascii="Times New Roman" w:hAnsi="Times New Roman" w:cs="Times New Roman" w:eastAsiaTheme="minorEastAsia"/>
                <w:bCs/>
                <w:color w:val="auto"/>
                <w:lang w:val="en-US" w:eastAsia="zh-CN"/>
              </w:rPr>
              <w:t>2</w:t>
            </w:r>
            <w:r>
              <w:rPr>
                <w:rFonts w:hint="default" w:ascii="Times New Roman" w:hAnsi="Times New Roman" w:cs="Times New Roman" w:eastAsiaTheme="minorEastAsia"/>
                <w:bCs/>
                <w:color w:val="auto"/>
              </w:rPr>
              <w:t xml:space="preserve"> 电</w:t>
            </w:r>
            <w:r>
              <w:rPr>
                <w:rFonts w:hint="default" w:ascii="Times New Roman" w:hAnsi="Times New Roman" w:cs="Times New Roman" w:eastAsiaTheme="minorEastAsia"/>
                <w:bCs/>
                <w:color w:val="auto"/>
                <w:lang w:val="en-US" w:eastAsia="zh-CN"/>
              </w:rPr>
              <w:t>力基础设施建设</w:t>
            </w:r>
            <w:r>
              <w:rPr>
                <w:rFonts w:hint="default" w:ascii="Times New Roman" w:hAnsi="Times New Roman" w:cs="Times New Roman" w:eastAsiaTheme="minorEastAsia"/>
                <w:color w:val="auto"/>
                <w:szCs w:val="21"/>
                <w:highlight w:val="none"/>
                <w:lang w:val="en-US" w:eastAsia="zh-CN"/>
              </w:rPr>
              <w:t>：电网改造与建设，增量配电网建设</w:t>
            </w:r>
            <w:r>
              <w:rPr>
                <w:rFonts w:hint="eastAsia" w:ascii="宋体" w:hAnsi="宋体" w:eastAsia="宋体" w:cs="宋体"/>
                <w:bCs/>
                <w:color w:val="auto"/>
              </w:rPr>
              <w:t>”</w:t>
            </w:r>
            <w:r>
              <w:rPr>
                <w:rFonts w:hint="default" w:ascii="Times New Roman" w:hAnsi="Times New Roman" w:cs="Times New Roman" w:eastAsiaTheme="minorEastAsia"/>
                <w:bCs/>
                <w:color w:val="auto"/>
              </w:rPr>
              <w:t>，符合国家产业政策。</w:t>
            </w:r>
          </w:p>
          <w:p w14:paraId="0ED413CC">
            <w:pPr>
              <w:tabs>
                <w:tab w:val="left" w:pos="840"/>
              </w:tabs>
              <w:spacing w:line="360" w:lineRule="auto"/>
              <w:rPr>
                <w:rFonts w:eastAsia="黑体"/>
                <w:color w:val="auto"/>
                <w:szCs w:val="21"/>
              </w:rPr>
            </w:pPr>
            <w:r>
              <w:rPr>
                <w:rFonts w:hint="eastAsia" w:eastAsia="黑体"/>
                <w:color w:val="auto"/>
                <w:szCs w:val="21"/>
                <w:lang w:val="en-US" w:eastAsia="zh-CN"/>
              </w:rPr>
              <w:t>二</w:t>
            </w:r>
            <w:r>
              <w:rPr>
                <w:rFonts w:eastAsia="黑体"/>
                <w:color w:val="auto"/>
                <w:szCs w:val="21"/>
              </w:rPr>
              <w:t>、项目建设与</w:t>
            </w:r>
            <w:r>
              <w:rPr>
                <w:rFonts w:hint="eastAsia" w:eastAsia="黑体"/>
                <w:color w:val="auto"/>
                <w:szCs w:val="21"/>
                <w:lang w:eastAsia="zh-CN"/>
              </w:rPr>
              <w:t>《四川省电源电网发展规划（</w:t>
            </w:r>
            <w:r>
              <w:rPr>
                <w:rFonts w:hint="eastAsia" w:eastAsia="黑体"/>
                <w:color w:val="auto"/>
                <w:szCs w:val="21"/>
                <w:lang w:val="en-US" w:eastAsia="zh-CN"/>
              </w:rPr>
              <w:t>2022-2025年</w:t>
            </w:r>
            <w:r>
              <w:rPr>
                <w:rFonts w:hint="eastAsia" w:eastAsia="黑体"/>
                <w:color w:val="auto"/>
                <w:szCs w:val="21"/>
                <w:lang w:eastAsia="zh-CN"/>
              </w:rPr>
              <w:t>）》</w:t>
            </w:r>
            <w:r>
              <w:rPr>
                <w:rFonts w:eastAsia="黑体"/>
                <w:color w:val="auto"/>
                <w:szCs w:val="21"/>
              </w:rPr>
              <w:t>的符合性分析</w:t>
            </w:r>
          </w:p>
          <w:p w14:paraId="3689D6B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default" w:ascii="Times New Roman" w:hAnsi="Times New Roman" w:eastAsia="宋体" w:cs="Times New Roman"/>
                <w:color w:val="auto"/>
                <w:szCs w:val="21"/>
              </w:rPr>
            </w:pPr>
            <w:bookmarkStart w:id="2" w:name="OLE_LINK5"/>
            <w:r>
              <w:rPr>
                <w:rFonts w:hint="default" w:ascii="Times New Roman" w:hAnsi="Times New Roman" w:eastAsia="宋体" w:cs="Times New Roman"/>
                <w:color w:val="auto"/>
                <w:szCs w:val="21"/>
                <w:lang w:eastAsia="zh-CN"/>
              </w:rPr>
              <w:t>根据四川省人民政府《关于印发</w:t>
            </w:r>
            <w:r>
              <w:rPr>
                <w:rFonts w:hint="eastAsia" w:cs="Times New Roman"/>
                <w:color w:val="auto"/>
                <w:szCs w:val="21"/>
                <w:lang w:eastAsia="zh-CN"/>
              </w:rPr>
              <w:t>〈</w:t>
            </w:r>
            <w:r>
              <w:rPr>
                <w:rFonts w:hint="default" w:ascii="Times New Roman" w:hAnsi="Times New Roman" w:eastAsia="宋体" w:cs="Times New Roman"/>
                <w:color w:val="auto"/>
                <w:szCs w:val="21"/>
                <w:lang w:eastAsia="zh-CN"/>
              </w:rPr>
              <w:t>四川省电源电网发展规划（</w:t>
            </w:r>
            <w:r>
              <w:rPr>
                <w:rFonts w:hint="default" w:ascii="Times New Roman" w:hAnsi="Times New Roman" w:eastAsia="宋体" w:cs="Times New Roman"/>
                <w:color w:val="auto"/>
                <w:szCs w:val="21"/>
                <w:lang w:val="en-US" w:eastAsia="zh-CN"/>
              </w:rPr>
              <w:t>2022</w:t>
            </w:r>
            <w:r>
              <w:rPr>
                <w:rFonts w:hint="default" w:ascii="Times New Roman" w:hAnsi="Times New Roman" w:cs="Times New Roman"/>
                <w:color w:val="auto"/>
                <w:szCs w:val="21"/>
                <w:lang w:val="en-US" w:eastAsia="zh-CN"/>
              </w:rPr>
              <w:t>-</w:t>
            </w:r>
            <w:r>
              <w:rPr>
                <w:rFonts w:hint="default" w:ascii="Times New Roman" w:hAnsi="Times New Roman" w:eastAsia="宋体" w:cs="Times New Roman"/>
                <w:color w:val="auto"/>
                <w:szCs w:val="21"/>
                <w:lang w:val="en-US" w:eastAsia="zh-CN"/>
              </w:rPr>
              <w:t>2025年</w:t>
            </w:r>
            <w:r>
              <w:rPr>
                <w:rFonts w:hint="default" w:ascii="Times New Roman" w:hAnsi="Times New Roman" w:eastAsia="宋体" w:cs="Times New Roman"/>
                <w:color w:val="auto"/>
                <w:szCs w:val="21"/>
                <w:lang w:eastAsia="zh-CN"/>
              </w:rPr>
              <w:t>）</w:t>
            </w:r>
            <w:r>
              <w:rPr>
                <w:rFonts w:hint="eastAsia" w:cs="Times New Roman"/>
                <w:color w:val="auto"/>
                <w:szCs w:val="21"/>
                <w:lang w:eastAsia="zh-CN"/>
              </w:rPr>
              <w:t>〉</w:t>
            </w:r>
            <w:r>
              <w:rPr>
                <w:rFonts w:hint="default" w:ascii="Times New Roman" w:hAnsi="Times New Roman" w:eastAsia="宋体" w:cs="Times New Roman"/>
                <w:color w:val="auto"/>
                <w:szCs w:val="21"/>
                <w:lang w:eastAsia="zh-CN"/>
              </w:rPr>
              <w:t>的通知》（川府发〔</w:t>
            </w:r>
            <w:r>
              <w:rPr>
                <w:rFonts w:hint="default" w:ascii="Times New Roman" w:hAnsi="Times New Roman" w:eastAsia="宋体" w:cs="Times New Roman"/>
                <w:color w:val="auto"/>
                <w:szCs w:val="21"/>
                <w:lang w:val="en-US" w:eastAsia="zh-CN"/>
              </w:rPr>
              <w:t>2022</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34号</w:t>
            </w:r>
            <w:r>
              <w:rPr>
                <w:rFonts w:hint="default" w:ascii="Times New Roman" w:hAnsi="Times New Roman" w:eastAsia="宋体" w:cs="Times New Roman"/>
                <w:color w:val="auto"/>
                <w:szCs w:val="21"/>
                <w:lang w:eastAsia="zh-CN"/>
              </w:rPr>
              <w:t>）文件，第四章</w:t>
            </w:r>
            <w:r>
              <w:rPr>
                <w:rFonts w:hint="eastAsia" w:cs="Times New Roman"/>
                <w:color w:val="auto"/>
                <w:szCs w:val="21"/>
                <w:lang w:eastAsia="zh-CN"/>
              </w:rPr>
              <w:t>－</w:t>
            </w:r>
            <w:r>
              <w:rPr>
                <w:rFonts w:hint="default" w:ascii="Times New Roman" w:hAnsi="Times New Roman" w:eastAsia="宋体" w:cs="Times New Roman"/>
                <w:color w:val="auto"/>
                <w:szCs w:val="21"/>
                <w:lang w:val="en-US" w:eastAsia="zh-CN"/>
              </w:rPr>
              <w:t>大力实施互联互济的重要电网工程，</w:t>
            </w:r>
            <w:r>
              <w:rPr>
                <w:rFonts w:hint="default" w:ascii="Times New Roman" w:hAnsi="Times New Roman" w:eastAsia="宋体" w:cs="Times New Roman"/>
                <w:color w:val="auto"/>
                <w:szCs w:val="21"/>
                <w:lang w:eastAsia="zh-CN"/>
              </w:rPr>
              <w:t>（六）</w:t>
            </w:r>
            <w:r>
              <w:rPr>
                <w:rFonts w:hint="default" w:ascii="Times New Roman" w:hAnsi="Times New Roman" w:eastAsia="宋体" w:cs="Times New Roman"/>
                <w:color w:val="auto"/>
                <w:szCs w:val="21"/>
                <w:lang w:val="en-US" w:eastAsia="zh-CN"/>
              </w:rPr>
              <w:t>围绕</w:t>
            </w:r>
            <w:r>
              <w:rPr>
                <w:rFonts w:hint="eastAsia" w:asciiTheme="minorEastAsia" w:hAnsiTheme="minorEastAsia" w:eastAsiaTheme="minorEastAsia" w:cstheme="minorEastAsia"/>
                <w:color w:val="auto"/>
                <w:szCs w:val="21"/>
                <w:lang w:val="en-US" w:eastAsia="zh-CN"/>
              </w:rPr>
              <w:t>“用得好”</w:t>
            </w:r>
            <w:r>
              <w:rPr>
                <w:rFonts w:hint="default" w:ascii="Times New Roman" w:hAnsi="Times New Roman" w:eastAsia="宋体" w:cs="Times New Roman"/>
                <w:color w:val="auto"/>
                <w:szCs w:val="21"/>
                <w:lang w:val="en-US" w:eastAsia="zh-CN"/>
              </w:rPr>
              <w:t>促进城乡配电网提档升级：统筹主网与配网衔接，加快电网数字化、智能化转型，打造安全稳定、互动友好、经济高效的现代配电网。升级完善城市配网，鼓励建设微电网和增量配电网。增强城镇配网承载能力，满足电动汽车、分布式电源、储能系统等多元主体接入需求。着眼城乡供电服务均等化，重点实施乡村振兴重点帮扶县、革命老区、民族地区等农村电网巩固提升工程。</w:t>
            </w:r>
            <w:r>
              <w:rPr>
                <w:rFonts w:hint="default" w:ascii="Times New Roman" w:hAnsi="Times New Roman" w:cs="Times New Roman"/>
                <w:bCs/>
                <w:color w:val="auto"/>
                <w:highlight w:val="none"/>
              </w:rPr>
              <w:t>展望2035年，新型电力系统建设取得实质性成效，多能互补、水火联营发展模式成熟定型，电源可靠保供能力显著增强，互联互济的坚强网架结构基本形成，人民群众生产生活用电便利度和保障水平持续提升，为全面建设社会主义现代化四川提供安全可靠电力支撑。</w:t>
            </w:r>
          </w:p>
          <w:bookmarkEnd w:id="2"/>
          <w:p w14:paraId="23A9F780">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zCs w:val="21"/>
                <w:highlight w:val="none"/>
              </w:rPr>
              <w:t>本项目为电网改造与建设工程，在</w:t>
            </w:r>
            <w:r>
              <w:rPr>
                <w:rFonts w:hint="eastAsia" w:cs="Times New Roman"/>
                <w:color w:val="auto"/>
                <w:szCs w:val="21"/>
                <w:highlight w:val="none"/>
                <w:lang w:val="en-US" w:eastAsia="zh-CN"/>
              </w:rPr>
              <w:t>巴中</w:t>
            </w:r>
            <w:r>
              <w:rPr>
                <w:rFonts w:hint="default" w:ascii="Times New Roman" w:hAnsi="Times New Roman" w:eastAsia="宋体" w:cs="Times New Roman"/>
                <w:color w:val="auto"/>
                <w:szCs w:val="21"/>
                <w:highlight w:val="none"/>
                <w:lang w:val="en-US" w:eastAsia="zh-CN"/>
              </w:rPr>
              <w:t>市</w:t>
            </w:r>
            <w:r>
              <w:rPr>
                <w:rFonts w:hint="eastAsia" w:cs="Times New Roman"/>
                <w:color w:val="auto"/>
                <w:szCs w:val="21"/>
                <w:highlight w:val="none"/>
                <w:lang w:val="en-US" w:eastAsia="zh-CN"/>
              </w:rPr>
              <w:t>恩阳区、巴州区和南江县境</w:t>
            </w:r>
            <w:r>
              <w:rPr>
                <w:rFonts w:hint="default" w:ascii="Times New Roman" w:hAnsi="Times New Roman" w:eastAsia="宋体" w:cs="Times New Roman"/>
                <w:color w:val="auto"/>
                <w:szCs w:val="21"/>
                <w:highlight w:val="none"/>
              </w:rPr>
              <w:t>内新建</w:t>
            </w:r>
            <w:r>
              <w:rPr>
                <w:rFonts w:hint="default" w:ascii="Times New Roman" w:hAnsi="Times New Roman" w:eastAsia="宋体" w:cs="Times New Roman"/>
                <w:color w:val="auto"/>
                <w:szCs w:val="21"/>
                <w:highlight w:val="none"/>
                <w:lang w:val="en-US" w:eastAsia="zh-CN"/>
              </w:rPr>
              <w:t>110kV</w:t>
            </w:r>
            <w:r>
              <w:rPr>
                <w:rFonts w:hint="eastAsia" w:cs="Times New Roman"/>
                <w:color w:val="auto"/>
                <w:szCs w:val="21"/>
                <w:highlight w:val="none"/>
                <w:lang w:val="en-US" w:eastAsia="zh-CN"/>
              </w:rPr>
              <w:t>输变电工程</w:t>
            </w:r>
            <w:r>
              <w:rPr>
                <w:rFonts w:hint="default" w:ascii="Times New Roman" w:hAnsi="Times New Roman" w:eastAsia="宋体" w:cs="Times New Roman"/>
                <w:color w:val="auto"/>
                <w:szCs w:val="21"/>
                <w:highlight w:val="none"/>
              </w:rPr>
              <w:t>，本项目的建设可以</w:t>
            </w:r>
            <w:r>
              <w:rPr>
                <w:rFonts w:hint="default" w:ascii="Times New Roman" w:hAnsi="Times New Roman" w:eastAsia="宋体" w:cs="Times New Roman"/>
                <w:color w:val="auto"/>
                <w:kern w:val="0"/>
                <w:szCs w:val="21"/>
                <w:highlight w:val="none"/>
              </w:rPr>
              <w:t>满足片区负荷增长需求，</w:t>
            </w:r>
            <w:r>
              <w:rPr>
                <w:rFonts w:hint="default" w:ascii="Times New Roman" w:hAnsi="Times New Roman" w:eastAsia="宋体" w:cs="Times New Roman"/>
                <w:color w:val="auto"/>
                <w:szCs w:val="21"/>
                <w:highlight w:val="none"/>
              </w:rPr>
              <w:t>升级完善城市配网，增强区域配网承载能力，本项目的建设</w:t>
            </w:r>
            <w:r>
              <w:rPr>
                <w:rFonts w:hint="default" w:ascii="Times New Roman" w:hAnsi="Times New Roman" w:eastAsia="宋体" w:cs="Times New Roman"/>
                <w:color w:val="auto"/>
                <w:szCs w:val="21"/>
                <w:highlight w:val="none"/>
                <w:lang w:val="en-US" w:eastAsia="zh-CN"/>
              </w:rPr>
              <w:t>与</w:t>
            </w:r>
            <w:r>
              <w:rPr>
                <w:rFonts w:hint="default" w:ascii="Times New Roman" w:hAnsi="Times New Roman" w:eastAsia="宋体" w:cs="Times New Roman"/>
                <w:color w:val="auto"/>
                <w:szCs w:val="21"/>
                <w:highlight w:val="none"/>
              </w:rPr>
              <w:t>《四川省电源电网发展规划（2022-2025年）》</w:t>
            </w:r>
            <w:r>
              <w:rPr>
                <w:rFonts w:hint="default" w:ascii="Times New Roman" w:hAnsi="Times New Roman" w:eastAsia="宋体" w:cs="Times New Roman"/>
                <w:color w:val="auto"/>
                <w:szCs w:val="21"/>
                <w:highlight w:val="none"/>
                <w:lang w:val="en-US" w:eastAsia="zh-CN"/>
              </w:rPr>
              <w:t>是相符的</w:t>
            </w:r>
            <w:r>
              <w:rPr>
                <w:rFonts w:hint="default" w:ascii="Times New Roman" w:hAnsi="Times New Roman" w:eastAsia="宋体" w:cs="Times New Roman"/>
                <w:color w:val="auto"/>
                <w:szCs w:val="21"/>
                <w:highlight w:val="none"/>
              </w:rPr>
              <w:t>。</w:t>
            </w:r>
          </w:p>
          <w:p w14:paraId="58DEE8D1">
            <w:pPr>
              <w:adjustRightInd w:val="0"/>
              <w:spacing w:line="360" w:lineRule="auto"/>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拟建</w:t>
            </w:r>
            <w:r>
              <w:rPr>
                <w:rFonts w:hint="eastAsia" w:cs="Times New Roman"/>
                <w:color w:val="auto"/>
                <w:szCs w:val="21"/>
                <w:lang w:val="en-US" w:eastAsia="zh-CN"/>
              </w:rPr>
              <w:t>司城</w:t>
            </w:r>
            <w:r>
              <w:rPr>
                <w:rFonts w:hint="default" w:ascii="Times New Roman" w:hAnsi="Times New Roman" w:eastAsia="宋体" w:cs="Times New Roman"/>
                <w:color w:val="auto"/>
                <w:szCs w:val="21"/>
                <w:lang w:val="en-US" w:eastAsia="zh-CN"/>
              </w:rPr>
              <w:t>110kV变电站</w:t>
            </w:r>
            <w:r>
              <w:rPr>
                <w:rFonts w:hint="default" w:ascii="Times New Roman" w:hAnsi="Times New Roman" w:eastAsia="宋体" w:cs="Times New Roman"/>
                <w:color w:val="auto"/>
                <w:szCs w:val="21"/>
              </w:rPr>
              <w:t>在电力系统中的规划如下图所示。</w:t>
            </w:r>
          </w:p>
          <w:p w14:paraId="0A666144">
            <w:pPr>
              <w:adjustRightInd w:val="0"/>
              <w:spacing w:line="360" w:lineRule="auto"/>
              <w:jc w:val="center"/>
              <w:rPr>
                <w:rFonts w:hint="eastAsia" w:eastAsia="宋体"/>
                <w:color w:val="FF0000"/>
                <w:szCs w:val="21"/>
                <w:lang w:eastAsia="zh-CN"/>
              </w:rPr>
            </w:pPr>
            <w:r>
              <w:drawing>
                <wp:inline distT="0" distB="0" distL="114300" distR="114300">
                  <wp:extent cx="2562225" cy="3321685"/>
                  <wp:effectExtent l="0" t="0" r="13335" b="6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8"/>
                          <a:stretch>
                            <a:fillRect/>
                          </a:stretch>
                        </pic:blipFill>
                        <pic:spPr>
                          <a:xfrm>
                            <a:off x="0" y="0"/>
                            <a:ext cx="2562225" cy="3321685"/>
                          </a:xfrm>
                          <a:prstGeom prst="rect">
                            <a:avLst/>
                          </a:prstGeom>
                          <a:noFill/>
                          <a:ln>
                            <a:noFill/>
                          </a:ln>
                        </pic:spPr>
                      </pic:pic>
                    </a:graphicData>
                  </a:graphic>
                </wp:inline>
              </w:drawing>
            </w:r>
          </w:p>
          <w:p w14:paraId="424F83E7">
            <w:pPr>
              <w:tabs>
                <w:tab w:val="left" w:pos="3240"/>
              </w:tabs>
              <w:jc w:val="center"/>
              <w:rPr>
                <w:rFonts w:eastAsia="黑体"/>
                <w:color w:val="auto"/>
                <w:szCs w:val="21"/>
              </w:rPr>
            </w:pPr>
            <w:r>
              <w:rPr>
                <w:rFonts w:eastAsia="黑体"/>
                <w:color w:val="auto"/>
                <w:szCs w:val="21"/>
              </w:rPr>
              <w:t>图1-1  本项目接入电网系统方案示意图</w:t>
            </w:r>
          </w:p>
          <w:p w14:paraId="156977A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本项目已取得国网四川省电力公司</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关于巴中恩阳司城110千伏输变电工程初步设计的批复</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（川电</w:t>
            </w:r>
            <w:r>
              <w:rPr>
                <w:rFonts w:hint="eastAsia" w:cs="Times New Roman"/>
                <w:color w:val="auto"/>
                <w:szCs w:val="21"/>
                <w:highlight w:val="none"/>
                <w:lang w:val="en-US" w:eastAsia="zh-CN"/>
              </w:rPr>
              <w:t>建设</w:t>
            </w:r>
            <w:r>
              <w:rPr>
                <w:rFonts w:hint="default" w:ascii="Times New Roman" w:hAnsi="Times New Roman" w:eastAsia="宋体" w:cs="Times New Roman"/>
                <w:color w:val="auto"/>
                <w:szCs w:val="21"/>
                <w:highlight w:val="none"/>
                <w:lang w:eastAsia="zh-CN"/>
              </w:rPr>
              <w:t>〔202</w:t>
            </w:r>
            <w:r>
              <w:rPr>
                <w:rFonts w:hint="eastAsia" w:cs="Times New Roman"/>
                <w:color w:val="auto"/>
                <w:szCs w:val="21"/>
                <w:highlight w:val="none"/>
                <w:lang w:val="en-US" w:eastAsia="zh-CN"/>
              </w:rPr>
              <w:t>6</w:t>
            </w:r>
            <w:r>
              <w:rPr>
                <w:rFonts w:hint="default" w:ascii="Times New Roman" w:hAnsi="Times New Roman" w:eastAsia="宋体" w:cs="Times New Roman"/>
                <w:color w:val="auto"/>
                <w:szCs w:val="21"/>
                <w:highlight w:val="none"/>
                <w:lang w:eastAsia="zh-CN"/>
              </w:rPr>
              <w:t>〕</w:t>
            </w:r>
            <w:r>
              <w:rPr>
                <w:rFonts w:hint="eastAsia" w:cs="Times New Roman"/>
                <w:color w:val="auto"/>
                <w:szCs w:val="21"/>
                <w:highlight w:val="none"/>
                <w:lang w:val="en-US" w:eastAsia="zh-CN"/>
              </w:rPr>
              <w:t>74</w:t>
            </w:r>
            <w:r>
              <w:rPr>
                <w:rFonts w:hint="default" w:ascii="Times New Roman" w:hAnsi="Times New Roman" w:eastAsia="宋体" w:cs="Times New Roman"/>
                <w:color w:val="auto"/>
                <w:szCs w:val="21"/>
                <w:highlight w:val="none"/>
              </w:rPr>
              <w:t>号，</w:t>
            </w:r>
            <w:r>
              <w:rPr>
                <w:rFonts w:hint="eastAsia" w:cs="Times New Roman"/>
                <w:color w:val="auto"/>
                <w:szCs w:val="21"/>
                <w:highlight w:val="none"/>
                <w:lang w:val="en-US" w:eastAsia="zh-CN"/>
              </w:rPr>
              <w:t>见</w:t>
            </w:r>
            <w:r>
              <w:rPr>
                <w:rFonts w:hint="default" w:ascii="Times New Roman" w:hAnsi="Times New Roman" w:eastAsia="宋体" w:cs="Times New Roman"/>
                <w:color w:val="auto"/>
                <w:szCs w:val="21"/>
                <w:highlight w:val="none"/>
              </w:rPr>
              <w:t>附件</w:t>
            </w:r>
            <w:r>
              <w:rPr>
                <w:rFonts w:hint="eastAsia" w:cs="Times New Roman"/>
                <w:color w:val="auto"/>
                <w:szCs w:val="21"/>
                <w:highlight w:val="none"/>
                <w:lang w:val="en-US" w:eastAsia="zh-CN"/>
              </w:rPr>
              <w:t>3</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val="en-US" w:eastAsia="zh-CN"/>
              </w:rPr>
              <w:t>和</w:t>
            </w:r>
            <w:r>
              <w:rPr>
                <w:rFonts w:hint="eastAsia" w:cs="Times New Roman"/>
                <w:color w:val="auto"/>
                <w:szCs w:val="21"/>
                <w:lang w:val="en-US" w:eastAsia="zh-CN"/>
              </w:rPr>
              <w:t>巴中市</w:t>
            </w:r>
            <w:r>
              <w:rPr>
                <w:rFonts w:hint="default" w:ascii="Times New Roman" w:hAnsi="Times New Roman" w:eastAsia="宋体" w:cs="Times New Roman"/>
                <w:color w:val="auto"/>
                <w:szCs w:val="21"/>
                <w:lang w:eastAsia="zh-CN"/>
              </w:rPr>
              <w:t>发展和改革</w:t>
            </w:r>
            <w:r>
              <w:rPr>
                <w:rFonts w:hint="eastAsia" w:cs="Times New Roman"/>
                <w:color w:val="auto"/>
                <w:szCs w:val="21"/>
                <w:lang w:val="en-US" w:eastAsia="zh-CN"/>
              </w:rPr>
              <w:t>委员会</w:t>
            </w:r>
            <w:r>
              <w:rPr>
                <w:rFonts w:hint="default" w:ascii="Times New Roman" w:hAnsi="Times New Roman" w:eastAsia="宋体" w:cs="Times New Roman"/>
                <w:color w:val="auto"/>
                <w:szCs w:val="21"/>
                <w:lang w:eastAsia="zh-CN"/>
              </w:rPr>
              <w:t>《关于巴中恩阳司城110千伏输变电工程项目核准的批复》（</w:t>
            </w:r>
            <w:r>
              <w:rPr>
                <w:rFonts w:hint="eastAsia" w:cs="Times New Roman"/>
                <w:color w:val="auto"/>
                <w:szCs w:val="21"/>
                <w:lang w:val="en-US" w:eastAsia="zh-CN"/>
              </w:rPr>
              <w:t>巴</w:t>
            </w:r>
            <w:r>
              <w:rPr>
                <w:rFonts w:hint="default" w:ascii="Times New Roman" w:hAnsi="Times New Roman" w:eastAsia="宋体" w:cs="Times New Roman"/>
                <w:color w:val="auto"/>
                <w:szCs w:val="21"/>
                <w:lang w:eastAsia="zh-CN"/>
              </w:rPr>
              <w:t>发改审〔202</w:t>
            </w:r>
            <w:r>
              <w:rPr>
                <w:rFonts w:hint="eastAsia" w:cs="Times New Roman"/>
                <w:color w:val="auto"/>
                <w:szCs w:val="21"/>
                <w:lang w:val="en-US" w:eastAsia="zh-CN"/>
              </w:rPr>
              <w:t>5</w:t>
            </w:r>
            <w:r>
              <w:rPr>
                <w:rFonts w:hint="default" w:ascii="Times New Roman" w:hAnsi="Times New Roman" w:eastAsia="宋体" w:cs="Times New Roman"/>
                <w:color w:val="auto"/>
                <w:szCs w:val="21"/>
                <w:lang w:eastAsia="zh-CN"/>
              </w:rPr>
              <w:t>〕</w:t>
            </w:r>
            <w:r>
              <w:rPr>
                <w:rFonts w:hint="eastAsia" w:cs="Times New Roman"/>
                <w:color w:val="auto"/>
                <w:szCs w:val="21"/>
                <w:highlight w:val="none"/>
                <w:lang w:val="en-US" w:eastAsia="zh-CN"/>
              </w:rPr>
              <w:t>37</w:t>
            </w:r>
            <w:r>
              <w:rPr>
                <w:rFonts w:hint="default" w:ascii="Times New Roman" w:hAnsi="Times New Roman" w:eastAsia="宋体" w:cs="Times New Roman"/>
                <w:color w:val="auto"/>
                <w:szCs w:val="21"/>
                <w:highlight w:val="none"/>
                <w:lang w:eastAsia="zh-CN"/>
              </w:rPr>
              <w:t>号</w:t>
            </w:r>
            <w:r>
              <w:rPr>
                <w:rFonts w:hint="eastAsia" w:cs="Times New Roman"/>
                <w:color w:val="auto"/>
                <w:szCs w:val="21"/>
                <w:highlight w:val="none"/>
                <w:lang w:eastAsia="zh-CN"/>
              </w:rPr>
              <w:t>，</w:t>
            </w:r>
            <w:r>
              <w:rPr>
                <w:rFonts w:hint="eastAsia" w:cs="Times New Roman"/>
                <w:color w:val="auto"/>
                <w:szCs w:val="21"/>
                <w:highlight w:val="none"/>
                <w:lang w:val="en-US" w:eastAsia="zh-CN"/>
              </w:rPr>
              <w:t>见</w:t>
            </w:r>
            <w:r>
              <w:rPr>
                <w:rFonts w:hint="default" w:ascii="Times New Roman" w:hAnsi="Times New Roman" w:eastAsia="宋体" w:cs="Times New Roman"/>
                <w:color w:val="auto"/>
                <w:szCs w:val="21"/>
                <w:highlight w:val="none"/>
              </w:rPr>
              <w:t>附件</w:t>
            </w:r>
            <w:r>
              <w:rPr>
                <w:rFonts w:hint="eastAsia" w:cs="Times New Roman"/>
                <w:color w:val="auto"/>
                <w:szCs w:val="21"/>
                <w:highlight w:val="none"/>
                <w:lang w:val="en-US" w:eastAsia="zh-CN"/>
              </w:rPr>
              <w:t>2</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rPr>
              <w:t>，</w:t>
            </w:r>
            <w:r>
              <w:rPr>
                <w:rFonts w:hint="default" w:ascii="Times New Roman" w:hAnsi="Times New Roman" w:cs="Times New Roman" w:eastAsiaTheme="minorEastAsia"/>
                <w:color w:val="auto"/>
                <w:szCs w:val="21"/>
                <w:highlight w:val="none"/>
                <w:lang w:val="en-US" w:eastAsia="zh-CN"/>
              </w:rPr>
              <w:t>本项目据此</w:t>
            </w:r>
            <w:r>
              <w:rPr>
                <w:rFonts w:hint="default" w:ascii="Times New Roman" w:hAnsi="Times New Roman" w:cs="Times New Roman" w:eastAsiaTheme="minorEastAsia"/>
                <w:color w:val="auto"/>
                <w:szCs w:val="21"/>
                <w:highlight w:val="none"/>
              </w:rPr>
              <w:t>开展前期工作</w:t>
            </w:r>
            <w:r>
              <w:rPr>
                <w:rFonts w:hint="default" w:ascii="Times New Roman" w:hAnsi="Times New Roman" w:cs="Times New Roman" w:eastAsiaTheme="minorEastAsia"/>
                <w:color w:val="auto"/>
                <w:szCs w:val="21"/>
              </w:rPr>
              <w:t>。</w:t>
            </w:r>
          </w:p>
          <w:p w14:paraId="70A11B5A">
            <w:pPr>
              <w:pStyle w:val="42"/>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color w:val="auto"/>
                <w:szCs w:val="21"/>
                <w:lang w:val="en-US" w:eastAsia="zh-CN"/>
              </w:rPr>
            </w:pPr>
            <w:r>
              <w:rPr>
                <w:rFonts w:hint="eastAsia" w:cs="Times New Roman"/>
                <w:color w:val="auto"/>
                <w:szCs w:val="21"/>
                <w:lang w:val="en-US" w:eastAsia="zh-CN"/>
              </w:rPr>
              <w:t>同时根据巴中市自然资源和规</w:t>
            </w:r>
            <w:r>
              <w:rPr>
                <w:rFonts w:hint="eastAsia" w:cs="Times New Roman"/>
                <w:color w:val="auto"/>
                <w:szCs w:val="21"/>
                <w:highlight w:val="none"/>
                <w:lang w:val="en-US" w:eastAsia="zh-CN"/>
              </w:rPr>
              <w:t>划局恩阳分局《关于巴中恩阳司城110千伏输变电工程变电站站址及线路路径走廊的复函》（详</w:t>
            </w:r>
            <w:r>
              <w:rPr>
                <w:rFonts w:hint="default" w:ascii="Times New Roman" w:hAnsi="Times New Roman" w:eastAsia="宋体" w:cs="Times New Roman"/>
                <w:color w:val="auto"/>
                <w:szCs w:val="21"/>
                <w:highlight w:val="none"/>
              </w:rPr>
              <w:t>见附件</w:t>
            </w:r>
            <w:r>
              <w:rPr>
                <w:rFonts w:hint="eastAsia" w:cs="Times New Roman"/>
                <w:color w:val="auto"/>
                <w:szCs w:val="21"/>
                <w:highlight w:val="none"/>
                <w:lang w:val="en-US" w:eastAsia="zh-CN"/>
              </w:rPr>
              <w:t>5-1）</w:t>
            </w:r>
            <w:r>
              <w:rPr>
                <w:rFonts w:hint="default"/>
                <w:color w:val="auto"/>
                <w:szCs w:val="21"/>
                <w:highlight w:val="none"/>
                <w:lang w:val="en-US" w:eastAsia="zh-CN"/>
              </w:rPr>
              <w:t>、</w:t>
            </w:r>
            <w:r>
              <w:rPr>
                <w:rFonts w:hint="eastAsia" w:cs="Times New Roman"/>
                <w:color w:val="auto"/>
                <w:szCs w:val="21"/>
                <w:highlight w:val="none"/>
                <w:lang w:val="en-US" w:eastAsia="zh-CN"/>
              </w:rPr>
              <w:t>巴中市自然资源和规划局巴州分局《关于巴中恩阳司城110千伏输变电工程线路路径走廊（巴州区段）的函》（详</w:t>
            </w:r>
            <w:r>
              <w:rPr>
                <w:rFonts w:hint="default" w:ascii="Times New Roman" w:hAnsi="Times New Roman" w:eastAsia="宋体" w:cs="Times New Roman"/>
                <w:color w:val="auto"/>
                <w:szCs w:val="21"/>
                <w:highlight w:val="none"/>
              </w:rPr>
              <w:t>见</w:t>
            </w:r>
            <w:r>
              <w:rPr>
                <w:rFonts w:hint="eastAsia" w:cs="Times New Roman"/>
                <w:color w:val="auto"/>
                <w:szCs w:val="21"/>
                <w:highlight w:val="none"/>
                <w:lang w:val="en-US" w:eastAsia="zh-CN"/>
              </w:rPr>
              <w:t>附件5-2）和南江县自然资源和规划局《关于请予办理巴中恩阳司城110千伏输变电工程线路路径走廊的复函》（详</w:t>
            </w:r>
            <w:r>
              <w:rPr>
                <w:rFonts w:hint="default" w:ascii="Times New Roman" w:hAnsi="Times New Roman" w:eastAsia="宋体" w:cs="Times New Roman"/>
                <w:color w:val="auto"/>
                <w:szCs w:val="21"/>
                <w:highlight w:val="none"/>
              </w:rPr>
              <w:t>见</w:t>
            </w:r>
            <w:r>
              <w:rPr>
                <w:rFonts w:hint="eastAsia" w:cs="Times New Roman"/>
                <w:color w:val="auto"/>
                <w:szCs w:val="21"/>
                <w:highlight w:val="none"/>
                <w:lang w:val="en-US" w:eastAsia="zh-CN"/>
              </w:rPr>
              <w:t>附件5-3），</w:t>
            </w:r>
            <w:r>
              <w:rPr>
                <w:rFonts w:hint="default" w:ascii="Times New Roman" w:hAnsi="Times New Roman" w:eastAsia="宋体" w:cs="Times New Roman"/>
                <w:color w:val="auto"/>
                <w:highlight w:val="none"/>
              </w:rPr>
              <w:t>原则</w:t>
            </w:r>
            <w:r>
              <w:rPr>
                <w:rFonts w:hint="default" w:ascii="Times New Roman" w:hAnsi="Times New Roman" w:eastAsia="宋体" w:cs="Times New Roman"/>
                <w:color w:val="auto"/>
              </w:rPr>
              <w:t>同意</w:t>
            </w:r>
            <w:r>
              <w:rPr>
                <w:rFonts w:hint="eastAsia" w:ascii="Times New Roman" w:hAnsi="Times New Roman" w:eastAsia="宋体" w:cs="Times New Roman"/>
                <w:color w:val="auto"/>
                <w:lang w:val="en-US" w:eastAsia="zh-CN"/>
              </w:rPr>
              <w:t>了</w:t>
            </w:r>
            <w:r>
              <w:rPr>
                <w:rFonts w:hint="eastAsia" w:cs="Times New Roman"/>
                <w:color w:val="auto"/>
                <w:lang w:eastAsia="zh-CN"/>
              </w:rPr>
              <w:t>巴中恩阳司城</w:t>
            </w:r>
            <w:r>
              <w:rPr>
                <w:rFonts w:hint="default" w:ascii="Times New Roman" w:hAnsi="Times New Roman" w:eastAsia="宋体" w:cs="Times New Roman"/>
                <w:color w:val="auto"/>
              </w:rPr>
              <w:t>110</w:t>
            </w:r>
            <w:r>
              <w:rPr>
                <w:rFonts w:hint="eastAsia" w:ascii="Times New Roman" w:hAnsi="Times New Roman" w:eastAsia="宋体" w:cs="Times New Roman"/>
                <w:color w:val="auto"/>
                <w:lang w:val="en-US" w:eastAsia="zh-CN"/>
              </w:rPr>
              <w:t>千伏</w:t>
            </w:r>
            <w:r>
              <w:rPr>
                <w:rFonts w:hint="default" w:ascii="Times New Roman" w:hAnsi="Times New Roman" w:eastAsia="宋体" w:cs="Times New Roman"/>
                <w:color w:val="auto"/>
              </w:rPr>
              <w:t>输变电工程选址选线方案</w:t>
            </w:r>
            <w:r>
              <w:rPr>
                <w:rFonts w:hint="default"/>
                <w:color w:val="auto"/>
                <w:szCs w:val="21"/>
                <w:lang w:val="en-US" w:eastAsia="zh-CN"/>
              </w:rPr>
              <w:t>。同时</w:t>
            </w:r>
            <w:r>
              <w:rPr>
                <w:rFonts w:hint="eastAsia"/>
                <w:color w:val="auto"/>
                <w:szCs w:val="21"/>
                <w:lang w:val="en-US" w:eastAsia="zh-CN"/>
              </w:rPr>
              <w:t>巴中市自然资源和规划局为司城110kV变电站场址出具了《建设项目用地预审与选址意见书》（用字第5119032025XS0003543号</w:t>
            </w:r>
            <w:r>
              <w:rPr>
                <w:rFonts w:hint="eastAsia"/>
                <w:color w:val="auto"/>
                <w:szCs w:val="21"/>
                <w:highlight w:val="none"/>
                <w:lang w:val="en-US" w:eastAsia="zh-CN"/>
              </w:rPr>
              <w:t>）（详见附件4）</w:t>
            </w:r>
            <w:r>
              <w:rPr>
                <w:rFonts w:hint="default"/>
                <w:color w:val="auto"/>
                <w:szCs w:val="21"/>
                <w:highlight w:val="none"/>
                <w:lang w:val="en-US" w:eastAsia="zh-CN"/>
              </w:rPr>
              <w:t>，</w:t>
            </w:r>
            <w:r>
              <w:rPr>
                <w:rFonts w:hint="default"/>
                <w:color w:val="auto"/>
                <w:szCs w:val="21"/>
                <w:lang w:val="en-US" w:eastAsia="zh-CN"/>
              </w:rPr>
              <w:t>同意了本项目变电站的选址</w:t>
            </w:r>
            <w:r>
              <w:rPr>
                <w:rFonts w:hint="eastAsia"/>
                <w:color w:val="auto"/>
                <w:szCs w:val="21"/>
                <w:lang w:val="en-US" w:eastAsia="zh-CN"/>
              </w:rPr>
              <w:t>。</w:t>
            </w:r>
          </w:p>
          <w:p w14:paraId="44B77CEE">
            <w:pPr>
              <w:pStyle w:val="42"/>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color w:val="auto"/>
                <w:szCs w:val="21"/>
                <w:lang w:val="en-US" w:eastAsia="zh-CN"/>
              </w:rPr>
            </w:pPr>
            <w:r>
              <w:rPr>
                <w:rFonts w:hint="default"/>
                <w:color w:val="auto"/>
                <w:szCs w:val="21"/>
                <w:lang w:val="en-US" w:eastAsia="zh-CN"/>
              </w:rPr>
              <w:t>因此，本项目输电线路选线及变电站选址符合巴中市国土空间规划、符合巴中市巴州区</w:t>
            </w:r>
            <w:r>
              <w:rPr>
                <w:rFonts w:hint="eastAsia"/>
                <w:color w:val="auto"/>
                <w:szCs w:val="21"/>
                <w:lang w:val="en-US" w:eastAsia="zh-CN"/>
              </w:rPr>
              <w:t>、恩阳区</w:t>
            </w:r>
            <w:r>
              <w:rPr>
                <w:rFonts w:hint="default"/>
                <w:color w:val="auto"/>
                <w:szCs w:val="21"/>
                <w:lang w:val="en-US" w:eastAsia="zh-CN"/>
              </w:rPr>
              <w:t>和南江县电网发展规划，工程的建设能够满足巴中市巴州区</w:t>
            </w:r>
            <w:r>
              <w:rPr>
                <w:rFonts w:hint="eastAsia"/>
                <w:color w:val="auto"/>
                <w:szCs w:val="21"/>
                <w:lang w:val="en-US" w:eastAsia="zh-CN"/>
              </w:rPr>
              <w:t>、恩阳区</w:t>
            </w:r>
            <w:r>
              <w:rPr>
                <w:rFonts w:hint="default"/>
                <w:color w:val="auto"/>
                <w:szCs w:val="21"/>
                <w:lang w:val="en-US" w:eastAsia="zh-CN"/>
              </w:rPr>
              <w:t>和南江县片区的用电需求。</w:t>
            </w:r>
          </w:p>
          <w:p w14:paraId="4111350B">
            <w:pPr>
              <w:tabs>
                <w:tab w:val="left" w:pos="840"/>
              </w:tabs>
              <w:spacing w:line="360" w:lineRule="auto"/>
              <w:rPr>
                <w:rFonts w:hint="default" w:ascii="Times New Roman" w:hAnsi="Times New Roman" w:eastAsia="黑体" w:cs="Times New Roman"/>
                <w:color w:val="000000" w:themeColor="text1"/>
                <w:szCs w:val="21"/>
                <w:highlight w:val="none"/>
                <w14:textFill>
                  <w14:solidFill>
                    <w14:schemeClr w14:val="tx1"/>
                  </w14:solidFill>
                </w14:textFill>
              </w:rPr>
            </w:pPr>
            <w:r>
              <w:rPr>
                <w:rFonts w:hint="eastAsia" w:eastAsia="黑体" w:cs="Times New Roman"/>
                <w:color w:val="000000" w:themeColor="text1"/>
                <w:szCs w:val="21"/>
                <w:highlight w:val="none"/>
                <w:lang w:val="en-US" w:eastAsia="zh-CN"/>
                <w14:textFill>
                  <w14:solidFill>
                    <w14:schemeClr w14:val="tx1"/>
                  </w14:solidFill>
                </w14:textFill>
              </w:rPr>
              <w:t>三</w:t>
            </w:r>
            <w:r>
              <w:rPr>
                <w:rFonts w:hint="default" w:ascii="Times New Roman" w:hAnsi="Times New Roman" w:eastAsia="黑体" w:cs="Times New Roman"/>
                <w:color w:val="000000" w:themeColor="text1"/>
                <w:szCs w:val="21"/>
                <w:highlight w:val="none"/>
                <w14:textFill>
                  <w14:solidFill>
                    <w14:schemeClr w14:val="tx1"/>
                  </w14:solidFill>
                </w14:textFill>
              </w:rPr>
              <w:t>、</w:t>
            </w:r>
            <w:r>
              <w:rPr>
                <w:rFonts w:hint="eastAsia" w:eastAsia="黑体"/>
                <w:color w:val="000000" w:themeColor="text1"/>
                <w:szCs w:val="21"/>
                <w:lang w:val="en-US" w:eastAsia="zh-CN"/>
                <w14:textFill>
                  <w14:solidFill>
                    <w14:schemeClr w14:val="tx1"/>
                  </w14:solidFill>
                </w14:textFill>
              </w:rPr>
              <w:t>生态环境分区管控</w:t>
            </w:r>
            <w:r>
              <w:rPr>
                <w:rFonts w:hint="default" w:eastAsia="黑体"/>
                <w:color w:val="000000" w:themeColor="text1"/>
                <w:szCs w:val="21"/>
                <w14:textFill>
                  <w14:solidFill>
                    <w14:schemeClr w14:val="tx1"/>
                  </w14:solidFill>
                </w14:textFill>
              </w:rPr>
              <w:t>符合性分析</w:t>
            </w:r>
          </w:p>
          <w:p w14:paraId="0CC05B51">
            <w:pPr>
              <w:keepNext w:val="0"/>
              <w:keepLines w:val="0"/>
              <w:pageBreakBefore w:val="0"/>
              <w:widowControl w:val="0"/>
              <w:tabs>
                <w:tab w:val="left" w:pos="840"/>
              </w:tabs>
              <w:kinsoku/>
              <w:wordWrap/>
              <w:overflowPunct/>
              <w:topLinePunct w:val="0"/>
              <w:autoSpaceDE/>
              <w:autoSpaceDN/>
              <w:bidi w:val="0"/>
              <w:adjustRightInd/>
              <w:snapToGrid/>
              <w:spacing w:line="360" w:lineRule="auto"/>
              <w:ind w:firstLine="420" w:firstLineChars="200"/>
              <w:textAlignment w:val="auto"/>
              <w:rPr>
                <w:rFonts w:hint="eastAsia"/>
                <w:bCs/>
                <w:color w:val="000000" w:themeColor="text1"/>
                <w:lang w:eastAsia="zh-CN"/>
                <w14:textFill>
                  <w14:solidFill>
                    <w14:schemeClr w14:val="tx1"/>
                  </w14:solidFill>
                </w14:textFill>
              </w:rPr>
            </w:pPr>
            <w:r>
              <w:rPr>
                <w:rFonts w:hint="eastAsia"/>
                <w:bCs/>
                <w:color w:val="000000" w:themeColor="text1"/>
                <w:szCs w:val="21"/>
                <w14:textFill>
                  <w14:solidFill>
                    <w14:schemeClr w14:val="tx1"/>
                  </w14:solidFill>
                </w14:textFill>
              </w:rPr>
              <w:t>本项目为电力基础设施建设项目，</w:t>
            </w:r>
            <w:r>
              <w:rPr>
                <w:rFonts w:hint="eastAsia"/>
                <w:color w:val="000000" w:themeColor="text1"/>
                <w:szCs w:val="21"/>
                <w14:textFill>
                  <w14:solidFill>
                    <w14:schemeClr w14:val="tx1"/>
                  </w14:solidFill>
                </w14:textFill>
              </w:rPr>
              <w:t>属于生态类建设项目。</w:t>
            </w:r>
            <w:r>
              <w:rPr>
                <w:rFonts w:hint="eastAsia"/>
                <w:bCs/>
                <w:color w:val="000000" w:themeColor="text1"/>
                <w:szCs w:val="21"/>
                <w14:textFill>
                  <w14:solidFill>
                    <w14:schemeClr w14:val="tx1"/>
                  </w14:solidFill>
                </w14:textFill>
              </w:rPr>
              <w:t>根据四川省</w:t>
            </w:r>
            <w:r>
              <w:rPr>
                <w:rFonts w:hint="eastAsia"/>
                <w:bCs/>
                <w:color w:val="000000" w:themeColor="text1"/>
                <w:szCs w:val="21"/>
                <w:lang w:val="en-US" w:eastAsia="zh-CN"/>
                <w14:textFill>
                  <w14:solidFill>
                    <w14:schemeClr w14:val="tx1"/>
                  </w14:solidFill>
                </w14:textFill>
              </w:rPr>
              <w:t>政务服务网</w:t>
            </w:r>
            <w:r>
              <w:rPr>
                <w:rFonts w:hint="eastAsia"/>
                <w:bCs/>
                <w:color w:val="000000" w:themeColor="text1"/>
                <w:szCs w:val="21"/>
                <w14:textFill>
                  <w14:solidFill>
                    <w14:schemeClr w14:val="tx1"/>
                  </w14:solidFill>
                </w14:textFill>
              </w:rPr>
              <w:t>“</w:t>
            </w:r>
            <w:r>
              <w:rPr>
                <w:rFonts w:hint="eastAsia"/>
                <w:bCs/>
                <w:color w:val="000000" w:themeColor="text1"/>
                <w:lang w:val="en-US" w:eastAsia="zh-CN"/>
                <w14:textFill>
                  <w14:solidFill>
                    <w14:schemeClr w14:val="tx1"/>
                  </w14:solidFill>
                </w14:textFill>
              </w:rPr>
              <w:t>生态环境分区管控智能应用</w:t>
            </w:r>
            <w:r>
              <w:rPr>
                <w:rFonts w:hint="eastAsia"/>
                <w:bCs/>
                <w:color w:val="000000" w:themeColor="text1"/>
                <w:szCs w:val="21"/>
                <w14:textFill>
                  <w14:solidFill>
                    <w14:schemeClr w14:val="tx1"/>
                  </w14:solidFill>
                </w14:textFill>
              </w:rPr>
              <w:t>”</w:t>
            </w:r>
            <w:r>
              <w:rPr>
                <w:rFonts w:hint="eastAsia"/>
                <w:bCs/>
                <w:color w:val="000000" w:themeColor="text1"/>
                <w:szCs w:val="21"/>
                <w:lang w:val="en-US" w:eastAsia="zh-CN"/>
                <w14:textFill>
                  <w14:solidFill>
                    <w14:schemeClr w14:val="tx1"/>
                  </w14:solidFill>
                </w14:textFill>
              </w:rPr>
              <w:t>和</w:t>
            </w:r>
            <w:r>
              <w:rPr>
                <w:rFonts w:hint="eastAsia"/>
                <w:bCs/>
                <w:color w:val="000000" w:themeColor="text1"/>
                <w:lang w:eastAsia="zh-CN"/>
                <w14:textFill>
                  <w14:solidFill>
                    <w14:schemeClr w14:val="tx1"/>
                  </w14:solidFill>
                </w14:textFill>
              </w:rPr>
              <w:t>《巴中市生态环境保护委员会办公室关于加强生态环境分区管控的通知》</w:t>
            </w:r>
            <w:r>
              <w:rPr>
                <w:rFonts w:hint="eastAsia"/>
                <w:bCs/>
                <w:color w:val="000000" w:themeColor="text1"/>
                <w14:textFill>
                  <w14:solidFill>
                    <w14:schemeClr w14:val="tx1"/>
                  </w14:solidFill>
                </w14:textFill>
              </w:rPr>
              <w:t>，本项目与区域“</w:t>
            </w:r>
            <w:r>
              <w:rPr>
                <w:rFonts w:hint="eastAsia"/>
                <w:bCs/>
                <w:color w:val="000000" w:themeColor="text1"/>
                <w:lang w:val="en-US" w:eastAsia="zh-CN"/>
                <w14:textFill>
                  <w14:solidFill>
                    <w14:schemeClr w14:val="tx1"/>
                  </w14:solidFill>
                </w14:textFill>
              </w:rPr>
              <w:t>生态环境分区管控</w:t>
            </w:r>
            <w:r>
              <w:rPr>
                <w:rFonts w:hint="eastAsia"/>
                <w:bCs/>
                <w:color w:val="000000" w:themeColor="text1"/>
                <w14:textFill>
                  <w14:solidFill>
                    <w14:schemeClr w14:val="tx1"/>
                  </w14:solidFill>
                </w14:textFill>
              </w:rPr>
              <w:t>”符合性分析如下</w:t>
            </w:r>
            <w:r>
              <w:rPr>
                <w:rFonts w:hint="eastAsia"/>
                <w:bCs/>
                <w:color w:val="000000" w:themeColor="text1"/>
                <w:lang w:eastAsia="zh-CN"/>
                <w14:textFill>
                  <w14:solidFill>
                    <w14:schemeClr w14:val="tx1"/>
                  </w14:solidFill>
                </w14:textFill>
              </w:rPr>
              <w:t>：</w:t>
            </w:r>
          </w:p>
          <w:p w14:paraId="4B9FBB16">
            <w:pPr>
              <w:keepNext w:val="0"/>
              <w:keepLines w:val="0"/>
              <w:pageBreakBefore w:val="0"/>
              <w:widowControl w:val="0"/>
              <w:suppressLineNumbers w:val="0"/>
              <w:tabs>
                <w:tab w:val="left" w:pos="840"/>
              </w:tabs>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w:t>
            </w:r>
            <w:r>
              <w:rPr>
                <w:rFonts w:hint="default" w:ascii="Times New Roman" w:hAnsi="Times New Roman" w:cs="Times New Roman"/>
                <w:bCs/>
                <w:color w:val="auto"/>
                <w:szCs w:val="21"/>
                <w:lang w:val="en-US" w:eastAsia="zh-CN"/>
              </w:rPr>
              <w:t>1</w:t>
            </w:r>
            <w:r>
              <w:rPr>
                <w:rFonts w:hint="default" w:ascii="Times New Roman" w:hAnsi="Times New Roman" w:cs="Times New Roman"/>
                <w:bCs/>
                <w:color w:val="auto"/>
                <w:szCs w:val="21"/>
              </w:rPr>
              <w:t>）管控单元基本情况</w:t>
            </w:r>
          </w:p>
          <w:p w14:paraId="520C34F2">
            <w:pPr>
              <w:wordWrap w:val="0"/>
              <w:spacing w:line="360" w:lineRule="auto"/>
              <w:ind w:firstLine="420" w:firstLineChars="200"/>
              <w:rPr>
                <w:rFonts w:hint="default" w:ascii="Times New Roman" w:hAnsi="Times New Roman" w:eastAsia="宋体" w:cs="Times New Roman"/>
                <w:bCs/>
                <w:color w:val="auto"/>
                <w:szCs w:val="21"/>
              </w:rPr>
            </w:pPr>
            <w:r>
              <w:rPr>
                <w:rFonts w:hint="default" w:ascii="Times New Roman" w:hAnsi="Times New Roman" w:cs="Times New Roman"/>
                <w:bCs/>
                <w:color w:val="auto"/>
                <w:szCs w:val="21"/>
              </w:rPr>
              <w:t>经四川省政务服务网“生态环境分区管控智能应用”</w:t>
            </w:r>
            <w:r>
              <w:rPr>
                <w:rFonts w:hint="eastAsia" w:cs="Times New Roman"/>
                <w:bCs/>
                <w:color w:val="auto"/>
                <w:szCs w:val="21"/>
                <w:lang w:eastAsia="zh-CN"/>
              </w:rPr>
              <w:t>（https://www.sczwfw.gov.cn/tftb/jmopenpub/jmopen_files/webapp/html5/scssthjtgzfwptdmibc/index.html?areaCode=510000000000#/）</w:t>
            </w:r>
            <w:r>
              <w:rPr>
                <w:rFonts w:hint="default" w:ascii="Times New Roman" w:hAnsi="Times New Roman" w:cs="Times New Roman"/>
                <w:bCs/>
                <w:color w:val="auto"/>
                <w:szCs w:val="21"/>
              </w:rPr>
              <w:t>查询，本项目涉及恩阳区要素重点管控单元</w:t>
            </w:r>
            <w:r>
              <w:rPr>
                <w:rFonts w:hint="default" w:ascii="Times New Roman" w:hAnsi="Times New Roman" w:eastAsia="宋体" w:cs="Times New Roman"/>
                <w:bCs/>
                <w:color w:val="auto"/>
                <w:szCs w:val="21"/>
              </w:rPr>
              <w:t>（ZH51190320005）</w:t>
            </w:r>
            <w:r>
              <w:rPr>
                <w:rFonts w:hint="eastAsia" w:eastAsia="宋体" w:cs="Times New Roman"/>
                <w:bCs/>
                <w:color w:val="auto"/>
                <w:szCs w:val="21"/>
                <w:lang w:eastAsia="zh-CN"/>
              </w:rPr>
              <w:t>、</w:t>
            </w:r>
            <w:r>
              <w:rPr>
                <w:rFonts w:hint="default" w:ascii="Times New Roman" w:hAnsi="Times New Roman" w:eastAsia="宋体" w:cs="Times New Roman"/>
                <w:bCs/>
                <w:color w:val="auto"/>
                <w:szCs w:val="21"/>
              </w:rPr>
              <w:t>巴州区要素重点管控单元</w:t>
            </w:r>
            <w:r>
              <w:rPr>
                <w:rFonts w:hint="eastAsia" w:ascii="Times New Roman" w:hAnsi="Times New Roman" w:eastAsia="宋体" w:cs="Times New Roman"/>
                <w:bCs/>
                <w:color w:val="auto"/>
                <w:szCs w:val="21"/>
                <w:lang w:eastAsia="zh-CN"/>
              </w:rPr>
              <w:t>（</w:t>
            </w:r>
            <w:r>
              <w:rPr>
                <w:rFonts w:hint="default" w:ascii="Times New Roman" w:hAnsi="Times New Roman" w:eastAsia="宋体" w:cs="Times New Roman"/>
                <w:bCs/>
                <w:color w:val="auto"/>
                <w:szCs w:val="21"/>
              </w:rPr>
              <w:t>ZH51190220007</w:t>
            </w:r>
            <w:r>
              <w:rPr>
                <w:rFonts w:hint="eastAsia" w:ascii="Times New Roman" w:hAnsi="Times New Roman" w:eastAsia="宋体" w:cs="Times New Roman"/>
                <w:bCs/>
                <w:color w:val="auto"/>
                <w:szCs w:val="21"/>
                <w:lang w:eastAsia="zh-CN"/>
              </w:rPr>
              <w:t>）</w:t>
            </w:r>
            <w:r>
              <w:rPr>
                <w:rFonts w:hint="eastAsia" w:eastAsia="宋体" w:cs="Times New Roman"/>
                <w:bCs/>
                <w:color w:val="auto"/>
                <w:szCs w:val="21"/>
                <w:lang w:eastAsia="zh-CN"/>
              </w:rPr>
              <w:t>、南江县城镇空间（ZH51192220001）</w:t>
            </w:r>
            <w:r>
              <w:rPr>
                <w:rFonts w:hint="eastAsia" w:eastAsia="宋体" w:cs="Times New Roman"/>
                <w:bCs/>
                <w:color w:val="auto"/>
                <w:szCs w:val="21"/>
                <w:lang w:val="en-US" w:eastAsia="zh-CN"/>
              </w:rPr>
              <w:t>和南江县一般管控单元（ZH51192230001）</w:t>
            </w:r>
            <w:r>
              <w:rPr>
                <w:rFonts w:hint="default" w:ascii="Times New Roman" w:hAnsi="Times New Roman" w:eastAsia="宋体" w:cs="Times New Roman"/>
                <w:bCs/>
                <w:color w:val="auto"/>
                <w:szCs w:val="21"/>
              </w:rPr>
              <w:t>。</w:t>
            </w:r>
          </w:p>
          <w:p w14:paraId="427ACC97">
            <w:pPr>
              <w:keepNext w:val="0"/>
              <w:keepLines w:val="0"/>
              <w:pageBreakBefore w:val="0"/>
              <w:widowControl w:val="0"/>
              <w:suppressLineNumbers w:val="0"/>
              <w:tabs>
                <w:tab w:val="left" w:pos="3240"/>
              </w:tabs>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表1-</w:t>
            </w:r>
            <w:r>
              <w:rPr>
                <w:rFonts w:hint="eastAsia" w:eastAsia="黑体" w:cs="Times New Roman"/>
                <w:color w:val="auto"/>
                <w:szCs w:val="21"/>
                <w:highlight w:val="none"/>
                <w:lang w:val="en-US" w:eastAsia="zh-CN"/>
              </w:rPr>
              <w:t>6</w:t>
            </w:r>
            <w:r>
              <w:rPr>
                <w:rFonts w:hint="default" w:ascii="Times New Roman" w:hAnsi="Times New Roman" w:eastAsia="黑体" w:cs="Times New Roman"/>
                <w:color w:val="auto"/>
                <w:szCs w:val="21"/>
                <w:highlight w:val="none"/>
              </w:rPr>
              <w:t xml:space="preserve">  项目涉及的</w:t>
            </w:r>
            <w:r>
              <w:rPr>
                <w:rFonts w:hint="default" w:ascii="Times New Roman" w:hAnsi="Times New Roman" w:eastAsia="黑体" w:cs="Times New Roman"/>
                <w:color w:val="auto"/>
                <w:szCs w:val="21"/>
                <w:highlight w:val="none"/>
                <w:lang w:val="en-US" w:eastAsia="zh-CN"/>
              </w:rPr>
              <w:t>生态环境</w:t>
            </w:r>
            <w:r>
              <w:rPr>
                <w:rFonts w:hint="default" w:ascii="Times New Roman" w:hAnsi="Times New Roman" w:eastAsia="黑体" w:cs="Times New Roman"/>
                <w:color w:val="auto"/>
                <w:szCs w:val="21"/>
                <w:highlight w:val="none"/>
              </w:rPr>
              <w:t>管控单元表</w:t>
            </w:r>
          </w:p>
          <w:tbl>
            <w:tblPr>
              <w:tblStyle w:val="25"/>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69"/>
              <w:gridCol w:w="2449"/>
              <w:gridCol w:w="1611"/>
              <w:gridCol w:w="1581"/>
              <w:gridCol w:w="1884"/>
            </w:tblGrid>
            <w:tr w14:paraId="2244D6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33" w:type="pct"/>
                  <w:tcBorders>
                    <w:tl2br w:val="nil"/>
                    <w:tr2bl w:val="nil"/>
                  </w:tcBorders>
                  <w:vAlign w:val="center"/>
                </w:tcPr>
                <w:p w14:paraId="16F8BF6A">
                  <w:pPr>
                    <w:keepNext w:val="0"/>
                    <w:keepLines w:val="0"/>
                    <w:suppressLineNumbers w:val="0"/>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序号</w:t>
                  </w:r>
                </w:p>
              </w:tc>
              <w:tc>
                <w:tcPr>
                  <w:tcW w:w="1551" w:type="pct"/>
                  <w:tcBorders>
                    <w:tl2br w:val="nil"/>
                    <w:tr2bl w:val="nil"/>
                  </w:tcBorders>
                  <w:vAlign w:val="center"/>
                </w:tcPr>
                <w:p w14:paraId="77129A06">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管控单元名称</w:t>
                  </w:r>
                </w:p>
              </w:tc>
              <w:tc>
                <w:tcPr>
                  <w:tcW w:w="1020" w:type="pct"/>
                  <w:tcBorders>
                    <w:tl2br w:val="nil"/>
                    <w:tr2bl w:val="nil"/>
                  </w:tcBorders>
                  <w:vAlign w:val="center"/>
                </w:tcPr>
                <w:p w14:paraId="247C9857">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管控单元编码</w:t>
                  </w:r>
                </w:p>
              </w:tc>
              <w:tc>
                <w:tcPr>
                  <w:tcW w:w="1001" w:type="pct"/>
                  <w:tcBorders>
                    <w:tl2br w:val="nil"/>
                    <w:tr2bl w:val="nil"/>
                  </w:tcBorders>
                  <w:vAlign w:val="center"/>
                </w:tcPr>
                <w:p w14:paraId="1F30D810">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行政区划</w:t>
                  </w:r>
                </w:p>
              </w:tc>
              <w:tc>
                <w:tcPr>
                  <w:tcW w:w="1193" w:type="pct"/>
                  <w:tcBorders>
                    <w:tl2br w:val="nil"/>
                    <w:tr2bl w:val="nil"/>
                  </w:tcBorders>
                  <w:vAlign w:val="center"/>
                </w:tcPr>
                <w:p w14:paraId="01E87038">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管控单元类型</w:t>
                  </w:r>
                </w:p>
              </w:tc>
            </w:tr>
            <w:tr w14:paraId="7C2F5E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233" w:type="pct"/>
                  <w:tcBorders>
                    <w:tl2br w:val="nil"/>
                    <w:tr2bl w:val="nil"/>
                  </w:tcBorders>
                  <w:vAlign w:val="center"/>
                </w:tcPr>
                <w:p w14:paraId="3D0BD45A">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b/>
                      <w:bCs/>
                      <w:color w:val="auto"/>
                      <w:sz w:val="18"/>
                      <w:szCs w:val="18"/>
                      <w:highlight w:val="none"/>
                      <w:lang w:val="en-US" w:eastAsia="zh-CN"/>
                    </w:rPr>
                  </w:pPr>
                  <w:r>
                    <w:rPr>
                      <w:rFonts w:hint="default" w:ascii="Times New Roman" w:hAnsi="Times New Roman" w:cs="Times New Roman" w:eastAsiaTheme="majorEastAsia"/>
                      <w:b/>
                      <w:bCs/>
                      <w:color w:val="auto"/>
                      <w:sz w:val="18"/>
                      <w:szCs w:val="18"/>
                      <w:highlight w:val="none"/>
                      <w:lang w:val="en-US" w:eastAsia="zh-CN"/>
                    </w:rPr>
                    <w:t>1</w:t>
                  </w:r>
                </w:p>
              </w:tc>
              <w:tc>
                <w:tcPr>
                  <w:tcW w:w="2449" w:type="dxa"/>
                  <w:tcBorders>
                    <w:tl2br w:val="nil"/>
                    <w:tr2bl w:val="nil"/>
                  </w:tcBorders>
                  <w:vAlign w:val="center"/>
                </w:tcPr>
                <w:p w14:paraId="2C708A40">
                  <w:pPr>
                    <w:wordWrap w:val="0"/>
                    <w:spacing w:line="360" w:lineRule="auto"/>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恩阳区要素重点管控单元</w:t>
                  </w:r>
                </w:p>
              </w:tc>
              <w:tc>
                <w:tcPr>
                  <w:tcW w:w="1611" w:type="dxa"/>
                  <w:tcBorders>
                    <w:tl2br w:val="nil"/>
                    <w:tr2bl w:val="nil"/>
                  </w:tcBorders>
                  <w:vAlign w:val="center"/>
                </w:tcPr>
                <w:p w14:paraId="4EBD22B9">
                  <w:pPr>
                    <w:wordWrap w:val="0"/>
                    <w:spacing w:line="360" w:lineRule="auto"/>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ZH51190320005</w:t>
                  </w:r>
                </w:p>
              </w:tc>
              <w:tc>
                <w:tcPr>
                  <w:tcW w:w="1581" w:type="dxa"/>
                  <w:tcBorders>
                    <w:tl2br w:val="nil"/>
                    <w:tr2bl w:val="nil"/>
                  </w:tcBorders>
                  <w:vAlign w:val="center"/>
                </w:tcPr>
                <w:p w14:paraId="10D8BF12">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巴中市恩阳区</w:t>
                  </w:r>
                </w:p>
              </w:tc>
              <w:tc>
                <w:tcPr>
                  <w:tcW w:w="1884" w:type="dxa"/>
                  <w:tcBorders>
                    <w:tl2br w:val="nil"/>
                    <w:tr2bl w:val="nil"/>
                  </w:tcBorders>
                  <w:vAlign w:val="center"/>
                </w:tcPr>
                <w:p w14:paraId="6D9F9CFB">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要素重点管控单元</w:t>
                  </w:r>
                </w:p>
              </w:tc>
            </w:tr>
            <w:tr w14:paraId="5FFB50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233" w:type="pct"/>
                  <w:tcBorders>
                    <w:tl2br w:val="nil"/>
                    <w:tr2bl w:val="nil"/>
                  </w:tcBorders>
                  <w:vAlign w:val="center"/>
                </w:tcPr>
                <w:p w14:paraId="7E5C3201">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b/>
                      <w:bCs/>
                      <w:color w:val="auto"/>
                      <w:sz w:val="18"/>
                      <w:szCs w:val="18"/>
                      <w:highlight w:val="none"/>
                      <w:lang w:val="en-US" w:eastAsia="zh-CN"/>
                    </w:rPr>
                  </w:pPr>
                  <w:r>
                    <w:rPr>
                      <w:rFonts w:hint="default" w:ascii="Times New Roman" w:hAnsi="Times New Roman" w:cs="Times New Roman" w:eastAsiaTheme="majorEastAsia"/>
                      <w:b/>
                      <w:bCs/>
                      <w:color w:val="auto"/>
                      <w:sz w:val="18"/>
                      <w:szCs w:val="18"/>
                      <w:highlight w:val="none"/>
                      <w:lang w:val="en-US" w:eastAsia="zh-CN"/>
                    </w:rPr>
                    <w:t>2</w:t>
                  </w:r>
                </w:p>
              </w:tc>
              <w:tc>
                <w:tcPr>
                  <w:tcW w:w="2449" w:type="dxa"/>
                  <w:tcBorders>
                    <w:tl2br w:val="nil"/>
                    <w:tr2bl w:val="nil"/>
                  </w:tcBorders>
                  <w:vAlign w:val="center"/>
                </w:tcPr>
                <w:p w14:paraId="0BAF9D81">
                  <w:pPr>
                    <w:wordWrap w:val="0"/>
                    <w:spacing w:line="360" w:lineRule="auto"/>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巴州区要素重点管控单元</w:t>
                  </w:r>
                </w:p>
              </w:tc>
              <w:tc>
                <w:tcPr>
                  <w:tcW w:w="1611" w:type="dxa"/>
                  <w:tcBorders>
                    <w:tl2br w:val="nil"/>
                    <w:tr2bl w:val="nil"/>
                  </w:tcBorders>
                  <w:vAlign w:val="center"/>
                </w:tcPr>
                <w:p w14:paraId="4B9CFEB6">
                  <w:pPr>
                    <w:wordWrap w:val="0"/>
                    <w:spacing w:line="360" w:lineRule="auto"/>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ZH51190220007</w:t>
                  </w:r>
                </w:p>
              </w:tc>
              <w:tc>
                <w:tcPr>
                  <w:tcW w:w="1581" w:type="dxa"/>
                  <w:tcBorders>
                    <w:tl2br w:val="nil"/>
                    <w:tr2bl w:val="nil"/>
                  </w:tcBorders>
                  <w:vAlign w:val="center"/>
                </w:tcPr>
                <w:p w14:paraId="30CE61F8">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巴中市巴州区</w:t>
                  </w:r>
                </w:p>
              </w:tc>
              <w:tc>
                <w:tcPr>
                  <w:tcW w:w="1884" w:type="dxa"/>
                  <w:tcBorders>
                    <w:tl2br w:val="nil"/>
                    <w:tr2bl w:val="nil"/>
                  </w:tcBorders>
                  <w:vAlign w:val="center"/>
                </w:tcPr>
                <w:p w14:paraId="4A291E87">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要素重点管控单元</w:t>
                  </w:r>
                </w:p>
              </w:tc>
            </w:tr>
            <w:tr w14:paraId="168685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233" w:type="pct"/>
                  <w:tcBorders>
                    <w:tl2br w:val="nil"/>
                    <w:tr2bl w:val="nil"/>
                  </w:tcBorders>
                  <w:vAlign w:val="center"/>
                </w:tcPr>
                <w:p w14:paraId="44733700">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b/>
                      <w:bCs/>
                      <w:color w:val="auto"/>
                      <w:sz w:val="18"/>
                      <w:szCs w:val="18"/>
                      <w:highlight w:val="none"/>
                      <w:lang w:val="en-US" w:eastAsia="zh-CN"/>
                    </w:rPr>
                  </w:pPr>
                  <w:r>
                    <w:rPr>
                      <w:rFonts w:hint="eastAsia" w:cs="Times New Roman" w:eastAsiaTheme="majorEastAsia"/>
                      <w:b/>
                      <w:bCs/>
                      <w:color w:val="auto"/>
                      <w:sz w:val="18"/>
                      <w:szCs w:val="18"/>
                      <w:highlight w:val="none"/>
                      <w:lang w:val="en-US" w:eastAsia="zh-CN"/>
                    </w:rPr>
                    <w:t>3</w:t>
                  </w:r>
                </w:p>
              </w:tc>
              <w:tc>
                <w:tcPr>
                  <w:tcW w:w="2449" w:type="dxa"/>
                  <w:tcBorders>
                    <w:tl2br w:val="nil"/>
                    <w:tr2bl w:val="nil"/>
                  </w:tcBorders>
                  <w:vAlign w:val="center"/>
                </w:tcPr>
                <w:p w14:paraId="18E614E6">
                  <w:pPr>
                    <w:wordWrap w:val="0"/>
                    <w:spacing w:line="360" w:lineRule="auto"/>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南江县城镇空间</w:t>
                  </w:r>
                </w:p>
              </w:tc>
              <w:tc>
                <w:tcPr>
                  <w:tcW w:w="1611" w:type="dxa"/>
                  <w:tcBorders>
                    <w:tl2br w:val="nil"/>
                    <w:tr2bl w:val="nil"/>
                  </w:tcBorders>
                  <w:vAlign w:val="center"/>
                </w:tcPr>
                <w:p w14:paraId="092783B0">
                  <w:pPr>
                    <w:wordWrap w:val="0"/>
                    <w:spacing w:line="360" w:lineRule="auto"/>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ZH51192220001</w:t>
                  </w:r>
                </w:p>
              </w:tc>
              <w:tc>
                <w:tcPr>
                  <w:tcW w:w="1581" w:type="dxa"/>
                  <w:tcBorders>
                    <w:tl2br w:val="nil"/>
                    <w:tr2bl w:val="nil"/>
                  </w:tcBorders>
                  <w:vAlign w:val="center"/>
                </w:tcPr>
                <w:p w14:paraId="64CA57B8">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1884" w:type="dxa"/>
                  <w:tcBorders>
                    <w:tl2br w:val="nil"/>
                    <w:tr2bl w:val="nil"/>
                  </w:tcBorders>
                  <w:vAlign w:val="center"/>
                </w:tcPr>
                <w:p w14:paraId="123B3B7D">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城镇重点管控单元</w:t>
                  </w:r>
                </w:p>
              </w:tc>
            </w:tr>
            <w:tr w14:paraId="2691C5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233" w:type="pct"/>
                  <w:tcBorders>
                    <w:tl2br w:val="nil"/>
                    <w:tr2bl w:val="nil"/>
                  </w:tcBorders>
                  <w:vAlign w:val="center"/>
                </w:tcPr>
                <w:p w14:paraId="1D59871B">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b/>
                      <w:bCs/>
                      <w:color w:val="auto"/>
                      <w:sz w:val="18"/>
                      <w:szCs w:val="18"/>
                      <w:highlight w:val="none"/>
                      <w:lang w:val="en-US" w:eastAsia="zh-CN"/>
                    </w:rPr>
                  </w:pPr>
                  <w:r>
                    <w:rPr>
                      <w:rFonts w:hint="eastAsia" w:cs="Times New Roman" w:eastAsiaTheme="majorEastAsia"/>
                      <w:b/>
                      <w:bCs/>
                      <w:color w:val="auto"/>
                      <w:sz w:val="18"/>
                      <w:szCs w:val="18"/>
                      <w:highlight w:val="none"/>
                      <w:lang w:val="en-US" w:eastAsia="zh-CN"/>
                    </w:rPr>
                    <w:t>4</w:t>
                  </w:r>
                </w:p>
              </w:tc>
              <w:tc>
                <w:tcPr>
                  <w:tcW w:w="2449" w:type="dxa"/>
                  <w:tcBorders>
                    <w:tl2br w:val="nil"/>
                    <w:tr2bl w:val="nil"/>
                  </w:tcBorders>
                  <w:vAlign w:val="center"/>
                </w:tcPr>
                <w:p w14:paraId="6165FFBB">
                  <w:pPr>
                    <w:wordWrap w:val="0"/>
                    <w:spacing w:line="360" w:lineRule="auto"/>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南江县一般管控单元</w:t>
                  </w:r>
                </w:p>
              </w:tc>
              <w:tc>
                <w:tcPr>
                  <w:tcW w:w="1611" w:type="dxa"/>
                  <w:tcBorders>
                    <w:tl2br w:val="nil"/>
                    <w:tr2bl w:val="nil"/>
                  </w:tcBorders>
                  <w:vAlign w:val="center"/>
                </w:tcPr>
                <w:p w14:paraId="79E15717">
                  <w:pPr>
                    <w:wordWrap w:val="0"/>
                    <w:spacing w:line="360" w:lineRule="auto"/>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ZH51192230001</w:t>
                  </w:r>
                </w:p>
              </w:tc>
              <w:tc>
                <w:tcPr>
                  <w:tcW w:w="1581" w:type="dxa"/>
                  <w:tcBorders>
                    <w:tl2br w:val="nil"/>
                    <w:tr2bl w:val="nil"/>
                  </w:tcBorders>
                  <w:vAlign w:val="center"/>
                </w:tcPr>
                <w:p w14:paraId="7FBB539F">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1884" w:type="dxa"/>
                  <w:tcBorders>
                    <w:tl2br w:val="nil"/>
                    <w:tr2bl w:val="nil"/>
                  </w:tcBorders>
                  <w:vAlign w:val="center"/>
                </w:tcPr>
                <w:p w14:paraId="15D7277E">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一般管控单元</w:t>
                  </w:r>
                </w:p>
              </w:tc>
            </w:tr>
          </w:tbl>
          <w:p w14:paraId="6451ABF7">
            <w:pPr>
              <w:keepNext w:val="0"/>
              <w:keepLines w:val="0"/>
              <w:pageBreakBefore w:val="0"/>
              <w:widowControl w:val="0"/>
              <w:suppressLineNumbers w:val="0"/>
              <w:tabs>
                <w:tab w:val="left" w:pos="3240"/>
              </w:tabs>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表1-</w:t>
            </w:r>
            <w:r>
              <w:rPr>
                <w:rFonts w:hint="eastAsia" w:eastAsia="黑体" w:cs="Times New Roman"/>
                <w:color w:val="auto"/>
                <w:szCs w:val="21"/>
                <w:highlight w:val="none"/>
                <w:lang w:val="en-US" w:eastAsia="zh-CN"/>
              </w:rPr>
              <w:t>7</w:t>
            </w:r>
            <w:r>
              <w:rPr>
                <w:rFonts w:hint="default" w:ascii="Times New Roman" w:hAnsi="Times New Roman" w:eastAsia="黑体" w:cs="Times New Roman"/>
                <w:color w:val="auto"/>
                <w:szCs w:val="21"/>
                <w:highlight w:val="none"/>
              </w:rPr>
              <w:t xml:space="preserve">  项目涉及的环境要素管控分区表</w:t>
            </w:r>
          </w:p>
          <w:tbl>
            <w:tblPr>
              <w:tblStyle w:val="25"/>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12"/>
              <w:gridCol w:w="2320"/>
              <w:gridCol w:w="1549"/>
              <w:gridCol w:w="1255"/>
              <w:gridCol w:w="674"/>
              <w:gridCol w:w="1784"/>
            </w:tblGrid>
            <w:tr w14:paraId="19666C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7" w:type="pct"/>
                  <w:tcBorders>
                    <w:tl2br w:val="nil"/>
                    <w:tr2bl w:val="nil"/>
                  </w:tcBorders>
                  <w:vAlign w:val="center"/>
                </w:tcPr>
                <w:p w14:paraId="358882AA">
                  <w:pPr>
                    <w:keepNext w:val="0"/>
                    <w:keepLines w:val="0"/>
                    <w:suppressLineNumbers w:val="0"/>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序号</w:t>
                  </w:r>
                </w:p>
              </w:tc>
              <w:tc>
                <w:tcPr>
                  <w:tcW w:w="1469" w:type="pct"/>
                  <w:tcBorders>
                    <w:tl2br w:val="nil"/>
                    <w:tr2bl w:val="nil"/>
                  </w:tcBorders>
                  <w:vAlign w:val="center"/>
                </w:tcPr>
                <w:p w14:paraId="2FB49791">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要素管控分区名称</w:t>
                  </w:r>
                </w:p>
              </w:tc>
              <w:tc>
                <w:tcPr>
                  <w:tcW w:w="981" w:type="pct"/>
                  <w:tcBorders>
                    <w:tl2br w:val="nil"/>
                    <w:tr2bl w:val="nil"/>
                  </w:tcBorders>
                  <w:vAlign w:val="center"/>
                </w:tcPr>
                <w:p w14:paraId="4D55A6DB">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要素管控分区</w:t>
                  </w:r>
                </w:p>
                <w:p w14:paraId="4073C51D">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编码</w:t>
                  </w:r>
                </w:p>
              </w:tc>
              <w:tc>
                <w:tcPr>
                  <w:tcW w:w="794" w:type="pct"/>
                  <w:tcBorders>
                    <w:tl2br w:val="nil"/>
                    <w:tr2bl w:val="nil"/>
                  </w:tcBorders>
                  <w:vAlign w:val="center"/>
                </w:tcPr>
                <w:p w14:paraId="44F2E905">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行政区划</w:t>
                  </w:r>
                </w:p>
              </w:tc>
              <w:tc>
                <w:tcPr>
                  <w:tcW w:w="426" w:type="pct"/>
                  <w:tcBorders>
                    <w:tl2br w:val="nil"/>
                    <w:tr2bl w:val="nil"/>
                  </w:tcBorders>
                  <w:vAlign w:val="center"/>
                </w:tcPr>
                <w:p w14:paraId="4B82A226">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环境要素类型</w:t>
                  </w:r>
                </w:p>
              </w:tc>
              <w:tc>
                <w:tcPr>
                  <w:tcW w:w="1129" w:type="pct"/>
                  <w:tcBorders>
                    <w:tl2br w:val="nil"/>
                    <w:tr2bl w:val="nil"/>
                  </w:tcBorders>
                  <w:vAlign w:val="center"/>
                </w:tcPr>
                <w:p w14:paraId="418C024A">
                  <w:pPr>
                    <w:keepNext w:val="0"/>
                    <w:keepLines w:val="0"/>
                    <w:suppressLineNumbers w:val="0"/>
                    <w:tabs>
                      <w:tab w:val="left" w:pos="3240"/>
                    </w:tabs>
                    <w:spacing w:before="0" w:beforeAutospacing="0" w:after="0" w:afterAutospacing="0"/>
                    <w:ind w:left="0" w:right="0"/>
                    <w:jc w:val="center"/>
                    <w:rPr>
                      <w:rFonts w:hint="default" w:ascii="Times New Roman" w:hAnsi="Times New Roman" w:cs="Times New Roman" w:eastAsiaTheme="majorEastAsia"/>
                      <w:color w:val="auto"/>
                      <w:sz w:val="18"/>
                      <w:szCs w:val="18"/>
                      <w:highlight w:val="none"/>
                    </w:rPr>
                  </w:pPr>
                  <w:r>
                    <w:rPr>
                      <w:rFonts w:hint="default" w:ascii="Times New Roman" w:hAnsi="Times New Roman" w:cs="Times New Roman" w:eastAsiaTheme="majorEastAsia"/>
                      <w:color w:val="auto"/>
                      <w:sz w:val="18"/>
                      <w:szCs w:val="18"/>
                      <w:highlight w:val="none"/>
                    </w:rPr>
                    <w:t>环境要素细类</w:t>
                  </w:r>
                </w:p>
              </w:tc>
            </w:tr>
            <w:tr w14:paraId="2F8B50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224C3775">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default" w:ascii="Times New Roman" w:hAnsi="Times New Roman" w:cs="Times New Roman" w:eastAsiaTheme="minorEastAsia"/>
                      <w:color w:val="auto"/>
                      <w:spacing w:val="-9"/>
                      <w:sz w:val="18"/>
                      <w:szCs w:val="18"/>
                    </w:rPr>
                    <w:t>1</w:t>
                  </w:r>
                </w:p>
              </w:tc>
              <w:tc>
                <w:tcPr>
                  <w:tcW w:w="1469" w:type="pct"/>
                  <w:tcBorders>
                    <w:tl2br w:val="nil"/>
                    <w:tr2bl w:val="nil"/>
                  </w:tcBorders>
                  <w:vAlign w:val="center"/>
                </w:tcPr>
                <w:p w14:paraId="1355697F">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巴州区大气环境布局敏感重点管控区</w:t>
                  </w:r>
                </w:p>
              </w:tc>
              <w:tc>
                <w:tcPr>
                  <w:tcW w:w="981" w:type="pct"/>
                  <w:tcBorders>
                    <w:tl2br w:val="nil"/>
                    <w:tr2bl w:val="nil"/>
                  </w:tcBorders>
                  <w:vAlign w:val="center"/>
                </w:tcPr>
                <w:p w14:paraId="1888A9AC">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YS5119022320001</w:t>
                  </w:r>
                </w:p>
              </w:tc>
              <w:tc>
                <w:tcPr>
                  <w:tcW w:w="1255" w:type="dxa"/>
                  <w:tcBorders>
                    <w:tl2br w:val="nil"/>
                    <w:tr2bl w:val="nil"/>
                  </w:tcBorders>
                  <w:vAlign w:val="center"/>
                </w:tcPr>
                <w:p w14:paraId="55F53F27">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巴中市巴州区</w:t>
                  </w:r>
                </w:p>
              </w:tc>
              <w:tc>
                <w:tcPr>
                  <w:tcW w:w="674" w:type="dxa"/>
                  <w:tcBorders>
                    <w:tl2br w:val="nil"/>
                    <w:tr2bl w:val="nil"/>
                  </w:tcBorders>
                  <w:vAlign w:val="center"/>
                </w:tcPr>
                <w:p w14:paraId="551F5457">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大气</w:t>
                  </w:r>
                </w:p>
              </w:tc>
              <w:tc>
                <w:tcPr>
                  <w:tcW w:w="1784" w:type="dxa"/>
                  <w:tcBorders>
                    <w:tl2br w:val="nil"/>
                    <w:tr2bl w:val="nil"/>
                  </w:tcBorders>
                  <w:vAlign w:val="center"/>
                </w:tcPr>
                <w:p w14:paraId="5200D5F6">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大气环境布局敏感重点管控区</w:t>
                  </w:r>
                </w:p>
              </w:tc>
            </w:tr>
            <w:tr w14:paraId="3A3A4C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7988DC15">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default" w:ascii="Times New Roman" w:hAnsi="Times New Roman" w:cs="Times New Roman" w:eastAsiaTheme="minorEastAsia"/>
                      <w:color w:val="auto"/>
                      <w:spacing w:val="-9"/>
                      <w:sz w:val="18"/>
                      <w:szCs w:val="18"/>
                    </w:rPr>
                    <w:t>2</w:t>
                  </w:r>
                </w:p>
              </w:tc>
              <w:tc>
                <w:tcPr>
                  <w:tcW w:w="1469" w:type="pct"/>
                  <w:tcBorders>
                    <w:tl2br w:val="nil"/>
                    <w:tr2bl w:val="nil"/>
                  </w:tcBorders>
                  <w:vAlign w:val="center"/>
                </w:tcPr>
                <w:p w14:paraId="401D2C08">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巴州区高污染燃料禁燃区</w:t>
                  </w:r>
                </w:p>
              </w:tc>
              <w:tc>
                <w:tcPr>
                  <w:tcW w:w="981" w:type="pct"/>
                  <w:tcBorders>
                    <w:tl2br w:val="nil"/>
                    <w:tr2bl w:val="nil"/>
                  </w:tcBorders>
                  <w:vAlign w:val="center"/>
                </w:tcPr>
                <w:p w14:paraId="1B57757D">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YS5119022540001</w:t>
                  </w:r>
                </w:p>
              </w:tc>
              <w:tc>
                <w:tcPr>
                  <w:tcW w:w="1255" w:type="dxa"/>
                  <w:tcBorders>
                    <w:tl2br w:val="nil"/>
                    <w:tr2bl w:val="nil"/>
                  </w:tcBorders>
                  <w:vAlign w:val="center"/>
                </w:tcPr>
                <w:p w14:paraId="7D88E447">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巴中市巴州区</w:t>
                  </w:r>
                </w:p>
              </w:tc>
              <w:tc>
                <w:tcPr>
                  <w:tcW w:w="674" w:type="dxa"/>
                  <w:tcBorders>
                    <w:tl2br w:val="nil"/>
                    <w:tr2bl w:val="nil"/>
                  </w:tcBorders>
                  <w:vAlign w:val="center"/>
                </w:tcPr>
                <w:p w14:paraId="05652278">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09B6D99B">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11E51F34">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高污染燃料禁燃区</w:t>
                  </w:r>
                </w:p>
              </w:tc>
            </w:tr>
            <w:tr w14:paraId="60528E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25F7FED2">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default" w:ascii="Times New Roman" w:hAnsi="Times New Roman" w:cs="Times New Roman" w:eastAsiaTheme="minorEastAsia"/>
                      <w:color w:val="auto"/>
                      <w:spacing w:val="-9"/>
                      <w:sz w:val="18"/>
                      <w:szCs w:val="18"/>
                    </w:rPr>
                    <w:t>3</w:t>
                  </w:r>
                </w:p>
              </w:tc>
              <w:tc>
                <w:tcPr>
                  <w:tcW w:w="1469" w:type="pct"/>
                  <w:tcBorders>
                    <w:tl2br w:val="nil"/>
                    <w:tr2bl w:val="nil"/>
                  </w:tcBorders>
                  <w:vAlign w:val="center"/>
                </w:tcPr>
                <w:p w14:paraId="0A3708A0">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巴州区自然资源重点管控区</w:t>
                  </w:r>
                </w:p>
              </w:tc>
              <w:tc>
                <w:tcPr>
                  <w:tcW w:w="981" w:type="pct"/>
                  <w:tcBorders>
                    <w:tl2br w:val="nil"/>
                    <w:tr2bl w:val="nil"/>
                  </w:tcBorders>
                  <w:vAlign w:val="center"/>
                </w:tcPr>
                <w:p w14:paraId="3F30A87B">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YS5119022550001</w:t>
                  </w:r>
                </w:p>
              </w:tc>
              <w:tc>
                <w:tcPr>
                  <w:tcW w:w="1255" w:type="dxa"/>
                  <w:tcBorders>
                    <w:tl2br w:val="nil"/>
                    <w:tr2bl w:val="nil"/>
                  </w:tcBorders>
                  <w:vAlign w:val="center"/>
                </w:tcPr>
                <w:p w14:paraId="60C54FBF">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巴中市巴州区</w:t>
                  </w:r>
                </w:p>
              </w:tc>
              <w:tc>
                <w:tcPr>
                  <w:tcW w:w="674" w:type="dxa"/>
                  <w:tcBorders>
                    <w:tl2br w:val="nil"/>
                    <w:tr2bl w:val="nil"/>
                  </w:tcBorders>
                  <w:vAlign w:val="center"/>
                </w:tcPr>
                <w:p w14:paraId="55A895E5">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300182D3">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010C4A1E">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自然资源重点管控区</w:t>
                  </w:r>
                </w:p>
              </w:tc>
            </w:tr>
            <w:tr w14:paraId="0225A4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622" w:hRule="atLeast"/>
                <w:jc w:val="center"/>
              </w:trPr>
              <w:tc>
                <w:tcPr>
                  <w:tcW w:w="197" w:type="pct"/>
                  <w:tcBorders>
                    <w:tl2br w:val="nil"/>
                    <w:tr2bl w:val="nil"/>
                  </w:tcBorders>
                  <w:vAlign w:val="center"/>
                </w:tcPr>
                <w:p w14:paraId="060E3624">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default" w:ascii="Times New Roman" w:hAnsi="Times New Roman" w:cs="Times New Roman" w:eastAsiaTheme="minorEastAsia"/>
                      <w:color w:val="auto"/>
                      <w:spacing w:val="-9"/>
                      <w:sz w:val="18"/>
                      <w:szCs w:val="18"/>
                    </w:rPr>
                    <w:t>4</w:t>
                  </w:r>
                </w:p>
              </w:tc>
              <w:tc>
                <w:tcPr>
                  <w:tcW w:w="1469" w:type="pct"/>
                  <w:tcBorders>
                    <w:tl2br w:val="nil"/>
                    <w:tr2bl w:val="nil"/>
                  </w:tcBorders>
                  <w:vAlign w:val="center"/>
                </w:tcPr>
                <w:p w14:paraId="7E05F8AA">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巴州区其他区域</w:t>
                  </w:r>
                </w:p>
              </w:tc>
              <w:tc>
                <w:tcPr>
                  <w:tcW w:w="981" w:type="pct"/>
                  <w:tcBorders>
                    <w:tl2br w:val="nil"/>
                    <w:tr2bl w:val="nil"/>
                  </w:tcBorders>
                  <w:vAlign w:val="center"/>
                </w:tcPr>
                <w:p w14:paraId="1A571087">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YS5119023110001</w:t>
                  </w:r>
                </w:p>
              </w:tc>
              <w:tc>
                <w:tcPr>
                  <w:tcW w:w="1255" w:type="dxa"/>
                  <w:tcBorders>
                    <w:tl2br w:val="nil"/>
                    <w:tr2bl w:val="nil"/>
                  </w:tcBorders>
                  <w:vAlign w:val="center"/>
                </w:tcPr>
                <w:p w14:paraId="3CF9A8AE">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巴中市巴州区</w:t>
                  </w:r>
                </w:p>
              </w:tc>
              <w:tc>
                <w:tcPr>
                  <w:tcW w:w="674" w:type="dxa"/>
                  <w:tcBorders>
                    <w:tl2br w:val="nil"/>
                    <w:tr2bl w:val="nil"/>
                  </w:tcBorders>
                  <w:vAlign w:val="center"/>
                </w:tcPr>
                <w:p w14:paraId="61018AF1">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生态</w:t>
                  </w:r>
                </w:p>
              </w:tc>
              <w:tc>
                <w:tcPr>
                  <w:tcW w:w="1784" w:type="dxa"/>
                  <w:tcBorders>
                    <w:tl2br w:val="nil"/>
                    <w:tr2bl w:val="nil"/>
                  </w:tcBorders>
                  <w:vAlign w:val="center"/>
                </w:tcPr>
                <w:p w14:paraId="3BC7B986">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一般管控区</w:t>
                  </w:r>
                </w:p>
              </w:tc>
            </w:tr>
            <w:tr w14:paraId="2E27A7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567A66F9">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default" w:ascii="Times New Roman" w:hAnsi="Times New Roman" w:cs="Times New Roman" w:eastAsiaTheme="minorEastAsia"/>
                      <w:color w:val="auto"/>
                      <w:spacing w:val="-9"/>
                      <w:sz w:val="18"/>
                      <w:szCs w:val="18"/>
                    </w:rPr>
                    <w:t>5</w:t>
                  </w:r>
                </w:p>
              </w:tc>
              <w:tc>
                <w:tcPr>
                  <w:tcW w:w="1469" w:type="pct"/>
                  <w:tcBorders>
                    <w:tl2br w:val="nil"/>
                    <w:tr2bl w:val="nil"/>
                  </w:tcBorders>
                  <w:vAlign w:val="center"/>
                </w:tcPr>
                <w:p w14:paraId="527B2A11">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巴河-巴州区-手傍岩-控制单元</w:t>
                  </w:r>
                </w:p>
              </w:tc>
              <w:tc>
                <w:tcPr>
                  <w:tcW w:w="981" w:type="pct"/>
                  <w:tcBorders>
                    <w:tl2br w:val="nil"/>
                    <w:tr2bl w:val="nil"/>
                  </w:tcBorders>
                  <w:vAlign w:val="center"/>
                </w:tcPr>
                <w:p w14:paraId="24ABAA98">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YS5119023210003</w:t>
                  </w:r>
                </w:p>
              </w:tc>
              <w:tc>
                <w:tcPr>
                  <w:tcW w:w="1255" w:type="dxa"/>
                  <w:tcBorders>
                    <w:tl2br w:val="nil"/>
                    <w:tr2bl w:val="nil"/>
                  </w:tcBorders>
                  <w:vAlign w:val="center"/>
                </w:tcPr>
                <w:p w14:paraId="1C6FB886">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巴中市巴州区</w:t>
                  </w:r>
                </w:p>
              </w:tc>
              <w:tc>
                <w:tcPr>
                  <w:tcW w:w="674" w:type="dxa"/>
                  <w:tcBorders>
                    <w:tl2br w:val="nil"/>
                    <w:tr2bl w:val="nil"/>
                  </w:tcBorders>
                  <w:vAlign w:val="center"/>
                </w:tcPr>
                <w:p w14:paraId="28A0E56B">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水</w:t>
                  </w:r>
                </w:p>
              </w:tc>
              <w:tc>
                <w:tcPr>
                  <w:tcW w:w="1784" w:type="dxa"/>
                  <w:tcBorders>
                    <w:tl2br w:val="nil"/>
                    <w:tr2bl w:val="nil"/>
                  </w:tcBorders>
                  <w:vAlign w:val="center"/>
                </w:tcPr>
                <w:p w14:paraId="7FFFA930">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水环境一般管控区</w:t>
                  </w:r>
                </w:p>
              </w:tc>
            </w:tr>
            <w:tr w14:paraId="003B00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4C38BDCF">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default" w:ascii="Times New Roman" w:hAnsi="Times New Roman" w:cs="Times New Roman" w:eastAsiaTheme="minorEastAsia"/>
                      <w:color w:val="auto"/>
                      <w:spacing w:val="-9"/>
                      <w:sz w:val="18"/>
                      <w:szCs w:val="18"/>
                    </w:rPr>
                    <w:t>6</w:t>
                  </w:r>
                </w:p>
              </w:tc>
              <w:tc>
                <w:tcPr>
                  <w:tcW w:w="1469" w:type="pct"/>
                  <w:tcBorders>
                    <w:tl2br w:val="nil"/>
                    <w:tr2bl w:val="nil"/>
                  </w:tcBorders>
                  <w:vAlign w:val="center"/>
                </w:tcPr>
                <w:p w14:paraId="146850E5">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恩阳河-巴州区-小元村-控制单元</w:t>
                  </w:r>
                </w:p>
              </w:tc>
              <w:tc>
                <w:tcPr>
                  <w:tcW w:w="981" w:type="pct"/>
                  <w:tcBorders>
                    <w:tl2br w:val="nil"/>
                    <w:tr2bl w:val="nil"/>
                  </w:tcBorders>
                  <w:vAlign w:val="center"/>
                </w:tcPr>
                <w:p w14:paraId="1EB1A5A0">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YS5119023210004</w:t>
                  </w:r>
                </w:p>
              </w:tc>
              <w:tc>
                <w:tcPr>
                  <w:tcW w:w="1255" w:type="dxa"/>
                  <w:tcBorders>
                    <w:tl2br w:val="nil"/>
                    <w:tr2bl w:val="nil"/>
                  </w:tcBorders>
                  <w:vAlign w:val="center"/>
                </w:tcPr>
                <w:p w14:paraId="5559C8C9">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巴中市巴州区</w:t>
                  </w:r>
                </w:p>
              </w:tc>
              <w:tc>
                <w:tcPr>
                  <w:tcW w:w="674" w:type="dxa"/>
                  <w:tcBorders>
                    <w:tl2br w:val="nil"/>
                    <w:tr2bl w:val="nil"/>
                  </w:tcBorders>
                  <w:vAlign w:val="center"/>
                </w:tcPr>
                <w:p w14:paraId="20A62D5F">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水</w:t>
                  </w:r>
                </w:p>
              </w:tc>
              <w:tc>
                <w:tcPr>
                  <w:tcW w:w="1784" w:type="dxa"/>
                  <w:tcBorders>
                    <w:tl2br w:val="nil"/>
                    <w:tr2bl w:val="nil"/>
                  </w:tcBorders>
                  <w:vAlign w:val="center"/>
                </w:tcPr>
                <w:p w14:paraId="3A31A36A">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水环境一般管控区</w:t>
                  </w:r>
                </w:p>
              </w:tc>
            </w:tr>
            <w:tr w14:paraId="7ACC77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2DA9E8D3">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default" w:ascii="Times New Roman" w:hAnsi="Times New Roman" w:cs="Times New Roman" w:eastAsiaTheme="minorEastAsia"/>
                      <w:color w:val="auto"/>
                      <w:spacing w:val="-9"/>
                      <w:sz w:val="18"/>
                      <w:szCs w:val="18"/>
                    </w:rPr>
                    <w:t>7</w:t>
                  </w:r>
                </w:p>
              </w:tc>
              <w:tc>
                <w:tcPr>
                  <w:tcW w:w="1469" w:type="pct"/>
                  <w:tcBorders>
                    <w:tl2br w:val="nil"/>
                    <w:tr2bl w:val="nil"/>
                  </w:tcBorders>
                  <w:vAlign w:val="center"/>
                </w:tcPr>
                <w:p w14:paraId="7424CCE0">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巴州区自然资源一般管控区</w:t>
                  </w:r>
                </w:p>
              </w:tc>
              <w:tc>
                <w:tcPr>
                  <w:tcW w:w="981" w:type="pct"/>
                  <w:tcBorders>
                    <w:tl2br w:val="nil"/>
                    <w:tr2bl w:val="nil"/>
                  </w:tcBorders>
                  <w:vAlign w:val="center"/>
                </w:tcPr>
                <w:p w14:paraId="233942FF">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YS5119023510001</w:t>
                  </w:r>
                </w:p>
              </w:tc>
              <w:tc>
                <w:tcPr>
                  <w:tcW w:w="1255" w:type="dxa"/>
                  <w:tcBorders>
                    <w:tl2br w:val="nil"/>
                    <w:tr2bl w:val="nil"/>
                  </w:tcBorders>
                  <w:vAlign w:val="center"/>
                </w:tcPr>
                <w:p w14:paraId="7B1C7071">
                  <w:pPr>
                    <w:spacing w:before="0" w:after="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b w:val="0"/>
                      <w:sz w:val="18"/>
                      <w:szCs w:val="18"/>
                    </w:rPr>
                    <w:t>巴中市巴州区</w:t>
                  </w:r>
                </w:p>
              </w:tc>
              <w:tc>
                <w:tcPr>
                  <w:tcW w:w="674" w:type="dxa"/>
                  <w:tcBorders>
                    <w:tl2br w:val="nil"/>
                    <w:tr2bl w:val="nil"/>
                  </w:tcBorders>
                  <w:vAlign w:val="center"/>
                </w:tcPr>
                <w:p w14:paraId="3E3B9D45">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1798BA40">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4F671286">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自然资源一般管控区</w:t>
                  </w:r>
                </w:p>
              </w:tc>
            </w:tr>
            <w:tr w14:paraId="48D5D2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70498C18">
                  <w:pPr>
                    <w:pStyle w:val="79"/>
                    <w:keepNext w:val="0"/>
                    <w:keepLines w:val="0"/>
                    <w:suppressLineNumbers w:val="0"/>
                    <w:spacing w:before="0" w:beforeAutospacing="0" w:after="0" w:afterAutospacing="0" w:line="240" w:lineRule="auto"/>
                    <w:ind w:left="0" w:leftChars="0" w:right="0"/>
                    <w:jc w:val="center"/>
                    <w:rPr>
                      <w:rFonts w:hint="eastAsia"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8</w:t>
                  </w:r>
                </w:p>
              </w:tc>
              <w:tc>
                <w:tcPr>
                  <w:tcW w:w="1469" w:type="pct"/>
                  <w:tcBorders>
                    <w:tl2br w:val="nil"/>
                    <w:tr2bl w:val="nil"/>
                  </w:tcBorders>
                  <w:vAlign w:val="center"/>
                </w:tcPr>
                <w:p w14:paraId="6FC643DE">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恩阳区大气环境布局敏感重点管控区</w:t>
                  </w:r>
                </w:p>
              </w:tc>
              <w:tc>
                <w:tcPr>
                  <w:tcW w:w="981" w:type="pct"/>
                  <w:tcBorders>
                    <w:tl2br w:val="nil"/>
                    <w:tr2bl w:val="nil"/>
                  </w:tcBorders>
                  <w:vAlign w:val="center"/>
                </w:tcPr>
                <w:p w14:paraId="149FD901">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YS5119032320001</w:t>
                  </w:r>
                </w:p>
              </w:tc>
              <w:tc>
                <w:tcPr>
                  <w:tcW w:w="1255" w:type="dxa"/>
                  <w:tcBorders>
                    <w:tl2br w:val="nil"/>
                    <w:tr2bl w:val="nil"/>
                  </w:tcBorders>
                  <w:vAlign w:val="center"/>
                </w:tcPr>
                <w:p w14:paraId="0EDCA770">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巴中市恩阳区</w:t>
                  </w:r>
                </w:p>
              </w:tc>
              <w:tc>
                <w:tcPr>
                  <w:tcW w:w="674" w:type="dxa"/>
                  <w:tcBorders>
                    <w:tl2br w:val="nil"/>
                    <w:tr2bl w:val="nil"/>
                  </w:tcBorders>
                  <w:vAlign w:val="center"/>
                </w:tcPr>
                <w:p w14:paraId="20E7B4C4">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大气</w:t>
                  </w:r>
                </w:p>
              </w:tc>
              <w:tc>
                <w:tcPr>
                  <w:tcW w:w="1784" w:type="dxa"/>
                  <w:tcBorders>
                    <w:tl2br w:val="nil"/>
                    <w:tr2bl w:val="nil"/>
                  </w:tcBorders>
                  <w:vAlign w:val="center"/>
                </w:tcPr>
                <w:p w14:paraId="778F5EDE">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大气环境布局敏感重点管控区</w:t>
                  </w:r>
                </w:p>
              </w:tc>
            </w:tr>
            <w:tr w14:paraId="1455A8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2F577F92">
                  <w:pPr>
                    <w:pStyle w:val="79"/>
                    <w:keepNext w:val="0"/>
                    <w:keepLines w:val="0"/>
                    <w:suppressLineNumbers w:val="0"/>
                    <w:spacing w:before="0" w:beforeAutospacing="0" w:after="0" w:afterAutospacing="0" w:line="240" w:lineRule="auto"/>
                    <w:ind w:left="0" w:leftChars="0" w:right="0"/>
                    <w:jc w:val="center"/>
                    <w:rPr>
                      <w:rFonts w:hint="eastAsia"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9</w:t>
                  </w:r>
                </w:p>
              </w:tc>
              <w:tc>
                <w:tcPr>
                  <w:tcW w:w="1469" w:type="pct"/>
                  <w:tcBorders>
                    <w:tl2br w:val="nil"/>
                    <w:tr2bl w:val="nil"/>
                  </w:tcBorders>
                  <w:vAlign w:val="center"/>
                </w:tcPr>
                <w:p w14:paraId="2AB10ACB">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恩阳区高污染燃料禁燃区</w:t>
                  </w:r>
                </w:p>
              </w:tc>
              <w:tc>
                <w:tcPr>
                  <w:tcW w:w="981" w:type="pct"/>
                  <w:tcBorders>
                    <w:tl2br w:val="nil"/>
                    <w:tr2bl w:val="nil"/>
                  </w:tcBorders>
                  <w:vAlign w:val="center"/>
                </w:tcPr>
                <w:p w14:paraId="6C7E80A5">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YS5119032540001</w:t>
                  </w:r>
                </w:p>
              </w:tc>
              <w:tc>
                <w:tcPr>
                  <w:tcW w:w="1255" w:type="dxa"/>
                  <w:tcBorders>
                    <w:tl2br w:val="nil"/>
                    <w:tr2bl w:val="nil"/>
                  </w:tcBorders>
                  <w:vAlign w:val="center"/>
                </w:tcPr>
                <w:p w14:paraId="4907360D">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巴中市恩阳区</w:t>
                  </w:r>
                </w:p>
              </w:tc>
              <w:tc>
                <w:tcPr>
                  <w:tcW w:w="674" w:type="dxa"/>
                  <w:tcBorders>
                    <w:tl2br w:val="nil"/>
                    <w:tr2bl w:val="nil"/>
                  </w:tcBorders>
                  <w:vAlign w:val="center"/>
                </w:tcPr>
                <w:p w14:paraId="2457EB02">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2310EBD0">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3AB9DF22">
                  <w:pPr>
                    <w:spacing w:before="0" w:after="0"/>
                    <w:jc w:val="center"/>
                    <w:rPr>
                      <w:rFonts w:hint="default" w:ascii="Times New Roman" w:hAnsi="Times New Roman" w:eastAsia="宋体" w:cs="Times New Roman"/>
                      <w:color w:val="auto"/>
                      <w:sz w:val="18"/>
                      <w:szCs w:val="18"/>
                      <w:highlight w:val="none"/>
                      <w:lang w:val="en-US" w:eastAsia="en-US"/>
                    </w:rPr>
                  </w:pPr>
                  <w:r>
                    <w:rPr>
                      <w:rFonts w:hint="default" w:ascii="Times New Roman" w:hAnsi="Times New Roman" w:eastAsia="宋体" w:cs="Times New Roman"/>
                      <w:b w:val="0"/>
                      <w:sz w:val="18"/>
                      <w:szCs w:val="18"/>
                    </w:rPr>
                    <w:t>高污染燃料禁燃区</w:t>
                  </w:r>
                </w:p>
              </w:tc>
            </w:tr>
            <w:tr w14:paraId="5DC94F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18B6B921">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10</w:t>
                  </w:r>
                </w:p>
              </w:tc>
              <w:tc>
                <w:tcPr>
                  <w:tcW w:w="1469" w:type="pct"/>
                  <w:tcBorders>
                    <w:tl2br w:val="nil"/>
                    <w:tr2bl w:val="nil"/>
                  </w:tcBorders>
                  <w:vAlign w:val="center"/>
                </w:tcPr>
                <w:p w14:paraId="28FC633B">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恩阳区自然资源重点管控区</w:t>
                  </w:r>
                </w:p>
              </w:tc>
              <w:tc>
                <w:tcPr>
                  <w:tcW w:w="981" w:type="pct"/>
                  <w:tcBorders>
                    <w:tl2br w:val="nil"/>
                    <w:tr2bl w:val="nil"/>
                  </w:tcBorders>
                  <w:vAlign w:val="center"/>
                </w:tcPr>
                <w:p w14:paraId="6AAEEE15">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YS5119032550001</w:t>
                  </w:r>
                </w:p>
              </w:tc>
              <w:tc>
                <w:tcPr>
                  <w:tcW w:w="1255" w:type="dxa"/>
                  <w:tcBorders>
                    <w:tl2br w:val="nil"/>
                    <w:tr2bl w:val="nil"/>
                  </w:tcBorders>
                  <w:vAlign w:val="center"/>
                </w:tcPr>
                <w:p w14:paraId="62C677D0">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巴中市恩阳区</w:t>
                  </w:r>
                </w:p>
              </w:tc>
              <w:tc>
                <w:tcPr>
                  <w:tcW w:w="674" w:type="dxa"/>
                  <w:tcBorders>
                    <w:tl2br w:val="nil"/>
                    <w:tr2bl w:val="nil"/>
                  </w:tcBorders>
                  <w:vAlign w:val="center"/>
                </w:tcPr>
                <w:p w14:paraId="3465F4B0">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0DB2898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33B71C6B">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自然资源重点管控区</w:t>
                  </w:r>
                </w:p>
              </w:tc>
            </w:tr>
            <w:tr w14:paraId="362DFB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7B1D2EE9">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11</w:t>
                  </w:r>
                </w:p>
              </w:tc>
              <w:tc>
                <w:tcPr>
                  <w:tcW w:w="1469" w:type="pct"/>
                  <w:tcBorders>
                    <w:tl2br w:val="nil"/>
                    <w:tr2bl w:val="nil"/>
                  </w:tcBorders>
                  <w:vAlign w:val="center"/>
                </w:tcPr>
                <w:p w14:paraId="10BC5AF2">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恩阳区其他区域</w:t>
                  </w:r>
                </w:p>
              </w:tc>
              <w:tc>
                <w:tcPr>
                  <w:tcW w:w="981" w:type="pct"/>
                  <w:tcBorders>
                    <w:tl2br w:val="nil"/>
                    <w:tr2bl w:val="nil"/>
                  </w:tcBorders>
                  <w:vAlign w:val="center"/>
                </w:tcPr>
                <w:p w14:paraId="1C47C360">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YS5119033110001</w:t>
                  </w:r>
                </w:p>
              </w:tc>
              <w:tc>
                <w:tcPr>
                  <w:tcW w:w="1255" w:type="dxa"/>
                  <w:tcBorders>
                    <w:tl2br w:val="nil"/>
                    <w:tr2bl w:val="nil"/>
                  </w:tcBorders>
                  <w:vAlign w:val="center"/>
                </w:tcPr>
                <w:p w14:paraId="54D0A41A">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巴中市恩阳区</w:t>
                  </w:r>
                </w:p>
              </w:tc>
              <w:tc>
                <w:tcPr>
                  <w:tcW w:w="674" w:type="dxa"/>
                  <w:tcBorders>
                    <w:tl2br w:val="nil"/>
                    <w:tr2bl w:val="nil"/>
                  </w:tcBorders>
                  <w:vAlign w:val="center"/>
                </w:tcPr>
                <w:p w14:paraId="431F1253">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生态</w:t>
                  </w:r>
                </w:p>
              </w:tc>
              <w:tc>
                <w:tcPr>
                  <w:tcW w:w="1784" w:type="dxa"/>
                  <w:tcBorders>
                    <w:tl2br w:val="nil"/>
                    <w:tr2bl w:val="nil"/>
                  </w:tcBorders>
                  <w:vAlign w:val="center"/>
                </w:tcPr>
                <w:p w14:paraId="5E20AB9B">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一般管控区</w:t>
                  </w:r>
                </w:p>
              </w:tc>
            </w:tr>
            <w:tr w14:paraId="1C96D3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6DF16662">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12</w:t>
                  </w:r>
                </w:p>
              </w:tc>
              <w:tc>
                <w:tcPr>
                  <w:tcW w:w="1469" w:type="pct"/>
                  <w:tcBorders>
                    <w:tl2br w:val="nil"/>
                    <w:tr2bl w:val="nil"/>
                  </w:tcBorders>
                  <w:vAlign w:val="center"/>
                </w:tcPr>
                <w:p w14:paraId="5299B36E">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恩阳河-恩阳区-小元村-控制单元</w:t>
                  </w:r>
                </w:p>
              </w:tc>
              <w:tc>
                <w:tcPr>
                  <w:tcW w:w="981" w:type="pct"/>
                  <w:tcBorders>
                    <w:tl2br w:val="nil"/>
                    <w:tr2bl w:val="nil"/>
                  </w:tcBorders>
                  <w:vAlign w:val="center"/>
                </w:tcPr>
                <w:p w14:paraId="6AE3B73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YS5119033210001</w:t>
                  </w:r>
                </w:p>
              </w:tc>
              <w:tc>
                <w:tcPr>
                  <w:tcW w:w="1255" w:type="dxa"/>
                  <w:tcBorders>
                    <w:tl2br w:val="nil"/>
                    <w:tr2bl w:val="nil"/>
                  </w:tcBorders>
                  <w:vAlign w:val="center"/>
                </w:tcPr>
                <w:p w14:paraId="3B35C32C">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巴中市恩阳区</w:t>
                  </w:r>
                </w:p>
              </w:tc>
              <w:tc>
                <w:tcPr>
                  <w:tcW w:w="674" w:type="dxa"/>
                  <w:tcBorders>
                    <w:tl2br w:val="nil"/>
                    <w:tr2bl w:val="nil"/>
                  </w:tcBorders>
                  <w:vAlign w:val="center"/>
                </w:tcPr>
                <w:p w14:paraId="1E4C0D73">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水</w:t>
                  </w:r>
                </w:p>
              </w:tc>
              <w:tc>
                <w:tcPr>
                  <w:tcW w:w="1784" w:type="dxa"/>
                  <w:tcBorders>
                    <w:tl2br w:val="nil"/>
                    <w:tr2bl w:val="nil"/>
                  </w:tcBorders>
                  <w:vAlign w:val="center"/>
                </w:tcPr>
                <w:p w14:paraId="5FB3AA1C">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水环境一般管控区</w:t>
                  </w:r>
                </w:p>
              </w:tc>
            </w:tr>
            <w:tr w14:paraId="039599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772DCF01">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13</w:t>
                  </w:r>
                </w:p>
              </w:tc>
              <w:tc>
                <w:tcPr>
                  <w:tcW w:w="1469" w:type="pct"/>
                  <w:tcBorders>
                    <w:tl2br w:val="nil"/>
                    <w:tr2bl w:val="nil"/>
                  </w:tcBorders>
                  <w:vAlign w:val="center"/>
                </w:tcPr>
                <w:p w14:paraId="3311072F">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恩阳区自然资源一般管控区</w:t>
                  </w:r>
                </w:p>
              </w:tc>
              <w:tc>
                <w:tcPr>
                  <w:tcW w:w="981" w:type="pct"/>
                  <w:tcBorders>
                    <w:tl2br w:val="nil"/>
                    <w:tr2bl w:val="nil"/>
                  </w:tcBorders>
                  <w:vAlign w:val="center"/>
                </w:tcPr>
                <w:p w14:paraId="61DDB6FC">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YS5119033510001</w:t>
                  </w:r>
                </w:p>
              </w:tc>
              <w:tc>
                <w:tcPr>
                  <w:tcW w:w="1255" w:type="dxa"/>
                  <w:tcBorders>
                    <w:tl2br w:val="nil"/>
                    <w:tr2bl w:val="nil"/>
                  </w:tcBorders>
                  <w:vAlign w:val="center"/>
                </w:tcPr>
                <w:p w14:paraId="134B50A8">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巴中市恩阳区</w:t>
                  </w:r>
                </w:p>
              </w:tc>
              <w:tc>
                <w:tcPr>
                  <w:tcW w:w="674" w:type="dxa"/>
                  <w:tcBorders>
                    <w:tl2br w:val="nil"/>
                    <w:tr2bl w:val="nil"/>
                  </w:tcBorders>
                  <w:vAlign w:val="center"/>
                </w:tcPr>
                <w:p w14:paraId="268AFB27">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5448306B">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7D4AAE1D">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自然资源一般管控区</w:t>
                  </w:r>
                </w:p>
              </w:tc>
            </w:tr>
            <w:tr w14:paraId="1E9176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048D8014">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14</w:t>
                  </w:r>
                </w:p>
              </w:tc>
              <w:tc>
                <w:tcPr>
                  <w:tcW w:w="1469" w:type="pct"/>
                  <w:tcBorders>
                    <w:tl2br w:val="nil"/>
                    <w:tr2bl w:val="nil"/>
                  </w:tcBorders>
                  <w:vAlign w:val="center"/>
                </w:tcPr>
                <w:p w14:paraId="6689885C">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南江县大气环境布局敏感重点管控区</w:t>
                  </w:r>
                </w:p>
              </w:tc>
              <w:tc>
                <w:tcPr>
                  <w:tcW w:w="981" w:type="pct"/>
                  <w:tcBorders>
                    <w:tl2br w:val="nil"/>
                    <w:tr2bl w:val="nil"/>
                  </w:tcBorders>
                  <w:vAlign w:val="center"/>
                </w:tcPr>
                <w:p w14:paraId="08A74837">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YS5119222320001</w:t>
                  </w:r>
                </w:p>
              </w:tc>
              <w:tc>
                <w:tcPr>
                  <w:tcW w:w="1255" w:type="dxa"/>
                  <w:tcBorders>
                    <w:tl2br w:val="nil"/>
                    <w:tr2bl w:val="nil"/>
                  </w:tcBorders>
                  <w:vAlign w:val="center"/>
                </w:tcPr>
                <w:p w14:paraId="7B539961">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674" w:type="dxa"/>
                  <w:tcBorders>
                    <w:tl2br w:val="nil"/>
                    <w:tr2bl w:val="nil"/>
                  </w:tcBorders>
                  <w:vAlign w:val="center"/>
                </w:tcPr>
                <w:p w14:paraId="37F046C5">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大气</w:t>
                  </w:r>
                </w:p>
              </w:tc>
              <w:tc>
                <w:tcPr>
                  <w:tcW w:w="1784" w:type="dxa"/>
                  <w:tcBorders>
                    <w:tl2br w:val="nil"/>
                    <w:tr2bl w:val="nil"/>
                  </w:tcBorders>
                  <w:vAlign w:val="center"/>
                </w:tcPr>
                <w:p w14:paraId="191FDC21">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大气环境布局敏感重点管控区</w:t>
                  </w:r>
                </w:p>
              </w:tc>
            </w:tr>
            <w:tr w14:paraId="650E8D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7B445A8E">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15</w:t>
                  </w:r>
                </w:p>
              </w:tc>
              <w:tc>
                <w:tcPr>
                  <w:tcW w:w="1469" w:type="pct"/>
                  <w:tcBorders>
                    <w:tl2br w:val="nil"/>
                    <w:tr2bl w:val="nil"/>
                  </w:tcBorders>
                  <w:vAlign w:val="center"/>
                </w:tcPr>
                <w:p w14:paraId="4657BDED">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南江县城镇集中建设区</w:t>
                  </w:r>
                </w:p>
              </w:tc>
              <w:tc>
                <w:tcPr>
                  <w:tcW w:w="981" w:type="pct"/>
                  <w:tcBorders>
                    <w:tl2br w:val="nil"/>
                    <w:tr2bl w:val="nil"/>
                  </w:tcBorders>
                  <w:vAlign w:val="center"/>
                </w:tcPr>
                <w:p w14:paraId="4F4D57D1">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YS5119222340001</w:t>
                  </w:r>
                </w:p>
              </w:tc>
              <w:tc>
                <w:tcPr>
                  <w:tcW w:w="1255" w:type="dxa"/>
                  <w:tcBorders>
                    <w:tl2br w:val="nil"/>
                    <w:tr2bl w:val="nil"/>
                  </w:tcBorders>
                  <w:vAlign w:val="center"/>
                </w:tcPr>
                <w:p w14:paraId="5A161BF5">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674" w:type="dxa"/>
                  <w:tcBorders>
                    <w:tl2br w:val="nil"/>
                    <w:tr2bl w:val="nil"/>
                  </w:tcBorders>
                  <w:vAlign w:val="center"/>
                </w:tcPr>
                <w:p w14:paraId="38FE43DA">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大气</w:t>
                  </w:r>
                </w:p>
              </w:tc>
              <w:tc>
                <w:tcPr>
                  <w:tcW w:w="1784" w:type="dxa"/>
                  <w:tcBorders>
                    <w:tl2br w:val="nil"/>
                    <w:tr2bl w:val="nil"/>
                  </w:tcBorders>
                  <w:vAlign w:val="center"/>
                </w:tcPr>
                <w:p w14:paraId="645FD23A">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大气环境受体敏感重点管控区</w:t>
                  </w:r>
                </w:p>
              </w:tc>
            </w:tr>
            <w:tr w14:paraId="37E80B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1E88DC78">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16</w:t>
                  </w:r>
                </w:p>
              </w:tc>
              <w:tc>
                <w:tcPr>
                  <w:tcW w:w="1469" w:type="pct"/>
                  <w:tcBorders>
                    <w:tl2br w:val="nil"/>
                    <w:tr2bl w:val="nil"/>
                  </w:tcBorders>
                  <w:vAlign w:val="center"/>
                </w:tcPr>
                <w:p w14:paraId="7FE3C943">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南江县城镇开发边界</w:t>
                  </w:r>
                </w:p>
              </w:tc>
              <w:tc>
                <w:tcPr>
                  <w:tcW w:w="981" w:type="pct"/>
                  <w:tcBorders>
                    <w:tl2br w:val="nil"/>
                    <w:tr2bl w:val="nil"/>
                  </w:tcBorders>
                  <w:vAlign w:val="center"/>
                </w:tcPr>
                <w:p w14:paraId="54BD8585">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YS5119222530001</w:t>
                  </w:r>
                </w:p>
              </w:tc>
              <w:tc>
                <w:tcPr>
                  <w:tcW w:w="1255" w:type="dxa"/>
                  <w:tcBorders>
                    <w:tl2br w:val="nil"/>
                    <w:tr2bl w:val="nil"/>
                  </w:tcBorders>
                  <w:vAlign w:val="center"/>
                </w:tcPr>
                <w:p w14:paraId="0EE9F2F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674" w:type="dxa"/>
                  <w:tcBorders>
                    <w:tl2br w:val="nil"/>
                    <w:tr2bl w:val="nil"/>
                  </w:tcBorders>
                  <w:vAlign w:val="center"/>
                </w:tcPr>
                <w:p w14:paraId="058DCF4A">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4FC569BD">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7B3F602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土地资源重点管控区</w:t>
                  </w:r>
                </w:p>
              </w:tc>
            </w:tr>
            <w:tr w14:paraId="328C1F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7369BCE6">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17</w:t>
                  </w:r>
                </w:p>
              </w:tc>
              <w:tc>
                <w:tcPr>
                  <w:tcW w:w="1469" w:type="pct"/>
                  <w:tcBorders>
                    <w:tl2br w:val="nil"/>
                    <w:tr2bl w:val="nil"/>
                  </w:tcBorders>
                  <w:vAlign w:val="center"/>
                </w:tcPr>
                <w:p w14:paraId="2D63A085">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南江县自然资源重点管控区</w:t>
                  </w:r>
                </w:p>
              </w:tc>
              <w:tc>
                <w:tcPr>
                  <w:tcW w:w="981" w:type="pct"/>
                  <w:tcBorders>
                    <w:tl2br w:val="nil"/>
                    <w:tr2bl w:val="nil"/>
                  </w:tcBorders>
                  <w:vAlign w:val="center"/>
                </w:tcPr>
                <w:p w14:paraId="532D857B">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YS5119222550001</w:t>
                  </w:r>
                </w:p>
              </w:tc>
              <w:tc>
                <w:tcPr>
                  <w:tcW w:w="1255" w:type="dxa"/>
                  <w:tcBorders>
                    <w:tl2br w:val="nil"/>
                    <w:tr2bl w:val="nil"/>
                  </w:tcBorders>
                  <w:vAlign w:val="center"/>
                </w:tcPr>
                <w:p w14:paraId="69C62884">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674" w:type="dxa"/>
                  <w:tcBorders>
                    <w:tl2br w:val="nil"/>
                    <w:tr2bl w:val="nil"/>
                  </w:tcBorders>
                  <w:vAlign w:val="center"/>
                </w:tcPr>
                <w:p w14:paraId="5BE2145E">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5D4F7CF7">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2CDCE161">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自然资源重点管控区</w:t>
                  </w:r>
                </w:p>
              </w:tc>
            </w:tr>
            <w:tr w14:paraId="6B81B6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5143E540">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18</w:t>
                  </w:r>
                </w:p>
              </w:tc>
              <w:tc>
                <w:tcPr>
                  <w:tcW w:w="1469" w:type="pct"/>
                  <w:tcBorders>
                    <w:tl2br w:val="nil"/>
                    <w:tr2bl w:val="nil"/>
                  </w:tcBorders>
                  <w:vAlign w:val="center"/>
                </w:tcPr>
                <w:p w14:paraId="2EF4B2E7">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南江县其他区域</w:t>
                  </w:r>
                </w:p>
              </w:tc>
              <w:tc>
                <w:tcPr>
                  <w:tcW w:w="981" w:type="pct"/>
                  <w:tcBorders>
                    <w:tl2br w:val="nil"/>
                    <w:tr2bl w:val="nil"/>
                  </w:tcBorders>
                  <w:vAlign w:val="center"/>
                </w:tcPr>
                <w:p w14:paraId="240028BD">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YS5119223110001</w:t>
                  </w:r>
                </w:p>
              </w:tc>
              <w:tc>
                <w:tcPr>
                  <w:tcW w:w="1255" w:type="dxa"/>
                  <w:tcBorders>
                    <w:tl2br w:val="nil"/>
                    <w:tr2bl w:val="nil"/>
                  </w:tcBorders>
                  <w:vAlign w:val="center"/>
                </w:tcPr>
                <w:p w14:paraId="0C0794DD">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674" w:type="dxa"/>
                  <w:tcBorders>
                    <w:tl2br w:val="nil"/>
                    <w:tr2bl w:val="nil"/>
                  </w:tcBorders>
                  <w:vAlign w:val="center"/>
                </w:tcPr>
                <w:p w14:paraId="5D08A3D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生态</w:t>
                  </w:r>
                </w:p>
              </w:tc>
              <w:tc>
                <w:tcPr>
                  <w:tcW w:w="1784" w:type="dxa"/>
                  <w:tcBorders>
                    <w:tl2br w:val="nil"/>
                    <w:tr2bl w:val="nil"/>
                  </w:tcBorders>
                  <w:vAlign w:val="center"/>
                </w:tcPr>
                <w:p w14:paraId="2DF25F0A">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一般管控区</w:t>
                  </w:r>
                </w:p>
              </w:tc>
            </w:tr>
            <w:tr w14:paraId="615FA3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6236EB20">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19</w:t>
                  </w:r>
                </w:p>
              </w:tc>
              <w:tc>
                <w:tcPr>
                  <w:tcW w:w="1469" w:type="pct"/>
                  <w:tcBorders>
                    <w:tl2br w:val="nil"/>
                    <w:tr2bl w:val="nil"/>
                  </w:tcBorders>
                  <w:vAlign w:val="center"/>
                </w:tcPr>
                <w:p w14:paraId="6E6A424C">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恩阳河-南江县-雷破石-控制单元</w:t>
                  </w:r>
                </w:p>
              </w:tc>
              <w:tc>
                <w:tcPr>
                  <w:tcW w:w="981" w:type="pct"/>
                  <w:tcBorders>
                    <w:tl2br w:val="nil"/>
                    <w:tr2bl w:val="nil"/>
                  </w:tcBorders>
                  <w:vAlign w:val="center"/>
                </w:tcPr>
                <w:p w14:paraId="212B89A1">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YS5119223210001</w:t>
                  </w:r>
                </w:p>
              </w:tc>
              <w:tc>
                <w:tcPr>
                  <w:tcW w:w="1255" w:type="dxa"/>
                  <w:tcBorders>
                    <w:tl2br w:val="nil"/>
                    <w:tr2bl w:val="nil"/>
                  </w:tcBorders>
                  <w:vAlign w:val="center"/>
                </w:tcPr>
                <w:p w14:paraId="547B750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674" w:type="dxa"/>
                  <w:tcBorders>
                    <w:tl2br w:val="nil"/>
                    <w:tr2bl w:val="nil"/>
                  </w:tcBorders>
                  <w:vAlign w:val="center"/>
                </w:tcPr>
                <w:p w14:paraId="79F4187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水</w:t>
                  </w:r>
                </w:p>
              </w:tc>
              <w:tc>
                <w:tcPr>
                  <w:tcW w:w="1784" w:type="dxa"/>
                  <w:tcBorders>
                    <w:tl2br w:val="nil"/>
                    <w:tr2bl w:val="nil"/>
                  </w:tcBorders>
                  <w:vAlign w:val="center"/>
                </w:tcPr>
                <w:p w14:paraId="638B28FD">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水环境一般管控区</w:t>
                  </w:r>
                </w:p>
              </w:tc>
            </w:tr>
            <w:tr w14:paraId="4D96AF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97" w:type="pct"/>
                  <w:tcBorders>
                    <w:tl2br w:val="nil"/>
                    <w:tr2bl w:val="nil"/>
                  </w:tcBorders>
                  <w:vAlign w:val="center"/>
                </w:tcPr>
                <w:p w14:paraId="51574D0A">
                  <w:pPr>
                    <w:pStyle w:val="79"/>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pacing w:val="-9"/>
                      <w:sz w:val="18"/>
                      <w:szCs w:val="18"/>
                      <w:lang w:val="en-US" w:eastAsia="zh-CN"/>
                    </w:rPr>
                  </w:pPr>
                  <w:r>
                    <w:rPr>
                      <w:rFonts w:hint="eastAsia" w:ascii="Times New Roman" w:hAnsi="Times New Roman" w:cs="Times New Roman" w:eastAsiaTheme="minorEastAsia"/>
                      <w:color w:val="auto"/>
                      <w:spacing w:val="-9"/>
                      <w:sz w:val="18"/>
                      <w:szCs w:val="18"/>
                      <w:lang w:val="en-US" w:eastAsia="zh-CN"/>
                    </w:rPr>
                    <w:t>20</w:t>
                  </w:r>
                </w:p>
              </w:tc>
              <w:tc>
                <w:tcPr>
                  <w:tcW w:w="1469" w:type="pct"/>
                  <w:tcBorders>
                    <w:tl2br w:val="nil"/>
                    <w:tr2bl w:val="nil"/>
                  </w:tcBorders>
                  <w:vAlign w:val="center"/>
                </w:tcPr>
                <w:p w14:paraId="149C9E66">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南江县自然资源一般管控区</w:t>
                  </w:r>
                </w:p>
              </w:tc>
              <w:tc>
                <w:tcPr>
                  <w:tcW w:w="981" w:type="pct"/>
                  <w:tcBorders>
                    <w:tl2br w:val="nil"/>
                    <w:tr2bl w:val="nil"/>
                  </w:tcBorders>
                  <w:vAlign w:val="center"/>
                </w:tcPr>
                <w:p w14:paraId="3892A16E">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YS5119223510001</w:t>
                  </w:r>
                </w:p>
              </w:tc>
              <w:tc>
                <w:tcPr>
                  <w:tcW w:w="1255" w:type="dxa"/>
                  <w:tcBorders>
                    <w:tl2br w:val="nil"/>
                    <w:tr2bl w:val="nil"/>
                  </w:tcBorders>
                  <w:vAlign w:val="center"/>
                </w:tcPr>
                <w:p w14:paraId="5B9228DC">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巴中市南江县</w:t>
                  </w:r>
                </w:p>
              </w:tc>
              <w:tc>
                <w:tcPr>
                  <w:tcW w:w="674" w:type="dxa"/>
                  <w:tcBorders>
                    <w:tl2br w:val="nil"/>
                    <w:tr2bl w:val="nil"/>
                  </w:tcBorders>
                  <w:vAlign w:val="center"/>
                </w:tcPr>
                <w:p w14:paraId="50FA8D02">
                  <w:pPr>
                    <w:spacing w:before="0" w:after="0"/>
                    <w:jc w:val="center"/>
                    <w:rPr>
                      <w:rFonts w:hint="default" w:ascii="Times New Roman" w:hAnsi="Times New Roman" w:eastAsia="宋体" w:cs="Times New Roman"/>
                      <w:b w:val="0"/>
                      <w:sz w:val="18"/>
                      <w:szCs w:val="18"/>
                    </w:rPr>
                  </w:pPr>
                  <w:r>
                    <w:rPr>
                      <w:rFonts w:hint="default" w:ascii="Times New Roman" w:hAnsi="Times New Roman" w:eastAsia="宋体" w:cs="Times New Roman"/>
                      <w:b w:val="0"/>
                      <w:sz w:val="18"/>
                      <w:szCs w:val="18"/>
                    </w:rPr>
                    <w:t>自然</w:t>
                  </w:r>
                </w:p>
                <w:p w14:paraId="5633A969">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资源</w:t>
                  </w:r>
                </w:p>
              </w:tc>
              <w:tc>
                <w:tcPr>
                  <w:tcW w:w="1784" w:type="dxa"/>
                  <w:tcBorders>
                    <w:tl2br w:val="nil"/>
                    <w:tr2bl w:val="nil"/>
                  </w:tcBorders>
                  <w:vAlign w:val="center"/>
                </w:tcPr>
                <w:p w14:paraId="02268F45">
                  <w:pPr>
                    <w:spacing w:before="0" w:after="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b w:val="0"/>
                      <w:sz w:val="18"/>
                      <w:szCs w:val="18"/>
                    </w:rPr>
                    <w:t>自然资源一般管控区</w:t>
                  </w:r>
                </w:p>
              </w:tc>
            </w:tr>
          </w:tbl>
          <w:p w14:paraId="6B4E3A44">
            <w:pPr>
              <w:wordWrap w:val="0"/>
              <w:spacing w:line="360" w:lineRule="auto"/>
              <w:rPr>
                <w:color w:val="FF0000"/>
                <w:szCs w:val="21"/>
              </w:rPr>
            </w:pPr>
          </w:p>
        </w:tc>
      </w:tr>
    </w:tbl>
    <w:p w14:paraId="1C6C2DCE">
      <w:pPr>
        <w:pStyle w:val="20"/>
        <w:rPr>
          <w:color w:val="FF0000"/>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tbl>
      <w:tblPr>
        <w:tblStyle w:val="2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694"/>
        <w:gridCol w:w="12296"/>
      </w:tblGrid>
      <w:tr w14:paraId="5378A1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03" w:type="dxa"/>
            <w:tcMar>
              <w:top w:w="16" w:type="dxa"/>
              <w:left w:w="16" w:type="dxa"/>
              <w:right w:w="16" w:type="dxa"/>
            </w:tcMar>
            <w:vAlign w:val="center"/>
          </w:tcPr>
          <w:p w14:paraId="2A063075">
            <w:pPr>
              <w:spacing w:line="360" w:lineRule="auto"/>
              <w:jc w:val="center"/>
              <w:rPr>
                <w:color w:val="FF0000"/>
                <w:szCs w:val="21"/>
              </w:rPr>
            </w:pPr>
            <w:r>
              <w:rPr>
                <w:color w:val="FF0000"/>
                <w:szCs w:val="21"/>
              </w:rPr>
              <w:t>其他符合性分析</w:t>
            </w:r>
          </w:p>
        </w:tc>
        <w:tc>
          <w:tcPr>
            <w:tcW w:w="12287" w:type="dxa"/>
            <w:tcMar>
              <w:top w:w="16" w:type="dxa"/>
              <w:left w:w="16" w:type="dxa"/>
              <w:right w:w="16" w:type="dxa"/>
            </w:tcMar>
            <w:vAlign w:val="center"/>
          </w:tcPr>
          <w:p w14:paraId="2C825836">
            <w:pPr>
              <w:wordWrap w:val="0"/>
              <w:spacing w:line="240" w:lineRule="auto"/>
              <w:jc w:val="center"/>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drawing>
                <wp:inline distT="0" distB="0" distL="114300" distR="114300">
                  <wp:extent cx="7780020" cy="3425190"/>
                  <wp:effectExtent l="0" t="0" r="7620" b="3810"/>
                  <wp:docPr id="12" name="图片 12" descr="地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地图 (1)"/>
                          <pic:cNvPicPr>
                            <a:picLocks noChangeAspect="1"/>
                          </pic:cNvPicPr>
                        </pic:nvPicPr>
                        <pic:blipFill>
                          <a:blip r:embed="rId9"/>
                          <a:stretch>
                            <a:fillRect/>
                          </a:stretch>
                        </pic:blipFill>
                        <pic:spPr>
                          <a:xfrm>
                            <a:off x="0" y="0"/>
                            <a:ext cx="7780020" cy="3425190"/>
                          </a:xfrm>
                          <a:prstGeom prst="rect">
                            <a:avLst/>
                          </a:prstGeom>
                        </pic:spPr>
                      </pic:pic>
                    </a:graphicData>
                  </a:graphic>
                </wp:inline>
              </w:drawing>
            </w:r>
          </w:p>
          <w:p w14:paraId="6A8B560F">
            <w:pPr>
              <w:wordWrap w:val="0"/>
              <w:spacing w:line="240" w:lineRule="auto"/>
              <w:jc w:val="center"/>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图1-</w:t>
            </w:r>
            <w:r>
              <w:rPr>
                <w:rFonts w:hint="eastAsia" w:eastAsia="黑体" w:cs="Times New Roman"/>
                <w:color w:val="auto"/>
                <w:sz w:val="21"/>
                <w:szCs w:val="21"/>
                <w:lang w:val="en-US" w:eastAsia="zh-CN"/>
              </w:rPr>
              <w:t>2</w:t>
            </w:r>
            <w:r>
              <w:rPr>
                <w:rFonts w:hint="default" w:ascii="Times New Roman" w:hAnsi="Times New Roman" w:eastAsia="黑体" w:cs="Times New Roman"/>
                <w:color w:val="auto"/>
                <w:sz w:val="21"/>
                <w:szCs w:val="21"/>
                <w:lang w:val="en-US" w:eastAsia="zh-CN"/>
              </w:rPr>
              <w:t xml:space="preserve"> 本项目与</w:t>
            </w:r>
            <w:r>
              <w:rPr>
                <w:rFonts w:hint="eastAsia" w:eastAsia="黑体" w:cs="Times New Roman"/>
                <w:color w:val="auto"/>
                <w:sz w:val="21"/>
                <w:szCs w:val="21"/>
                <w:lang w:val="en-US" w:eastAsia="zh-CN"/>
              </w:rPr>
              <w:t>巴中</w:t>
            </w:r>
            <w:r>
              <w:rPr>
                <w:rFonts w:hint="default" w:ascii="Times New Roman" w:hAnsi="Times New Roman" w:eastAsia="黑体" w:cs="Times New Roman"/>
                <w:color w:val="auto"/>
                <w:sz w:val="21"/>
                <w:szCs w:val="21"/>
                <w:lang w:val="en-US" w:eastAsia="zh-CN"/>
              </w:rPr>
              <w:t>市环境管控单元位置关系图（截图来自四川省人民政府官网“生态环境分区管控智能应用”）</w:t>
            </w:r>
          </w:p>
          <w:p w14:paraId="13A75749">
            <w:pPr>
              <w:tabs>
                <w:tab w:val="left" w:pos="840"/>
              </w:tabs>
              <w:spacing w:line="360" w:lineRule="auto"/>
              <w:ind w:firstLine="420" w:firstLineChars="200"/>
              <w:rPr>
                <w:rFonts w:hint="default" w:ascii="Times New Roman" w:hAnsi="Times New Roman"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（2）项目建设与生态保护红线符合性分析</w:t>
            </w:r>
          </w:p>
          <w:p w14:paraId="510F15CD">
            <w:pPr>
              <w:tabs>
                <w:tab w:val="left" w:pos="840"/>
              </w:tabs>
              <w:spacing w:line="360" w:lineRule="auto"/>
              <w:ind w:firstLine="420" w:firstLineChars="200"/>
              <w:rPr>
                <w:rFonts w:hint="default" w:ascii="Times New Roman" w:hAnsi="Times New Roman" w:cs="Times New Roman"/>
                <w:color w:val="auto"/>
                <w:szCs w:val="21"/>
                <w:highlight w:val="none"/>
                <w:lang w:val="en-US" w:eastAsia="zh-CN"/>
              </w:rPr>
            </w:pPr>
            <w:r>
              <w:rPr>
                <w:rFonts w:hint="default" w:ascii="Times New Roman" w:hAnsi="Times New Roman" w:cs="Times New Roman"/>
                <w:bCs/>
                <w:color w:val="auto"/>
                <w:szCs w:val="21"/>
                <w:highlight w:val="none"/>
                <w:lang w:val="en-US" w:eastAsia="zh-CN"/>
              </w:rPr>
              <w:t>根据四川省人民政府《关于印发四川省生态保护红线方案的通知》（川府发〔2018〕24号）文件要求：生态保护红线是保障和维护国家生态安全的底线和生命线，划定生态保护红线是国家实施生态空间用途管制的重要举措。各级人民政府应坚持生态保护红线优先地位，编制生态保护红线规划，将生态保护红线作为本行政区空间规划的重要基础，发挥好生态保护红线对于国土空间开发的底线作用。相关规划要符合生态保护红线空间管控要求，不符合的要及时进行调整，严格自然生态空间征（占）用管理。2022年11月自然资源部办公厅以《关于辽宁等省启用“三区三线”划定成果作为报批建设项目用地用海依据的函》（自然资办函〔2022〕2341号）批复了四川省“三区三线”划定成果。</w:t>
            </w:r>
            <w:r>
              <w:rPr>
                <w:rFonts w:hint="default" w:ascii="Times New Roman" w:hAnsi="Times New Roman" w:cs="Times New Roman"/>
                <w:color w:val="auto"/>
                <w:szCs w:val="21"/>
                <w:highlight w:val="none"/>
                <w:lang w:val="en-US" w:eastAsia="zh-CN"/>
              </w:rPr>
              <w:t>根据</w:t>
            </w:r>
            <w:r>
              <w:rPr>
                <w:rFonts w:hint="default" w:ascii="Times New Roman" w:hAnsi="Times New Roman" w:cs="Times New Roman"/>
                <w:color w:val="auto"/>
                <w:kern w:val="2"/>
                <w:sz w:val="21"/>
                <w:szCs w:val="21"/>
                <w:highlight w:val="none"/>
                <w:lang w:val="en-US" w:eastAsia="zh-CN" w:bidi="ar-SA"/>
              </w:rPr>
              <w:t>巴中市自然资源和规划局恩阳分局《关于巴中恩阳司城110千伏输变电工程变电站站址及线路路径走廊的复函》</w:t>
            </w:r>
            <w:r>
              <w:rPr>
                <w:rFonts w:hint="eastAsia" w:cs="Times New Roman"/>
                <w:color w:val="auto"/>
                <w:kern w:val="2"/>
                <w:sz w:val="21"/>
                <w:szCs w:val="21"/>
                <w:highlight w:val="none"/>
                <w:lang w:val="en-US" w:eastAsia="zh-CN" w:bidi="ar-SA"/>
              </w:rPr>
              <w:t>、巴中市自然资源和规划局巴州分局《关于巴中恩阳司城110千伏输变电工程线路路径走廊（巴州区段）的函》和南江县自然资源和规划局《关于请予办理巴中恩阳司城110千伏输变电工程线路路径走廊的复函》</w:t>
            </w:r>
            <w:r>
              <w:rPr>
                <w:rFonts w:hint="default" w:ascii="Times New Roman" w:hAnsi="Times New Roman" w:cs="Times New Roman"/>
                <w:color w:val="auto"/>
                <w:kern w:val="2"/>
                <w:sz w:val="21"/>
                <w:szCs w:val="21"/>
                <w:highlight w:val="none"/>
                <w:lang w:val="en-US" w:eastAsia="zh-CN" w:bidi="ar-SA"/>
              </w:rPr>
              <w:t>（详见附件</w:t>
            </w:r>
            <w:r>
              <w:rPr>
                <w:rFonts w:hint="eastAsia" w:cs="Times New Roman"/>
                <w:color w:val="auto"/>
                <w:kern w:val="2"/>
                <w:sz w:val="21"/>
                <w:szCs w:val="21"/>
                <w:highlight w:val="none"/>
                <w:lang w:val="en-US" w:eastAsia="zh-CN" w:bidi="ar-SA"/>
              </w:rPr>
              <w:t>5</w:t>
            </w:r>
            <w:r>
              <w:rPr>
                <w:rFonts w:hint="default" w:ascii="Times New Roman" w:hAnsi="Times New Roman" w:cs="Times New Roman"/>
                <w:color w:val="auto"/>
                <w:kern w:val="2"/>
                <w:sz w:val="21"/>
                <w:szCs w:val="21"/>
                <w:highlight w:val="none"/>
                <w:lang w:val="en-US" w:eastAsia="zh-CN" w:bidi="ar-SA"/>
              </w:rPr>
              <w:t>）</w:t>
            </w:r>
            <w:r>
              <w:rPr>
                <w:rFonts w:hint="eastAsia" w:cs="Times New Roman"/>
                <w:color w:val="auto"/>
                <w:kern w:val="2"/>
                <w:sz w:val="21"/>
                <w:szCs w:val="21"/>
                <w:highlight w:val="none"/>
                <w:lang w:val="en-US" w:eastAsia="zh-CN" w:bidi="ar-SA"/>
              </w:rPr>
              <w:t>，以及</w:t>
            </w:r>
            <w:r>
              <w:rPr>
                <w:rFonts w:hint="default" w:ascii="Times New Roman" w:hAnsi="Times New Roman" w:cs="Times New Roman"/>
                <w:bCs/>
                <w:color w:val="auto"/>
                <w:szCs w:val="21"/>
                <w:highlight w:val="none"/>
                <w:lang w:val="en-US" w:eastAsia="zh-CN"/>
              </w:rPr>
              <w:t>本项目与</w:t>
            </w:r>
            <w:r>
              <w:rPr>
                <w:rFonts w:hint="eastAsia" w:cs="Times New Roman"/>
                <w:bCs/>
                <w:color w:val="auto"/>
                <w:szCs w:val="21"/>
                <w:highlight w:val="none"/>
                <w:lang w:val="en-US" w:eastAsia="zh-CN"/>
              </w:rPr>
              <w:t>巴中</w:t>
            </w:r>
            <w:r>
              <w:rPr>
                <w:rFonts w:hint="default" w:ascii="Times New Roman" w:hAnsi="Times New Roman" w:cs="Times New Roman"/>
                <w:bCs/>
                <w:color w:val="auto"/>
                <w:szCs w:val="21"/>
                <w:highlight w:val="none"/>
                <w:lang w:val="en-US" w:eastAsia="zh-CN"/>
              </w:rPr>
              <w:t>市生态保护红线位置关系图（详见附图1</w:t>
            </w:r>
            <w:r>
              <w:rPr>
                <w:rFonts w:hint="eastAsia" w:cs="Times New Roman"/>
                <w:bCs/>
                <w:color w:val="auto"/>
                <w:szCs w:val="21"/>
                <w:highlight w:val="none"/>
                <w:lang w:val="en-US" w:eastAsia="zh-CN"/>
              </w:rPr>
              <w:t>1</w:t>
            </w:r>
            <w:r>
              <w:rPr>
                <w:rFonts w:hint="default" w:ascii="Times New Roman" w:hAnsi="Times New Roman" w:cs="Times New Roman"/>
                <w:bCs/>
                <w:color w:val="auto"/>
                <w:szCs w:val="21"/>
                <w:highlight w:val="none"/>
                <w:lang w:val="en-US" w:eastAsia="zh-CN"/>
              </w:rPr>
              <w:t>）</w:t>
            </w:r>
            <w:r>
              <w:rPr>
                <w:rFonts w:hint="default" w:ascii="Times New Roman" w:hAnsi="Times New Roman" w:cs="Times New Roman"/>
                <w:color w:val="auto"/>
                <w:szCs w:val="21"/>
                <w:highlight w:val="none"/>
                <w:lang w:val="en-US" w:eastAsia="zh-CN"/>
              </w:rPr>
              <w:t>，本项目不涉及</w:t>
            </w:r>
            <w:r>
              <w:rPr>
                <w:rFonts w:hint="eastAsia" w:cs="Times New Roman"/>
                <w:color w:val="auto"/>
                <w:szCs w:val="21"/>
                <w:highlight w:val="none"/>
                <w:lang w:val="en-US" w:eastAsia="zh-CN"/>
              </w:rPr>
              <w:t>巴中</w:t>
            </w:r>
            <w:r>
              <w:rPr>
                <w:rFonts w:hint="default" w:ascii="Times New Roman" w:hAnsi="Times New Roman" w:cs="Times New Roman"/>
                <w:color w:val="auto"/>
                <w:szCs w:val="21"/>
                <w:highlight w:val="none"/>
                <w:lang w:val="en-US" w:eastAsia="zh-CN"/>
              </w:rPr>
              <w:t>市生态保护红线。</w:t>
            </w:r>
          </w:p>
          <w:p w14:paraId="3AF8EEA7">
            <w:pPr>
              <w:tabs>
                <w:tab w:val="left" w:pos="840"/>
              </w:tabs>
              <w:spacing w:line="360" w:lineRule="auto"/>
              <w:ind w:firstLine="420" w:firstLineChars="200"/>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bCs/>
                <w:color w:val="auto"/>
                <w:szCs w:val="21"/>
                <w:highlight w:val="none"/>
                <w:lang w:val="en-US" w:eastAsia="zh-CN"/>
              </w:rPr>
              <w:t>项目建设与生态空间、自然保护地符合性分析</w:t>
            </w:r>
          </w:p>
          <w:p w14:paraId="4BF5E192">
            <w:pPr>
              <w:tabs>
                <w:tab w:val="left" w:pos="840"/>
              </w:tabs>
              <w:spacing w:line="360" w:lineRule="auto"/>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生态空间包含国家公园和各级自然保护区、风景名胜区、森林公园、湿地公园、地质公园、世界文化和自然遗产、水产种质资源保护区、饮用水源保护区等保护地。</w:t>
            </w:r>
          </w:p>
          <w:p w14:paraId="28D9778A">
            <w:pPr>
              <w:tabs>
                <w:tab w:val="left" w:pos="840"/>
              </w:tabs>
              <w:spacing w:line="360" w:lineRule="auto"/>
              <w:ind w:firstLine="420" w:firstLineChars="200"/>
              <w:rPr>
                <w:rFonts w:hint="default" w:ascii="Times New Roman" w:hAnsi="Times New Roman" w:cs="Times New Roman"/>
                <w:bCs/>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本项目位于</w:t>
            </w:r>
            <w:r>
              <w:rPr>
                <w:rFonts w:hint="eastAsia" w:eastAsia="宋体" w:cs="Times New Roman"/>
                <w:color w:val="auto"/>
                <w:szCs w:val="21"/>
                <w:highlight w:val="none"/>
                <w:lang w:val="en-US" w:eastAsia="zh-CN"/>
              </w:rPr>
              <w:t>巴中市恩阳区、巴州区、南江县</w:t>
            </w:r>
            <w:r>
              <w:rPr>
                <w:rFonts w:hint="default" w:ascii="Times New Roman" w:hAnsi="Times New Roman" w:eastAsia="宋体" w:cs="Times New Roman"/>
                <w:color w:val="auto"/>
                <w:szCs w:val="21"/>
                <w:highlight w:val="none"/>
                <w:lang w:val="en-US" w:eastAsia="zh-CN"/>
              </w:rPr>
              <w:t>境内，项目位于恩阳区要素重点管控单元、巴州区要素重点管控单元、南江县城镇空间和南江县一般管控单元内，不涉及国家公园和各级自然保护区、风景名胜区、森林公园、湿地公园、地质公园、世界文化和自然遗产、水产种质资源保护区、饮用水源保护区等保护地</w:t>
            </w:r>
            <w:r>
              <w:rPr>
                <w:rFonts w:hint="eastAsia" w:cs="Times New Roman"/>
                <w:color w:val="auto"/>
                <w:szCs w:val="21"/>
                <w:highlight w:val="none"/>
                <w:lang w:val="en-US" w:eastAsia="zh-CN"/>
              </w:rPr>
              <w:t>（</w:t>
            </w:r>
            <w:r>
              <w:rPr>
                <w:rFonts w:hint="eastAsia"/>
                <w:color w:val="000000" w:themeColor="text1"/>
                <w:szCs w:val="21"/>
                <w:highlight w:val="none"/>
                <w:lang w:val="en-US" w:eastAsia="zh-CN"/>
                <w14:textFill>
                  <w14:solidFill>
                    <w14:schemeClr w14:val="tx1"/>
                  </w14:solidFill>
                </w14:textFill>
              </w:rPr>
              <w:t>本项目线路Ⅱ距</w:t>
            </w:r>
            <w:r>
              <w:rPr>
                <w:rFonts w:hint="eastAsia"/>
                <w:color w:val="000000" w:themeColor="text1"/>
                <w:szCs w:val="21"/>
                <w:lang w:val="en-US" w:eastAsia="zh-CN"/>
                <w14:textFill>
                  <w14:solidFill>
                    <w14:schemeClr w14:val="tx1"/>
                  </w14:solidFill>
                </w14:textFill>
              </w:rPr>
              <w:t>老虎洞沟饮用水源保护区</w:t>
            </w:r>
            <w:r>
              <w:rPr>
                <w:rFonts w:hint="eastAsia"/>
                <w:color w:val="000000" w:themeColor="text1"/>
                <w:szCs w:val="21"/>
                <w:highlight w:val="none"/>
                <w:lang w:val="en-US" w:eastAsia="zh-CN"/>
                <w14:textFill>
                  <w14:solidFill>
                    <w14:schemeClr w14:val="tx1"/>
                  </w14:solidFill>
                </w14:textFill>
              </w:rPr>
              <w:t>最近距离为70m</w:t>
            </w:r>
            <w:r>
              <w:rPr>
                <w:rFonts w:hint="eastAsia" w:cs="Times New Roman"/>
                <w:color w:val="auto"/>
                <w:szCs w:val="21"/>
                <w:highlight w:val="none"/>
                <w:lang w:val="en-US" w:eastAsia="zh-CN"/>
              </w:rPr>
              <w:t>）</w:t>
            </w:r>
            <w:r>
              <w:rPr>
                <w:rFonts w:hint="eastAsia" w:cs="Times New Roman"/>
                <w:bCs/>
                <w:color w:val="auto"/>
                <w:szCs w:val="21"/>
                <w:highlight w:val="none"/>
                <w:lang w:val="en-US" w:eastAsia="zh-CN"/>
              </w:rPr>
              <w:t>。</w:t>
            </w:r>
          </w:p>
          <w:p w14:paraId="374D6E9B">
            <w:pPr>
              <w:tabs>
                <w:tab w:val="left" w:pos="840"/>
              </w:tabs>
              <w:spacing w:line="360" w:lineRule="auto"/>
              <w:ind w:firstLine="420" w:firstLineChars="200"/>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4</w:t>
            </w:r>
            <w:r>
              <w:rPr>
                <w:rFonts w:hint="default" w:ascii="Times New Roman" w:hAnsi="Times New Roman" w:cs="Times New Roman"/>
                <w:bCs/>
                <w:color w:val="auto"/>
                <w:szCs w:val="21"/>
                <w:highlight w:val="none"/>
              </w:rPr>
              <w:t>）与</w:t>
            </w:r>
            <w:r>
              <w:rPr>
                <w:rFonts w:hint="default" w:ascii="Times New Roman" w:hAnsi="Times New Roman" w:cs="Times New Roman"/>
                <w:bCs/>
                <w:color w:val="auto"/>
                <w:szCs w:val="21"/>
                <w:highlight w:val="none"/>
                <w:lang w:eastAsia="zh-CN"/>
              </w:rPr>
              <w:t>生态环境分区管控</w:t>
            </w:r>
            <w:r>
              <w:rPr>
                <w:rFonts w:hint="default" w:ascii="Times New Roman" w:hAnsi="Times New Roman" w:cs="Times New Roman"/>
                <w:bCs/>
                <w:color w:val="auto"/>
                <w:szCs w:val="21"/>
                <w:highlight w:val="none"/>
              </w:rPr>
              <w:t>符合性分析</w:t>
            </w:r>
          </w:p>
          <w:p w14:paraId="2B735C6E">
            <w:pPr>
              <w:tabs>
                <w:tab w:val="left" w:pos="840"/>
              </w:tabs>
              <w:spacing w:line="360" w:lineRule="auto"/>
              <w:ind w:firstLine="420" w:firstLineChars="200"/>
              <w:rPr>
                <w:rFonts w:eastAsia="黑体"/>
                <w:color w:val="auto"/>
                <w:szCs w:val="21"/>
              </w:rPr>
            </w:pPr>
            <w:r>
              <w:rPr>
                <w:rFonts w:hint="default" w:ascii="Times New Roman" w:hAnsi="Times New Roman" w:cs="Times New Roman"/>
                <w:bCs/>
                <w:color w:val="auto"/>
                <w:szCs w:val="21"/>
              </w:rPr>
              <w:t>根据四川省</w:t>
            </w:r>
            <w:r>
              <w:rPr>
                <w:rFonts w:hint="default" w:ascii="Times New Roman" w:hAnsi="Times New Roman" w:cs="Times New Roman"/>
                <w:bCs/>
                <w:color w:val="auto"/>
                <w:szCs w:val="21"/>
                <w:lang w:val="en-US" w:eastAsia="zh-CN"/>
              </w:rPr>
              <w:t>人民政府官网</w:t>
            </w:r>
            <w:r>
              <w:rPr>
                <w:rFonts w:hint="default" w:ascii="Times New Roman" w:hAnsi="Times New Roman" w:cs="Times New Roman"/>
                <w:bCs/>
                <w:color w:val="auto"/>
                <w:szCs w:val="21"/>
              </w:rPr>
              <w:t>“</w:t>
            </w:r>
            <w:r>
              <w:rPr>
                <w:rFonts w:hint="default" w:ascii="Times New Roman" w:hAnsi="Times New Roman" w:cs="Times New Roman"/>
                <w:bCs/>
                <w:color w:val="auto"/>
                <w:lang w:val="en-US" w:eastAsia="zh-CN"/>
              </w:rPr>
              <w:t>生态环境分区管控智能应用</w:t>
            </w:r>
            <w:r>
              <w:rPr>
                <w:rFonts w:hint="default" w:ascii="Times New Roman" w:hAnsi="Times New Roman" w:cs="Times New Roman"/>
                <w:bCs/>
                <w:color w:val="auto"/>
                <w:szCs w:val="21"/>
              </w:rPr>
              <w:t>”查询</w:t>
            </w:r>
            <w:r>
              <w:rPr>
                <w:rFonts w:hint="default" w:ascii="Times New Roman" w:hAnsi="Times New Roman" w:cs="Times New Roman"/>
                <w:bCs/>
                <w:color w:val="auto"/>
                <w:szCs w:val="21"/>
                <w:lang w:val="en-US" w:eastAsia="zh-CN"/>
              </w:rPr>
              <w:t>导出文件</w:t>
            </w:r>
            <w:r>
              <w:rPr>
                <w:rFonts w:hint="default" w:ascii="Times New Roman" w:hAnsi="Times New Roman" w:cs="Times New Roman"/>
                <w:bCs/>
                <w:color w:val="auto"/>
                <w:szCs w:val="21"/>
              </w:rPr>
              <w:t>，本项目与</w:t>
            </w:r>
            <w:r>
              <w:rPr>
                <w:rFonts w:hint="eastAsia"/>
                <w:lang w:val="en-US" w:eastAsia="zh-CN"/>
              </w:rPr>
              <w:t>巴中</w:t>
            </w:r>
            <w:r>
              <w:rPr>
                <w:rFonts w:hint="default" w:ascii="Times New Roman" w:hAnsi="Times New Roman" w:cs="Times New Roman"/>
                <w:bCs/>
                <w:color w:val="auto"/>
                <w:szCs w:val="21"/>
                <w:lang w:val="en-US" w:eastAsia="zh-CN"/>
              </w:rPr>
              <w:t>市生态环境分区管控</w:t>
            </w:r>
            <w:r>
              <w:rPr>
                <w:rFonts w:hint="default" w:ascii="Times New Roman" w:hAnsi="Times New Roman" w:cs="Times New Roman"/>
                <w:bCs/>
                <w:color w:val="auto"/>
                <w:szCs w:val="21"/>
              </w:rPr>
              <w:t>符合性分析见</w:t>
            </w:r>
            <w:r>
              <w:rPr>
                <w:rFonts w:hint="eastAsia" w:ascii="Times New Roman" w:hAnsi="Times New Roman" w:cs="Times New Roman"/>
                <w:bCs/>
                <w:color w:val="auto"/>
                <w:szCs w:val="21"/>
                <w:lang w:val="en-US" w:eastAsia="zh-CN"/>
              </w:rPr>
              <w:t>下表</w:t>
            </w:r>
            <w:r>
              <w:rPr>
                <w:rFonts w:hint="default" w:ascii="Times New Roman" w:hAnsi="Times New Roman" w:cs="Times New Roman"/>
                <w:bCs/>
                <w:color w:val="000000" w:themeColor="text1"/>
                <w:szCs w:val="21"/>
                <w:highlight w:val="none"/>
                <w14:textFill>
                  <w14:solidFill>
                    <w14:schemeClr w14:val="tx1"/>
                  </w14:solidFill>
                </w14:textFill>
              </w:rPr>
              <w:t>。</w:t>
            </w:r>
          </w:p>
          <w:p w14:paraId="51466CD0">
            <w:pPr>
              <w:tabs>
                <w:tab w:val="left" w:pos="3240"/>
              </w:tabs>
              <w:wordWrap w:val="0"/>
              <w:jc w:val="center"/>
              <w:rPr>
                <w:rFonts w:eastAsia="黑体"/>
                <w:color w:val="FF0000"/>
                <w:szCs w:val="21"/>
              </w:rPr>
            </w:pPr>
            <w:r>
              <w:rPr>
                <w:rFonts w:eastAsia="黑体"/>
                <w:color w:val="auto"/>
                <w:szCs w:val="21"/>
              </w:rPr>
              <w:t>表1-</w:t>
            </w:r>
            <w:r>
              <w:rPr>
                <w:rFonts w:hint="eastAsia" w:eastAsia="黑体"/>
                <w:color w:val="auto"/>
                <w:szCs w:val="21"/>
                <w:lang w:val="en-US" w:eastAsia="zh-CN"/>
              </w:rPr>
              <w:t>8</w:t>
            </w:r>
            <w:r>
              <w:rPr>
                <w:rFonts w:eastAsia="黑体"/>
                <w:color w:val="auto"/>
                <w:szCs w:val="21"/>
              </w:rPr>
              <w:t xml:space="preserve">  </w:t>
            </w:r>
            <w:r>
              <w:rPr>
                <w:rFonts w:hint="eastAsia" w:eastAsia="黑体"/>
                <w:color w:val="auto"/>
                <w:szCs w:val="21"/>
              </w:rPr>
              <w:t>恩阳区要素重点管控单元</w:t>
            </w:r>
            <w:r>
              <w:rPr>
                <w:rFonts w:hint="eastAsia" w:ascii="黑体" w:hAnsi="黑体" w:eastAsia="黑体" w:cs="黑体"/>
                <w:b w:val="0"/>
                <w:bCs w:val="0"/>
                <w:color w:val="auto"/>
                <w:kern w:val="0"/>
                <w:sz w:val="21"/>
                <w:szCs w:val="21"/>
              </w:rPr>
              <w:t>生态环境准入清单符合性分析表</w:t>
            </w:r>
          </w:p>
          <w:tbl>
            <w:tblPr>
              <w:tblStyle w:val="25"/>
              <w:tblW w:w="4943"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450"/>
              <w:gridCol w:w="803"/>
              <w:gridCol w:w="832"/>
              <w:gridCol w:w="5650"/>
              <w:gridCol w:w="1979"/>
              <w:gridCol w:w="581"/>
            </w:tblGrid>
            <w:tr w14:paraId="6F3017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0" w:type="pct"/>
                  <w:gridSpan w:val="5"/>
                  <w:tcBorders>
                    <w:tl2br w:val="nil"/>
                    <w:tr2bl w:val="nil"/>
                  </w:tcBorders>
                  <w:vAlign w:val="center"/>
                </w:tcPr>
                <w:p w14:paraId="59E5EA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eastAsia="zh-CN"/>
                    </w:rPr>
                    <w:t>生态环境分区管控</w:t>
                  </w:r>
                  <w:r>
                    <w:rPr>
                      <w:rFonts w:hint="default" w:ascii="Times New Roman" w:hAnsi="Times New Roman" w:cs="Times New Roman"/>
                      <w:color w:val="auto"/>
                      <w:sz w:val="18"/>
                      <w:szCs w:val="18"/>
                      <w:highlight w:val="none"/>
                    </w:rPr>
                    <w:t>的具体要求</w:t>
                  </w:r>
                </w:p>
              </w:tc>
              <w:tc>
                <w:tcPr>
                  <w:tcW w:w="848" w:type="pct"/>
                  <w:vMerge w:val="restart"/>
                  <w:tcBorders>
                    <w:tl2br w:val="nil"/>
                    <w:tr2bl w:val="nil"/>
                  </w:tcBorders>
                  <w:vAlign w:val="center"/>
                </w:tcPr>
                <w:p w14:paraId="56CB95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对应情况</w:t>
                  </w:r>
                  <w:r>
                    <w:rPr>
                      <w:rFonts w:hint="default" w:ascii="Times New Roman" w:hAnsi="Times New Roman" w:cs="Times New Roman"/>
                      <w:color w:val="auto"/>
                      <w:sz w:val="18"/>
                      <w:szCs w:val="18"/>
                      <w:highlight w:val="none"/>
                      <w:lang w:val="en-US" w:eastAsia="zh-CN"/>
                    </w:rPr>
                    <w:t>分析</w:t>
                  </w:r>
                </w:p>
              </w:tc>
              <w:tc>
                <w:tcPr>
                  <w:tcW w:w="270" w:type="pct"/>
                  <w:vMerge w:val="restart"/>
                  <w:tcBorders>
                    <w:tl2br w:val="nil"/>
                    <w:tr2bl w:val="nil"/>
                  </w:tcBorders>
                  <w:vAlign w:val="center"/>
                </w:tcPr>
                <w:p w14:paraId="7E61FC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符合性分析</w:t>
                  </w:r>
                </w:p>
              </w:tc>
            </w:tr>
            <w:tr w14:paraId="0A2BCF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1" w:type="pct"/>
                  <w:gridSpan w:val="3"/>
                  <w:tcBorders>
                    <w:tl2br w:val="nil"/>
                    <w:tr2bl w:val="nil"/>
                  </w:tcBorders>
                  <w:vAlign w:val="center"/>
                </w:tcPr>
                <w:p w14:paraId="0AA76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类别</w:t>
                  </w:r>
                </w:p>
              </w:tc>
              <w:tc>
                <w:tcPr>
                  <w:tcW w:w="374" w:type="pct"/>
                  <w:tcBorders>
                    <w:tl2br w:val="nil"/>
                    <w:tr2bl w:val="nil"/>
                  </w:tcBorders>
                  <w:vAlign w:val="center"/>
                </w:tcPr>
                <w:p w14:paraId="0C8372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清单编制要求</w:t>
                  </w:r>
                </w:p>
              </w:tc>
              <w:tc>
                <w:tcPr>
                  <w:tcW w:w="2365" w:type="pct"/>
                  <w:tcBorders>
                    <w:tl2br w:val="nil"/>
                    <w:tr2bl w:val="nil"/>
                  </w:tcBorders>
                  <w:vAlign w:val="center"/>
                </w:tcPr>
                <w:p w14:paraId="1269CB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对应管控要求</w:t>
                  </w:r>
                </w:p>
              </w:tc>
              <w:tc>
                <w:tcPr>
                  <w:tcW w:w="848" w:type="pct"/>
                  <w:vMerge w:val="continue"/>
                  <w:tcBorders>
                    <w:tl2br w:val="nil"/>
                    <w:tr2bl w:val="nil"/>
                  </w:tcBorders>
                  <w:vAlign w:val="center"/>
                </w:tcPr>
                <w:p w14:paraId="2BE8A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70" w:type="pct"/>
                  <w:vMerge w:val="continue"/>
                  <w:tcBorders>
                    <w:tl2br w:val="nil"/>
                    <w:tr2bl w:val="nil"/>
                  </w:tcBorders>
                  <w:vAlign w:val="center"/>
                </w:tcPr>
                <w:p w14:paraId="597DE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r>
            <w:tr w14:paraId="365C95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restart"/>
                  <w:tcBorders>
                    <w:tl2br w:val="nil"/>
                    <w:tr2bl w:val="nil"/>
                  </w:tcBorders>
                  <w:vAlign w:val="center"/>
                </w:tcPr>
                <w:p w14:paraId="58BFF1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eastAsia" w:cs="Times New Roman"/>
                      <w:b w:val="0"/>
                      <w:bCs w:val="0"/>
                      <w:color w:val="auto"/>
                      <w:sz w:val="18"/>
                      <w:szCs w:val="18"/>
                      <w:highlight w:val="none"/>
                      <w:lang w:val="en-US" w:eastAsia="zh-CN"/>
                    </w:rPr>
                    <w:t>恩阳区要素重点管控单元（</w:t>
                  </w:r>
                  <w:r>
                    <w:rPr>
                      <w:rStyle w:val="27"/>
                      <w:rFonts w:hint="default" w:ascii="Times New Roman" w:hAnsi="Times New Roman" w:eastAsia="宋体" w:cs="Times New Roman"/>
                      <w:b w:val="0"/>
                      <w:bCs w:val="0"/>
                      <w:kern w:val="2"/>
                      <w:sz w:val="18"/>
                      <w:szCs w:val="18"/>
                      <w:highlight w:val="none"/>
                      <w:lang w:val="en-US" w:eastAsia="zh-CN" w:bidi="ar-SA"/>
                    </w:rPr>
                    <w:t>ZH51190320005</w:t>
                  </w:r>
                  <w:r>
                    <w:rPr>
                      <w:rFonts w:hint="eastAsia" w:cs="Times New Roman"/>
                      <w:b w:val="0"/>
                      <w:bCs w:val="0"/>
                      <w:color w:val="auto"/>
                      <w:sz w:val="18"/>
                      <w:szCs w:val="18"/>
                      <w:highlight w:val="none"/>
                      <w:lang w:val="en-US" w:eastAsia="zh-CN"/>
                    </w:rPr>
                    <w:t>）</w:t>
                  </w:r>
                </w:p>
              </w:tc>
              <w:tc>
                <w:tcPr>
                  <w:tcW w:w="216" w:type="pct"/>
                  <w:vMerge w:val="restart"/>
                  <w:tcBorders>
                    <w:tl2br w:val="nil"/>
                    <w:tr2bl w:val="nil"/>
                  </w:tcBorders>
                  <w:vAlign w:val="center"/>
                </w:tcPr>
                <w:p w14:paraId="146698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市州</w:t>
                  </w:r>
                  <w:r>
                    <w:rPr>
                      <w:rFonts w:hint="default" w:ascii="Times New Roman" w:hAnsi="Times New Roman" w:cs="Times New Roman"/>
                      <w:color w:val="auto"/>
                      <w:sz w:val="18"/>
                      <w:szCs w:val="18"/>
                      <w:highlight w:val="none"/>
                    </w:rPr>
                    <w:t>普适性清单</w:t>
                  </w:r>
                </w:p>
              </w:tc>
              <w:tc>
                <w:tcPr>
                  <w:tcW w:w="361" w:type="pct"/>
                  <w:vMerge w:val="restart"/>
                  <w:tcBorders>
                    <w:tl2br w:val="nil"/>
                    <w:tr2bl w:val="nil"/>
                  </w:tcBorders>
                  <w:vAlign w:val="center"/>
                </w:tcPr>
                <w:p w14:paraId="29C884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空间布局约束</w:t>
                  </w:r>
                </w:p>
              </w:tc>
              <w:tc>
                <w:tcPr>
                  <w:tcW w:w="374" w:type="pct"/>
                  <w:tcBorders>
                    <w:tl2br w:val="nil"/>
                    <w:tr2bl w:val="nil"/>
                  </w:tcBorders>
                  <w:vAlign w:val="center"/>
                </w:tcPr>
                <w:p w14:paraId="3FB8B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65" w:type="pct"/>
                  <w:tcBorders>
                    <w:tl2br w:val="nil"/>
                    <w:tr2bl w:val="nil"/>
                  </w:tcBorders>
                  <w:vAlign w:val="center"/>
                </w:tcPr>
                <w:p w14:paraId="72FE0D4E">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禁止在法律法规规定的禁采区内新建矿山；禁止土法采、选、冶严重污染环境的矿产资源。</w:t>
                  </w:r>
                </w:p>
                <w:p w14:paraId="69FF4579">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涉及基本农田的区域，除法律规定的重点建设项目选址确实无法避让外，其他任何建设不得占用</w:t>
                  </w:r>
                </w:p>
                <w:p w14:paraId="0B11D806">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禁止在长江干支流岸线一公里范围内新建、扩建化工园区和化工项目。</w:t>
                  </w:r>
                </w:p>
                <w:p w14:paraId="36DE5803">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禁止在长江干流岸线三公里范围内和重要支流岸线一公里范围内新建、改建、扩建尾矿库、冶炼渣库、磷石膏库，以提升安全、生态环境保护水平为目的的改建除外。</w:t>
                  </w:r>
                </w:p>
                <w:p w14:paraId="2BB5CD5F">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禁止在长江流域河湖管理范围内倾倒、填埋、堆放、弃置、处理固体废物。</w:t>
                  </w:r>
                </w:p>
                <w:p w14:paraId="0C78F916">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畜禽养殖严格按照区县畜禽养殖区域划定方案执行，依法关闭或搬迁禁养区内的畜禽养殖场（小区）或养殖专业户。</w:t>
                  </w:r>
                </w:p>
                <w:p w14:paraId="13ED433F">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pacing w:val="-1"/>
                      <w:kern w:val="2"/>
                      <w:sz w:val="18"/>
                      <w:szCs w:val="18"/>
                      <w:lang w:val="en-US" w:eastAsia="zh-CN" w:bidi="ar-SA"/>
                    </w:rPr>
                    <w:t>禁止在永久基本农田集中区域和其他需要特别保护的区域选址建设尾矿库、冶炼渣库、磷石膏库。</w:t>
                  </w:r>
                </w:p>
              </w:tc>
              <w:tc>
                <w:tcPr>
                  <w:tcW w:w="848" w:type="pct"/>
                  <w:tcBorders>
                    <w:tl2br w:val="nil"/>
                    <w:tr2bl w:val="nil"/>
                  </w:tcBorders>
                  <w:vAlign w:val="center"/>
                </w:tcPr>
                <w:p w14:paraId="31C713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本项目属于电力基础设施建设项目，为鼓励类项目，不属于</w:t>
                  </w:r>
                  <w:r>
                    <w:rPr>
                      <w:rFonts w:hint="eastAsia" w:cs="Times New Roman"/>
                      <w:color w:val="auto"/>
                      <w:sz w:val="18"/>
                      <w:szCs w:val="18"/>
                      <w:highlight w:val="none"/>
                      <w:lang w:val="en-US" w:eastAsia="zh-CN"/>
                    </w:rPr>
                    <w:t>矿山</w:t>
                  </w:r>
                  <w:r>
                    <w:rPr>
                      <w:rFonts w:hint="default" w:ascii="Times New Roman" w:hAnsi="Times New Roman" w:cs="Times New Roman"/>
                      <w:color w:val="auto"/>
                      <w:sz w:val="18"/>
                      <w:szCs w:val="18"/>
                      <w:highlight w:val="none"/>
                    </w:rPr>
                    <w:t>、化工</w:t>
                  </w:r>
                  <w:r>
                    <w:rPr>
                      <w:rFonts w:hint="eastAsia" w:cs="Times New Roman"/>
                      <w:color w:val="auto"/>
                      <w:sz w:val="18"/>
                      <w:szCs w:val="18"/>
                      <w:highlight w:val="none"/>
                      <w:lang w:eastAsia="zh-CN"/>
                    </w:rPr>
                    <w:t>、尾矿库、冶炼渣库、磷石膏库、</w:t>
                  </w:r>
                  <w:r>
                    <w:rPr>
                      <w:rFonts w:hint="eastAsia" w:cs="Times New Roman"/>
                      <w:color w:val="auto"/>
                      <w:sz w:val="18"/>
                      <w:szCs w:val="18"/>
                      <w:highlight w:val="none"/>
                      <w:lang w:val="en-US" w:eastAsia="zh-CN"/>
                    </w:rPr>
                    <w:t>畜禽养殖</w:t>
                  </w:r>
                  <w:r>
                    <w:rPr>
                      <w:rFonts w:hint="default" w:ascii="Times New Roman" w:hAnsi="Times New Roman" w:cs="Times New Roman"/>
                      <w:color w:val="auto"/>
                      <w:sz w:val="18"/>
                      <w:szCs w:val="18"/>
                      <w:highlight w:val="none"/>
                    </w:rPr>
                    <w:t>项目，不在长江流域河湖管理范围内倾倒、填埋、堆放、弃置、处理固体废物。</w:t>
                  </w:r>
                </w:p>
              </w:tc>
              <w:tc>
                <w:tcPr>
                  <w:tcW w:w="270" w:type="pct"/>
                  <w:tcBorders>
                    <w:tl2br w:val="nil"/>
                    <w:tr2bl w:val="nil"/>
                  </w:tcBorders>
                  <w:vAlign w:val="center"/>
                </w:tcPr>
                <w:p w14:paraId="64C2A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D6DC7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5EF90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1A9D59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252E4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77E9D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限制开发建设活动的要求</w:t>
                  </w:r>
                </w:p>
              </w:tc>
              <w:tc>
                <w:tcPr>
                  <w:tcW w:w="2365" w:type="pct"/>
                  <w:tcBorders>
                    <w:tl2br w:val="nil"/>
                    <w:tr2bl w:val="nil"/>
                  </w:tcBorders>
                  <w:vAlign w:val="center"/>
                </w:tcPr>
                <w:p w14:paraId="01ED47DE">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17ADB518">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03269F01">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w:t>
                  </w:r>
                </w:p>
              </w:tc>
              <w:tc>
                <w:tcPr>
                  <w:tcW w:w="848" w:type="pct"/>
                  <w:tcBorders>
                    <w:tl2br w:val="nil"/>
                    <w:tr2bl w:val="nil"/>
                  </w:tcBorders>
                  <w:vAlign w:val="center"/>
                </w:tcPr>
                <w:p w14:paraId="1F7075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不属于限制开发建设的项目</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27E9D6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1403A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1448F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p>
              </w:tc>
              <w:tc>
                <w:tcPr>
                  <w:tcW w:w="216" w:type="pct"/>
                  <w:vMerge w:val="continue"/>
                  <w:tcBorders>
                    <w:tl2br w:val="nil"/>
                    <w:tr2bl w:val="nil"/>
                  </w:tcBorders>
                  <w:vAlign w:val="center"/>
                </w:tcPr>
                <w:p w14:paraId="61FA0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p>
              </w:tc>
              <w:tc>
                <w:tcPr>
                  <w:tcW w:w="361" w:type="pct"/>
                  <w:vMerge w:val="continue"/>
                  <w:tcBorders>
                    <w:tl2br w:val="nil"/>
                    <w:tr2bl w:val="nil"/>
                  </w:tcBorders>
                  <w:vAlign w:val="center"/>
                </w:tcPr>
                <w:p w14:paraId="7C063B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p>
              </w:tc>
              <w:tc>
                <w:tcPr>
                  <w:tcW w:w="374" w:type="pct"/>
                  <w:tcBorders>
                    <w:tl2br w:val="nil"/>
                    <w:tr2bl w:val="nil"/>
                  </w:tcBorders>
                  <w:vAlign w:val="center"/>
                </w:tcPr>
                <w:p w14:paraId="68A408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不符合空间布局要求活动的退出要求</w:t>
                  </w:r>
                </w:p>
              </w:tc>
              <w:tc>
                <w:tcPr>
                  <w:tcW w:w="2365" w:type="pct"/>
                  <w:tcBorders>
                    <w:tl2br w:val="nil"/>
                    <w:tr2bl w:val="nil"/>
                  </w:tcBorders>
                  <w:vAlign w:val="center"/>
                </w:tcPr>
                <w:p w14:paraId="706CB252">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全面取缔禁养区内规模化畜禽养殖场。</w:t>
                  </w:r>
                </w:p>
                <w:p w14:paraId="50CBBB5E">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针对现有水泥企业，强化污染治理和污染物减排，依法依规整治或搬迁。</w:t>
                  </w:r>
                </w:p>
                <w:p w14:paraId="3D530766">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严格执行《矿产资源开采</w:t>
                  </w:r>
                  <w:r>
                    <w:rPr>
                      <w:rFonts w:hint="eastAsia" w:cs="Times New Roman"/>
                      <w:color w:val="auto"/>
                      <w:sz w:val="18"/>
                      <w:szCs w:val="18"/>
                      <w:highlight w:val="none"/>
                      <w:lang w:eastAsia="zh-CN"/>
                    </w:rPr>
                    <w:t>登记</w:t>
                  </w:r>
                  <w:r>
                    <w:rPr>
                      <w:rFonts w:hint="default" w:ascii="Times New Roman" w:hAnsi="Times New Roman" w:cs="Times New Roman"/>
                      <w:color w:val="auto"/>
                      <w:sz w:val="18"/>
                      <w:szCs w:val="18"/>
                      <w:highlight w:val="none"/>
                    </w:rPr>
                    <w:t>管理办法》的相关规定</w:t>
                  </w:r>
                  <w:r>
                    <w:rPr>
                      <w:rFonts w:hint="eastAsia" w:cs="Times New Roman"/>
                      <w:color w:val="auto"/>
                      <w:sz w:val="18"/>
                      <w:szCs w:val="18"/>
                      <w:highlight w:val="none"/>
                      <w:lang w:eastAsia="zh-CN"/>
                    </w:rPr>
                    <w:t>。</w:t>
                  </w:r>
                </w:p>
              </w:tc>
              <w:tc>
                <w:tcPr>
                  <w:tcW w:w="848" w:type="pct"/>
                  <w:tcBorders>
                    <w:tl2br w:val="nil"/>
                    <w:tr2bl w:val="nil"/>
                  </w:tcBorders>
                  <w:vAlign w:val="center"/>
                </w:tcPr>
                <w:p w14:paraId="03761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w:t>
                  </w:r>
                  <w:r>
                    <w:rPr>
                      <w:rFonts w:hint="eastAsia" w:cs="Times New Roman"/>
                      <w:color w:val="auto"/>
                      <w:sz w:val="18"/>
                      <w:szCs w:val="18"/>
                      <w:highlight w:val="none"/>
                      <w:lang w:val="en-US" w:eastAsia="zh-CN"/>
                    </w:rPr>
                    <w:t>畜禽养殖、水泥、矿产开发项目。</w:t>
                  </w:r>
                </w:p>
              </w:tc>
              <w:tc>
                <w:tcPr>
                  <w:tcW w:w="270" w:type="pct"/>
                  <w:tcBorders>
                    <w:tl2br w:val="nil"/>
                    <w:tr2bl w:val="nil"/>
                  </w:tcBorders>
                  <w:vAlign w:val="center"/>
                </w:tcPr>
                <w:p w14:paraId="7F794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21B89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1769D5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520E9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restart"/>
                  <w:tcBorders>
                    <w:tl2br w:val="nil"/>
                    <w:tr2bl w:val="nil"/>
                  </w:tcBorders>
                  <w:vAlign w:val="center"/>
                </w:tcPr>
                <w:p w14:paraId="01681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74" w:type="pct"/>
                  <w:tcBorders>
                    <w:tl2br w:val="nil"/>
                    <w:tr2bl w:val="nil"/>
                  </w:tcBorders>
                  <w:vAlign w:val="center"/>
                </w:tcPr>
                <w:p w14:paraId="58C72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现有源提标升级改造</w:t>
                  </w:r>
                </w:p>
              </w:tc>
              <w:tc>
                <w:tcPr>
                  <w:tcW w:w="2365" w:type="pct"/>
                  <w:tcBorders>
                    <w:tl2br w:val="nil"/>
                    <w:tr2bl w:val="nil"/>
                  </w:tcBorders>
                  <w:vAlign w:val="center"/>
                </w:tcPr>
                <w:p w14:paraId="407CEB66">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加快现有乡镇污水处理设施升级改造，按要求达《城镇污水处理厂污染物排放标准》一级A标后排放。</w:t>
                  </w:r>
                </w:p>
                <w:p w14:paraId="6E5E1955">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在矿产资源开发活动集中区域，废水执行重金属污染物排放特别限值。</w:t>
                  </w:r>
                </w:p>
                <w:p w14:paraId="1CA997FF">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火电、水泥等行业按相关要求推进大气污染物超低排放和深度治理。</w:t>
                  </w:r>
                </w:p>
                <w:p w14:paraId="57EDC71C">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砖瓦行业实施脱硫、除尘升级改造，污染物排放达到《砖瓦工业大气污染物排放标准》相关要求</w:t>
                  </w:r>
                </w:p>
                <w:p w14:paraId="272EA270">
                  <w:pPr>
                    <w:keepNext w:val="0"/>
                    <w:keepLines w:val="0"/>
                    <w:pageBreakBefore w:val="0"/>
                    <w:widowControl w:val="0"/>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tc>
              <w:tc>
                <w:tcPr>
                  <w:tcW w:w="848" w:type="pct"/>
                  <w:tcBorders>
                    <w:tl2br w:val="nil"/>
                    <w:tr2bl w:val="nil"/>
                  </w:tcBorders>
                  <w:vAlign w:val="center"/>
                </w:tcPr>
                <w:p w14:paraId="341A2D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本项目属于电力基础设施建设项目，为鼓励类项目，不属于</w:t>
                  </w:r>
                  <w:r>
                    <w:rPr>
                      <w:rFonts w:hint="eastAsia" w:cs="Times New Roman"/>
                      <w:color w:val="auto"/>
                      <w:sz w:val="18"/>
                      <w:szCs w:val="18"/>
                      <w:highlight w:val="none"/>
                      <w:lang w:val="en-US" w:eastAsia="zh-CN"/>
                    </w:rPr>
                    <w:t>矿产开发</w:t>
                  </w:r>
                  <w:r>
                    <w:rPr>
                      <w:rFonts w:hint="default" w:ascii="Times New Roman" w:hAnsi="Times New Roman" w:cs="Times New Roman"/>
                      <w:color w:val="auto"/>
                      <w:sz w:val="18"/>
                      <w:szCs w:val="18"/>
                      <w:highlight w:val="none"/>
                    </w:rPr>
                    <w:t>、</w:t>
                  </w:r>
                  <w:r>
                    <w:rPr>
                      <w:rFonts w:hint="eastAsia" w:cs="Times New Roman"/>
                      <w:color w:val="auto"/>
                      <w:sz w:val="18"/>
                      <w:szCs w:val="18"/>
                      <w:highlight w:val="none"/>
                      <w:lang w:val="en-US" w:eastAsia="zh-CN"/>
                    </w:rPr>
                    <w:t>火电、</w:t>
                  </w:r>
                  <w:r>
                    <w:rPr>
                      <w:rFonts w:hint="default" w:ascii="Times New Roman" w:hAnsi="Times New Roman" w:cs="Times New Roman"/>
                      <w:color w:val="auto"/>
                      <w:sz w:val="18"/>
                      <w:szCs w:val="18"/>
                      <w:highlight w:val="none"/>
                    </w:rPr>
                    <w:t>水泥、</w:t>
                  </w:r>
                  <w:r>
                    <w:rPr>
                      <w:rFonts w:hint="eastAsia" w:cs="Times New Roman"/>
                      <w:color w:val="auto"/>
                      <w:sz w:val="18"/>
                      <w:szCs w:val="18"/>
                      <w:highlight w:val="none"/>
                      <w:lang w:val="en-US" w:eastAsia="zh-CN"/>
                    </w:rPr>
                    <w:t>砖瓦、畜禽养殖</w:t>
                  </w:r>
                  <w:r>
                    <w:rPr>
                      <w:rFonts w:hint="default" w:ascii="Times New Roman" w:hAnsi="Times New Roman" w:cs="Times New Roman"/>
                      <w:color w:val="auto"/>
                      <w:sz w:val="18"/>
                      <w:szCs w:val="18"/>
                      <w:highlight w:val="none"/>
                    </w:rPr>
                    <w:t>项目。</w:t>
                  </w:r>
                </w:p>
              </w:tc>
              <w:tc>
                <w:tcPr>
                  <w:tcW w:w="270" w:type="pct"/>
                  <w:tcBorders>
                    <w:tl2br w:val="nil"/>
                    <w:tr2bl w:val="nil"/>
                  </w:tcBorders>
                  <w:vAlign w:val="center"/>
                </w:tcPr>
                <w:p w14:paraId="155E1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F1CF7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3F4006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71C83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469260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5E0C5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其他污染物排放管控要求</w:t>
                  </w:r>
                </w:p>
              </w:tc>
              <w:tc>
                <w:tcPr>
                  <w:tcW w:w="2365" w:type="pct"/>
                  <w:tcBorders>
                    <w:tl2br w:val="nil"/>
                    <w:tr2bl w:val="nil"/>
                  </w:tcBorders>
                  <w:vAlign w:val="center"/>
                </w:tcPr>
                <w:p w14:paraId="64043000">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新增源等量或倍量替代：</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1</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若上一年度空气质量年平均浓度不达标、水环境质量未达到要求，则建设项目新增相关污染物按照总量管控要求进行倍量削减替代</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2</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若上一年度空气质量、水环境质量达标，则建设项目新增相关污染物按照总量管控要求进行等量替代</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3</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新增VOCs排放的建设项目实行等量替代。</w:t>
                  </w:r>
                </w:p>
                <w:p w14:paraId="3F897A4E">
                  <w:pPr>
                    <w:keepNext w:val="0"/>
                    <w:keepLines w:val="0"/>
                    <w:pageBreakBefore w:val="0"/>
                    <w:widowControl w:val="0"/>
                    <w:numPr>
                      <w:ilvl w:val="0"/>
                      <w:numId w:val="6"/>
                    </w:numPr>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污染物排放绩效水平准入要求：</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1</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屠宰项目必须配套污水处理设施或进入城市污水管网；</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2</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到2025年，基本消除城市建成区生活污水直排口和收集处理设施空白区；县城污水处理率达到95%以上；水环境敏感地区污水处理基本达到一级A排放标准；</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3</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到2035年，城市生活污水收集管网基本全覆盖，城镇污水处理能力全覆盖，全面实现污泥无害化处置</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4</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大中型矿山达到绿色矿山标准，引导小型矿山按照绿色矿山标准规范发展；加强矿山采选废水的处理和综合利用，不外排，采矿废水应尽量回用</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5</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2021年底，全市生活垃圾收转运处置体系覆盖95%以上行政村，再生资源回收网点覆盖30%以上的行政村，全市95%以上行政村的生活垃圾得到有效治理。到2023年，全市生活垃圾收转运处置体系覆盖所有行政村，再生资源回收网点覆盖60%以上的行政村，实现保洁员配备合理、管理有效，村组保洁工作运转有序。到2025年，乡镇和农村地区生活垃圾分类工作取得明显成效，生活垃圾减量化、无害化、资源化水平显著提高。基本建成垃圾分类有特色、转运设施较齐全。村庄保洁见长效，资金投入有保障、监管制度较完善的农村生活垃圾治理体系。</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6</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到2025年底，全市有机肥使用面积达到370万亩，平均耕地质量提升一个等级，化肥使用量总体保持零增长；</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7</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到2025年，主要粮经作物主产区农药包装废弃物回收率达80%。</w:t>
                  </w:r>
                </w:p>
              </w:tc>
              <w:tc>
                <w:tcPr>
                  <w:tcW w:w="848" w:type="pct"/>
                  <w:tcBorders>
                    <w:tl2br w:val="nil"/>
                    <w:tr2bl w:val="nil"/>
                  </w:tcBorders>
                  <w:vAlign w:val="center"/>
                </w:tcPr>
                <w:p w14:paraId="1E2F8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本项目属于电力基础设施建设项目，不属于屠宰、</w:t>
                  </w:r>
                  <w:r>
                    <w:rPr>
                      <w:rFonts w:hint="eastAsia" w:cs="Times New Roman"/>
                      <w:color w:val="auto"/>
                      <w:sz w:val="18"/>
                      <w:szCs w:val="18"/>
                      <w:highlight w:val="none"/>
                      <w:lang w:val="en-US" w:eastAsia="zh-CN"/>
                    </w:rPr>
                    <w:t>矿山开发、农作物生产</w:t>
                  </w:r>
                  <w:r>
                    <w:rPr>
                      <w:rFonts w:hint="default" w:ascii="Times New Roman" w:hAnsi="Times New Roman" w:cs="Times New Roman"/>
                      <w:color w:val="auto"/>
                      <w:sz w:val="18"/>
                      <w:szCs w:val="18"/>
                      <w:highlight w:val="none"/>
                    </w:rPr>
                    <w:t>等行业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不涉及VOCs的排放</w:t>
                  </w:r>
                  <w:r>
                    <w:rPr>
                      <w:rFonts w:hint="default" w:ascii="Times New Roman" w:hAnsi="Times New Roman" w:cs="Times New Roman"/>
                      <w:color w:val="auto"/>
                      <w:sz w:val="18"/>
                      <w:szCs w:val="18"/>
                      <w:highlight w:val="none"/>
                    </w:rPr>
                    <w:t>。</w:t>
                  </w:r>
                </w:p>
              </w:tc>
              <w:tc>
                <w:tcPr>
                  <w:tcW w:w="270" w:type="pct"/>
                  <w:tcBorders>
                    <w:tl2br w:val="nil"/>
                    <w:tr2bl w:val="nil"/>
                  </w:tcBorders>
                  <w:vAlign w:val="center"/>
                </w:tcPr>
                <w:p w14:paraId="2D37E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E5C9A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3" w:type="pct"/>
                  <w:vMerge w:val="continue"/>
                  <w:tcBorders>
                    <w:tl2br w:val="nil"/>
                    <w:tr2bl w:val="nil"/>
                  </w:tcBorders>
                  <w:vAlign w:val="center"/>
                </w:tcPr>
                <w:p w14:paraId="016BDB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20DB0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restart"/>
                  <w:tcBorders>
                    <w:tl2br w:val="nil"/>
                    <w:tr2bl w:val="nil"/>
                  </w:tcBorders>
                  <w:vAlign w:val="center"/>
                </w:tcPr>
                <w:p w14:paraId="494F1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74" w:type="pct"/>
                  <w:tcBorders>
                    <w:tl2br w:val="nil"/>
                    <w:tr2bl w:val="nil"/>
                  </w:tcBorders>
                  <w:vAlign w:val="center"/>
                </w:tcPr>
                <w:p w14:paraId="5DB68A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联防联控要求</w:t>
                  </w:r>
                </w:p>
              </w:tc>
              <w:tc>
                <w:tcPr>
                  <w:tcW w:w="2365" w:type="pct"/>
                  <w:tcBorders>
                    <w:tl2br w:val="nil"/>
                    <w:tr2bl w:val="nil"/>
                  </w:tcBorders>
                  <w:vAlign w:val="center"/>
                </w:tcPr>
                <w:p w14:paraId="583BDA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lang w:val="en-US"/>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848" w:type="pct"/>
                  <w:tcBorders>
                    <w:tl2br w:val="nil"/>
                    <w:tr2bl w:val="nil"/>
                  </w:tcBorders>
                  <w:vAlign w:val="center"/>
                </w:tcPr>
                <w:p w14:paraId="3A1C4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70" w:type="pct"/>
                  <w:tcBorders>
                    <w:tl2br w:val="nil"/>
                    <w:tr2bl w:val="nil"/>
                  </w:tcBorders>
                  <w:vAlign w:val="center"/>
                </w:tcPr>
                <w:p w14:paraId="76427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14079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3" w:type="pct"/>
                  <w:vMerge w:val="continue"/>
                  <w:tcBorders>
                    <w:tl2br w:val="nil"/>
                    <w:tr2bl w:val="nil"/>
                  </w:tcBorders>
                  <w:vAlign w:val="center"/>
                </w:tcPr>
                <w:p w14:paraId="45BAFE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210568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4E631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6038D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其他环境风险防控要求</w:t>
                  </w:r>
                </w:p>
              </w:tc>
              <w:tc>
                <w:tcPr>
                  <w:tcW w:w="2365" w:type="pct"/>
                  <w:tcBorders>
                    <w:tl2br w:val="nil"/>
                    <w:tr2bl w:val="nil"/>
                  </w:tcBorders>
                  <w:vAlign w:val="center"/>
                </w:tcPr>
                <w:p w14:paraId="7E0158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rPr>
                    <w:t>企业环境风险防控要求：</w:t>
                  </w: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rPr>
                    <w:t>工业企业退出用地，应按相关要求进行评估、修复，满足相应用地功能后，方可改变用途</w:t>
                  </w: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rPr>
                    <w:t>加强“散乱污”企业环境风险防控</w:t>
                  </w:r>
                  <w:r>
                    <w:rPr>
                      <w:rFonts w:hint="eastAsia" w:cs="Times New Roman"/>
                      <w:color w:val="auto"/>
                      <w:sz w:val="18"/>
                      <w:szCs w:val="18"/>
                      <w:highlight w:val="none"/>
                      <w:lang w:val="en-US" w:eastAsia="zh-CN"/>
                    </w:rPr>
                    <w:t>；（3）</w:t>
                  </w:r>
                  <w:r>
                    <w:rPr>
                      <w:rFonts w:hint="default" w:ascii="Times New Roman" w:hAnsi="Times New Roman" w:cs="Times New Roman"/>
                      <w:color w:val="auto"/>
                      <w:sz w:val="18"/>
                      <w:szCs w:val="18"/>
                      <w:highlight w:val="none"/>
                      <w:lang w:val="en-US"/>
                    </w:rPr>
                    <w:t>现有涉及五类重金属的企业，严控污染物排放，限时整治或搬迁</w:t>
                  </w:r>
                  <w:r>
                    <w:rPr>
                      <w:rFonts w:hint="eastAsia" w:cs="Times New Roman"/>
                      <w:color w:val="auto"/>
                      <w:sz w:val="18"/>
                      <w:szCs w:val="18"/>
                      <w:highlight w:val="none"/>
                      <w:lang w:val="en-US" w:eastAsia="zh-CN"/>
                    </w:rPr>
                    <w:t>；（4）</w:t>
                  </w:r>
                  <w:r>
                    <w:rPr>
                      <w:rFonts w:hint="default" w:ascii="Times New Roman" w:hAnsi="Times New Roman" w:cs="Times New Roman"/>
                      <w:color w:val="auto"/>
                      <w:sz w:val="18"/>
                      <w:szCs w:val="18"/>
                      <w:highlight w:val="none"/>
                      <w:lang w:val="en-US"/>
                    </w:rPr>
                    <w:t>加强再生利用行业清理整顿。落实《电子废物、废轮胎、废塑料、废旧衣服、废家电拆解等再生利用行业清理整顿工作方案》，防止污染土壤和地下水。</w:t>
                  </w:r>
                </w:p>
                <w:p w14:paraId="7D9A358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both"/>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rPr>
                    <w:t>用地环境风险防控要求：</w:t>
                  </w: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rPr>
                    <w:t>严禁将城镇生活垃圾、污泥、工业废物直接用作肥料，禁止处理不达标的污泥进入耕地；禁止在农用地排放、倾倒、使用污泥、清淤底泥、尾矿（渣）等可能对土壤造成污染的固体废物</w:t>
                  </w: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rPr>
                    <w:t>严格控制林地、草地、园地的农药使用量，禁止使用高毒、高残留农药。</w:t>
                  </w:r>
                </w:p>
              </w:tc>
              <w:tc>
                <w:tcPr>
                  <w:tcW w:w="848" w:type="pct"/>
                  <w:tcBorders>
                    <w:tl2br w:val="nil"/>
                    <w:tr2bl w:val="nil"/>
                  </w:tcBorders>
                  <w:vAlign w:val="center"/>
                </w:tcPr>
                <w:p w14:paraId="11CAA8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70" w:type="pct"/>
                  <w:tcBorders>
                    <w:tl2br w:val="nil"/>
                    <w:tr2bl w:val="nil"/>
                  </w:tcBorders>
                  <w:vAlign w:val="center"/>
                </w:tcPr>
                <w:p w14:paraId="6E742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59C7F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63" w:type="pct"/>
                  <w:vMerge w:val="continue"/>
                  <w:tcBorders>
                    <w:tl2br w:val="nil"/>
                    <w:tr2bl w:val="nil"/>
                  </w:tcBorders>
                  <w:vAlign w:val="center"/>
                </w:tcPr>
                <w:p w14:paraId="18F3C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3E7E27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restart"/>
                  <w:tcBorders>
                    <w:tl2br w:val="nil"/>
                    <w:tr2bl w:val="nil"/>
                  </w:tcBorders>
                  <w:vAlign w:val="center"/>
                </w:tcPr>
                <w:p w14:paraId="25EE30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74" w:type="pct"/>
                  <w:tcBorders>
                    <w:tl2br w:val="nil"/>
                    <w:tr2bl w:val="nil"/>
                  </w:tcBorders>
                  <w:vAlign w:val="center"/>
                </w:tcPr>
                <w:p w14:paraId="6AAD27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水资源利用总量要求</w:t>
                  </w:r>
                </w:p>
              </w:tc>
              <w:tc>
                <w:tcPr>
                  <w:tcW w:w="2365" w:type="pct"/>
                  <w:tcBorders>
                    <w:tl2br w:val="nil"/>
                    <w:tr2bl w:val="nil"/>
                  </w:tcBorders>
                  <w:vAlign w:val="center"/>
                </w:tcPr>
                <w:p w14:paraId="3075565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到2022年，万元国内生产总值用水量、万元工业增加值用水量较2015年分别降低30%和28%。</w:t>
                  </w:r>
                </w:p>
              </w:tc>
              <w:tc>
                <w:tcPr>
                  <w:tcW w:w="848" w:type="pct"/>
                  <w:tcBorders>
                    <w:tl2br w:val="nil"/>
                    <w:tr2bl w:val="nil"/>
                  </w:tcBorders>
                  <w:vAlign w:val="center"/>
                </w:tcPr>
                <w:p w14:paraId="75302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不涉及</w:t>
                  </w:r>
                </w:p>
              </w:tc>
              <w:tc>
                <w:tcPr>
                  <w:tcW w:w="270" w:type="pct"/>
                  <w:tcBorders>
                    <w:tl2br w:val="nil"/>
                    <w:tr2bl w:val="nil"/>
                  </w:tcBorders>
                  <w:vAlign w:val="center"/>
                </w:tcPr>
                <w:p w14:paraId="3C2F42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4599E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63" w:type="pct"/>
                  <w:vMerge w:val="continue"/>
                  <w:tcBorders>
                    <w:tl2br w:val="nil"/>
                    <w:tr2bl w:val="nil"/>
                  </w:tcBorders>
                  <w:vAlign w:val="center"/>
                </w:tcPr>
                <w:p w14:paraId="6CE50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1D38C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1BEE73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6D2659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地下水开采要求</w:t>
                  </w:r>
                </w:p>
              </w:tc>
              <w:tc>
                <w:tcPr>
                  <w:tcW w:w="2365" w:type="pct"/>
                  <w:tcBorders>
                    <w:tl2br w:val="nil"/>
                    <w:tr2bl w:val="nil"/>
                  </w:tcBorders>
                  <w:vAlign w:val="center"/>
                </w:tcPr>
                <w:p w14:paraId="7D2A20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巴中市2025年地下水开采控制控制量保持在1400万m3以内</w:t>
                  </w:r>
                  <w:r>
                    <w:rPr>
                      <w:rFonts w:hint="eastAsia" w:cs="Times New Roman"/>
                      <w:color w:val="auto"/>
                      <w:sz w:val="18"/>
                      <w:szCs w:val="18"/>
                      <w:highlight w:val="none"/>
                      <w:lang w:eastAsia="zh-CN"/>
                    </w:rPr>
                    <w:t>；</w:t>
                  </w:r>
                  <w:r>
                    <w:rPr>
                      <w:rFonts w:hint="eastAsia" w:ascii="Times New Roman" w:hAnsi="Times New Roman" w:eastAsia="宋体" w:cs="Times New Roman"/>
                      <w:color w:val="auto"/>
                      <w:sz w:val="18"/>
                      <w:szCs w:val="18"/>
                      <w:highlight w:val="none"/>
                      <w:lang w:eastAsia="zh-CN"/>
                    </w:rPr>
                    <w:t>地下水开采量控制在可开采量的允 许范围内，抑制用水过度增长。</w:t>
                  </w:r>
                </w:p>
              </w:tc>
              <w:tc>
                <w:tcPr>
                  <w:tcW w:w="848" w:type="pct"/>
                  <w:tcBorders>
                    <w:tl2br w:val="nil"/>
                    <w:tr2bl w:val="nil"/>
                  </w:tcBorders>
                  <w:vAlign w:val="center"/>
                </w:tcPr>
                <w:p w14:paraId="04EA5D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70" w:type="pct"/>
                  <w:tcBorders>
                    <w:tl2br w:val="nil"/>
                    <w:tr2bl w:val="nil"/>
                  </w:tcBorders>
                  <w:vAlign w:val="center"/>
                </w:tcPr>
                <w:p w14:paraId="03B9E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F4827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63" w:type="pct"/>
                  <w:vMerge w:val="continue"/>
                  <w:tcBorders>
                    <w:tl2br w:val="nil"/>
                    <w:tr2bl w:val="nil"/>
                  </w:tcBorders>
                  <w:vAlign w:val="center"/>
                </w:tcPr>
                <w:p w14:paraId="06AE81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5DEA2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55046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29219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能源利用总量及效率要求</w:t>
                  </w:r>
                </w:p>
              </w:tc>
              <w:tc>
                <w:tcPr>
                  <w:tcW w:w="2365" w:type="pct"/>
                  <w:tcBorders>
                    <w:tl2br w:val="nil"/>
                    <w:tr2bl w:val="nil"/>
                  </w:tcBorders>
                  <w:vAlign w:val="center"/>
                </w:tcPr>
                <w:p w14:paraId="4D48817B">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推进清洁能源的推广使用，全面推进散煤清洁化整治；禁止新建每小时10蒸吨以下的燃煤锅炉及其他燃煤设施。</w:t>
                  </w:r>
                </w:p>
                <w:p w14:paraId="1EB9F342">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禁止焚烧秸秆和垃圾。</w:t>
                  </w:r>
                </w:p>
              </w:tc>
              <w:tc>
                <w:tcPr>
                  <w:tcW w:w="848" w:type="pct"/>
                  <w:tcBorders>
                    <w:tl2br w:val="nil"/>
                    <w:tr2bl w:val="nil"/>
                  </w:tcBorders>
                  <w:vAlign w:val="center"/>
                </w:tcPr>
                <w:p w14:paraId="7E6907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70" w:type="pct"/>
                  <w:tcBorders>
                    <w:tl2br w:val="nil"/>
                    <w:tr2bl w:val="nil"/>
                  </w:tcBorders>
                  <w:vAlign w:val="center"/>
                </w:tcPr>
                <w:p w14:paraId="1AC37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C3FA8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097D8C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052D6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53CD4E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21363B1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color w:val="auto"/>
                      <w:kern w:val="2"/>
                      <w:sz w:val="18"/>
                      <w:szCs w:val="18"/>
                      <w:lang w:val="en-US" w:eastAsia="zh-CN" w:bidi="ar-SA"/>
                    </w:rPr>
                    <w:t>禁燃区要求</w:t>
                  </w:r>
                </w:p>
              </w:tc>
              <w:tc>
                <w:tcPr>
                  <w:tcW w:w="2365" w:type="pct"/>
                  <w:tcBorders>
                    <w:tl2br w:val="nil"/>
                    <w:tr2bl w:val="nil"/>
                  </w:tcBorders>
                  <w:vAlign w:val="center"/>
                </w:tcPr>
                <w:p w14:paraId="3B06C26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tc>
              <w:tc>
                <w:tcPr>
                  <w:tcW w:w="848" w:type="pct"/>
                  <w:tcBorders>
                    <w:tl2br w:val="nil"/>
                    <w:tr2bl w:val="nil"/>
                  </w:tcBorders>
                  <w:vAlign w:val="center"/>
                </w:tcPr>
                <w:p w14:paraId="596BC7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不涉及</w:t>
                  </w:r>
                </w:p>
              </w:tc>
              <w:tc>
                <w:tcPr>
                  <w:tcW w:w="270" w:type="pct"/>
                  <w:tcBorders>
                    <w:tl2br w:val="nil"/>
                    <w:tr2bl w:val="nil"/>
                  </w:tcBorders>
                  <w:vAlign w:val="center"/>
                </w:tcPr>
                <w:p w14:paraId="6E3B3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2519F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67D21C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2BC1F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1D353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31C8E0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其他资源利用效率要求</w:t>
                  </w:r>
                </w:p>
              </w:tc>
              <w:tc>
                <w:tcPr>
                  <w:tcW w:w="2365" w:type="pct"/>
                  <w:tcBorders>
                    <w:tl2br w:val="nil"/>
                    <w:tr2bl w:val="nil"/>
                  </w:tcBorders>
                  <w:vAlign w:val="center"/>
                </w:tcPr>
                <w:p w14:paraId="247A5D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到2025年，巴中市农田有效灌溉系数达到0.56</w:t>
                  </w:r>
                  <w:r>
                    <w:rPr>
                      <w:rFonts w:hint="eastAsia" w:cs="Times New Roman"/>
                      <w:color w:val="auto"/>
                      <w:kern w:val="2"/>
                      <w:sz w:val="18"/>
                      <w:szCs w:val="18"/>
                      <w:lang w:val="en-US" w:eastAsia="zh-CN" w:bidi="ar-SA"/>
                    </w:rPr>
                    <w:t>；</w:t>
                  </w:r>
                  <w:r>
                    <w:rPr>
                      <w:rFonts w:hint="default" w:ascii="Times New Roman" w:hAnsi="Times New Roman" w:eastAsia="宋体" w:cs="Times New Roman"/>
                      <w:color w:val="auto"/>
                      <w:kern w:val="2"/>
                      <w:sz w:val="18"/>
                      <w:szCs w:val="18"/>
                      <w:lang w:val="en-US" w:eastAsia="zh-CN" w:bidi="ar-SA"/>
                    </w:rPr>
                    <w:t>到2030年，巴中市农田有效灌溉率提到40%，农田灌溉用水有效利用系数提高到0.62左右。</w:t>
                  </w:r>
                </w:p>
              </w:tc>
              <w:tc>
                <w:tcPr>
                  <w:tcW w:w="848" w:type="pct"/>
                  <w:tcBorders>
                    <w:tl2br w:val="nil"/>
                    <w:tr2bl w:val="nil"/>
                  </w:tcBorders>
                  <w:vAlign w:val="center"/>
                </w:tcPr>
                <w:p w14:paraId="5E138E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70" w:type="pct"/>
                  <w:tcBorders>
                    <w:tl2br w:val="nil"/>
                    <w:tr2bl w:val="nil"/>
                  </w:tcBorders>
                  <w:vAlign w:val="center"/>
                </w:tcPr>
                <w:p w14:paraId="6F0CB3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004E1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6AC56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restart"/>
                  <w:tcBorders>
                    <w:tl2br w:val="nil"/>
                    <w:tr2bl w:val="nil"/>
                  </w:tcBorders>
                  <w:vAlign w:val="center"/>
                </w:tcPr>
                <w:p w14:paraId="73CD12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县区普适性清单</w:t>
                  </w:r>
                </w:p>
              </w:tc>
              <w:tc>
                <w:tcPr>
                  <w:tcW w:w="361" w:type="pct"/>
                  <w:tcBorders>
                    <w:tl2br w:val="nil"/>
                    <w:tr2bl w:val="nil"/>
                  </w:tcBorders>
                  <w:vAlign w:val="center"/>
                </w:tcPr>
                <w:p w14:paraId="088D7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74" w:type="pct"/>
                  <w:tcBorders>
                    <w:tl2br w:val="nil"/>
                    <w:tr2bl w:val="nil"/>
                  </w:tcBorders>
                  <w:vAlign w:val="center"/>
                </w:tcPr>
                <w:p w14:paraId="1CABE0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其他空间布局约束要求</w:t>
                  </w:r>
                </w:p>
              </w:tc>
              <w:tc>
                <w:tcPr>
                  <w:tcW w:w="2365" w:type="pct"/>
                  <w:tcBorders>
                    <w:tl2br w:val="nil"/>
                    <w:tr2bl w:val="nil"/>
                  </w:tcBorders>
                  <w:vAlign w:val="center"/>
                </w:tcPr>
                <w:p w14:paraId="4005EE7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eastAsia="zh-CN"/>
                    </w:rPr>
                    <w:t>加强流域水污染防治，推进流域水生态环境修复与治理；</w:t>
                  </w:r>
                </w:p>
                <w:p w14:paraId="21414B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eastAsia="zh-CN"/>
                    </w:rPr>
                    <w:t>培育和引入食品、饮料等行业严格执行行业资源环境绩效指标准入要求；</w:t>
                  </w:r>
                </w:p>
                <w:p w14:paraId="556873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3、</w:t>
                  </w:r>
                  <w:r>
                    <w:rPr>
                      <w:rFonts w:hint="default" w:ascii="Times New Roman" w:hAnsi="Times New Roman" w:cs="Times New Roman"/>
                      <w:color w:val="auto"/>
                      <w:sz w:val="18"/>
                      <w:szCs w:val="18"/>
                      <w:highlight w:val="none"/>
                      <w:lang w:val="en-US" w:eastAsia="zh-CN"/>
                    </w:rPr>
                    <w:t>加强城市精细化管理，提升市民对环境的幸福感、获得感。</w:t>
                  </w:r>
                </w:p>
              </w:tc>
              <w:tc>
                <w:tcPr>
                  <w:tcW w:w="848" w:type="pct"/>
                  <w:tcBorders>
                    <w:tl2br w:val="nil"/>
                    <w:tr2bl w:val="nil"/>
                  </w:tcBorders>
                  <w:vAlign w:val="center"/>
                </w:tcPr>
                <w:p w14:paraId="6AA1B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项目属于电力基础设施建设，为鼓励类项目，符合国家产业政策，不</w:t>
                  </w:r>
                  <w:r>
                    <w:rPr>
                      <w:rFonts w:hint="eastAsia" w:cs="Times New Roman"/>
                      <w:color w:val="auto"/>
                      <w:sz w:val="18"/>
                      <w:szCs w:val="18"/>
                      <w:highlight w:val="none"/>
                      <w:lang w:val="en-US" w:eastAsia="zh-CN"/>
                    </w:rPr>
                    <w:t>属于食品、饮料等制造行业</w:t>
                  </w:r>
                  <w:r>
                    <w:rPr>
                      <w:rFonts w:hint="default" w:ascii="Times New Roman" w:hAnsi="Times New Roman" w:cs="Times New Roman"/>
                      <w:color w:val="auto"/>
                      <w:sz w:val="18"/>
                      <w:szCs w:val="18"/>
                      <w:highlight w:val="none"/>
                    </w:rPr>
                    <w:t>。</w:t>
                  </w:r>
                </w:p>
              </w:tc>
              <w:tc>
                <w:tcPr>
                  <w:tcW w:w="270" w:type="pct"/>
                  <w:tcBorders>
                    <w:tl2br w:val="nil"/>
                    <w:tr2bl w:val="nil"/>
                  </w:tcBorders>
                  <w:vAlign w:val="center"/>
                </w:tcPr>
                <w:p w14:paraId="3D6BF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E072E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5824C7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4EF58E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tcBorders>
                    <w:tl2br w:val="nil"/>
                    <w:tr2bl w:val="nil"/>
                  </w:tcBorders>
                  <w:vAlign w:val="center"/>
                </w:tcPr>
                <w:p w14:paraId="68E8A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污染物排放管控</w:t>
                  </w:r>
                </w:p>
              </w:tc>
              <w:tc>
                <w:tcPr>
                  <w:tcW w:w="374" w:type="pct"/>
                  <w:tcBorders>
                    <w:tl2br w:val="nil"/>
                    <w:tr2bl w:val="nil"/>
                  </w:tcBorders>
                  <w:vAlign w:val="center"/>
                </w:tcPr>
                <w:p w14:paraId="304BB5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pacing w:val="-1"/>
                      <w:sz w:val="18"/>
                      <w:szCs w:val="18"/>
                      <w:lang w:eastAsia="zh-CN"/>
                    </w:rPr>
                    <w:t>其他污染物排放管控要求</w:t>
                  </w:r>
                </w:p>
              </w:tc>
              <w:tc>
                <w:tcPr>
                  <w:tcW w:w="2365" w:type="pct"/>
                  <w:tcBorders>
                    <w:tl2br w:val="nil"/>
                    <w:tr2bl w:val="nil"/>
                  </w:tcBorders>
                  <w:vAlign w:val="center"/>
                </w:tcPr>
                <w:p w14:paraId="5041CA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eastAsia="zh-CN"/>
                    </w:rPr>
                    <w:t>加强工业园区内和园区外企业污染排放监管，推进</w:t>
                  </w:r>
                  <w:r>
                    <w:rPr>
                      <w:rFonts w:hint="eastAsia" w:cs="Times New Roman"/>
                      <w:color w:val="auto"/>
                      <w:sz w:val="18"/>
                      <w:szCs w:val="18"/>
                      <w:highlight w:val="none"/>
                      <w:lang w:val="en-US" w:eastAsia="zh-CN"/>
                    </w:rPr>
                    <w:t>“</w:t>
                  </w:r>
                  <w:r>
                    <w:rPr>
                      <w:rFonts w:hint="default" w:ascii="Times New Roman" w:hAnsi="Times New Roman" w:cs="Times New Roman"/>
                      <w:color w:val="auto"/>
                      <w:sz w:val="18"/>
                      <w:szCs w:val="18"/>
                      <w:highlight w:val="none"/>
                      <w:lang w:val="en-US" w:eastAsia="zh-CN"/>
                    </w:rPr>
                    <w:t>散乱污</w:t>
                  </w:r>
                  <w:r>
                    <w:rPr>
                      <w:rFonts w:hint="eastAsia" w:cs="Times New Roman"/>
                      <w:color w:val="auto"/>
                      <w:sz w:val="18"/>
                      <w:szCs w:val="18"/>
                      <w:highlight w:val="none"/>
                      <w:lang w:val="en-US" w:eastAsia="zh-CN"/>
                    </w:rPr>
                    <w:t>”</w:t>
                  </w:r>
                  <w:r>
                    <w:rPr>
                      <w:rFonts w:hint="default" w:ascii="Times New Roman" w:hAnsi="Times New Roman" w:cs="Times New Roman"/>
                      <w:color w:val="auto"/>
                      <w:sz w:val="18"/>
                      <w:szCs w:val="18"/>
                      <w:highlight w:val="none"/>
                      <w:lang w:val="en-US" w:eastAsia="zh-CN"/>
                    </w:rPr>
                    <w:t>企业整治；</w:t>
                  </w:r>
                </w:p>
                <w:p w14:paraId="6039749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eastAsia="zh-CN"/>
                    </w:rPr>
                    <w:t>强化扬尘源、燃烧源和移动源等大气污染防治。</w:t>
                  </w:r>
                </w:p>
              </w:tc>
              <w:tc>
                <w:tcPr>
                  <w:tcW w:w="848" w:type="pct"/>
                  <w:tcBorders>
                    <w:tl2br w:val="nil"/>
                    <w:tr2bl w:val="nil"/>
                  </w:tcBorders>
                  <w:vAlign w:val="center"/>
                </w:tcPr>
                <w:p w14:paraId="3EC31A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w:t>
                  </w:r>
                  <w:r>
                    <w:rPr>
                      <w:rFonts w:hint="eastAsia" w:cs="Times New Roman"/>
                      <w:color w:val="auto"/>
                      <w:sz w:val="18"/>
                      <w:szCs w:val="18"/>
                      <w:highlight w:val="none"/>
                      <w:lang w:val="en-US" w:eastAsia="zh-CN"/>
                    </w:rPr>
                    <w:t>选址选项不在工业园区内，</w:t>
                  </w:r>
                  <w:r>
                    <w:rPr>
                      <w:rFonts w:hint="default" w:ascii="Times New Roman" w:hAnsi="Times New Roman" w:cs="Times New Roman"/>
                      <w:color w:val="auto"/>
                      <w:sz w:val="18"/>
                      <w:szCs w:val="18"/>
                      <w:highlight w:val="none"/>
                    </w:rPr>
                    <w:t>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lang w:eastAsia="zh-CN"/>
                    </w:rPr>
                    <w:t>，</w:t>
                  </w:r>
                  <w:r>
                    <w:rPr>
                      <w:rFonts w:hint="eastAsia" w:cs="Times New Roman"/>
                      <w:color w:val="auto"/>
                      <w:sz w:val="18"/>
                      <w:szCs w:val="18"/>
                      <w:highlight w:val="none"/>
                      <w:lang w:val="en-US" w:eastAsia="zh-CN"/>
                    </w:rPr>
                    <w:t>不涉及扬尘源等污染源。</w:t>
                  </w:r>
                </w:p>
              </w:tc>
              <w:tc>
                <w:tcPr>
                  <w:tcW w:w="270" w:type="pct"/>
                  <w:tcBorders>
                    <w:tl2br w:val="nil"/>
                    <w:tr2bl w:val="nil"/>
                  </w:tcBorders>
                  <w:vAlign w:val="center"/>
                </w:tcPr>
                <w:p w14:paraId="4F6232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A4A27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17E45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restart"/>
                  <w:tcBorders>
                    <w:tl2br w:val="nil"/>
                    <w:tr2bl w:val="nil"/>
                  </w:tcBorders>
                  <w:vAlign w:val="center"/>
                </w:tcPr>
                <w:p w14:paraId="71188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单元级清单管控要求</w:t>
                  </w:r>
                </w:p>
              </w:tc>
              <w:tc>
                <w:tcPr>
                  <w:tcW w:w="361" w:type="pct"/>
                  <w:vMerge w:val="restart"/>
                  <w:tcBorders>
                    <w:tl2br w:val="nil"/>
                    <w:tr2bl w:val="nil"/>
                  </w:tcBorders>
                  <w:vAlign w:val="center"/>
                </w:tcPr>
                <w:p w14:paraId="34C34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74" w:type="pct"/>
                  <w:tcBorders>
                    <w:tl2br w:val="nil"/>
                    <w:tr2bl w:val="nil"/>
                  </w:tcBorders>
                  <w:vAlign w:val="center"/>
                </w:tcPr>
                <w:p w14:paraId="0343D5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65" w:type="pct"/>
                  <w:tcBorders>
                    <w:tl2br w:val="nil"/>
                    <w:tr2bl w:val="nil"/>
                  </w:tcBorders>
                  <w:vAlign w:val="center"/>
                </w:tcPr>
                <w:p w14:paraId="6D1656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rPr>
                    <w:t>严格控制开发建设项目布局，鼓励企业入园发展，工业园区外现有钢铁、有色金属、造纸、印染、原料药制造、化工等污染较重的企业应有序搬迁改造或依法关闭。</w:t>
                  </w:r>
                </w:p>
                <w:p w14:paraId="47B342F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禁止新引入与生态旅游、农林生产、矿产资源开采无关的工业企业；主要河流沿岸两侧一定距离范围内限制矿种，砂石粘土、小型非金属等矿产。</w:t>
                  </w:r>
                </w:p>
                <w:p w14:paraId="188A8D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3、</w:t>
                  </w:r>
                  <w:r>
                    <w:rPr>
                      <w:rFonts w:hint="default" w:ascii="Times New Roman" w:hAnsi="Times New Roman" w:cs="Times New Roman"/>
                      <w:color w:val="auto"/>
                      <w:sz w:val="18"/>
                      <w:szCs w:val="18"/>
                      <w:highlight w:val="none"/>
                    </w:rPr>
                    <w:t>矿山开采区应进行必要的防渗处理；落实涉磷矿山渣场和尾矿库的防渗、防风、防洪措施，建设规范的雨水收集池、回水池、渗滤液收集池和应急污水处理系统，并安装总磷自动在线监控装置。</w:t>
                  </w:r>
                </w:p>
                <w:p w14:paraId="5E0612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4、</w:t>
                  </w:r>
                  <w:r>
                    <w:rPr>
                      <w:rFonts w:hint="default" w:ascii="Times New Roman" w:hAnsi="Times New Roman" w:cs="Times New Roman"/>
                      <w:color w:val="auto"/>
                      <w:sz w:val="18"/>
                      <w:szCs w:val="18"/>
                      <w:highlight w:val="none"/>
                    </w:rPr>
                    <w:t>控制农村面源污染，开展农田径流污染防治，推广测土配方施肥、生物防治和精准农业等技术，采取灌排分离等措施控制农田氮磷流失，推广使用生物农药或高效、低毒、低残留农药。</w:t>
                  </w:r>
                </w:p>
                <w:p w14:paraId="1EE7E2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5、</w:t>
                  </w:r>
                  <w:r>
                    <w:rPr>
                      <w:rFonts w:hint="default" w:ascii="Times New Roman" w:hAnsi="Times New Roman" w:cs="Times New Roman"/>
                      <w:color w:val="auto"/>
                      <w:sz w:val="18"/>
                      <w:szCs w:val="18"/>
                      <w:highlight w:val="none"/>
                    </w:rPr>
                    <w:t>其他执行要素重点管控单元总体准入要求</w:t>
                  </w:r>
                  <w:r>
                    <w:rPr>
                      <w:rFonts w:hint="eastAsia" w:cs="Times New Roman"/>
                      <w:color w:val="auto"/>
                      <w:sz w:val="18"/>
                      <w:szCs w:val="18"/>
                      <w:highlight w:val="none"/>
                      <w:lang w:eastAsia="zh-CN"/>
                    </w:rPr>
                    <w:t>。</w:t>
                  </w:r>
                </w:p>
              </w:tc>
              <w:tc>
                <w:tcPr>
                  <w:tcW w:w="848" w:type="pct"/>
                  <w:tcBorders>
                    <w:tl2br w:val="nil"/>
                    <w:tr2bl w:val="nil"/>
                  </w:tcBorders>
                  <w:vAlign w:val="center"/>
                </w:tcPr>
                <w:p w14:paraId="7B279B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rPr>
                    <w:t>本项目</w:t>
                  </w:r>
                  <w:r>
                    <w:rPr>
                      <w:rFonts w:hint="eastAsia" w:cs="Times New Roman"/>
                      <w:color w:val="auto"/>
                      <w:sz w:val="18"/>
                      <w:szCs w:val="18"/>
                      <w:highlight w:val="none"/>
                      <w:lang w:val="en-US" w:eastAsia="zh-CN"/>
                    </w:rPr>
                    <w:t>选址选项不在工业园区内，本项目属于电力基础设施建设项目，为鼓励类项目，不属于矿山开采项目，其他满足巴中市要素重点管控单元总体准入要求。</w:t>
                  </w:r>
                </w:p>
              </w:tc>
              <w:tc>
                <w:tcPr>
                  <w:tcW w:w="270" w:type="pct"/>
                  <w:tcBorders>
                    <w:tl2br w:val="nil"/>
                    <w:tr2bl w:val="nil"/>
                  </w:tcBorders>
                  <w:vAlign w:val="center"/>
                </w:tcPr>
                <w:p w14:paraId="78818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250A5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79A9C5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012CA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35D31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2CCA9F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2"/>
                      <w:sz w:val="18"/>
                      <w:szCs w:val="18"/>
                    </w:rPr>
                    <w:t>限制开发建设活动的要求</w:t>
                  </w:r>
                </w:p>
              </w:tc>
              <w:tc>
                <w:tcPr>
                  <w:tcW w:w="2365" w:type="pct"/>
                  <w:tcBorders>
                    <w:tl2br w:val="nil"/>
                    <w:tr2bl w:val="nil"/>
                  </w:tcBorders>
                  <w:vAlign w:val="center"/>
                </w:tcPr>
                <w:p w14:paraId="49ECD3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执行要素重点管控单元总体准入要求</w:t>
                  </w:r>
                  <w:r>
                    <w:rPr>
                      <w:rFonts w:hint="eastAsia" w:cs="Times New Roman"/>
                      <w:color w:val="auto"/>
                      <w:sz w:val="18"/>
                      <w:szCs w:val="18"/>
                      <w:highlight w:val="none"/>
                      <w:lang w:eastAsia="zh-CN"/>
                    </w:rPr>
                    <w:t>。</w:t>
                  </w:r>
                </w:p>
              </w:tc>
              <w:tc>
                <w:tcPr>
                  <w:tcW w:w="848" w:type="pct"/>
                  <w:tcBorders>
                    <w:tl2br w:val="nil"/>
                    <w:tr2bl w:val="nil"/>
                  </w:tcBorders>
                  <w:vAlign w:val="center"/>
                </w:tcPr>
                <w:p w14:paraId="029BF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4A73D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256C3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38A52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7C6B7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6EB394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1C0AC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2"/>
                      <w:sz w:val="18"/>
                      <w:szCs w:val="18"/>
                      <w:lang w:val="en-US" w:eastAsia="zh-CN"/>
                    </w:rPr>
                  </w:pPr>
                  <w:r>
                    <w:rPr>
                      <w:rFonts w:hint="default" w:ascii="Times New Roman" w:hAnsi="Times New Roman" w:cs="Times New Roman"/>
                      <w:color w:val="auto"/>
                      <w:sz w:val="18"/>
                      <w:szCs w:val="18"/>
                      <w:highlight w:val="none"/>
                    </w:rPr>
                    <w:t>不符合空间布局要求活动的退出要求</w:t>
                  </w:r>
                </w:p>
              </w:tc>
              <w:tc>
                <w:tcPr>
                  <w:tcW w:w="2365" w:type="pct"/>
                  <w:tcBorders>
                    <w:tl2br w:val="nil"/>
                    <w:tr2bl w:val="nil"/>
                  </w:tcBorders>
                  <w:vAlign w:val="center"/>
                </w:tcPr>
                <w:p w14:paraId="5C7158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rPr>
                    <w:t>位于城镇空间外的工业园区外工业企业：具有合法手续的企业，且污染物排放及环境风险满足管理要求的企业，可继续保留，要求污染物排放只降不增，并进一步加强日常环保监管；严控新（扩）建水泥厂、危废焚烧、陶瓷厂等以大气污染为主的企业；不具备合法手续，或污染物排放超标、环境风险不可控的企业，限期进行整改提升，通过环保、安全、工艺装备升级等落实整改措施并达到相关标准实现合法生产，整改后仍不能达到要求的，属地政府应按相关要求责令关停并退出。</w:t>
                  </w:r>
                </w:p>
                <w:p w14:paraId="415C0B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其他执行要素重点管控单元普适性管控要求。</w:t>
                  </w:r>
                </w:p>
              </w:tc>
              <w:tc>
                <w:tcPr>
                  <w:tcW w:w="848" w:type="pct"/>
                  <w:tcBorders>
                    <w:tl2br w:val="nil"/>
                    <w:tr2bl w:val="nil"/>
                  </w:tcBorders>
                  <w:vAlign w:val="center"/>
                </w:tcPr>
                <w:p w14:paraId="62D774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w:t>
                  </w:r>
                  <w:r>
                    <w:rPr>
                      <w:rFonts w:hint="eastAsia" w:cs="Times New Roman"/>
                      <w:color w:val="auto"/>
                      <w:sz w:val="18"/>
                      <w:szCs w:val="18"/>
                      <w:highlight w:val="none"/>
                      <w:lang w:val="en-US" w:eastAsia="zh-CN"/>
                    </w:rPr>
                    <w:t>选址选项不在工业园区内，本项目属于电力基础设施建设项目，为鼓励类项目，不属于新（扩）建水泥厂、危废焚烧、陶瓷厂等项目，其他满足巴中市要素重点管控单元总体准入要求。</w:t>
                  </w:r>
                </w:p>
              </w:tc>
              <w:tc>
                <w:tcPr>
                  <w:tcW w:w="270" w:type="pct"/>
                  <w:tcBorders>
                    <w:tl2br w:val="nil"/>
                    <w:tr2bl w:val="nil"/>
                  </w:tcBorders>
                  <w:vAlign w:val="center"/>
                </w:tcPr>
                <w:p w14:paraId="3604EA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C807D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07020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23C3D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restart"/>
                  <w:tcBorders>
                    <w:tl2br w:val="nil"/>
                    <w:tr2bl w:val="nil"/>
                  </w:tcBorders>
                  <w:vAlign w:val="center"/>
                </w:tcPr>
                <w:p w14:paraId="261D8E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74" w:type="pct"/>
                  <w:tcBorders>
                    <w:tl2br w:val="nil"/>
                    <w:tr2bl w:val="nil"/>
                  </w:tcBorders>
                  <w:vAlign w:val="center"/>
                </w:tcPr>
                <w:p w14:paraId="22431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现有源提标升级改造</w:t>
                  </w:r>
                </w:p>
              </w:tc>
              <w:tc>
                <w:tcPr>
                  <w:tcW w:w="2365" w:type="pct"/>
                  <w:tcBorders>
                    <w:tl2br w:val="nil"/>
                    <w:tr2bl w:val="nil"/>
                  </w:tcBorders>
                  <w:vAlign w:val="center"/>
                </w:tcPr>
                <w:p w14:paraId="3177933E">
                  <w:pPr>
                    <w:keepNext w:val="0"/>
                    <w:keepLines w:val="0"/>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大气环境布局敏感重点管控区中的大气污染排放源执行国家、省、行业排放标准中规定的大气污染物特别排放限值。</w:t>
                  </w:r>
                </w:p>
                <w:p w14:paraId="3B748521">
                  <w:pPr>
                    <w:keepNext w:val="0"/>
                    <w:keepLines w:val="0"/>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其他执行要素重点管控单元总体准入要求。</w:t>
                  </w:r>
                </w:p>
              </w:tc>
              <w:tc>
                <w:tcPr>
                  <w:tcW w:w="848" w:type="pct"/>
                  <w:tcBorders>
                    <w:tl2br w:val="nil"/>
                    <w:tr2bl w:val="nil"/>
                  </w:tcBorders>
                  <w:vAlign w:val="center"/>
                </w:tcPr>
                <w:p w14:paraId="466EE1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0960EF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1A93B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7B593C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p>
              </w:tc>
              <w:tc>
                <w:tcPr>
                  <w:tcW w:w="216" w:type="pct"/>
                  <w:vMerge w:val="continue"/>
                  <w:tcBorders>
                    <w:tl2br w:val="nil"/>
                    <w:tr2bl w:val="nil"/>
                  </w:tcBorders>
                  <w:vAlign w:val="center"/>
                </w:tcPr>
                <w:p w14:paraId="69A6E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p>
              </w:tc>
              <w:tc>
                <w:tcPr>
                  <w:tcW w:w="361" w:type="pct"/>
                  <w:vMerge w:val="continue"/>
                  <w:tcBorders>
                    <w:tl2br w:val="nil"/>
                    <w:tr2bl w:val="nil"/>
                  </w:tcBorders>
                  <w:vAlign w:val="center"/>
                </w:tcPr>
                <w:p w14:paraId="7C47E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p>
              </w:tc>
              <w:tc>
                <w:tcPr>
                  <w:tcW w:w="374" w:type="pct"/>
                  <w:tcBorders>
                    <w:tl2br w:val="nil"/>
                    <w:tr2bl w:val="nil"/>
                  </w:tcBorders>
                  <w:vAlign w:val="center"/>
                </w:tcPr>
                <w:p w14:paraId="055013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新增源等量或倍量替代</w:t>
                  </w:r>
                </w:p>
              </w:tc>
              <w:tc>
                <w:tcPr>
                  <w:tcW w:w="2365" w:type="pct"/>
                  <w:tcBorders>
                    <w:tl2br w:val="nil"/>
                    <w:tr2bl w:val="nil"/>
                  </w:tcBorders>
                  <w:vAlign w:val="center"/>
                </w:tcPr>
                <w:p w14:paraId="659EE6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执行要素重点管控单元总体准入要求</w:t>
                  </w:r>
                  <w:r>
                    <w:rPr>
                      <w:rFonts w:hint="eastAsia" w:cs="Times New Roman"/>
                      <w:color w:val="auto"/>
                      <w:sz w:val="18"/>
                      <w:szCs w:val="18"/>
                      <w:highlight w:val="none"/>
                      <w:lang w:eastAsia="zh-CN"/>
                    </w:rPr>
                    <w:t>。</w:t>
                  </w:r>
                </w:p>
              </w:tc>
              <w:tc>
                <w:tcPr>
                  <w:tcW w:w="848" w:type="pct"/>
                  <w:tcBorders>
                    <w:tl2br w:val="nil"/>
                    <w:tr2bl w:val="nil"/>
                  </w:tcBorders>
                  <w:vAlign w:val="center"/>
                </w:tcPr>
                <w:p w14:paraId="4D1EE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6187E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899CA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32FCAC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10714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41F56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7412352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污染物排放绩效水平准入要求</w:t>
                  </w:r>
                </w:p>
              </w:tc>
              <w:tc>
                <w:tcPr>
                  <w:tcW w:w="2365" w:type="pct"/>
                  <w:tcBorders>
                    <w:tl2br w:val="nil"/>
                    <w:tr2bl w:val="nil"/>
                  </w:tcBorders>
                  <w:vAlign w:val="center"/>
                </w:tcPr>
                <w:p w14:paraId="45F373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执行要素重点管控单元总体准入要求</w:t>
                  </w:r>
                  <w:r>
                    <w:rPr>
                      <w:rFonts w:hint="eastAsia" w:cs="Times New Roman"/>
                      <w:color w:val="auto"/>
                      <w:sz w:val="18"/>
                      <w:szCs w:val="18"/>
                      <w:highlight w:val="none"/>
                      <w:lang w:eastAsia="zh-CN"/>
                    </w:rPr>
                    <w:t>。</w:t>
                  </w:r>
                </w:p>
              </w:tc>
              <w:tc>
                <w:tcPr>
                  <w:tcW w:w="848" w:type="pct"/>
                  <w:tcBorders>
                    <w:tl2br w:val="nil"/>
                    <w:tr2bl w:val="nil"/>
                  </w:tcBorders>
                  <w:vAlign w:val="center"/>
                </w:tcPr>
                <w:p w14:paraId="4312F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5631D0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4F17A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63" w:type="pct"/>
                  <w:vMerge w:val="continue"/>
                  <w:tcBorders>
                    <w:tl2br w:val="nil"/>
                    <w:tr2bl w:val="nil"/>
                  </w:tcBorders>
                  <w:vAlign w:val="center"/>
                </w:tcPr>
                <w:p w14:paraId="73DC34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3E653B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restart"/>
                  <w:tcBorders>
                    <w:tl2br w:val="nil"/>
                    <w:tr2bl w:val="nil"/>
                  </w:tcBorders>
                  <w:vAlign w:val="center"/>
                </w:tcPr>
                <w:p w14:paraId="118CF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74" w:type="pct"/>
                  <w:tcBorders>
                    <w:tl2br w:val="nil"/>
                    <w:tr2bl w:val="nil"/>
                  </w:tcBorders>
                  <w:vAlign w:val="center"/>
                </w:tcPr>
                <w:p w14:paraId="6DF7DC3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严格管控类农用地管控要求</w:t>
                  </w:r>
                </w:p>
              </w:tc>
              <w:tc>
                <w:tcPr>
                  <w:tcW w:w="2365" w:type="pct"/>
                  <w:tcBorders>
                    <w:tl2br w:val="nil"/>
                    <w:tr2bl w:val="nil"/>
                  </w:tcBorders>
                  <w:vAlign w:val="center"/>
                </w:tcPr>
                <w:p w14:paraId="7C63BA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Times New Roman" w:hAnsi="Times New Roman" w:eastAsia="宋体" w:cs="Times New Roman"/>
                      <w:color w:val="auto"/>
                      <w:spacing w:val="-4"/>
                      <w:sz w:val="18"/>
                      <w:szCs w:val="18"/>
                      <w:lang w:eastAsia="zh-CN"/>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848" w:type="pct"/>
                  <w:tcBorders>
                    <w:tl2br w:val="nil"/>
                    <w:tr2bl w:val="nil"/>
                  </w:tcBorders>
                  <w:vAlign w:val="center"/>
                </w:tcPr>
                <w:p w14:paraId="0F4A2D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2F8D76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38021F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63" w:type="pct"/>
                  <w:vMerge w:val="continue"/>
                  <w:tcBorders>
                    <w:tl2br w:val="nil"/>
                    <w:tr2bl w:val="nil"/>
                  </w:tcBorders>
                  <w:vAlign w:val="center"/>
                </w:tcPr>
                <w:p w14:paraId="40A74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3ED89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69BEC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426A1A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安全利用类农用地管控要求</w:t>
                  </w:r>
                </w:p>
              </w:tc>
              <w:tc>
                <w:tcPr>
                  <w:tcW w:w="2365" w:type="pct"/>
                  <w:tcBorders>
                    <w:tl2br w:val="nil"/>
                    <w:tr2bl w:val="nil"/>
                  </w:tcBorders>
                  <w:vAlign w:val="center"/>
                </w:tcPr>
                <w:p w14:paraId="691519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848" w:type="pct"/>
                  <w:tcBorders>
                    <w:tl2br w:val="nil"/>
                    <w:tr2bl w:val="nil"/>
                  </w:tcBorders>
                  <w:vAlign w:val="center"/>
                </w:tcPr>
                <w:p w14:paraId="66CC59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0B627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894D7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63" w:type="pct"/>
                  <w:vMerge w:val="continue"/>
                  <w:tcBorders>
                    <w:tl2br w:val="nil"/>
                    <w:tr2bl w:val="nil"/>
                  </w:tcBorders>
                  <w:vAlign w:val="center"/>
                </w:tcPr>
                <w:p w14:paraId="699CF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0A3BB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73A42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02D364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污染地块管控要求</w:t>
                  </w:r>
                </w:p>
              </w:tc>
              <w:tc>
                <w:tcPr>
                  <w:tcW w:w="2365" w:type="pct"/>
                  <w:tcBorders>
                    <w:tl2br w:val="nil"/>
                    <w:tr2bl w:val="nil"/>
                  </w:tcBorders>
                  <w:vAlign w:val="center"/>
                </w:tcPr>
                <w:p w14:paraId="68F54D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848" w:type="pct"/>
                  <w:tcBorders>
                    <w:tl2br w:val="nil"/>
                    <w:tr2bl w:val="nil"/>
                  </w:tcBorders>
                  <w:vAlign w:val="center"/>
                </w:tcPr>
                <w:p w14:paraId="62E75D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29D790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5ED00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63" w:type="pct"/>
                  <w:vMerge w:val="continue"/>
                  <w:tcBorders>
                    <w:tl2br w:val="nil"/>
                    <w:tr2bl w:val="nil"/>
                  </w:tcBorders>
                  <w:vAlign w:val="center"/>
                </w:tcPr>
                <w:p w14:paraId="3AD5A7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rPr>
                  </w:pPr>
                </w:p>
              </w:tc>
              <w:tc>
                <w:tcPr>
                  <w:tcW w:w="216" w:type="pct"/>
                  <w:vMerge w:val="continue"/>
                  <w:tcBorders>
                    <w:tl2br w:val="nil"/>
                    <w:tr2bl w:val="nil"/>
                  </w:tcBorders>
                  <w:vAlign w:val="center"/>
                </w:tcPr>
                <w:p w14:paraId="4EA02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rPr>
                  </w:pPr>
                </w:p>
              </w:tc>
              <w:tc>
                <w:tcPr>
                  <w:tcW w:w="361" w:type="pct"/>
                  <w:vMerge w:val="continue"/>
                  <w:tcBorders>
                    <w:tl2br w:val="nil"/>
                    <w:tr2bl w:val="nil"/>
                  </w:tcBorders>
                  <w:vAlign w:val="center"/>
                </w:tcPr>
                <w:p w14:paraId="5D9C9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rPr>
                  </w:pPr>
                </w:p>
              </w:tc>
              <w:tc>
                <w:tcPr>
                  <w:tcW w:w="374" w:type="pct"/>
                  <w:tcBorders>
                    <w:tl2br w:val="nil"/>
                    <w:tr2bl w:val="nil"/>
                  </w:tcBorders>
                  <w:vAlign w:val="center"/>
                </w:tcPr>
                <w:p w14:paraId="6B5D76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企业环境风险防控要求</w:t>
                  </w:r>
                </w:p>
              </w:tc>
              <w:tc>
                <w:tcPr>
                  <w:tcW w:w="2365" w:type="pct"/>
                  <w:tcBorders>
                    <w:tl2br w:val="nil"/>
                    <w:tr2bl w:val="nil"/>
                  </w:tcBorders>
                  <w:vAlign w:val="center"/>
                </w:tcPr>
                <w:p w14:paraId="55A1982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pacing w:val="-4"/>
                      <w:sz w:val="18"/>
                      <w:szCs w:val="18"/>
                      <w:lang w:val="en-US" w:eastAsia="zh-CN"/>
                    </w:rPr>
                    <w:t>1、</w:t>
                  </w:r>
                  <w:r>
                    <w:rPr>
                      <w:rFonts w:hint="eastAsia" w:ascii="Times New Roman" w:hAnsi="Times New Roman" w:eastAsia="宋体" w:cs="Times New Roman"/>
                      <w:color w:val="auto"/>
                      <w:spacing w:val="-4"/>
                      <w:sz w:val="18"/>
                      <w:szCs w:val="18"/>
                      <w:lang w:eastAsia="zh-CN"/>
                    </w:rPr>
                    <w:t>开展矿区废弃地、尾矿坝生态治理示范，推进工矿废弃地修复和再利用；</w:t>
                  </w:r>
                </w:p>
                <w:p w14:paraId="1D5EBA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pacing w:val="-4"/>
                      <w:sz w:val="18"/>
                      <w:szCs w:val="18"/>
                      <w:lang w:val="en-US" w:eastAsia="zh-CN"/>
                    </w:rPr>
                    <w:t>2、</w:t>
                  </w:r>
                  <w:r>
                    <w:rPr>
                      <w:rFonts w:hint="eastAsia" w:ascii="Times New Roman" w:hAnsi="Times New Roman" w:eastAsia="宋体" w:cs="Times New Roman"/>
                      <w:color w:val="auto"/>
                      <w:spacing w:val="-4"/>
                      <w:sz w:val="18"/>
                      <w:szCs w:val="18"/>
                      <w:lang w:eastAsia="zh-CN"/>
                    </w:rPr>
                    <w:t>其他执行要素重点管控单元总体准入要求。</w:t>
                  </w:r>
                </w:p>
              </w:tc>
              <w:tc>
                <w:tcPr>
                  <w:tcW w:w="848" w:type="pct"/>
                  <w:tcBorders>
                    <w:tl2br w:val="nil"/>
                    <w:tr2bl w:val="nil"/>
                  </w:tcBorders>
                  <w:vAlign w:val="center"/>
                </w:tcPr>
                <w:p w14:paraId="53B46B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pacing w:val="-4"/>
                      <w:sz w:val="18"/>
                      <w:szCs w:val="18"/>
                      <w:lang w:val="en-US"/>
                    </w:rPr>
                  </w:pPr>
                  <w:r>
                    <w:rPr>
                      <w:rFonts w:hint="eastAsia" w:cs="Times New Roman"/>
                      <w:color w:val="auto"/>
                      <w:sz w:val="18"/>
                      <w:szCs w:val="18"/>
                      <w:highlight w:val="none"/>
                      <w:lang w:val="en-US" w:eastAsia="zh-CN"/>
                    </w:rPr>
                    <w:t>项目属于电力基础设施建设，为鼓励类项目，不涉及矿区废弃地、尾矿坝地；其他满足巴中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1B4C0B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46F440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6B8C3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7610F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restart"/>
                  <w:tcBorders>
                    <w:tl2br w:val="nil"/>
                    <w:tr2bl w:val="nil"/>
                  </w:tcBorders>
                  <w:vAlign w:val="center"/>
                </w:tcPr>
                <w:p w14:paraId="247B4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74" w:type="pct"/>
                  <w:tcBorders>
                    <w:tl2br w:val="nil"/>
                    <w:tr2bl w:val="nil"/>
                  </w:tcBorders>
                  <w:vAlign w:val="center"/>
                </w:tcPr>
                <w:p w14:paraId="7446A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水资源利用效率要求</w:t>
                  </w:r>
                </w:p>
              </w:tc>
              <w:tc>
                <w:tcPr>
                  <w:tcW w:w="2365" w:type="pct"/>
                  <w:tcBorders>
                    <w:tl2br w:val="nil"/>
                    <w:tr2bl w:val="nil"/>
                  </w:tcBorders>
                  <w:vAlign w:val="center"/>
                </w:tcPr>
                <w:p w14:paraId="52513B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848" w:type="pct"/>
                  <w:tcBorders>
                    <w:tl2br w:val="nil"/>
                    <w:tr2bl w:val="nil"/>
                  </w:tcBorders>
                  <w:vAlign w:val="center"/>
                </w:tcPr>
                <w:p w14:paraId="162319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3210B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EAD43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62F9B0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3240E0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20C05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5A921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地下水开采要求</w:t>
                  </w:r>
                </w:p>
              </w:tc>
              <w:tc>
                <w:tcPr>
                  <w:tcW w:w="2365" w:type="pct"/>
                  <w:tcBorders>
                    <w:tl2br w:val="nil"/>
                    <w:tr2bl w:val="nil"/>
                  </w:tcBorders>
                  <w:vAlign w:val="center"/>
                </w:tcPr>
                <w:p w14:paraId="5134A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848" w:type="pct"/>
                  <w:tcBorders>
                    <w:tl2br w:val="nil"/>
                    <w:tr2bl w:val="nil"/>
                  </w:tcBorders>
                  <w:vAlign w:val="center"/>
                </w:tcPr>
                <w:p w14:paraId="19187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07EDD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CFA65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3" w:type="pct"/>
                  <w:vMerge w:val="continue"/>
                  <w:tcBorders>
                    <w:tl2br w:val="nil"/>
                    <w:tr2bl w:val="nil"/>
                  </w:tcBorders>
                  <w:vAlign w:val="center"/>
                </w:tcPr>
                <w:p w14:paraId="0AD2E0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216" w:type="pct"/>
                  <w:vMerge w:val="continue"/>
                  <w:tcBorders>
                    <w:tl2br w:val="nil"/>
                    <w:tr2bl w:val="nil"/>
                  </w:tcBorders>
                  <w:vAlign w:val="center"/>
                </w:tcPr>
                <w:p w14:paraId="799597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61" w:type="pct"/>
                  <w:vMerge w:val="continue"/>
                  <w:tcBorders>
                    <w:tl2br w:val="nil"/>
                    <w:tr2bl w:val="nil"/>
                  </w:tcBorders>
                  <w:vAlign w:val="center"/>
                </w:tcPr>
                <w:p w14:paraId="56681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74" w:type="pct"/>
                  <w:tcBorders>
                    <w:tl2br w:val="nil"/>
                    <w:tr2bl w:val="nil"/>
                  </w:tcBorders>
                  <w:vAlign w:val="center"/>
                </w:tcPr>
                <w:p w14:paraId="384DBE0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4"/>
                      <w:sz w:val="18"/>
                      <w:szCs w:val="18"/>
                    </w:rPr>
                    <w:t>能源利用效率要求</w:t>
                  </w:r>
                </w:p>
              </w:tc>
              <w:tc>
                <w:tcPr>
                  <w:tcW w:w="2365" w:type="pct"/>
                  <w:tcBorders>
                    <w:tl2br w:val="nil"/>
                    <w:tr2bl w:val="nil"/>
                  </w:tcBorders>
                  <w:vAlign w:val="center"/>
                </w:tcPr>
                <w:p w14:paraId="77AC54C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848" w:type="pct"/>
                  <w:tcBorders>
                    <w:tl2br w:val="nil"/>
                    <w:tr2bl w:val="nil"/>
                  </w:tcBorders>
                  <w:vAlign w:val="center"/>
                </w:tcPr>
                <w:p w14:paraId="65136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市要素重点管控单元总体准入要求</w:t>
                  </w:r>
                  <w:r>
                    <w:rPr>
                      <w:rFonts w:hint="default" w:ascii="Times New Roman" w:hAnsi="Times New Roman" w:cs="Times New Roman"/>
                      <w:color w:val="auto"/>
                      <w:sz w:val="18"/>
                      <w:szCs w:val="18"/>
                      <w:highlight w:val="none"/>
                      <w:lang w:eastAsia="zh-CN"/>
                    </w:rPr>
                    <w:t>。</w:t>
                  </w:r>
                </w:p>
              </w:tc>
              <w:tc>
                <w:tcPr>
                  <w:tcW w:w="270" w:type="pct"/>
                  <w:tcBorders>
                    <w:tl2br w:val="nil"/>
                    <w:tr2bl w:val="nil"/>
                  </w:tcBorders>
                  <w:vAlign w:val="center"/>
                </w:tcPr>
                <w:p w14:paraId="7B310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bl>
          <w:p w14:paraId="47CCB9B0">
            <w:pPr>
              <w:tabs>
                <w:tab w:val="left" w:pos="3240"/>
              </w:tabs>
              <w:wordWrap w:val="0"/>
              <w:jc w:val="center"/>
              <w:rPr>
                <w:rFonts w:hint="eastAsia" w:ascii="黑体" w:hAnsi="黑体" w:eastAsia="黑体" w:cs="黑体"/>
                <w:b w:val="0"/>
                <w:bCs w:val="0"/>
                <w:color w:val="auto"/>
                <w:kern w:val="0"/>
                <w:sz w:val="21"/>
                <w:szCs w:val="21"/>
              </w:rPr>
            </w:pPr>
            <w:r>
              <w:rPr>
                <w:rFonts w:eastAsia="黑体"/>
                <w:color w:val="auto"/>
                <w:szCs w:val="21"/>
              </w:rPr>
              <w:t>表1-</w:t>
            </w:r>
            <w:r>
              <w:rPr>
                <w:rFonts w:hint="eastAsia" w:eastAsia="黑体"/>
                <w:color w:val="auto"/>
                <w:szCs w:val="21"/>
                <w:lang w:val="en-US" w:eastAsia="zh-CN"/>
              </w:rPr>
              <w:t>9</w:t>
            </w:r>
            <w:r>
              <w:rPr>
                <w:rFonts w:eastAsia="黑体"/>
                <w:color w:val="auto"/>
                <w:szCs w:val="21"/>
              </w:rPr>
              <w:t xml:space="preserve">  </w:t>
            </w:r>
            <w:r>
              <w:rPr>
                <w:rFonts w:hint="eastAsia" w:eastAsia="黑体"/>
                <w:color w:val="auto"/>
                <w:szCs w:val="21"/>
              </w:rPr>
              <w:t>巴州区要素重点管控单元</w:t>
            </w:r>
            <w:r>
              <w:rPr>
                <w:rFonts w:hint="eastAsia" w:ascii="黑体" w:hAnsi="黑体" w:eastAsia="黑体" w:cs="黑体"/>
                <w:b w:val="0"/>
                <w:bCs w:val="0"/>
                <w:color w:val="auto"/>
                <w:kern w:val="0"/>
                <w:sz w:val="21"/>
                <w:szCs w:val="21"/>
              </w:rPr>
              <w:t>生态环境准入清单符合性分析表</w:t>
            </w:r>
          </w:p>
          <w:tbl>
            <w:tblPr>
              <w:tblStyle w:val="25"/>
              <w:tblW w:w="4961"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9"/>
              <w:gridCol w:w="442"/>
              <w:gridCol w:w="819"/>
              <w:gridCol w:w="826"/>
              <w:gridCol w:w="5676"/>
              <w:gridCol w:w="1834"/>
              <w:gridCol w:w="653"/>
            </w:tblGrid>
            <w:tr w14:paraId="211ECC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74" w:type="pct"/>
                  <w:gridSpan w:val="5"/>
                  <w:tcBorders>
                    <w:tl2br w:val="nil"/>
                    <w:tr2bl w:val="nil"/>
                  </w:tcBorders>
                  <w:vAlign w:val="center"/>
                </w:tcPr>
                <w:p w14:paraId="756A3A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eastAsia="zh-CN"/>
                    </w:rPr>
                    <w:t>生态环境分区管控</w:t>
                  </w:r>
                  <w:r>
                    <w:rPr>
                      <w:rFonts w:hint="default" w:ascii="Times New Roman" w:hAnsi="Times New Roman" w:cs="Times New Roman"/>
                      <w:color w:val="auto"/>
                      <w:sz w:val="18"/>
                      <w:szCs w:val="18"/>
                      <w:highlight w:val="none"/>
                    </w:rPr>
                    <w:t>的具体要求</w:t>
                  </w:r>
                </w:p>
              </w:tc>
              <w:tc>
                <w:tcPr>
                  <w:tcW w:w="755" w:type="pct"/>
                  <w:vMerge w:val="restart"/>
                  <w:tcBorders>
                    <w:tl2br w:val="nil"/>
                    <w:tr2bl w:val="nil"/>
                  </w:tcBorders>
                  <w:vAlign w:val="center"/>
                </w:tcPr>
                <w:p w14:paraId="5C64F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对应情况</w:t>
                  </w:r>
                  <w:r>
                    <w:rPr>
                      <w:rFonts w:hint="default" w:ascii="Times New Roman" w:hAnsi="Times New Roman" w:cs="Times New Roman"/>
                      <w:color w:val="auto"/>
                      <w:sz w:val="18"/>
                      <w:szCs w:val="18"/>
                      <w:highlight w:val="none"/>
                      <w:lang w:val="en-US" w:eastAsia="zh-CN"/>
                    </w:rPr>
                    <w:t>分析</w:t>
                  </w:r>
                </w:p>
              </w:tc>
              <w:tc>
                <w:tcPr>
                  <w:tcW w:w="269" w:type="pct"/>
                  <w:vMerge w:val="restart"/>
                  <w:tcBorders>
                    <w:tl2br w:val="nil"/>
                    <w:tr2bl w:val="nil"/>
                  </w:tcBorders>
                  <w:vAlign w:val="center"/>
                </w:tcPr>
                <w:p w14:paraId="053A62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符合性分析</w:t>
                  </w:r>
                </w:p>
              </w:tc>
            </w:tr>
            <w:tr w14:paraId="5A9406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97" w:type="pct"/>
                  <w:gridSpan w:val="3"/>
                  <w:tcBorders>
                    <w:tl2br w:val="nil"/>
                    <w:tr2bl w:val="nil"/>
                  </w:tcBorders>
                  <w:vAlign w:val="center"/>
                </w:tcPr>
                <w:p w14:paraId="0346E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类别</w:t>
                  </w:r>
                </w:p>
              </w:tc>
              <w:tc>
                <w:tcPr>
                  <w:tcW w:w="340" w:type="pct"/>
                  <w:tcBorders>
                    <w:tl2br w:val="nil"/>
                    <w:tr2bl w:val="nil"/>
                  </w:tcBorders>
                  <w:vAlign w:val="center"/>
                </w:tcPr>
                <w:p w14:paraId="413F24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清单编制要求</w:t>
                  </w:r>
                </w:p>
              </w:tc>
              <w:tc>
                <w:tcPr>
                  <w:tcW w:w="2337" w:type="pct"/>
                  <w:tcBorders>
                    <w:tl2br w:val="nil"/>
                    <w:tr2bl w:val="nil"/>
                  </w:tcBorders>
                  <w:vAlign w:val="center"/>
                </w:tcPr>
                <w:p w14:paraId="70FDC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对应管控要求</w:t>
                  </w:r>
                </w:p>
              </w:tc>
              <w:tc>
                <w:tcPr>
                  <w:tcW w:w="755" w:type="pct"/>
                  <w:vMerge w:val="continue"/>
                  <w:tcBorders>
                    <w:tl2br w:val="nil"/>
                    <w:tr2bl w:val="nil"/>
                  </w:tcBorders>
                  <w:vAlign w:val="center"/>
                </w:tcPr>
                <w:p w14:paraId="6DCA9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69" w:type="pct"/>
                  <w:vMerge w:val="continue"/>
                  <w:tcBorders>
                    <w:tl2br w:val="nil"/>
                    <w:tr2bl w:val="nil"/>
                  </w:tcBorders>
                  <w:vAlign w:val="center"/>
                </w:tcPr>
                <w:p w14:paraId="5E02AA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r>
            <w:tr w14:paraId="2E289E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restart"/>
                  <w:tcBorders>
                    <w:tl2br w:val="nil"/>
                    <w:tr2bl w:val="nil"/>
                  </w:tcBorders>
                  <w:vAlign w:val="center"/>
                </w:tcPr>
                <w:p w14:paraId="06630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b w:val="0"/>
                      <w:bCs w:val="0"/>
                      <w:color w:val="auto"/>
                      <w:sz w:val="18"/>
                      <w:szCs w:val="18"/>
                      <w:highlight w:val="none"/>
                      <w:lang w:val="en-US" w:eastAsia="zh-CN"/>
                    </w:rPr>
                    <w:t>巴州区要素重点管控单元（</w:t>
                  </w:r>
                  <w:r>
                    <w:rPr>
                      <w:rStyle w:val="27"/>
                      <w:rFonts w:hint="default" w:ascii="Times New Roman" w:hAnsi="Times New Roman" w:eastAsia="宋体" w:cs="Times New Roman"/>
                      <w:b w:val="0"/>
                      <w:bCs w:val="0"/>
                      <w:kern w:val="2"/>
                      <w:sz w:val="18"/>
                      <w:szCs w:val="18"/>
                      <w:highlight w:val="none"/>
                      <w:lang w:val="en-US" w:eastAsia="zh-CN" w:bidi="ar-SA"/>
                    </w:rPr>
                    <w:t>ZH51190220007</w:t>
                  </w:r>
                  <w:r>
                    <w:rPr>
                      <w:rFonts w:hint="eastAsia" w:cs="Times New Roman"/>
                      <w:b w:val="0"/>
                      <w:bCs w:val="0"/>
                      <w:color w:val="auto"/>
                      <w:sz w:val="18"/>
                      <w:szCs w:val="18"/>
                      <w:highlight w:val="none"/>
                      <w:lang w:val="en-US" w:eastAsia="zh-CN"/>
                    </w:rPr>
                    <w:t>）</w:t>
                  </w:r>
                </w:p>
              </w:tc>
              <w:tc>
                <w:tcPr>
                  <w:tcW w:w="182" w:type="pct"/>
                  <w:vMerge w:val="restart"/>
                  <w:tcBorders>
                    <w:tl2br w:val="nil"/>
                    <w:tr2bl w:val="nil"/>
                  </w:tcBorders>
                  <w:vAlign w:val="center"/>
                </w:tcPr>
                <w:p w14:paraId="38CAB9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市州</w:t>
                  </w:r>
                  <w:r>
                    <w:rPr>
                      <w:rFonts w:hint="default" w:ascii="Times New Roman" w:hAnsi="Times New Roman" w:cs="Times New Roman"/>
                      <w:color w:val="auto"/>
                      <w:sz w:val="18"/>
                      <w:szCs w:val="18"/>
                      <w:highlight w:val="none"/>
                    </w:rPr>
                    <w:t>普适性清单</w:t>
                  </w:r>
                </w:p>
              </w:tc>
              <w:tc>
                <w:tcPr>
                  <w:tcW w:w="336" w:type="pct"/>
                  <w:vMerge w:val="restart"/>
                  <w:tcBorders>
                    <w:tl2br w:val="nil"/>
                    <w:tr2bl w:val="nil"/>
                  </w:tcBorders>
                  <w:vAlign w:val="center"/>
                </w:tcPr>
                <w:p w14:paraId="054DF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40" w:type="pct"/>
                  <w:tcBorders>
                    <w:tl2br w:val="nil"/>
                    <w:tr2bl w:val="nil"/>
                  </w:tcBorders>
                  <w:vAlign w:val="center"/>
                </w:tcPr>
                <w:p w14:paraId="62DA9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37" w:type="pct"/>
                  <w:tcBorders>
                    <w:tl2br w:val="nil"/>
                    <w:tr2bl w:val="nil"/>
                  </w:tcBorders>
                  <w:vAlign w:val="center"/>
                </w:tcPr>
                <w:p w14:paraId="05C16982">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禁止在法律法规规定的禁采区内新建矿山；禁止土法采、选、冶严重污染环境的矿产资源</w:t>
                  </w:r>
                  <w:r>
                    <w:rPr>
                      <w:rFonts w:hint="eastAsia" w:cs="Times New Roman"/>
                      <w:color w:val="auto"/>
                      <w:spacing w:val="-1"/>
                      <w:kern w:val="2"/>
                      <w:sz w:val="18"/>
                      <w:szCs w:val="18"/>
                      <w:lang w:val="en-US" w:eastAsia="zh-CN" w:bidi="ar-SA"/>
                    </w:rPr>
                    <w:t>；</w:t>
                  </w:r>
                </w:p>
                <w:p w14:paraId="7619A3C2">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涉及基本农田的区域，除法律规定的重点建设项目选址确实无法避让外，其他任何建设不得占用</w:t>
                  </w:r>
                  <w:r>
                    <w:rPr>
                      <w:rFonts w:hint="eastAsia" w:cs="Times New Roman"/>
                      <w:color w:val="auto"/>
                      <w:spacing w:val="-1"/>
                      <w:kern w:val="2"/>
                      <w:sz w:val="18"/>
                      <w:szCs w:val="18"/>
                      <w:lang w:val="en-US" w:eastAsia="zh-CN" w:bidi="ar-SA"/>
                    </w:rPr>
                    <w:t>；</w:t>
                  </w:r>
                </w:p>
                <w:p w14:paraId="2BAEF015">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禁止在长江干支流岸线一公里范围内新建、扩建化工园区和化工项目</w:t>
                  </w:r>
                  <w:r>
                    <w:rPr>
                      <w:rFonts w:hint="eastAsia" w:cs="Times New Roman"/>
                      <w:color w:val="auto"/>
                      <w:spacing w:val="-1"/>
                      <w:kern w:val="2"/>
                      <w:sz w:val="18"/>
                      <w:szCs w:val="18"/>
                      <w:lang w:val="en-US" w:eastAsia="zh-CN" w:bidi="ar-SA"/>
                    </w:rPr>
                    <w:t>；</w:t>
                  </w:r>
                </w:p>
                <w:p w14:paraId="2BB88C1A">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禁止在长江干流岸线三公里范围内和重要支流岸线一公里范围内新建、改建、扩建尾矿库、冶炼渣库、磷石膏库，以提升安全、生态环境保护水平为目的的改建除外</w:t>
                  </w:r>
                  <w:r>
                    <w:rPr>
                      <w:rFonts w:hint="eastAsia" w:cs="Times New Roman"/>
                      <w:color w:val="auto"/>
                      <w:spacing w:val="-1"/>
                      <w:kern w:val="2"/>
                      <w:sz w:val="18"/>
                      <w:szCs w:val="18"/>
                      <w:lang w:val="en-US" w:eastAsia="zh-CN" w:bidi="ar-SA"/>
                    </w:rPr>
                    <w:t>；</w:t>
                  </w:r>
                </w:p>
                <w:p w14:paraId="293DF601">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禁止在长江流域河湖管理范围内倾倒、填埋、堆放、弃置、处理固体废物</w:t>
                  </w:r>
                  <w:r>
                    <w:rPr>
                      <w:rFonts w:hint="eastAsia" w:cs="Times New Roman"/>
                      <w:color w:val="auto"/>
                      <w:spacing w:val="-1"/>
                      <w:kern w:val="2"/>
                      <w:sz w:val="18"/>
                      <w:szCs w:val="18"/>
                      <w:lang w:val="en-US" w:eastAsia="zh-CN" w:bidi="ar-SA"/>
                    </w:rPr>
                    <w:t>；</w:t>
                  </w:r>
                </w:p>
                <w:p w14:paraId="62DCB6D8">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畜禽养殖严格按照区县畜禽养殖区域划定方案执行，依法关闭或搬迁禁养区内的畜禽养殖场（小区）或养殖专业户</w:t>
                  </w:r>
                  <w:r>
                    <w:rPr>
                      <w:rFonts w:hint="eastAsia" w:cs="Times New Roman"/>
                      <w:color w:val="auto"/>
                      <w:spacing w:val="-1"/>
                      <w:kern w:val="2"/>
                      <w:sz w:val="18"/>
                      <w:szCs w:val="18"/>
                      <w:lang w:val="en-US" w:eastAsia="zh-CN" w:bidi="ar-SA"/>
                    </w:rPr>
                    <w:t>；</w:t>
                  </w:r>
                </w:p>
                <w:p w14:paraId="5394AE32">
                  <w:pPr>
                    <w:keepNext w:val="0"/>
                    <w:keepLines w:val="0"/>
                    <w:pageBreakBefore w:val="0"/>
                    <w:widowControl w:val="0"/>
                    <w:numPr>
                      <w:ilvl w:val="0"/>
                      <w:numId w:val="9"/>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pacing w:val="-1"/>
                      <w:kern w:val="2"/>
                      <w:sz w:val="18"/>
                      <w:szCs w:val="18"/>
                      <w:lang w:val="en-US" w:eastAsia="zh-CN" w:bidi="ar-SA"/>
                    </w:rPr>
                    <w:t>禁止在永久基本农田集中区域和其他需要特别保护的区域选址建设尾矿库、冶炼渣库、磷石膏库。</w:t>
                  </w:r>
                </w:p>
              </w:tc>
              <w:tc>
                <w:tcPr>
                  <w:tcW w:w="755" w:type="pct"/>
                  <w:tcBorders>
                    <w:tl2br w:val="nil"/>
                    <w:tr2bl w:val="nil"/>
                  </w:tcBorders>
                  <w:vAlign w:val="center"/>
                </w:tcPr>
                <w:p w14:paraId="366C3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本项目属于电力基础设施建设项目，为鼓励类项目，不属于</w:t>
                  </w:r>
                  <w:r>
                    <w:rPr>
                      <w:rFonts w:hint="eastAsia" w:cs="Times New Roman"/>
                      <w:color w:val="auto"/>
                      <w:sz w:val="18"/>
                      <w:szCs w:val="18"/>
                      <w:highlight w:val="none"/>
                      <w:lang w:val="en-US" w:eastAsia="zh-CN"/>
                    </w:rPr>
                    <w:t>矿山</w:t>
                  </w:r>
                  <w:r>
                    <w:rPr>
                      <w:rFonts w:hint="default" w:ascii="Times New Roman" w:hAnsi="Times New Roman" w:cs="Times New Roman"/>
                      <w:color w:val="auto"/>
                      <w:sz w:val="18"/>
                      <w:szCs w:val="18"/>
                      <w:highlight w:val="none"/>
                    </w:rPr>
                    <w:t>、化工</w:t>
                  </w:r>
                  <w:r>
                    <w:rPr>
                      <w:rFonts w:hint="eastAsia" w:cs="Times New Roman"/>
                      <w:color w:val="auto"/>
                      <w:sz w:val="18"/>
                      <w:szCs w:val="18"/>
                      <w:highlight w:val="none"/>
                      <w:lang w:eastAsia="zh-CN"/>
                    </w:rPr>
                    <w:t>、尾矿库、冶炼渣库、磷石膏库、</w:t>
                  </w:r>
                  <w:r>
                    <w:rPr>
                      <w:rFonts w:hint="eastAsia" w:cs="Times New Roman"/>
                      <w:color w:val="auto"/>
                      <w:sz w:val="18"/>
                      <w:szCs w:val="18"/>
                      <w:highlight w:val="none"/>
                      <w:lang w:val="en-US" w:eastAsia="zh-CN"/>
                    </w:rPr>
                    <w:t>畜禽养殖</w:t>
                  </w:r>
                  <w:r>
                    <w:rPr>
                      <w:rFonts w:hint="default" w:ascii="Times New Roman" w:hAnsi="Times New Roman" w:cs="Times New Roman"/>
                      <w:color w:val="auto"/>
                      <w:sz w:val="18"/>
                      <w:szCs w:val="18"/>
                      <w:highlight w:val="none"/>
                    </w:rPr>
                    <w:t>项目，不在长江流域河湖管理范围内倾倒、填埋、堆放、弃置、处理固体废物。</w:t>
                  </w:r>
                </w:p>
              </w:tc>
              <w:tc>
                <w:tcPr>
                  <w:tcW w:w="269" w:type="pct"/>
                  <w:tcBorders>
                    <w:tl2br w:val="nil"/>
                    <w:tr2bl w:val="nil"/>
                  </w:tcBorders>
                  <w:vAlign w:val="center"/>
                </w:tcPr>
                <w:p w14:paraId="67C95B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8D3AF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718B0E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56E27C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4C0F5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50488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限制开发建设活动的要求</w:t>
                  </w:r>
                </w:p>
              </w:tc>
              <w:tc>
                <w:tcPr>
                  <w:tcW w:w="2337" w:type="pct"/>
                  <w:tcBorders>
                    <w:tl2br w:val="nil"/>
                    <w:tr2bl w:val="nil"/>
                  </w:tcBorders>
                  <w:vAlign w:val="center"/>
                </w:tcPr>
                <w:p w14:paraId="0F4937C0">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10A5CAC0">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1D17B75D">
                  <w:pPr>
                    <w:keepNext w:val="0"/>
                    <w:keepLines w:val="0"/>
                    <w:pageBreakBefore w:val="0"/>
                    <w:widowControl w:val="0"/>
                    <w:numPr>
                      <w:ilvl w:val="0"/>
                      <w:numId w:val="1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w:t>
                  </w:r>
                </w:p>
              </w:tc>
              <w:tc>
                <w:tcPr>
                  <w:tcW w:w="755" w:type="pct"/>
                  <w:tcBorders>
                    <w:tl2br w:val="nil"/>
                    <w:tr2bl w:val="nil"/>
                  </w:tcBorders>
                  <w:vAlign w:val="center"/>
                </w:tcPr>
                <w:p w14:paraId="36B7FB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不属于高耗能、高排放、低水平项目</w:t>
                  </w:r>
                  <w:r>
                    <w:rPr>
                      <w:rFonts w:hint="default" w:ascii="Times New Roman" w:hAnsi="Times New Roman" w:cs="Times New Roman"/>
                      <w:color w:val="auto"/>
                      <w:sz w:val="18"/>
                      <w:szCs w:val="18"/>
                      <w:highlight w:val="none"/>
                      <w:lang w:eastAsia="zh-CN"/>
                    </w:rPr>
                    <w:t>。</w:t>
                  </w:r>
                </w:p>
              </w:tc>
              <w:tc>
                <w:tcPr>
                  <w:tcW w:w="269" w:type="pct"/>
                  <w:tcBorders>
                    <w:tl2br w:val="nil"/>
                    <w:tr2bl w:val="nil"/>
                  </w:tcBorders>
                  <w:vAlign w:val="center"/>
                </w:tcPr>
                <w:p w14:paraId="62DDF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36690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2B7F8A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182" w:type="pct"/>
                  <w:vMerge w:val="continue"/>
                  <w:tcBorders>
                    <w:tl2br w:val="nil"/>
                    <w:tr2bl w:val="nil"/>
                  </w:tcBorders>
                  <w:vAlign w:val="center"/>
                </w:tcPr>
                <w:p w14:paraId="2DD19D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36" w:type="pct"/>
                  <w:vMerge w:val="continue"/>
                  <w:tcBorders>
                    <w:tl2br w:val="nil"/>
                    <w:tr2bl w:val="nil"/>
                  </w:tcBorders>
                  <w:vAlign w:val="center"/>
                </w:tcPr>
                <w:p w14:paraId="126B77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40" w:type="pct"/>
                  <w:tcBorders>
                    <w:tl2br w:val="nil"/>
                    <w:tr2bl w:val="nil"/>
                  </w:tcBorders>
                  <w:vAlign w:val="center"/>
                </w:tcPr>
                <w:p w14:paraId="35DF2C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不符合空间布局要求活动的退出要求</w:t>
                  </w:r>
                </w:p>
              </w:tc>
              <w:tc>
                <w:tcPr>
                  <w:tcW w:w="2337" w:type="pct"/>
                  <w:tcBorders>
                    <w:tl2br w:val="nil"/>
                    <w:tr2bl w:val="nil"/>
                  </w:tcBorders>
                  <w:vAlign w:val="center"/>
                </w:tcPr>
                <w:p w14:paraId="0900AF89">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全面取缔禁养区内规模化畜禽养殖场。</w:t>
                  </w:r>
                </w:p>
                <w:p w14:paraId="199DEFD9">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针对现有水泥企业，强化污染治理和污染物减排，依法依规整治或搬迁。</w:t>
                  </w:r>
                </w:p>
                <w:p w14:paraId="097590C7">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严格执行《矿产资源开采</w:t>
                  </w:r>
                  <w:r>
                    <w:rPr>
                      <w:rFonts w:hint="eastAsia" w:cs="Times New Roman"/>
                      <w:color w:val="auto"/>
                      <w:sz w:val="18"/>
                      <w:szCs w:val="18"/>
                      <w:highlight w:val="none"/>
                      <w:lang w:eastAsia="zh-CN"/>
                    </w:rPr>
                    <w:t>登记</w:t>
                  </w:r>
                  <w:bookmarkStart w:id="52" w:name="_GoBack"/>
                  <w:bookmarkEnd w:id="52"/>
                  <w:r>
                    <w:rPr>
                      <w:rFonts w:hint="default" w:ascii="Times New Roman" w:hAnsi="Times New Roman" w:cs="Times New Roman"/>
                      <w:color w:val="auto"/>
                      <w:sz w:val="18"/>
                      <w:szCs w:val="18"/>
                      <w:highlight w:val="none"/>
                    </w:rPr>
                    <w:t>管理办法》的相关规定</w:t>
                  </w:r>
                  <w:r>
                    <w:rPr>
                      <w:rFonts w:hint="eastAsia" w:cs="Times New Roman"/>
                      <w:color w:val="auto"/>
                      <w:sz w:val="18"/>
                      <w:szCs w:val="18"/>
                      <w:highlight w:val="none"/>
                      <w:lang w:eastAsia="zh-CN"/>
                    </w:rPr>
                    <w:t>。</w:t>
                  </w:r>
                </w:p>
              </w:tc>
              <w:tc>
                <w:tcPr>
                  <w:tcW w:w="755" w:type="pct"/>
                  <w:tcBorders>
                    <w:tl2br w:val="nil"/>
                    <w:tr2bl w:val="nil"/>
                  </w:tcBorders>
                  <w:vAlign w:val="center"/>
                </w:tcPr>
                <w:p w14:paraId="093DB6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w:t>
                  </w:r>
                  <w:r>
                    <w:rPr>
                      <w:rFonts w:hint="eastAsia" w:cs="Times New Roman"/>
                      <w:color w:val="auto"/>
                      <w:sz w:val="18"/>
                      <w:szCs w:val="18"/>
                      <w:highlight w:val="none"/>
                      <w:lang w:val="en-US" w:eastAsia="zh-CN"/>
                    </w:rPr>
                    <w:t>畜禽养殖、水泥、矿产开发项目。</w:t>
                  </w:r>
                </w:p>
              </w:tc>
              <w:tc>
                <w:tcPr>
                  <w:tcW w:w="269" w:type="pct"/>
                  <w:tcBorders>
                    <w:tl2br w:val="nil"/>
                    <w:tr2bl w:val="nil"/>
                  </w:tcBorders>
                  <w:vAlign w:val="center"/>
                </w:tcPr>
                <w:p w14:paraId="72AC65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7F68C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01AD8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601FD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restart"/>
                  <w:tcBorders>
                    <w:tl2br w:val="nil"/>
                    <w:tr2bl w:val="nil"/>
                  </w:tcBorders>
                  <w:vAlign w:val="center"/>
                </w:tcPr>
                <w:p w14:paraId="433AC6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40" w:type="pct"/>
                  <w:tcBorders>
                    <w:tl2br w:val="nil"/>
                    <w:tr2bl w:val="nil"/>
                  </w:tcBorders>
                  <w:vAlign w:val="center"/>
                </w:tcPr>
                <w:p w14:paraId="5BA9C9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现有源提标升级改造</w:t>
                  </w:r>
                </w:p>
              </w:tc>
              <w:tc>
                <w:tcPr>
                  <w:tcW w:w="2337" w:type="pct"/>
                  <w:tcBorders>
                    <w:tl2br w:val="nil"/>
                    <w:tr2bl w:val="nil"/>
                  </w:tcBorders>
                  <w:vAlign w:val="center"/>
                </w:tcPr>
                <w:p w14:paraId="297099D4">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加快现有乡镇污水处理设施升级改造，按要求达《城镇污水处理厂污染物排放标准》一级A标后排放。</w:t>
                  </w:r>
                </w:p>
                <w:p w14:paraId="2F99260B">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在矿产资源开发活动集中区域，废水执行重金属污染物排放特别限值。</w:t>
                  </w:r>
                </w:p>
                <w:p w14:paraId="6AF1277B">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火电、水泥等行业按相关要求推进大气污染物超低排放和深度治理。</w:t>
                  </w:r>
                </w:p>
                <w:p w14:paraId="22F73CBF">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砖瓦行业实施脱硫、除尘升级改造，污染物排放达到《砖瓦工业大气污染物排放标准》相关要求</w:t>
                  </w:r>
                </w:p>
                <w:p w14:paraId="2F66A590">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tc>
              <w:tc>
                <w:tcPr>
                  <w:tcW w:w="755" w:type="pct"/>
                  <w:tcBorders>
                    <w:tl2br w:val="nil"/>
                    <w:tr2bl w:val="nil"/>
                  </w:tcBorders>
                  <w:vAlign w:val="center"/>
                </w:tcPr>
                <w:p w14:paraId="11CE0F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本项目属于电力基础设施建设项目，为鼓励类项目，不属于</w:t>
                  </w:r>
                  <w:r>
                    <w:rPr>
                      <w:rFonts w:hint="eastAsia" w:cs="Times New Roman"/>
                      <w:color w:val="auto"/>
                      <w:sz w:val="18"/>
                      <w:szCs w:val="18"/>
                      <w:highlight w:val="none"/>
                      <w:lang w:val="en-US" w:eastAsia="zh-CN"/>
                    </w:rPr>
                    <w:t>矿产开发</w:t>
                  </w:r>
                  <w:r>
                    <w:rPr>
                      <w:rFonts w:hint="default" w:ascii="Times New Roman" w:hAnsi="Times New Roman" w:cs="Times New Roman"/>
                      <w:color w:val="auto"/>
                      <w:sz w:val="18"/>
                      <w:szCs w:val="18"/>
                      <w:highlight w:val="none"/>
                    </w:rPr>
                    <w:t>、</w:t>
                  </w:r>
                  <w:r>
                    <w:rPr>
                      <w:rFonts w:hint="eastAsia" w:cs="Times New Roman"/>
                      <w:color w:val="auto"/>
                      <w:sz w:val="18"/>
                      <w:szCs w:val="18"/>
                      <w:highlight w:val="none"/>
                      <w:lang w:val="en-US" w:eastAsia="zh-CN"/>
                    </w:rPr>
                    <w:t>火电、</w:t>
                  </w:r>
                  <w:r>
                    <w:rPr>
                      <w:rFonts w:hint="default" w:ascii="Times New Roman" w:hAnsi="Times New Roman" w:cs="Times New Roman"/>
                      <w:color w:val="auto"/>
                      <w:sz w:val="18"/>
                      <w:szCs w:val="18"/>
                      <w:highlight w:val="none"/>
                    </w:rPr>
                    <w:t>水泥、</w:t>
                  </w:r>
                  <w:r>
                    <w:rPr>
                      <w:rFonts w:hint="eastAsia" w:cs="Times New Roman"/>
                      <w:color w:val="auto"/>
                      <w:sz w:val="18"/>
                      <w:szCs w:val="18"/>
                      <w:highlight w:val="none"/>
                      <w:lang w:val="en-US" w:eastAsia="zh-CN"/>
                    </w:rPr>
                    <w:t>砖瓦、畜禽养殖</w:t>
                  </w:r>
                  <w:r>
                    <w:rPr>
                      <w:rFonts w:hint="default" w:ascii="Times New Roman" w:hAnsi="Times New Roman" w:cs="Times New Roman"/>
                      <w:color w:val="auto"/>
                      <w:sz w:val="18"/>
                      <w:szCs w:val="18"/>
                      <w:highlight w:val="none"/>
                    </w:rPr>
                    <w:t>项目。</w:t>
                  </w:r>
                </w:p>
              </w:tc>
              <w:tc>
                <w:tcPr>
                  <w:tcW w:w="269" w:type="pct"/>
                  <w:tcBorders>
                    <w:tl2br w:val="nil"/>
                    <w:tr2bl w:val="nil"/>
                  </w:tcBorders>
                  <w:vAlign w:val="center"/>
                </w:tcPr>
                <w:p w14:paraId="24D42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DC185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723EBD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013B4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3F60D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49626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其他污染物排放管控要求</w:t>
                  </w:r>
                </w:p>
              </w:tc>
              <w:tc>
                <w:tcPr>
                  <w:tcW w:w="2337" w:type="pct"/>
                  <w:tcBorders>
                    <w:tl2br w:val="nil"/>
                    <w:tr2bl w:val="nil"/>
                  </w:tcBorders>
                  <w:vAlign w:val="center"/>
                </w:tcPr>
                <w:p w14:paraId="1C87F570">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新增源等量或倍量替代：</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1</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若上一年度空气质量年平均浓度不达标、水环境质量未达到要求，则建设项目新增相关污染物按照总量管控要求进行倍量削减替代</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2</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若上一年度空气质量、水环境质量达标，则建设项目新增相关污染物按照总量管控要求进行等量替代</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3</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新增VOCs排放的建设项目实行等量替代。</w:t>
                  </w:r>
                </w:p>
                <w:p w14:paraId="68366D05">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污染物排放绩效水平准入要求：</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1</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屠宰项目必须配套污水处理设施或进入城市污水管网；</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2</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到2025年，基本消除城市建成区生活污水直排口和收集处理设施空白区；县城污水处理率达到95%以上；水环境敏感地区污水处理基本达到一级A排放标准；</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3</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到2035年，城市生活污水收集管网基本全覆盖，城镇污水处理能力全覆盖，全面实现污泥无害化处置</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4</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大中型矿山达到绿色矿山标准，引导小型矿山按照绿色矿山标准规范发展；加强矿山采选废水的处理和综合利用，不外排，采矿废水应尽量回用</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5</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2021年底，全市生活垃圾收转运处置体系覆盖95%以上行政村，再生资源回收网点覆盖30%以上的行政村，全市95%以上行政村的生活垃圾得到有效治理。到2023年，全市生活垃圾收转运处置体系覆盖所有行政村，再生资源回收网点覆盖60%以上的行政村，实现保洁员配备合理、管理有效，村组保洁工作运转有序。到2025年，乡镇和农村地区生活垃圾分类工作取得明显成效，生活垃圾减量化、无害化、资源化水平显著提高。基本建成垃圾分类有特色、转运设施较齐全。村庄保洁见长效，资金投入有保障、监管制度较完善的农村生活垃圾治理体系。</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6</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到2025年底，全市有机肥使用面积达到370万亩，平均耕地质量提升一个等级，化肥使用量总体保持零增长；</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7</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到2025年，主要粮经作物主产区农药包装废弃物回收率达80%。</w:t>
                  </w:r>
                </w:p>
              </w:tc>
              <w:tc>
                <w:tcPr>
                  <w:tcW w:w="755" w:type="pct"/>
                  <w:tcBorders>
                    <w:tl2br w:val="nil"/>
                    <w:tr2bl w:val="nil"/>
                  </w:tcBorders>
                  <w:vAlign w:val="center"/>
                </w:tcPr>
                <w:p w14:paraId="6E077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本项目属于电力基础设施建设项目，不属于屠宰、</w:t>
                  </w:r>
                  <w:r>
                    <w:rPr>
                      <w:rFonts w:hint="eastAsia" w:cs="Times New Roman"/>
                      <w:color w:val="auto"/>
                      <w:sz w:val="18"/>
                      <w:szCs w:val="18"/>
                      <w:highlight w:val="none"/>
                      <w:lang w:val="en-US" w:eastAsia="zh-CN"/>
                    </w:rPr>
                    <w:t>矿山开发、农作物生产</w:t>
                  </w:r>
                  <w:r>
                    <w:rPr>
                      <w:rFonts w:hint="default" w:ascii="Times New Roman" w:hAnsi="Times New Roman" w:cs="Times New Roman"/>
                      <w:color w:val="auto"/>
                      <w:sz w:val="18"/>
                      <w:szCs w:val="18"/>
                      <w:highlight w:val="none"/>
                    </w:rPr>
                    <w:t>等行业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不涉及VOCs的排放</w:t>
                  </w:r>
                  <w:r>
                    <w:rPr>
                      <w:rFonts w:hint="default" w:ascii="Times New Roman" w:hAnsi="Times New Roman" w:cs="Times New Roman"/>
                      <w:color w:val="auto"/>
                      <w:sz w:val="18"/>
                      <w:szCs w:val="18"/>
                      <w:highlight w:val="none"/>
                    </w:rPr>
                    <w:t>。</w:t>
                  </w:r>
                </w:p>
              </w:tc>
              <w:tc>
                <w:tcPr>
                  <w:tcW w:w="269" w:type="pct"/>
                  <w:tcBorders>
                    <w:tl2br w:val="nil"/>
                    <w:tr2bl w:val="nil"/>
                  </w:tcBorders>
                  <w:vAlign w:val="center"/>
                </w:tcPr>
                <w:p w14:paraId="5ED5C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26A75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pct"/>
                  <w:vMerge w:val="continue"/>
                  <w:tcBorders>
                    <w:tl2br w:val="nil"/>
                    <w:tr2bl w:val="nil"/>
                  </w:tcBorders>
                  <w:vAlign w:val="center"/>
                </w:tcPr>
                <w:p w14:paraId="37FEC7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18F3C1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restart"/>
                  <w:tcBorders>
                    <w:tl2br w:val="nil"/>
                    <w:tr2bl w:val="nil"/>
                  </w:tcBorders>
                  <w:vAlign w:val="center"/>
                </w:tcPr>
                <w:p w14:paraId="235FC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40" w:type="pct"/>
                  <w:tcBorders>
                    <w:tl2br w:val="nil"/>
                    <w:tr2bl w:val="nil"/>
                  </w:tcBorders>
                  <w:vAlign w:val="center"/>
                </w:tcPr>
                <w:p w14:paraId="0BCA72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联防联控要求</w:t>
                  </w:r>
                </w:p>
              </w:tc>
              <w:tc>
                <w:tcPr>
                  <w:tcW w:w="2337" w:type="pct"/>
                  <w:tcBorders>
                    <w:tl2br w:val="nil"/>
                    <w:tr2bl w:val="nil"/>
                  </w:tcBorders>
                  <w:vAlign w:val="center"/>
                </w:tcPr>
                <w:p w14:paraId="1640C22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lang w:val="en-US"/>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755" w:type="pct"/>
                  <w:tcBorders>
                    <w:tl2br w:val="nil"/>
                    <w:tr2bl w:val="nil"/>
                  </w:tcBorders>
                  <w:vAlign w:val="center"/>
                </w:tcPr>
                <w:p w14:paraId="6BE22C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9" w:type="pct"/>
                  <w:tcBorders>
                    <w:tl2br w:val="nil"/>
                    <w:tr2bl w:val="nil"/>
                  </w:tcBorders>
                  <w:vAlign w:val="center"/>
                </w:tcPr>
                <w:p w14:paraId="6734A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5BD79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8" w:type="pct"/>
                  <w:vMerge w:val="continue"/>
                  <w:tcBorders>
                    <w:tl2br w:val="nil"/>
                    <w:tr2bl w:val="nil"/>
                  </w:tcBorders>
                  <w:vAlign w:val="center"/>
                </w:tcPr>
                <w:p w14:paraId="7A559A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2A8A3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2619F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74EFE8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其他环境风险防控要求</w:t>
                  </w:r>
                </w:p>
              </w:tc>
              <w:tc>
                <w:tcPr>
                  <w:tcW w:w="2337" w:type="pct"/>
                  <w:tcBorders>
                    <w:tl2br w:val="nil"/>
                    <w:tr2bl w:val="nil"/>
                  </w:tcBorders>
                  <w:vAlign w:val="center"/>
                </w:tcPr>
                <w:p w14:paraId="715D187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rPr>
                    <w:t>企业环境风险防控要求：</w:t>
                  </w: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rPr>
                    <w:t>工业企业退出用地，应按相关要求进行评估、修复，满足相应用地功能后，方可改变用途</w:t>
                  </w: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rPr>
                    <w:t>加强“散乱污”企业环境风险防控</w:t>
                  </w:r>
                  <w:r>
                    <w:rPr>
                      <w:rFonts w:hint="eastAsia" w:cs="Times New Roman"/>
                      <w:color w:val="auto"/>
                      <w:sz w:val="18"/>
                      <w:szCs w:val="18"/>
                      <w:highlight w:val="none"/>
                      <w:lang w:val="en-US" w:eastAsia="zh-CN"/>
                    </w:rPr>
                    <w:t>；（3）</w:t>
                  </w:r>
                  <w:r>
                    <w:rPr>
                      <w:rFonts w:hint="default" w:ascii="Times New Roman" w:hAnsi="Times New Roman" w:cs="Times New Roman"/>
                      <w:color w:val="auto"/>
                      <w:sz w:val="18"/>
                      <w:szCs w:val="18"/>
                      <w:highlight w:val="none"/>
                      <w:lang w:val="en-US"/>
                    </w:rPr>
                    <w:t>现有涉及五类重金属的企业，严控污染物排放，限时整治或搬迁</w:t>
                  </w:r>
                  <w:r>
                    <w:rPr>
                      <w:rFonts w:hint="eastAsia" w:cs="Times New Roman"/>
                      <w:color w:val="auto"/>
                      <w:sz w:val="18"/>
                      <w:szCs w:val="18"/>
                      <w:highlight w:val="none"/>
                      <w:lang w:val="en-US" w:eastAsia="zh-CN"/>
                    </w:rPr>
                    <w:t>；（4）</w:t>
                  </w:r>
                  <w:r>
                    <w:rPr>
                      <w:rFonts w:hint="default" w:ascii="Times New Roman" w:hAnsi="Times New Roman" w:cs="Times New Roman"/>
                      <w:color w:val="auto"/>
                      <w:sz w:val="18"/>
                      <w:szCs w:val="18"/>
                      <w:highlight w:val="none"/>
                      <w:lang w:val="en-US"/>
                    </w:rPr>
                    <w:t>加强再生利用行业清理整顿。落实《电子废物、废轮胎、废塑料、废旧衣服、废家电拆解等再生利用行业清理整顿工作方案》，防止污染土壤和地下水。</w:t>
                  </w:r>
                </w:p>
                <w:p w14:paraId="0862AE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rPr>
                    <w:t>用地环境风险防控要求：</w:t>
                  </w: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rPr>
                    <w:t>严禁将城镇生活垃圾、污泥、工业废物直接用作肥料，禁止处理不达标的污泥进入耕地；禁止在农用地排放、倾倒、使用污泥、清淤底泥、尾矿（渣）等可能对土壤造成污染的固体废物</w:t>
                  </w: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rPr>
                    <w:t>严格控制林地、草地、园地的农药使用量，禁止使用高毒、高残留农药。</w:t>
                  </w:r>
                </w:p>
              </w:tc>
              <w:tc>
                <w:tcPr>
                  <w:tcW w:w="755" w:type="pct"/>
                  <w:tcBorders>
                    <w:tl2br w:val="nil"/>
                    <w:tr2bl w:val="nil"/>
                  </w:tcBorders>
                  <w:vAlign w:val="center"/>
                </w:tcPr>
                <w:p w14:paraId="309440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9" w:type="pct"/>
                  <w:tcBorders>
                    <w:tl2br w:val="nil"/>
                    <w:tr2bl w:val="nil"/>
                  </w:tcBorders>
                  <w:vAlign w:val="center"/>
                </w:tcPr>
                <w:p w14:paraId="2AE34C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B265B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78" w:type="pct"/>
                  <w:vMerge w:val="continue"/>
                  <w:tcBorders>
                    <w:tl2br w:val="nil"/>
                    <w:tr2bl w:val="nil"/>
                  </w:tcBorders>
                  <w:vAlign w:val="center"/>
                </w:tcPr>
                <w:p w14:paraId="312DF2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5496A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restart"/>
                  <w:tcBorders>
                    <w:tl2br w:val="nil"/>
                    <w:tr2bl w:val="nil"/>
                  </w:tcBorders>
                  <w:vAlign w:val="center"/>
                </w:tcPr>
                <w:p w14:paraId="798F1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40" w:type="pct"/>
                  <w:tcBorders>
                    <w:tl2br w:val="nil"/>
                    <w:tr2bl w:val="nil"/>
                  </w:tcBorders>
                  <w:vAlign w:val="center"/>
                </w:tcPr>
                <w:p w14:paraId="01DB86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水资源利用总量要求</w:t>
                  </w:r>
                </w:p>
              </w:tc>
              <w:tc>
                <w:tcPr>
                  <w:tcW w:w="2337" w:type="pct"/>
                  <w:tcBorders>
                    <w:tl2br w:val="nil"/>
                    <w:tr2bl w:val="nil"/>
                  </w:tcBorders>
                  <w:vAlign w:val="center"/>
                </w:tcPr>
                <w:p w14:paraId="2176220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到2022年，万元国内生产总值用水量、万元工业增加值用水量较2015年分别降低30%和28%。</w:t>
                  </w:r>
                </w:p>
              </w:tc>
              <w:tc>
                <w:tcPr>
                  <w:tcW w:w="755" w:type="pct"/>
                  <w:tcBorders>
                    <w:tl2br w:val="nil"/>
                    <w:tr2bl w:val="nil"/>
                  </w:tcBorders>
                  <w:vAlign w:val="center"/>
                </w:tcPr>
                <w:p w14:paraId="595FA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9" w:type="pct"/>
                  <w:tcBorders>
                    <w:tl2br w:val="nil"/>
                    <w:tr2bl w:val="nil"/>
                  </w:tcBorders>
                  <w:vAlign w:val="center"/>
                </w:tcPr>
                <w:p w14:paraId="3702D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6F591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78" w:type="pct"/>
                  <w:vMerge w:val="continue"/>
                  <w:tcBorders>
                    <w:tl2br w:val="nil"/>
                    <w:tr2bl w:val="nil"/>
                  </w:tcBorders>
                  <w:vAlign w:val="center"/>
                </w:tcPr>
                <w:p w14:paraId="2A3A9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14730C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66350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2302CA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地下水开采要求</w:t>
                  </w:r>
                </w:p>
              </w:tc>
              <w:tc>
                <w:tcPr>
                  <w:tcW w:w="2337" w:type="pct"/>
                  <w:tcBorders>
                    <w:tl2br w:val="nil"/>
                    <w:tr2bl w:val="nil"/>
                  </w:tcBorders>
                  <w:vAlign w:val="center"/>
                </w:tcPr>
                <w:p w14:paraId="3EF7E3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巴中市2025年地下水开采控制控制量保持在1400万m</w:t>
                  </w:r>
                  <w:r>
                    <w:rPr>
                      <w:rFonts w:hint="eastAsia" w:ascii="Times New Roman" w:hAnsi="Times New Roman" w:eastAsia="宋体" w:cs="Times New Roman"/>
                      <w:color w:val="auto"/>
                      <w:sz w:val="18"/>
                      <w:szCs w:val="18"/>
                      <w:highlight w:val="none"/>
                      <w:vertAlign w:val="superscript"/>
                      <w:lang w:eastAsia="zh-CN"/>
                    </w:rPr>
                    <w:t>3</w:t>
                  </w:r>
                  <w:r>
                    <w:rPr>
                      <w:rFonts w:hint="eastAsia" w:ascii="Times New Roman" w:hAnsi="Times New Roman" w:eastAsia="宋体" w:cs="Times New Roman"/>
                      <w:color w:val="auto"/>
                      <w:sz w:val="18"/>
                      <w:szCs w:val="18"/>
                      <w:highlight w:val="none"/>
                      <w:lang w:eastAsia="zh-CN"/>
                    </w:rPr>
                    <w:t>以内</w:t>
                  </w:r>
                  <w:r>
                    <w:rPr>
                      <w:rFonts w:hint="eastAsia" w:cs="Times New Roman"/>
                      <w:color w:val="auto"/>
                      <w:sz w:val="18"/>
                      <w:szCs w:val="18"/>
                      <w:highlight w:val="none"/>
                      <w:lang w:eastAsia="zh-CN"/>
                    </w:rPr>
                    <w:t>；</w:t>
                  </w:r>
                  <w:r>
                    <w:rPr>
                      <w:rFonts w:hint="eastAsia" w:ascii="Times New Roman" w:hAnsi="Times New Roman" w:eastAsia="宋体" w:cs="Times New Roman"/>
                      <w:color w:val="auto"/>
                      <w:sz w:val="18"/>
                      <w:szCs w:val="18"/>
                      <w:highlight w:val="none"/>
                      <w:lang w:eastAsia="zh-CN"/>
                    </w:rPr>
                    <w:t>地下水开采量控制在可开采量的允许范围内，抑制用水过度增长。</w:t>
                  </w:r>
                </w:p>
              </w:tc>
              <w:tc>
                <w:tcPr>
                  <w:tcW w:w="755" w:type="pct"/>
                  <w:tcBorders>
                    <w:tl2br w:val="nil"/>
                    <w:tr2bl w:val="nil"/>
                  </w:tcBorders>
                  <w:vAlign w:val="center"/>
                </w:tcPr>
                <w:p w14:paraId="03F86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9" w:type="pct"/>
                  <w:tcBorders>
                    <w:tl2br w:val="nil"/>
                    <w:tr2bl w:val="nil"/>
                  </w:tcBorders>
                  <w:vAlign w:val="center"/>
                </w:tcPr>
                <w:p w14:paraId="2433D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7138C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78" w:type="pct"/>
                  <w:vMerge w:val="continue"/>
                  <w:tcBorders>
                    <w:tl2br w:val="nil"/>
                    <w:tr2bl w:val="nil"/>
                  </w:tcBorders>
                  <w:vAlign w:val="center"/>
                </w:tcPr>
                <w:p w14:paraId="41B842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7FF3A3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20AE12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66A82A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能源利用总量及效率要求</w:t>
                  </w:r>
                </w:p>
              </w:tc>
              <w:tc>
                <w:tcPr>
                  <w:tcW w:w="2337" w:type="pct"/>
                  <w:tcBorders>
                    <w:tl2br w:val="nil"/>
                    <w:tr2bl w:val="nil"/>
                  </w:tcBorders>
                  <w:vAlign w:val="center"/>
                </w:tcPr>
                <w:p w14:paraId="52F91E3F">
                  <w:pPr>
                    <w:keepNext w:val="0"/>
                    <w:keepLines w:val="0"/>
                    <w:pageBreakBefore w:val="0"/>
                    <w:widowControl w:val="0"/>
                    <w:numPr>
                      <w:ilvl w:val="0"/>
                      <w:numId w:val="14"/>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推进清洁能源的推广使用，全面推进散煤清洁化整治；禁止新建每小时10蒸吨以下的燃煤锅炉及其他燃煤设施。</w:t>
                  </w:r>
                </w:p>
                <w:p w14:paraId="4AE00B92">
                  <w:pPr>
                    <w:keepNext w:val="0"/>
                    <w:keepLines w:val="0"/>
                    <w:pageBreakBefore w:val="0"/>
                    <w:widowControl w:val="0"/>
                    <w:numPr>
                      <w:ilvl w:val="0"/>
                      <w:numId w:val="14"/>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禁止焚烧秸秆和垃圾。</w:t>
                  </w:r>
                </w:p>
              </w:tc>
              <w:tc>
                <w:tcPr>
                  <w:tcW w:w="755" w:type="pct"/>
                  <w:tcBorders>
                    <w:tl2br w:val="nil"/>
                    <w:tr2bl w:val="nil"/>
                  </w:tcBorders>
                  <w:vAlign w:val="center"/>
                </w:tcPr>
                <w:p w14:paraId="226EBA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9" w:type="pct"/>
                  <w:tcBorders>
                    <w:tl2br w:val="nil"/>
                    <w:tr2bl w:val="nil"/>
                  </w:tcBorders>
                  <w:vAlign w:val="center"/>
                </w:tcPr>
                <w:p w14:paraId="3E6AC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3D4F3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3715D3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74576D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33089C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1173007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color w:val="auto"/>
                      <w:kern w:val="2"/>
                      <w:sz w:val="18"/>
                      <w:szCs w:val="18"/>
                      <w:lang w:val="en-US" w:eastAsia="zh-CN" w:bidi="ar-SA"/>
                    </w:rPr>
                    <w:t>禁燃区要求</w:t>
                  </w:r>
                </w:p>
              </w:tc>
              <w:tc>
                <w:tcPr>
                  <w:tcW w:w="2337" w:type="pct"/>
                  <w:tcBorders>
                    <w:tl2br w:val="nil"/>
                    <w:tr2bl w:val="nil"/>
                  </w:tcBorders>
                  <w:vAlign w:val="center"/>
                </w:tcPr>
                <w:p w14:paraId="57A9EF1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tc>
              <w:tc>
                <w:tcPr>
                  <w:tcW w:w="755" w:type="pct"/>
                  <w:tcBorders>
                    <w:tl2br w:val="nil"/>
                    <w:tr2bl w:val="nil"/>
                  </w:tcBorders>
                  <w:vAlign w:val="center"/>
                </w:tcPr>
                <w:p w14:paraId="45E9AA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不涉及</w:t>
                  </w:r>
                </w:p>
              </w:tc>
              <w:tc>
                <w:tcPr>
                  <w:tcW w:w="269" w:type="pct"/>
                  <w:tcBorders>
                    <w:tl2br w:val="nil"/>
                    <w:tr2bl w:val="nil"/>
                  </w:tcBorders>
                  <w:vAlign w:val="center"/>
                </w:tcPr>
                <w:p w14:paraId="74EC5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28C2F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32F69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71E627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3D66D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57095C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其他资源利用效率要求</w:t>
                  </w:r>
                </w:p>
              </w:tc>
              <w:tc>
                <w:tcPr>
                  <w:tcW w:w="2337" w:type="pct"/>
                  <w:tcBorders>
                    <w:tl2br w:val="nil"/>
                    <w:tr2bl w:val="nil"/>
                  </w:tcBorders>
                  <w:vAlign w:val="center"/>
                </w:tcPr>
                <w:p w14:paraId="0D3802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到2025年，巴中市农田有效灌溉系数达到0.56</w:t>
                  </w:r>
                  <w:r>
                    <w:rPr>
                      <w:rFonts w:hint="eastAsia" w:cs="Times New Roman"/>
                      <w:color w:val="auto"/>
                      <w:kern w:val="2"/>
                      <w:sz w:val="18"/>
                      <w:szCs w:val="18"/>
                      <w:lang w:val="en-US" w:eastAsia="zh-CN" w:bidi="ar-SA"/>
                    </w:rPr>
                    <w:t>；</w:t>
                  </w:r>
                  <w:r>
                    <w:rPr>
                      <w:rFonts w:hint="default" w:ascii="Times New Roman" w:hAnsi="Times New Roman" w:eastAsia="宋体" w:cs="Times New Roman"/>
                      <w:color w:val="auto"/>
                      <w:kern w:val="2"/>
                      <w:sz w:val="18"/>
                      <w:szCs w:val="18"/>
                      <w:lang w:val="en-US" w:eastAsia="zh-CN" w:bidi="ar-SA"/>
                    </w:rPr>
                    <w:t>到2030年，巴中市农田有效灌溉率提到40%，农田灌溉用水有效利用系数提高到0.62左右。</w:t>
                  </w:r>
                </w:p>
              </w:tc>
              <w:tc>
                <w:tcPr>
                  <w:tcW w:w="755" w:type="pct"/>
                  <w:tcBorders>
                    <w:tl2br w:val="nil"/>
                    <w:tr2bl w:val="nil"/>
                  </w:tcBorders>
                  <w:vAlign w:val="center"/>
                </w:tcPr>
                <w:p w14:paraId="55372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9" w:type="pct"/>
                  <w:tcBorders>
                    <w:tl2br w:val="nil"/>
                    <w:tr2bl w:val="nil"/>
                  </w:tcBorders>
                  <w:vAlign w:val="center"/>
                </w:tcPr>
                <w:p w14:paraId="74F88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3D72D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322633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restart"/>
                  <w:tcBorders>
                    <w:tl2br w:val="nil"/>
                    <w:tr2bl w:val="nil"/>
                  </w:tcBorders>
                  <w:vAlign w:val="center"/>
                </w:tcPr>
                <w:p w14:paraId="29159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县区普适性清单</w:t>
                  </w:r>
                </w:p>
              </w:tc>
              <w:tc>
                <w:tcPr>
                  <w:tcW w:w="336" w:type="pct"/>
                  <w:tcBorders>
                    <w:tl2br w:val="nil"/>
                    <w:tr2bl w:val="nil"/>
                  </w:tcBorders>
                  <w:vAlign w:val="center"/>
                </w:tcPr>
                <w:p w14:paraId="4958B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40" w:type="pct"/>
                  <w:tcBorders>
                    <w:tl2br w:val="nil"/>
                    <w:tr2bl w:val="nil"/>
                  </w:tcBorders>
                  <w:vAlign w:val="center"/>
                </w:tcPr>
                <w:p w14:paraId="0D9AED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其他空间布局约束要求</w:t>
                  </w:r>
                </w:p>
              </w:tc>
              <w:tc>
                <w:tcPr>
                  <w:tcW w:w="2337" w:type="pct"/>
                  <w:tcBorders>
                    <w:tl2br w:val="nil"/>
                    <w:tr2bl w:val="nil"/>
                  </w:tcBorders>
                  <w:vAlign w:val="center"/>
                </w:tcPr>
                <w:p w14:paraId="36E4DA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eastAsia="zh-CN"/>
                    </w:rPr>
                    <w:t>加强流域水污染防治，推进流域水生态环境修复与治理；</w:t>
                  </w:r>
                </w:p>
                <w:p w14:paraId="5A10C8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eastAsia="zh-CN"/>
                    </w:rPr>
                    <w:t>加强城市精细化管理，提升市民对环境的幸福感、获得感。</w:t>
                  </w:r>
                </w:p>
              </w:tc>
              <w:tc>
                <w:tcPr>
                  <w:tcW w:w="755" w:type="pct"/>
                  <w:tcBorders>
                    <w:tl2br w:val="nil"/>
                    <w:tr2bl w:val="nil"/>
                  </w:tcBorders>
                  <w:vAlign w:val="center"/>
                </w:tcPr>
                <w:p w14:paraId="60DC0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69" w:type="pct"/>
                  <w:tcBorders>
                    <w:tl2br w:val="nil"/>
                    <w:tr2bl w:val="nil"/>
                  </w:tcBorders>
                  <w:vAlign w:val="center"/>
                </w:tcPr>
                <w:p w14:paraId="7289C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C79C3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15EE05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65ECB6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tcBorders>
                    <w:tl2br w:val="nil"/>
                    <w:tr2bl w:val="nil"/>
                  </w:tcBorders>
                  <w:vAlign w:val="center"/>
                </w:tcPr>
                <w:p w14:paraId="56B2E0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污染物排放管控</w:t>
                  </w:r>
                </w:p>
              </w:tc>
              <w:tc>
                <w:tcPr>
                  <w:tcW w:w="340" w:type="pct"/>
                  <w:tcBorders>
                    <w:tl2br w:val="nil"/>
                    <w:tr2bl w:val="nil"/>
                  </w:tcBorders>
                  <w:vAlign w:val="center"/>
                </w:tcPr>
                <w:p w14:paraId="6F7932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pacing w:val="-1"/>
                      <w:sz w:val="18"/>
                      <w:szCs w:val="18"/>
                      <w:lang w:eastAsia="zh-CN"/>
                    </w:rPr>
                    <w:t>其他污染物排放管控要求</w:t>
                  </w:r>
                </w:p>
              </w:tc>
              <w:tc>
                <w:tcPr>
                  <w:tcW w:w="2337" w:type="pct"/>
                  <w:tcBorders>
                    <w:tl2br w:val="nil"/>
                    <w:tr2bl w:val="nil"/>
                  </w:tcBorders>
                  <w:vAlign w:val="center"/>
                </w:tcPr>
                <w:p w14:paraId="643F08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eastAsia="zh-CN"/>
                    </w:rPr>
                    <w:t>加强工业园区内和园区外企业污染排放监管，推进</w:t>
                  </w:r>
                  <w:r>
                    <w:rPr>
                      <w:rFonts w:hint="eastAsia" w:cs="Times New Roman"/>
                      <w:color w:val="auto"/>
                      <w:sz w:val="18"/>
                      <w:szCs w:val="18"/>
                      <w:highlight w:val="none"/>
                      <w:lang w:val="en-US" w:eastAsia="zh-CN"/>
                    </w:rPr>
                    <w:t>“</w:t>
                  </w:r>
                  <w:r>
                    <w:rPr>
                      <w:rFonts w:hint="default" w:ascii="Times New Roman" w:hAnsi="Times New Roman" w:cs="Times New Roman"/>
                      <w:color w:val="auto"/>
                      <w:sz w:val="18"/>
                      <w:szCs w:val="18"/>
                      <w:highlight w:val="none"/>
                      <w:lang w:val="en-US" w:eastAsia="zh-CN"/>
                    </w:rPr>
                    <w:t>散乱污</w:t>
                  </w:r>
                  <w:r>
                    <w:rPr>
                      <w:rFonts w:hint="eastAsia" w:cs="Times New Roman"/>
                      <w:color w:val="auto"/>
                      <w:sz w:val="18"/>
                      <w:szCs w:val="18"/>
                      <w:highlight w:val="none"/>
                      <w:lang w:val="en-US" w:eastAsia="zh-CN"/>
                    </w:rPr>
                    <w:t>”</w:t>
                  </w:r>
                  <w:r>
                    <w:rPr>
                      <w:rFonts w:hint="default" w:ascii="Times New Roman" w:hAnsi="Times New Roman" w:cs="Times New Roman"/>
                      <w:color w:val="auto"/>
                      <w:sz w:val="18"/>
                      <w:szCs w:val="18"/>
                      <w:highlight w:val="none"/>
                      <w:lang w:val="en-US" w:eastAsia="zh-CN"/>
                    </w:rPr>
                    <w:t>企业整治；</w:t>
                  </w:r>
                </w:p>
                <w:p w14:paraId="5E659E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eastAsia="zh-CN"/>
                    </w:rPr>
                    <w:t>强化扬尘源、燃烧源和移动源等大气污染防治。</w:t>
                  </w:r>
                </w:p>
              </w:tc>
              <w:tc>
                <w:tcPr>
                  <w:tcW w:w="755" w:type="pct"/>
                  <w:tcBorders>
                    <w:tl2br w:val="nil"/>
                    <w:tr2bl w:val="nil"/>
                  </w:tcBorders>
                  <w:vAlign w:val="center"/>
                </w:tcPr>
                <w:p w14:paraId="02270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本项目选址</w:t>
                  </w:r>
                  <w:r>
                    <w:rPr>
                      <w:rFonts w:hint="eastAsia" w:cs="Times New Roman"/>
                      <w:color w:val="auto"/>
                      <w:sz w:val="18"/>
                      <w:szCs w:val="18"/>
                      <w:highlight w:val="none"/>
                      <w:lang w:val="en-US" w:eastAsia="zh-CN"/>
                    </w:rPr>
                    <w:t>选线</w:t>
                  </w:r>
                  <w:r>
                    <w:rPr>
                      <w:rFonts w:hint="default" w:ascii="Times New Roman" w:hAnsi="Times New Roman" w:cs="Times New Roman"/>
                      <w:color w:val="auto"/>
                      <w:sz w:val="18"/>
                      <w:szCs w:val="18"/>
                      <w:highlight w:val="none"/>
                    </w:rPr>
                    <w:t>不在工业园区内，</w:t>
                  </w:r>
                  <w:r>
                    <w:rPr>
                      <w:rFonts w:hint="eastAsia" w:cs="Times New Roman"/>
                      <w:color w:val="auto"/>
                      <w:sz w:val="18"/>
                      <w:szCs w:val="18"/>
                      <w:highlight w:val="none"/>
                      <w:lang w:val="en-US" w:eastAsia="zh-CN"/>
                    </w:rPr>
                    <w:t>不涉及扬尘源、燃烧源和移动源等大气污染</w:t>
                  </w:r>
                  <w:r>
                    <w:rPr>
                      <w:rFonts w:hint="default" w:ascii="Times New Roman" w:hAnsi="Times New Roman" w:cs="Times New Roman"/>
                      <w:color w:val="auto"/>
                      <w:sz w:val="18"/>
                      <w:szCs w:val="18"/>
                      <w:highlight w:val="none"/>
                    </w:rPr>
                    <w:t>。</w:t>
                  </w:r>
                </w:p>
              </w:tc>
              <w:tc>
                <w:tcPr>
                  <w:tcW w:w="269" w:type="pct"/>
                  <w:tcBorders>
                    <w:tl2br w:val="nil"/>
                    <w:tr2bl w:val="nil"/>
                  </w:tcBorders>
                  <w:vAlign w:val="center"/>
                </w:tcPr>
                <w:p w14:paraId="7632F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3DFAF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34AED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37806E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tcBorders>
                    <w:tl2br w:val="nil"/>
                    <w:tr2bl w:val="nil"/>
                  </w:tcBorders>
                  <w:vAlign w:val="center"/>
                </w:tcPr>
                <w:p w14:paraId="60497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环境风险防控</w:t>
                  </w:r>
                </w:p>
              </w:tc>
              <w:tc>
                <w:tcPr>
                  <w:tcW w:w="340" w:type="pct"/>
                  <w:tcBorders>
                    <w:tl2br w:val="nil"/>
                    <w:tr2bl w:val="nil"/>
                  </w:tcBorders>
                  <w:vAlign w:val="center"/>
                </w:tcPr>
                <w:p w14:paraId="540E01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eastAsia" w:ascii="Times New Roman" w:hAnsi="Times New Roman" w:eastAsia="宋体" w:cs="Times New Roman"/>
                      <w:color w:val="auto"/>
                      <w:spacing w:val="-1"/>
                      <w:sz w:val="18"/>
                      <w:szCs w:val="18"/>
                      <w:lang w:eastAsia="zh-CN"/>
                    </w:rPr>
                  </w:pPr>
                  <w:r>
                    <w:rPr>
                      <w:rFonts w:hint="eastAsia" w:ascii="Times New Roman" w:hAnsi="Times New Roman" w:eastAsia="宋体" w:cs="Times New Roman"/>
                      <w:color w:val="auto"/>
                      <w:spacing w:val="-1"/>
                      <w:sz w:val="18"/>
                      <w:szCs w:val="18"/>
                      <w:lang w:eastAsia="zh-CN"/>
                    </w:rPr>
                    <w:t>其他环境风险防控要求</w:t>
                  </w:r>
                </w:p>
              </w:tc>
              <w:tc>
                <w:tcPr>
                  <w:tcW w:w="2337" w:type="pct"/>
                  <w:tcBorders>
                    <w:tl2br w:val="nil"/>
                    <w:tr2bl w:val="nil"/>
                  </w:tcBorders>
                  <w:vAlign w:val="center"/>
                </w:tcPr>
                <w:p w14:paraId="37B64CF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强化建筑垃圾、生活垃圾、餐厨垃圾综合利用和无害化处置及危险废物环境风险管控。</w:t>
                  </w:r>
                </w:p>
              </w:tc>
              <w:tc>
                <w:tcPr>
                  <w:tcW w:w="755" w:type="pct"/>
                  <w:tcBorders>
                    <w:tl2br w:val="nil"/>
                    <w:tr2bl w:val="nil"/>
                  </w:tcBorders>
                  <w:vAlign w:val="center"/>
                </w:tcPr>
                <w:p w14:paraId="15130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本项目产生的生活垃圾集中收集后交由市政环卫统一清运</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建筑垃圾可回收部分回收利用，不能回收利用的部分运至指定的建筑垃圾处置场堆放。</w:t>
                  </w:r>
                </w:p>
              </w:tc>
              <w:tc>
                <w:tcPr>
                  <w:tcW w:w="269" w:type="pct"/>
                  <w:tcBorders>
                    <w:tl2br w:val="nil"/>
                    <w:tr2bl w:val="nil"/>
                  </w:tcBorders>
                  <w:vAlign w:val="center"/>
                </w:tcPr>
                <w:p w14:paraId="1198F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3B251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607369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restart"/>
                  <w:tcBorders>
                    <w:tl2br w:val="nil"/>
                    <w:tr2bl w:val="nil"/>
                  </w:tcBorders>
                  <w:vAlign w:val="center"/>
                </w:tcPr>
                <w:p w14:paraId="5E1259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单元级清单管控要求</w:t>
                  </w:r>
                </w:p>
              </w:tc>
              <w:tc>
                <w:tcPr>
                  <w:tcW w:w="336" w:type="pct"/>
                  <w:vMerge w:val="restart"/>
                  <w:tcBorders>
                    <w:tl2br w:val="nil"/>
                    <w:tr2bl w:val="nil"/>
                  </w:tcBorders>
                  <w:vAlign w:val="center"/>
                </w:tcPr>
                <w:p w14:paraId="1052DB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40" w:type="pct"/>
                  <w:tcBorders>
                    <w:tl2br w:val="nil"/>
                    <w:tr2bl w:val="nil"/>
                  </w:tcBorders>
                  <w:vAlign w:val="center"/>
                </w:tcPr>
                <w:p w14:paraId="77D9E9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37" w:type="pct"/>
                  <w:tcBorders>
                    <w:tl2br w:val="nil"/>
                    <w:tr2bl w:val="nil"/>
                  </w:tcBorders>
                  <w:vAlign w:val="center"/>
                </w:tcPr>
                <w:p w14:paraId="1A87C4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执行要素重点管控单元总体准入要求</w:t>
                  </w:r>
                  <w:r>
                    <w:rPr>
                      <w:rFonts w:hint="eastAsia" w:cs="Times New Roman"/>
                      <w:color w:val="auto"/>
                      <w:sz w:val="18"/>
                      <w:szCs w:val="18"/>
                      <w:highlight w:val="none"/>
                      <w:lang w:eastAsia="zh-CN"/>
                    </w:rPr>
                    <w:t>。</w:t>
                  </w:r>
                </w:p>
              </w:tc>
              <w:tc>
                <w:tcPr>
                  <w:tcW w:w="755" w:type="pct"/>
                  <w:tcBorders>
                    <w:tl2br w:val="nil"/>
                    <w:tr2bl w:val="nil"/>
                  </w:tcBorders>
                  <w:vAlign w:val="center"/>
                </w:tcPr>
                <w:p w14:paraId="7815AA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r>
                    <w:rPr>
                      <w:rFonts w:hint="default" w:ascii="Times New Roman" w:hAnsi="Times New Roman" w:cs="Times New Roman"/>
                      <w:color w:val="auto"/>
                      <w:sz w:val="18"/>
                      <w:szCs w:val="18"/>
                      <w:highlight w:val="none"/>
                      <w:lang w:eastAsia="zh-CN"/>
                    </w:rPr>
                    <w:t>。</w:t>
                  </w:r>
                </w:p>
              </w:tc>
              <w:tc>
                <w:tcPr>
                  <w:tcW w:w="269" w:type="pct"/>
                  <w:tcBorders>
                    <w:tl2br w:val="nil"/>
                    <w:tr2bl w:val="nil"/>
                  </w:tcBorders>
                  <w:vAlign w:val="center"/>
                </w:tcPr>
                <w:p w14:paraId="46C2D4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55EAB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36FD9D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26FDE3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611F2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33EBE8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2"/>
                      <w:sz w:val="18"/>
                      <w:szCs w:val="18"/>
                    </w:rPr>
                    <w:t>限制开发建设活动的要求</w:t>
                  </w:r>
                </w:p>
              </w:tc>
              <w:tc>
                <w:tcPr>
                  <w:tcW w:w="2337" w:type="pct"/>
                  <w:tcBorders>
                    <w:tl2br w:val="nil"/>
                    <w:tr2bl w:val="nil"/>
                  </w:tcBorders>
                  <w:vAlign w:val="center"/>
                </w:tcPr>
                <w:p w14:paraId="3CEC5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rPr>
                    <w:t>大气布局敏感重点管控区严格项目引入政策，严控新建水泥厂、危废焚烧、砖瓦厂、陶瓷厂、混凝土及制品等以大气污染为主的企业。</w:t>
                  </w:r>
                </w:p>
                <w:p w14:paraId="0873FF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其他执行要素重点管控单元总体准入要求</w:t>
                  </w:r>
                  <w:r>
                    <w:rPr>
                      <w:rFonts w:hint="eastAsia" w:cs="Times New Roman"/>
                      <w:color w:val="auto"/>
                      <w:sz w:val="18"/>
                      <w:szCs w:val="18"/>
                      <w:highlight w:val="none"/>
                      <w:lang w:eastAsia="zh-CN"/>
                    </w:rPr>
                    <w:t>。</w:t>
                  </w:r>
                </w:p>
              </w:tc>
              <w:tc>
                <w:tcPr>
                  <w:tcW w:w="755" w:type="pct"/>
                  <w:tcBorders>
                    <w:tl2br w:val="nil"/>
                    <w:tr2bl w:val="nil"/>
                  </w:tcBorders>
                  <w:vAlign w:val="center"/>
                </w:tcPr>
                <w:p w14:paraId="0D531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本项目属于电力基础设施建设项目，不属于水泥厂、危废焚烧、砖瓦厂、陶瓷厂、混凝土等行业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其他满足巴中市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278218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17268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21B4D0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25E3E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152BF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2B6BA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pacing w:val="-2"/>
                      <w:sz w:val="18"/>
                      <w:szCs w:val="18"/>
                      <w:lang w:val="en-US" w:eastAsia="zh-CN"/>
                    </w:rPr>
                  </w:pPr>
                  <w:r>
                    <w:rPr>
                      <w:rFonts w:hint="default" w:ascii="Times New Roman" w:hAnsi="Times New Roman" w:cs="Times New Roman"/>
                      <w:color w:val="auto"/>
                      <w:sz w:val="18"/>
                      <w:szCs w:val="18"/>
                      <w:highlight w:val="none"/>
                    </w:rPr>
                    <w:t>不符合空间布局要求活动的退出要求</w:t>
                  </w:r>
                </w:p>
              </w:tc>
              <w:tc>
                <w:tcPr>
                  <w:tcW w:w="2337" w:type="pct"/>
                  <w:tcBorders>
                    <w:tl2br w:val="nil"/>
                    <w:tr2bl w:val="nil"/>
                  </w:tcBorders>
                  <w:vAlign w:val="center"/>
                </w:tcPr>
                <w:p w14:paraId="62CDD7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rPr>
                    <w:t>位于城镇空间外的工业园区外工业企业：具有合法手续的企业，且污染物排放及环境风险满足管理要求的企业，可继续保留，要求污染物排放只降不增，并进一步加强日常环保监管；严控新（扩）建水泥厂、危废焚烧、陶瓷厂等以大气污染为主的企业；不具备合法手续，或污染物排放超标、环境风险不可控的企业，限期进行整改提升，通过环保、安全、工艺装备升级等落实整改措施并达到相关标准实现合法生产，整改后仍不能达到要求的，属地政府应按相关要求责令关停并退出。</w:t>
                  </w:r>
                </w:p>
                <w:p w14:paraId="21A952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其他执行要素重点管控单元普适性管控要求。</w:t>
                  </w:r>
                </w:p>
              </w:tc>
              <w:tc>
                <w:tcPr>
                  <w:tcW w:w="755" w:type="pct"/>
                  <w:tcBorders>
                    <w:tl2br w:val="nil"/>
                    <w:tr2bl w:val="nil"/>
                  </w:tcBorders>
                  <w:vAlign w:val="center"/>
                </w:tcPr>
                <w:p w14:paraId="507020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本项目属于电力基础设施建设项目，不属于危废焚烧、陶瓷厂等行业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其他满足巴中市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037BD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B29D9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449BF9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3B4A4C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restart"/>
                  <w:tcBorders>
                    <w:tl2br w:val="nil"/>
                    <w:tr2bl w:val="nil"/>
                  </w:tcBorders>
                  <w:vAlign w:val="center"/>
                </w:tcPr>
                <w:p w14:paraId="1371F2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40" w:type="pct"/>
                  <w:tcBorders>
                    <w:tl2br w:val="nil"/>
                    <w:tr2bl w:val="nil"/>
                  </w:tcBorders>
                  <w:vAlign w:val="center"/>
                </w:tcPr>
                <w:p w14:paraId="05512F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现有源提标升级改造</w:t>
                  </w:r>
                </w:p>
              </w:tc>
              <w:tc>
                <w:tcPr>
                  <w:tcW w:w="2337" w:type="pct"/>
                  <w:tcBorders>
                    <w:tl2br w:val="nil"/>
                    <w:tr2bl w:val="nil"/>
                  </w:tcBorders>
                  <w:vAlign w:val="center"/>
                </w:tcPr>
                <w:p w14:paraId="084744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eastAsia="zh-CN"/>
                    </w:rPr>
                    <w:t>大气布局敏感重点管控区中的大气污染排放源执行国家、省、行业排放标准中规定的大气污染物特别排放限值。</w:t>
                  </w:r>
                </w:p>
                <w:p w14:paraId="0C596B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2、</w:t>
                  </w:r>
                  <w:r>
                    <w:rPr>
                      <w:rFonts w:hint="eastAsia" w:ascii="Times New Roman" w:hAnsi="Times New Roman" w:eastAsia="宋体" w:cs="Times New Roman"/>
                      <w:color w:val="auto"/>
                      <w:sz w:val="18"/>
                      <w:szCs w:val="18"/>
                      <w:highlight w:val="none"/>
                      <w:lang w:eastAsia="zh-CN"/>
                    </w:rPr>
                    <w:t>其他执行要素重点管控单元总体准入要求</w:t>
                  </w:r>
                  <w:r>
                    <w:rPr>
                      <w:rFonts w:hint="eastAsia" w:cs="Times New Roman"/>
                      <w:color w:val="auto"/>
                      <w:sz w:val="18"/>
                      <w:szCs w:val="18"/>
                      <w:highlight w:val="none"/>
                      <w:lang w:eastAsia="zh-CN"/>
                    </w:rPr>
                    <w:t>。</w:t>
                  </w:r>
                </w:p>
              </w:tc>
              <w:tc>
                <w:tcPr>
                  <w:tcW w:w="755" w:type="pct"/>
                  <w:tcBorders>
                    <w:tl2br w:val="nil"/>
                    <w:tr2bl w:val="nil"/>
                  </w:tcBorders>
                  <w:vAlign w:val="center"/>
                </w:tcPr>
                <w:p w14:paraId="3A1298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4518DA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56A0A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3FFEE7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182" w:type="pct"/>
                  <w:vMerge w:val="continue"/>
                  <w:tcBorders>
                    <w:tl2br w:val="nil"/>
                    <w:tr2bl w:val="nil"/>
                  </w:tcBorders>
                  <w:vAlign w:val="center"/>
                </w:tcPr>
                <w:p w14:paraId="05CD4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36" w:type="pct"/>
                  <w:vMerge w:val="continue"/>
                  <w:tcBorders>
                    <w:tl2br w:val="nil"/>
                    <w:tr2bl w:val="nil"/>
                  </w:tcBorders>
                  <w:vAlign w:val="center"/>
                </w:tcPr>
                <w:p w14:paraId="5D552F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40" w:type="pct"/>
                  <w:tcBorders>
                    <w:tl2br w:val="nil"/>
                    <w:tr2bl w:val="nil"/>
                  </w:tcBorders>
                  <w:vAlign w:val="center"/>
                </w:tcPr>
                <w:p w14:paraId="43B001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新增源等量或倍量替代</w:t>
                  </w:r>
                </w:p>
              </w:tc>
              <w:tc>
                <w:tcPr>
                  <w:tcW w:w="2337" w:type="pct"/>
                  <w:tcBorders>
                    <w:tl2br w:val="nil"/>
                    <w:tr2bl w:val="nil"/>
                  </w:tcBorders>
                  <w:vAlign w:val="center"/>
                </w:tcPr>
                <w:p w14:paraId="4549DB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执行要素重点管控单元总体准入要求</w:t>
                  </w:r>
                  <w:r>
                    <w:rPr>
                      <w:rFonts w:hint="eastAsia" w:cs="Times New Roman"/>
                      <w:color w:val="auto"/>
                      <w:sz w:val="18"/>
                      <w:szCs w:val="18"/>
                      <w:highlight w:val="none"/>
                      <w:lang w:eastAsia="zh-CN"/>
                    </w:rPr>
                    <w:t>。</w:t>
                  </w:r>
                </w:p>
              </w:tc>
              <w:tc>
                <w:tcPr>
                  <w:tcW w:w="755" w:type="pct"/>
                  <w:tcBorders>
                    <w:tl2br w:val="nil"/>
                    <w:tr2bl w:val="nil"/>
                  </w:tcBorders>
                  <w:vAlign w:val="center"/>
                </w:tcPr>
                <w:p w14:paraId="67D56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36E87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E485A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5D6BE6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182" w:type="pct"/>
                  <w:vMerge w:val="continue"/>
                  <w:tcBorders>
                    <w:tl2br w:val="nil"/>
                    <w:tr2bl w:val="nil"/>
                  </w:tcBorders>
                  <w:vAlign w:val="center"/>
                </w:tcPr>
                <w:p w14:paraId="3D4C8A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36" w:type="pct"/>
                  <w:vMerge w:val="continue"/>
                  <w:tcBorders>
                    <w:tl2br w:val="nil"/>
                    <w:tr2bl w:val="nil"/>
                  </w:tcBorders>
                  <w:vAlign w:val="center"/>
                </w:tcPr>
                <w:p w14:paraId="7B84F7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40" w:type="pct"/>
                  <w:tcBorders>
                    <w:tl2br w:val="nil"/>
                    <w:tr2bl w:val="nil"/>
                  </w:tcBorders>
                  <w:vAlign w:val="center"/>
                </w:tcPr>
                <w:p w14:paraId="1F918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新增源排放标准限值</w:t>
                  </w:r>
                </w:p>
              </w:tc>
              <w:tc>
                <w:tcPr>
                  <w:tcW w:w="2337" w:type="pct"/>
                  <w:tcBorders>
                    <w:tl2br w:val="nil"/>
                    <w:tr2bl w:val="nil"/>
                  </w:tcBorders>
                  <w:vAlign w:val="center"/>
                </w:tcPr>
                <w:p w14:paraId="66BA993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执行要素重点管控单元总体准入要求</w:t>
                  </w:r>
                  <w:r>
                    <w:rPr>
                      <w:rFonts w:hint="eastAsia" w:cs="Times New Roman"/>
                      <w:color w:val="auto"/>
                      <w:sz w:val="18"/>
                      <w:szCs w:val="18"/>
                      <w:highlight w:val="none"/>
                      <w:lang w:eastAsia="zh-CN"/>
                    </w:rPr>
                    <w:t>。</w:t>
                  </w:r>
                </w:p>
              </w:tc>
              <w:tc>
                <w:tcPr>
                  <w:tcW w:w="755" w:type="pct"/>
                  <w:tcBorders>
                    <w:tl2br w:val="nil"/>
                    <w:tr2bl w:val="nil"/>
                  </w:tcBorders>
                  <w:vAlign w:val="center"/>
                </w:tcPr>
                <w:p w14:paraId="2D3856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0A2D8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36D2B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43C4F6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0A1022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3C3F1B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7F613C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污染物排放绩效水平准入要求</w:t>
                  </w:r>
                </w:p>
              </w:tc>
              <w:tc>
                <w:tcPr>
                  <w:tcW w:w="2337" w:type="pct"/>
                  <w:tcBorders>
                    <w:tl2br w:val="nil"/>
                    <w:tr2bl w:val="nil"/>
                  </w:tcBorders>
                  <w:vAlign w:val="center"/>
                </w:tcPr>
                <w:p w14:paraId="4D6EB58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执行要素重点管控单元总体准入要求</w:t>
                  </w:r>
                  <w:r>
                    <w:rPr>
                      <w:rFonts w:hint="eastAsia" w:cs="Times New Roman"/>
                      <w:color w:val="auto"/>
                      <w:sz w:val="18"/>
                      <w:szCs w:val="18"/>
                      <w:highlight w:val="none"/>
                      <w:lang w:eastAsia="zh-CN"/>
                    </w:rPr>
                    <w:t>。</w:t>
                  </w:r>
                </w:p>
              </w:tc>
              <w:tc>
                <w:tcPr>
                  <w:tcW w:w="755" w:type="pct"/>
                  <w:tcBorders>
                    <w:tl2br w:val="nil"/>
                    <w:tr2bl w:val="nil"/>
                  </w:tcBorders>
                  <w:vAlign w:val="center"/>
                </w:tcPr>
                <w:p w14:paraId="6FE8A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7CCC56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D3492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8" w:type="pct"/>
                  <w:vMerge w:val="continue"/>
                  <w:tcBorders>
                    <w:tl2br w:val="nil"/>
                    <w:tr2bl w:val="nil"/>
                  </w:tcBorders>
                  <w:vAlign w:val="center"/>
                </w:tcPr>
                <w:p w14:paraId="5AC3C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057311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restart"/>
                  <w:tcBorders>
                    <w:tl2br w:val="nil"/>
                    <w:tr2bl w:val="nil"/>
                  </w:tcBorders>
                  <w:vAlign w:val="center"/>
                </w:tcPr>
                <w:p w14:paraId="241563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40" w:type="pct"/>
                  <w:tcBorders>
                    <w:tl2br w:val="nil"/>
                    <w:tr2bl w:val="nil"/>
                  </w:tcBorders>
                  <w:vAlign w:val="center"/>
                </w:tcPr>
                <w:p w14:paraId="561309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严格管控类农用地管控要求</w:t>
                  </w:r>
                </w:p>
              </w:tc>
              <w:tc>
                <w:tcPr>
                  <w:tcW w:w="2337" w:type="pct"/>
                  <w:tcBorders>
                    <w:tl2br w:val="nil"/>
                    <w:tr2bl w:val="nil"/>
                  </w:tcBorders>
                  <w:vAlign w:val="center"/>
                </w:tcPr>
                <w:p w14:paraId="57DD79A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1、</w:t>
                  </w:r>
                  <w:r>
                    <w:rPr>
                      <w:rFonts w:hint="default" w:ascii="Times New Roman" w:hAnsi="Times New Roman" w:cs="Times New Roman"/>
                      <w:color w:val="auto"/>
                      <w:spacing w:val="-4"/>
                      <w:sz w:val="18"/>
                      <w:szCs w:val="18"/>
                    </w:rPr>
                    <w:t>开展矿区废弃地、尾矿坝生态治理示范，推进工矿废弃地修复和再利用；</w:t>
                  </w:r>
                </w:p>
                <w:p w14:paraId="0590FB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pacing w:val="-4"/>
                      <w:sz w:val="18"/>
                      <w:szCs w:val="18"/>
                      <w:lang w:val="en-US" w:eastAsia="zh-CN"/>
                    </w:rPr>
                    <w:t>2、</w:t>
                  </w:r>
                  <w:r>
                    <w:rPr>
                      <w:rFonts w:hint="default" w:ascii="Times New Roman" w:hAnsi="Times New Roman" w:cs="Times New Roman"/>
                      <w:color w:val="auto"/>
                      <w:spacing w:val="-4"/>
                      <w:sz w:val="18"/>
                      <w:szCs w:val="18"/>
                    </w:rPr>
                    <w:t>巴州区凌云乡鼓楼山村二组张家梁砂岩矿重点治理区、巴州区凌云乡柏垭庙村三组立木垭砂岩矿重点治理区、巴州区玉堂办事处登高居委会二组党家湾页岩矿重点治理区需在高陡边坡防护加固，平整土地，种草恢复植被、恢复地貌景观，加强环境监测管理。</w:t>
                  </w:r>
                </w:p>
              </w:tc>
              <w:tc>
                <w:tcPr>
                  <w:tcW w:w="755" w:type="pct"/>
                  <w:tcBorders>
                    <w:tl2br w:val="nil"/>
                    <w:tr2bl w:val="nil"/>
                  </w:tcBorders>
                  <w:vAlign w:val="center"/>
                </w:tcPr>
                <w:p w14:paraId="372FCB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pacing w:val="-4"/>
                      <w:sz w:val="18"/>
                      <w:szCs w:val="18"/>
                      <w:lang w:val="en-US" w:eastAsia="zh-CN"/>
                    </w:rPr>
                  </w:pPr>
                  <w:r>
                    <w:rPr>
                      <w:rFonts w:hint="eastAsia" w:cs="Times New Roman"/>
                      <w:color w:val="auto"/>
                      <w:spacing w:val="-4"/>
                      <w:sz w:val="18"/>
                      <w:szCs w:val="18"/>
                      <w:lang w:val="en-US" w:eastAsia="zh-CN"/>
                    </w:rPr>
                    <w:t>不涉及</w:t>
                  </w:r>
                </w:p>
              </w:tc>
              <w:tc>
                <w:tcPr>
                  <w:tcW w:w="269" w:type="pct"/>
                  <w:tcBorders>
                    <w:tl2br w:val="nil"/>
                    <w:tr2bl w:val="nil"/>
                  </w:tcBorders>
                  <w:vAlign w:val="center"/>
                </w:tcPr>
                <w:p w14:paraId="367E31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799C77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8" w:type="pct"/>
                  <w:vMerge w:val="continue"/>
                  <w:tcBorders>
                    <w:tl2br w:val="nil"/>
                    <w:tr2bl w:val="nil"/>
                  </w:tcBorders>
                  <w:vAlign w:val="center"/>
                </w:tcPr>
                <w:p w14:paraId="2C861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3E386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18ABC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25304A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安全利用类农用地管控要求</w:t>
                  </w:r>
                </w:p>
              </w:tc>
              <w:tc>
                <w:tcPr>
                  <w:tcW w:w="2337" w:type="pct"/>
                  <w:tcBorders>
                    <w:tl2br w:val="nil"/>
                    <w:tr2bl w:val="nil"/>
                  </w:tcBorders>
                  <w:vAlign w:val="center"/>
                </w:tcPr>
                <w:p w14:paraId="1753DE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1、</w:t>
                  </w:r>
                  <w:r>
                    <w:rPr>
                      <w:rFonts w:hint="default" w:ascii="Times New Roman" w:hAnsi="Times New Roman" w:cs="Times New Roman"/>
                      <w:color w:val="auto"/>
                      <w:spacing w:val="-4"/>
                      <w:sz w:val="18"/>
                      <w:szCs w:val="18"/>
                    </w:rPr>
                    <w:t>开展矿区废弃地、尾矿坝生态治理示范，推进工矿废弃地修复和再利用；</w:t>
                  </w:r>
                </w:p>
                <w:p w14:paraId="2CE804E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2、</w:t>
                  </w:r>
                  <w:r>
                    <w:rPr>
                      <w:rFonts w:hint="default" w:ascii="Times New Roman" w:hAnsi="Times New Roman" w:cs="Times New Roman"/>
                      <w:color w:val="auto"/>
                      <w:spacing w:val="-4"/>
                      <w:sz w:val="18"/>
                      <w:szCs w:val="18"/>
                    </w:rPr>
                    <w:t>巴州区凌云乡鼓楼山村二组张家梁砂岩矿重点治理区、巴州区凌云乡柏垭庙村三组立木垭砂岩矿重点治理区、巴州区玉堂办事处登高居委会二组党家湾页岩矿重点治理区需在高陡边坡防护加固，平整土地，种草恢复植被、恢复地貌景观，加强环境监测管理。</w:t>
                  </w:r>
                </w:p>
              </w:tc>
              <w:tc>
                <w:tcPr>
                  <w:tcW w:w="755" w:type="pct"/>
                  <w:tcBorders>
                    <w:tl2br w:val="nil"/>
                    <w:tr2bl w:val="nil"/>
                  </w:tcBorders>
                  <w:vAlign w:val="center"/>
                </w:tcPr>
                <w:p w14:paraId="779E3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pacing w:val="-4"/>
                      <w:sz w:val="18"/>
                      <w:szCs w:val="18"/>
                      <w:lang w:val="en-US" w:eastAsia="zh-CN"/>
                    </w:rPr>
                    <w:t>不涉及</w:t>
                  </w:r>
                </w:p>
              </w:tc>
              <w:tc>
                <w:tcPr>
                  <w:tcW w:w="269" w:type="pct"/>
                  <w:tcBorders>
                    <w:tl2br w:val="nil"/>
                    <w:tr2bl w:val="nil"/>
                  </w:tcBorders>
                  <w:vAlign w:val="center"/>
                </w:tcPr>
                <w:p w14:paraId="0B1F16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5830D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8" w:type="pct"/>
                  <w:vMerge w:val="continue"/>
                  <w:tcBorders>
                    <w:tl2br w:val="nil"/>
                    <w:tr2bl w:val="nil"/>
                  </w:tcBorders>
                  <w:vAlign w:val="center"/>
                </w:tcPr>
                <w:p w14:paraId="2D663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5ACA0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20E8E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3646C81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污染地块管控要求</w:t>
                  </w:r>
                </w:p>
              </w:tc>
              <w:tc>
                <w:tcPr>
                  <w:tcW w:w="2337" w:type="pct"/>
                  <w:tcBorders>
                    <w:tl2br w:val="nil"/>
                    <w:tr2bl w:val="nil"/>
                  </w:tcBorders>
                  <w:vAlign w:val="center"/>
                </w:tcPr>
                <w:p w14:paraId="5A7C2C2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1、</w:t>
                  </w:r>
                  <w:r>
                    <w:rPr>
                      <w:rFonts w:hint="default" w:ascii="Times New Roman" w:hAnsi="Times New Roman" w:cs="Times New Roman"/>
                      <w:color w:val="auto"/>
                      <w:spacing w:val="-4"/>
                      <w:sz w:val="18"/>
                      <w:szCs w:val="18"/>
                    </w:rPr>
                    <w:t>开展矿区废弃地、尾矿坝生态治理示范，推进工矿废弃地修复和再利用；</w:t>
                  </w:r>
                </w:p>
                <w:p w14:paraId="05DC64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2、</w:t>
                  </w:r>
                  <w:r>
                    <w:rPr>
                      <w:rFonts w:hint="default" w:ascii="Times New Roman" w:hAnsi="Times New Roman" w:cs="Times New Roman"/>
                      <w:color w:val="auto"/>
                      <w:spacing w:val="-4"/>
                      <w:sz w:val="18"/>
                      <w:szCs w:val="18"/>
                    </w:rPr>
                    <w:t>巴州区凌云乡鼓楼山村二组张家梁砂岩矿重点治理区、巴州区凌云乡柏垭庙村三组立木垭砂岩矿重点治理区、巴州区玉堂办事处登高居委会二组党家湾页岩矿重点治理区需在高陡边坡防护加固，平整土地，种草恢复植被、恢复地貌景观，加强环境监测管理。</w:t>
                  </w:r>
                </w:p>
              </w:tc>
              <w:tc>
                <w:tcPr>
                  <w:tcW w:w="755" w:type="pct"/>
                  <w:tcBorders>
                    <w:tl2br w:val="nil"/>
                    <w:tr2bl w:val="nil"/>
                  </w:tcBorders>
                  <w:vAlign w:val="center"/>
                </w:tcPr>
                <w:p w14:paraId="5185EF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pacing w:val="-4"/>
                      <w:sz w:val="18"/>
                      <w:szCs w:val="18"/>
                      <w:lang w:val="en-US" w:eastAsia="zh-CN"/>
                    </w:rPr>
                    <w:t>不涉及</w:t>
                  </w:r>
                </w:p>
              </w:tc>
              <w:tc>
                <w:tcPr>
                  <w:tcW w:w="269" w:type="pct"/>
                  <w:tcBorders>
                    <w:tl2br w:val="nil"/>
                    <w:tr2bl w:val="nil"/>
                  </w:tcBorders>
                  <w:vAlign w:val="center"/>
                </w:tcPr>
                <w:p w14:paraId="54B96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26895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8" w:type="pct"/>
                  <w:vMerge w:val="continue"/>
                  <w:tcBorders>
                    <w:tl2br w:val="nil"/>
                    <w:tr2bl w:val="nil"/>
                  </w:tcBorders>
                  <w:vAlign w:val="center"/>
                </w:tcPr>
                <w:p w14:paraId="37AE8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182" w:type="pct"/>
                  <w:vMerge w:val="continue"/>
                  <w:tcBorders>
                    <w:tl2br w:val="nil"/>
                    <w:tr2bl w:val="nil"/>
                  </w:tcBorders>
                  <w:vAlign w:val="center"/>
                </w:tcPr>
                <w:p w14:paraId="110DA9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336" w:type="pct"/>
                  <w:vMerge w:val="continue"/>
                  <w:tcBorders>
                    <w:tl2br w:val="nil"/>
                    <w:tr2bl w:val="nil"/>
                  </w:tcBorders>
                  <w:vAlign w:val="center"/>
                </w:tcPr>
                <w:p w14:paraId="67BD4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340" w:type="pct"/>
                  <w:tcBorders>
                    <w:tl2br w:val="nil"/>
                    <w:tr2bl w:val="nil"/>
                  </w:tcBorders>
                  <w:vAlign w:val="center"/>
                </w:tcPr>
                <w:p w14:paraId="2077CB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企业环境风险防控要求</w:t>
                  </w:r>
                </w:p>
              </w:tc>
              <w:tc>
                <w:tcPr>
                  <w:tcW w:w="2337" w:type="pct"/>
                  <w:tcBorders>
                    <w:tl2br w:val="nil"/>
                    <w:tr2bl w:val="nil"/>
                  </w:tcBorders>
                  <w:vAlign w:val="center"/>
                </w:tcPr>
                <w:p w14:paraId="105A1A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pacing w:val="-4"/>
                      <w:sz w:val="18"/>
                      <w:szCs w:val="18"/>
                      <w:lang w:val="en-US" w:eastAsia="zh-CN"/>
                    </w:rPr>
                    <w:t>执行要素重点管控单元总体准入要求。</w:t>
                  </w:r>
                </w:p>
              </w:tc>
              <w:tc>
                <w:tcPr>
                  <w:tcW w:w="755" w:type="pct"/>
                  <w:tcBorders>
                    <w:tl2br w:val="nil"/>
                    <w:tr2bl w:val="nil"/>
                  </w:tcBorders>
                  <w:vAlign w:val="center"/>
                </w:tcPr>
                <w:p w14:paraId="42DFC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43EFB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390C82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5D7ADA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4869B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restart"/>
                  <w:tcBorders>
                    <w:tl2br w:val="nil"/>
                    <w:tr2bl w:val="nil"/>
                  </w:tcBorders>
                  <w:vAlign w:val="center"/>
                </w:tcPr>
                <w:p w14:paraId="6B0E2B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40" w:type="pct"/>
                  <w:tcBorders>
                    <w:tl2br w:val="nil"/>
                    <w:tr2bl w:val="nil"/>
                  </w:tcBorders>
                  <w:vAlign w:val="center"/>
                </w:tcPr>
                <w:p w14:paraId="21E85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水资源利用效率要求</w:t>
                  </w:r>
                </w:p>
              </w:tc>
              <w:tc>
                <w:tcPr>
                  <w:tcW w:w="2337" w:type="pct"/>
                  <w:tcBorders>
                    <w:tl2br w:val="nil"/>
                    <w:tr2bl w:val="nil"/>
                  </w:tcBorders>
                  <w:vAlign w:val="center"/>
                </w:tcPr>
                <w:p w14:paraId="1F3B3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755" w:type="pct"/>
                  <w:tcBorders>
                    <w:tl2br w:val="nil"/>
                    <w:tr2bl w:val="nil"/>
                  </w:tcBorders>
                  <w:vAlign w:val="center"/>
                </w:tcPr>
                <w:p w14:paraId="5C4B1F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0B887C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6C0C6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65DD05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2CAC1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60806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504845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地下水开采要求</w:t>
                  </w:r>
                </w:p>
              </w:tc>
              <w:tc>
                <w:tcPr>
                  <w:tcW w:w="2337" w:type="pct"/>
                  <w:tcBorders>
                    <w:tl2br w:val="nil"/>
                    <w:tr2bl w:val="nil"/>
                  </w:tcBorders>
                  <w:vAlign w:val="center"/>
                </w:tcPr>
                <w:p w14:paraId="6B8B46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755" w:type="pct"/>
                  <w:tcBorders>
                    <w:tl2br w:val="nil"/>
                    <w:tr2bl w:val="nil"/>
                  </w:tcBorders>
                  <w:vAlign w:val="center"/>
                </w:tcPr>
                <w:p w14:paraId="62651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40769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E9A3C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8" w:type="pct"/>
                  <w:vMerge w:val="continue"/>
                  <w:tcBorders>
                    <w:tl2br w:val="nil"/>
                    <w:tr2bl w:val="nil"/>
                  </w:tcBorders>
                  <w:vAlign w:val="center"/>
                </w:tcPr>
                <w:p w14:paraId="1559DA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182" w:type="pct"/>
                  <w:vMerge w:val="continue"/>
                  <w:tcBorders>
                    <w:tl2br w:val="nil"/>
                    <w:tr2bl w:val="nil"/>
                  </w:tcBorders>
                  <w:vAlign w:val="center"/>
                </w:tcPr>
                <w:p w14:paraId="377A9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36" w:type="pct"/>
                  <w:vMerge w:val="continue"/>
                  <w:tcBorders>
                    <w:tl2br w:val="nil"/>
                    <w:tr2bl w:val="nil"/>
                  </w:tcBorders>
                  <w:vAlign w:val="center"/>
                </w:tcPr>
                <w:p w14:paraId="4D031B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40" w:type="pct"/>
                  <w:tcBorders>
                    <w:tl2br w:val="nil"/>
                    <w:tr2bl w:val="nil"/>
                  </w:tcBorders>
                  <w:vAlign w:val="center"/>
                </w:tcPr>
                <w:p w14:paraId="3E6E3F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4"/>
                      <w:sz w:val="18"/>
                      <w:szCs w:val="18"/>
                    </w:rPr>
                    <w:t>能源利用效率要求</w:t>
                  </w:r>
                </w:p>
              </w:tc>
              <w:tc>
                <w:tcPr>
                  <w:tcW w:w="2337" w:type="pct"/>
                  <w:tcBorders>
                    <w:tl2br w:val="nil"/>
                    <w:tr2bl w:val="nil"/>
                  </w:tcBorders>
                  <w:vAlign w:val="center"/>
                </w:tcPr>
                <w:p w14:paraId="12DCF7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pacing w:val="-4"/>
                      <w:sz w:val="18"/>
                      <w:szCs w:val="18"/>
                    </w:rPr>
                    <w:t>执行要素重点管控单元总体准入要求</w:t>
                  </w:r>
                  <w:r>
                    <w:rPr>
                      <w:rFonts w:hint="eastAsia" w:cs="Times New Roman"/>
                      <w:color w:val="auto"/>
                      <w:spacing w:val="-4"/>
                      <w:sz w:val="18"/>
                      <w:szCs w:val="18"/>
                      <w:lang w:eastAsia="zh-CN"/>
                    </w:rPr>
                    <w:t>。</w:t>
                  </w:r>
                </w:p>
              </w:tc>
              <w:tc>
                <w:tcPr>
                  <w:tcW w:w="755" w:type="pct"/>
                  <w:tcBorders>
                    <w:tl2br w:val="nil"/>
                    <w:tr2bl w:val="nil"/>
                  </w:tcBorders>
                  <w:vAlign w:val="center"/>
                </w:tcPr>
                <w:p w14:paraId="4BE57A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要素重点管控单元总体准入要求。</w:t>
                  </w:r>
                </w:p>
              </w:tc>
              <w:tc>
                <w:tcPr>
                  <w:tcW w:w="269" w:type="pct"/>
                  <w:tcBorders>
                    <w:tl2br w:val="nil"/>
                    <w:tr2bl w:val="nil"/>
                  </w:tcBorders>
                  <w:vAlign w:val="center"/>
                </w:tcPr>
                <w:p w14:paraId="0F871A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bl>
          <w:p w14:paraId="6ADC222A">
            <w:pPr>
              <w:tabs>
                <w:tab w:val="left" w:pos="3240"/>
              </w:tabs>
              <w:wordWrap w:val="0"/>
              <w:jc w:val="center"/>
              <w:rPr>
                <w:rFonts w:hint="eastAsia" w:ascii="黑体" w:hAnsi="黑体" w:eastAsia="黑体" w:cs="黑体"/>
                <w:b w:val="0"/>
                <w:bCs w:val="0"/>
                <w:color w:val="auto"/>
                <w:kern w:val="0"/>
                <w:sz w:val="21"/>
                <w:szCs w:val="21"/>
              </w:rPr>
            </w:pPr>
            <w:r>
              <w:rPr>
                <w:rFonts w:eastAsia="黑体"/>
                <w:color w:val="auto"/>
                <w:szCs w:val="21"/>
              </w:rPr>
              <w:t>表1-</w:t>
            </w:r>
            <w:r>
              <w:rPr>
                <w:rFonts w:hint="eastAsia" w:eastAsia="黑体"/>
                <w:color w:val="auto"/>
                <w:szCs w:val="21"/>
                <w:lang w:val="en-US" w:eastAsia="zh-CN"/>
              </w:rPr>
              <w:t>10</w:t>
            </w:r>
            <w:r>
              <w:rPr>
                <w:rFonts w:eastAsia="黑体"/>
                <w:color w:val="auto"/>
                <w:szCs w:val="21"/>
              </w:rPr>
              <w:t xml:space="preserve">  </w:t>
            </w:r>
            <w:r>
              <w:rPr>
                <w:rFonts w:hint="eastAsia" w:eastAsia="黑体"/>
                <w:color w:val="auto"/>
                <w:szCs w:val="21"/>
              </w:rPr>
              <w:t>南江县城镇空间</w:t>
            </w:r>
            <w:r>
              <w:rPr>
                <w:rFonts w:hint="eastAsia" w:ascii="黑体" w:hAnsi="黑体" w:eastAsia="黑体" w:cs="黑体"/>
                <w:b w:val="0"/>
                <w:bCs w:val="0"/>
                <w:color w:val="auto"/>
                <w:kern w:val="0"/>
                <w:sz w:val="21"/>
                <w:szCs w:val="21"/>
              </w:rPr>
              <w:t>生态环境准入清单符合性分析表</w:t>
            </w:r>
          </w:p>
          <w:tbl>
            <w:tblPr>
              <w:tblStyle w:val="25"/>
              <w:tblW w:w="497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3"/>
              <w:gridCol w:w="606"/>
              <w:gridCol w:w="693"/>
              <w:gridCol w:w="791"/>
              <w:gridCol w:w="5684"/>
              <w:gridCol w:w="1842"/>
              <w:gridCol w:w="642"/>
            </w:tblGrid>
            <w:tr w14:paraId="13288E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77" w:type="pct"/>
                  <w:gridSpan w:val="5"/>
                  <w:tcBorders>
                    <w:tl2br w:val="nil"/>
                    <w:tr2bl w:val="nil"/>
                  </w:tcBorders>
                  <w:vAlign w:val="center"/>
                </w:tcPr>
                <w:p w14:paraId="2B6D86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eastAsia="zh-CN"/>
                    </w:rPr>
                    <w:t>生态环境分区管控</w:t>
                  </w:r>
                  <w:r>
                    <w:rPr>
                      <w:rFonts w:hint="default" w:ascii="Times New Roman" w:hAnsi="Times New Roman" w:cs="Times New Roman"/>
                      <w:color w:val="auto"/>
                      <w:sz w:val="18"/>
                      <w:szCs w:val="18"/>
                      <w:highlight w:val="none"/>
                    </w:rPr>
                    <w:t>的具体要求</w:t>
                  </w:r>
                </w:p>
              </w:tc>
              <w:tc>
                <w:tcPr>
                  <w:tcW w:w="757" w:type="pct"/>
                  <w:vMerge w:val="restart"/>
                  <w:tcBorders>
                    <w:tl2br w:val="nil"/>
                    <w:tr2bl w:val="nil"/>
                  </w:tcBorders>
                  <w:vAlign w:val="center"/>
                </w:tcPr>
                <w:p w14:paraId="4871C4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对应情况</w:t>
                  </w:r>
                  <w:r>
                    <w:rPr>
                      <w:rFonts w:hint="default" w:ascii="Times New Roman" w:hAnsi="Times New Roman" w:cs="Times New Roman"/>
                      <w:color w:val="auto"/>
                      <w:sz w:val="18"/>
                      <w:szCs w:val="18"/>
                      <w:highlight w:val="none"/>
                      <w:lang w:val="en-US" w:eastAsia="zh-CN"/>
                    </w:rPr>
                    <w:t>分析</w:t>
                  </w:r>
                </w:p>
              </w:tc>
              <w:tc>
                <w:tcPr>
                  <w:tcW w:w="264" w:type="pct"/>
                  <w:vMerge w:val="restart"/>
                  <w:tcBorders>
                    <w:tl2br w:val="nil"/>
                    <w:tr2bl w:val="nil"/>
                  </w:tcBorders>
                  <w:vAlign w:val="center"/>
                </w:tcPr>
                <w:p w14:paraId="0655F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符合性分析</w:t>
                  </w:r>
                </w:p>
              </w:tc>
            </w:tr>
            <w:tr w14:paraId="7BD5D6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16" w:type="pct"/>
                  <w:gridSpan w:val="3"/>
                  <w:tcBorders>
                    <w:tl2br w:val="nil"/>
                    <w:tr2bl w:val="nil"/>
                  </w:tcBorders>
                  <w:vAlign w:val="center"/>
                </w:tcPr>
                <w:p w14:paraId="71629F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类别</w:t>
                  </w:r>
                </w:p>
              </w:tc>
              <w:tc>
                <w:tcPr>
                  <w:tcW w:w="325" w:type="pct"/>
                  <w:tcBorders>
                    <w:tl2br w:val="nil"/>
                    <w:tr2bl w:val="nil"/>
                  </w:tcBorders>
                  <w:vAlign w:val="center"/>
                </w:tcPr>
                <w:p w14:paraId="678580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清单编制要求</w:t>
                  </w:r>
                </w:p>
              </w:tc>
              <w:tc>
                <w:tcPr>
                  <w:tcW w:w="2336" w:type="pct"/>
                  <w:tcBorders>
                    <w:tl2br w:val="nil"/>
                    <w:tr2bl w:val="nil"/>
                  </w:tcBorders>
                  <w:vAlign w:val="center"/>
                </w:tcPr>
                <w:p w14:paraId="32856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对应管控要求</w:t>
                  </w:r>
                </w:p>
              </w:tc>
              <w:tc>
                <w:tcPr>
                  <w:tcW w:w="757" w:type="pct"/>
                  <w:vMerge w:val="continue"/>
                  <w:tcBorders>
                    <w:tl2br w:val="nil"/>
                    <w:tr2bl w:val="nil"/>
                  </w:tcBorders>
                  <w:vAlign w:val="center"/>
                </w:tcPr>
                <w:p w14:paraId="684C3F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64" w:type="pct"/>
                  <w:vMerge w:val="continue"/>
                  <w:tcBorders>
                    <w:tl2br w:val="nil"/>
                    <w:tr2bl w:val="nil"/>
                  </w:tcBorders>
                  <w:vAlign w:val="center"/>
                </w:tcPr>
                <w:p w14:paraId="4E1CE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r>
            <w:tr w14:paraId="08C392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restart"/>
                  <w:tcBorders>
                    <w:tl2br w:val="nil"/>
                    <w:tr2bl w:val="nil"/>
                  </w:tcBorders>
                  <w:vAlign w:val="center"/>
                </w:tcPr>
                <w:p w14:paraId="75AE5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b w:val="0"/>
                      <w:bCs w:val="0"/>
                      <w:color w:val="auto"/>
                      <w:sz w:val="18"/>
                      <w:szCs w:val="18"/>
                      <w:highlight w:val="none"/>
                      <w:lang w:val="en-US" w:eastAsia="zh-CN"/>
                    </w:rPr>
                    <w:t>南江县城镇空间（</w:t>
                  </w:r>
                  <w:r>
                    <w:rPr>
                      <w:rStyle w:val="27"/>
                      <w:rFonts w:hint="default" w:ascii="Times New Roman" w:hAnsi="Times New Roman" w:eastAsia="宋体" w:cs="Times New Roman"/>
                      <w:b w:val="0"/>
                      <w:bCs w:val="0"/>
                      <w:kern w:val="2"/>
                      <w:sz w:val="18"/>
                      <w:szCs w:val="18"/>
                      <w:highlight w:val="none"/>
                      <w:lang w:val="en-US" w:eastAsia="zh-CN" w:bidi="ar-SA"/>
                    </w:rPr>
                    <w:t>ZH51192220001</w:t>
                  </w:r>
                  <w:r>
                    <w:rPr>
                      <w:rFonts w:hint="eastAsia" w:cs="Times New Roman"/>
                      <w:b w:val="0"/>
                      <w:bCs w:val="0"/>
                      <w:color w:val="auto"/>
                      <w:sz w:val="18"/>
                      <w:szCs w:val="18"/>
                      <w:highlight w:val="none"/>
                      <w:lang w:val="en-US" w:eastAsia="zh-CN"/>
                    </w:rPr>
                    <w:t>）</w:t>
                  </w:r>
                </w:p>
              </w:tc>
              <w:tc>
                <w:tcPr>
                  <w:tcW w:w="249" w:type="pct"/>
                  <w:vMerge w:val="restart"/>
                  <w:tcBorders>
                    <w:tl2br w:val="nil"/>
                    <w:tr2bl w:val="nil"/>
                  </w:tcBorders>
                  <w:vAlign w:val="center"/>
                </w:tcPr>
                <w:p w14:paraId="1D7CC9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市州</w:t>
                  </w:r>
                  <w:r>
                    <w:rPr>
                      <w:rFonts w:hint="default" w:ascii="Times New Roman" w:hAnsi="Times New Roman" w:cs="Times New Roman"/>
                      <w:color w:val="auto"/>
                      <w:sz w:val="18"/>
                      <w:szCs w:val="18"/>
                      <w:highlight w:val="none"/>
                    </w:rPr>
                    <w:t>普适性清单</w:t>
                  </w:r>
                </w:p>
              </w:tc>
              <w:tc>
                <w:tcPr>
                  <w:tcW w:w="284" w:type="pct"/>
                  <w:vMerge w:val="restart"/>
                  <w:tcBorders>
                    <w:tl2br w:val="nil"/>
                    <w:tr2bl w:val="nil"/>
                  </w:tcBorders>
                  <w:vAlign w:val="center"/>
                </w:tcPr>
                <w:p w14:paraId="49BF4F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25" w:type="pct"/>
                  <w:tcBorders>
                    <w:tl2br w:val="nil"/>
                    <w:tr2bl w:val="nil"/>
                  </w:tcBorders>
                  <w:vAlign w:val="center"/>
                </w:tcPr>
                <w:p w14:paraId="2BE21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36" w:type="pct"/>
                  <w:tcBorders>
                    <w:tl2br w:val="nil"/>
                    <w:tr2bl w:val="nil"/>
                  </w:tcBorders>
                  <w:vAlign w:val="center"/>
                </w:tcPr>
                <w:p w14:paraId="300F209B">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原则上禁止新建工业企业。</w:t>
                  </w:r>
                </w:p>
                <w:p w14:paraId="7DC5E229">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禁止在长江流域河湖管理范围内倾倒、填埋、堆放、弃置、处理固体废物。</w:t>
                  </w:r>
                </w:p>
                <w:p w14:paraId="57D9C417">
                  <w:pPr>
                    <w:keepNext w:val="0"/>
                    <w:keepLines w:val="0"/>
                    <w:pageBreakBefore w:val="0"/>
                    <w:widowControl w:val="0"/>
                    <w:numPr>
                      <w:ilvl w:val="0"/>
                      <w:numId w:val="15"/>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pacing w:val="-1"/>
                      <w:kern w:val="2"/>
                      <w:sz w:val="18"/>
                      <w:szCs w:val="18"/>
                      <w:lang w:val="en-US" w:eastAsia="zh-CN" w:bidi="ar-SA"/>
                    </w:rPr>
                    <w:t>在禁燃区内禁止销售、燃用高污染燃料。禁燃区内禁止新建、扩建燃用高污染燃料的设施。</w:t>
                  </w:r>
                </w:p>
              </w:tc>
              <w:tc>
                <w:tcPr>
                  <w:tcW w:w="757" w:type="pct"/>
                  <w:tcBorders>
                    <w:tl2br w:val="nil"/>
                    <w:tr2bl w:val="nil"/>
                  </w:tcBorders>
                  <w:vAlign w:val="center"/>
                </w:tcPr>
                <w:p w14:paraId="13AFE1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w:t>
                  </w:r>
                  <w:r>
                    <w:rPr>
                      <w:rFonts w:hint="eastAsia" w:cs="Times New Roman"/>
                      <w:color w:val="auto"/>
                      <w:sz w:val="18"/>
                      <w:szCs w:val="18"/>
                      <w:highlight w:val="none"/>
                      <w:lang w:val="en-US" w:eastAsia="zh-CN"/>
                    </w:rPr>
                    <w:t>工业企业，不</w:t>
                  </w:r>
                  <w:r>
                    <w:rPr>
                      <w:rFonts w:hint="eastAsia" w:ascii="Times New Roman" w:hAnsi="Times New Roman" w:eastAsia="宋体" w:cs="Times New Roman"/>
                      <w:color w:val="auto"/>
                      <w:spacing w:val="-1"/>
                      <w:kern w:val="2"/>
                      <w:sz w:val="18"/>
                      <w:szCs w:val="18"/>
                      <w:lang w:val="en-US" w:eastAsia="zh-CN" w:bidi="ar-SA"/>
                    </w:rPr>
                    <w:t>燃用高污染燃料</w:t>
                  </w:r>
                  <w:r>
                    <w:rPr>
                      <w:rFonts w:hint="eastAsia" w:cs="Times New Roman"/>
                      <w:color w:val="auto"/>
                      <w:spacing w:val="-1"/>
                      <w:kern w:val="2"/>
                      <w:sz w:val="18"/>
                      <w:szCs w:val="18"/>
                      <w:lang w:val="en-US" w:eastAsia="zh-CN" w:bidi="ar-SA"/>
                    </w:rPr>
                    <w:t>，</w:t>
                  </w:r>
                  <w:r>
                    <w:rPr>
                      <w:rFonts w:hint="eastAsia" w:cs="Times New Roman"/>
                      <w:color w:val="auto"/>
                      <w:sz w:val="18"/>
                      <w:szCs w:val="18"/>
                      <w:highlight w:val="none"/>
                      <w:lang w:val="en-US" w:eastAsia="zh-CN"/>
                    </w:rPr>
                    <w:t>不在</w:t>
                  </w:r>
                  <w:r>
                    <w:rPr>
                      <w:rFonts w:hint="eastAsia" w:ascii="Times New Roman" w:hAnsi="Times New Roman" w:eastAsia="宋体" w:cs="Times New Roman"/>
                      <w:color w:val="auto"/>
                      <w:spacing w:val="-1"/>
                      <w:kern w:val="2"/>
                      <w:sz w:val="18"/>
                      <w:szCs w:val="18"/>
                      <w:lang w:val="en-US" w:eastAsia="zh-CN" w:bidi="ar-SA"/>
                    </w:rPr>
                    <w:t>长江流域河湖管理范围内倾倒、填埋、堆放、弃置、处理固体废物</w:t>
                  </w:r>
                  <w:r>
                    <w:rPr>
                      <w:rFonts w:hint="default" w:ascii="Times New Roman" w:hAnsi="Times New Roman" w:cs="Times New Roman"/>
                      <w:color w:val="auto"/>
                      <w:sz w:val="18"/>
                      <w:szCs w:val="18"/>
                      <w:highlight w:val="none"/>
                      <w:lang w:eastAsia="zh-CN"/>
                    </w:rPr>
                    <w:t>。</w:t>
                  </w:r>
                </w:p>
              </w:tc>
              <w:tc>
                <w:tcPr>
                  <w:tcW w:w="264" w:type="pct"/>
                  <w:tcBorders>
                    <w:tl2br w:val="nil"/>
                    <w:tr2bl w:val="nil"/>
                  </w:tcBorders>
                  <w:vAlign w:val="center"/>
                </w:tcPr>
                <w:p w14:paraId="093F4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0C83D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29AFD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62157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1AADBC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55022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限制开发建设活动的要求</w:t>
                  </w:r>
                </w:p>
              </w:tc>
              <w:tc>
                <w:tcPr>
                  <w:tcW w:w="2336" w:type="pct"/>
                  <w:tcBorders>
                    <w:tl2br w:val="nil"/>
                    <w:tr2bl w:val="nil"/>
                  </w:tcBorders>
                  <w:vAlign w:val="center"/>
                </w:tcPr>
                <w:p w14:paraId="39066E5F">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对不符合国土空间规划的现有工业企业，污染物排放总量及环境风险水平只降不增，引导企业适时搬迁进入对口园区。</w:t>
                  </w:r>
                </w:p>
                <w:p w14:paraId="6DC8139A">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严格控制在城镇空间范围内新布设工业园区。若新布局工业园区，应符合巴中市最新的国土空间规划，并结合区域环境特点、三线成果、园区产业类别，充分论证选址的环境合理性。</w:t>
                  </w:r>
                </w:p>
                <w:p w14:paraId="34F8EBC5">
                  <w:pPr>
                    <w:keepNext w:val="0"/>
                    <w:keepLines w:val="0"/>
                    <w:pageBreakBefore w:val="0"/>
                    <w:widowControl w:val="0"/>
                    <w:numPr>
                      <w:ilvl w:val="0"/>
                      <w:numId w:val="16"/>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长江流域河道采砂应当依法取得国务院水行政主管部门有关流域管理机构或者县级以上地方人民政府水行政主管部门的许可。严格控制采砂区域、采砂总量和采砂区域内的采砂船舶数量。</w:t>
                  </w:r>
                </w:p>
              </w:tc>
              <w:tc>
                <w:tcPr>
                  <w:tcW w:w="757" w:type="pct"/>
                  <w:tcBorders>
                    <w:tl2br w:val="nil"/>
                    <w:tr2bl w:val="nil"/>
                  </w:tcBorders>
                  <w:vAlign w:val="center"/>
                </w:tcPr>
                <w:p w14:paraId="182B13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eastAsia" w:cs="Times New Roman"/>
                      <w:color w:val="auto"/>
                      <w:sz w:val="18"/>
                      <w:szCs w:val="18"/>
                      <w:highlight w:val="none"/>
                      <w:lang w:val="en-US" w:eastAsia="zh-CN"/>
                    </w:rPr>
                    <w:t>不属于工业企业，不在工业园区内，</w:t>
                  </w:r>
                  <w:r>
                    <w:rPr>
                      <w:rFonts w:hint="default" w:ascii="Times New Roman" w:hAnsi="Times New Roman" w:cs="Times New Roman"/>
                      <w:color w:val="auto"/>
                      <w:sz w:val="18"/>
                      <w:szCs w:val="18"/>
                      <w:highlight w:val="none"/>
                    </w:rPr>
                    <w:t>不</w:t>
                  </w:r>
                  <w:r>
                    <w:rPr>
                      <w:rFonts w:hint="eastAsia" w:cs="Times New Roman"/>
                      <w:color w:val="auto"/>
                      <w:sz w:val="18"/>
                      <w:szCs w:val="18"/>
                      <w:highlight w:val="none"/>
                      <w:lang w:val="en-US" w:eastAsia="zh-CN"/>
                    </w:rPr>
                    <w:t>涉及</w:t>
                  </w:r>
                  <w:r>
                    <w:rPr>
                      <w:rFonts w:hint="default" w:ascii="Times New Roman" w:hAnsi="Times New Roman" w:cs="Times New Roman"/>
                      <w:color w:val="auto"/>
                      <w:sz w:val="18"/>
                      <w:szCs w:val="18"/>
                      <w:highlight w:val="none"/>
                    </w:rPr>
                    <w:t>长江流域河道采砂</w:t>
                  </w:r>
                  <w:r>
                    <w:rPr>
                      <w:rFonts w:hint="default" w:ascii="Times New Roman" w:hAnsi="Times New Roman" w:cs="Times New Roman"/>
                      <w:color w:val="auto"/>
                      <w:sz w:val="18"/>
                      <w:szCs w:val="18"/>
                      <w:highlight w:val="none"/>
                      <w:lang w:eastAsia="zh-CN"/>
                    </w:rPr>
                    <w:t>。</w:t>
                  </w:r>
                </w:p>
              </w:tc>
              <w:tc>
                <w:tcPr>
                  <w:tcW w:w="264" w:type="pct"/>
                  <w:tcBorders>
                    <w:tl2br w:val="nil"/>
                    <w:tr2bl w:val="nil"/>
                  </w:tcBorders>
                  <w:vAlign w:val="center"/>
                </w:tcPr>
                <w:p w14:paraId="07970E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8790B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59B9B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49" w:type="pct"/>
                  <w:vMerge w:val="continue"/>
                  <w:tcBorders>
                    <w:tl2br w:val="nil"/>
                    <w:tr2bl w:val="nil"/>
                  </w:tcBorders>
                  <w:vAlign w:val="center"/>
                </w:tcPr>
                <w:p w14:paraId="0C012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84" w:type="pct"/>
                  <w:vMerge w:val="continue"/>
                  <w:tcBorders>
                    <w:tl2br w:val="nil"/>
                    <w:tr2bl w:val="nil"/>
                  </w:tcBorders>
                  <w:vAlign w:val="center"/>
                </w:tcPr>
                <w:p w14:paraId="1915F7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25" w:type="pct"/>
                  <w:tcBorders>
                    <w:tl2br w:val="nil"/>
                    <w:tr2bl w:val="nil"/>
                  </w:tcBorders>
                  <w:vAlign w:val="center"/>
                </w:tcPr>
                <w:p w14:paraId="22A106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不符合空间布局要求活动的退出要求</w:t>
                  </w:r>
                </w:p>
              </w:tc>
              <w:tc>
                <w:tcPr>
                  <w:tcW w:w="2336" w:type="pct"/>
                  <w:tcBorders>
                    <w:tl2br w:val="nil"/>
                    <w:tr2bl w:val="nil"/>
                  </w:tcBorders>
                  <w:vAlign w:val="center"/>
                </w:tcPr>
                <w:p w14:paraId="61CECAA8">
                  <w:pPr>
                    <w:keepNext w:val="0"/>
                    <w:keepLines w:val="0"/>
                    <w:pageBreakBefore w:val="0"/>
                    <w:widowControl w:val="0"/>
                    <w:numPr>
                      <w:ilvl w:val="0"/>
                      <w:numId w:val="17"/>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按照相关规划和要求，清理整顿非法采砂、非法码头，全面清除不合规码头。</w:t>
                  </w:r>
                </w:p>
                <w:p w14:paraId="411016AF">
                  <w:pPr>
                    <w:keepNext w:val="0"/>
                    <w:keepLines w:val="0"/>
                    <w:pageBreakBefore w:val="0"/>
                    <w:widowControl w:val="0"/>
                    <w:numPr>
                      <w:ilvl w:val="0"/>
                      <w:numId w:val="17"/>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加快现有高污染或高风险产品生产企业“退城入园”进度，逐步退出环境敏感区。</w:t>
                  </w:r>
                </w:p>
              </w:tc>
              <w:tc>
                <w:tcPr>
                  <w:tcW w:w="757" w:type="pct"/>
                  <w:tcBorders>
                    <w:tl2br w:val="nil"/>
                    <w:tr2bl w:val="nil"/>
                  </w:tcBorders>
                  <w:vAlign w:val="center"/>
                </w:tcPr>
                <w:p w14:paraId="374F11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不属于高污染或高风险产品生产企业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不涉及采砂项目</w:t>
                  </w:r>
                  <w:r>
                    <w:rPr>
                      <w:rFonts w:hint="default" w:ascii="Times New Roman" w:hAnsi="Times New Roman" w:cs="Times New Roman"/>
                      <w:color w:val="auto"/>
                      <w:sz w:val="18"/>
                      <w:szCs w:val="18"/>
                      <w:highlight w:val="none"/>
                      <w:lang w:eastAsia="zh-CN"/>
                    </w:rPr>
                    <w:t>。</w:t>
                  </w:r>
                </w:p>
              </w:tc>
              <w:tc>
                <w:tcPr>
                  <w:tcW w:w="264" w:type="pct"/>
                  <w:tcBorders>
                    <w:tl2br w:val="nil"/>
                    <w:tr2bl w:val="nil"/>
                  </w:tcBorders>
                  <w:vAlign w:val="center"/>
                </w:tcPr>
                <w:p w14:paraId="36FC72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B8FBE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08F5C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73815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restart"/>
                  <w:tcBorders>
                    <w:tl2br w:val="nil"/>
                    <w:tr2bl w:val="nil"/>
                  </w:tcBorders>
                  <w:vAlign w:val="center"/>
                </w:tcPr>
                <w:p w14:paraId="161264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25" w:type="pct"/>
                  <w:tcBorders>
                    <w:tl2br w:val="nil"/>
                    <w:tr2bl w:val="nil"/>
                  </w:tcBorders>
                  <w:vAlign w:val="center"/>
                </w:tcPr>
                <w:p w14:paraId="31E2FC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允许排放量要求</w:t>
                  </w:r>
                </w:p>
              </w:tc>
              <w:tc>
                <w:tcPr>
                  <w:tcW w:w="2336" w:type="pct"/>
                  <w:tcBorders>
                    <w:tl2br w:val="nil"/>
                    <w:tr2bl w:val="nil"/>
                  </w:tcBorders>
                  <w:vAlign w:val="center"/>
                </w:tcPr>
                <w:p w14:paraId="7393E2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为保证2025、2035年区域地表水控制断面水质不下降，5个城镇重点管控单元COD、氨氮、总磷允许排放量2025年建议控制在34823.36吨、3944.61吨、752.25吨以下，2035年建议控制在35519.83吨、4023.51吨、767.31吨以下。</w:t>
                  </w:r>
                </w:p>
              </w:tc>
              <w:tc>
                <w:tcPr>
                  <w:tcW w:w="757" w:type="pct"/>
                  <w:tcBorders>
                    <w:tl2br w:val="nil"/>
                    <w:tr2bl w:val="nil"/>
                  </w:tcBorders>
                  <w:vAlign w:val="center"/>
                </w:tcPr>
                <w:p w14:paraId="49EA7C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不涉及</w:t>
                  </w:r>
                </w:p>
              </w:tc>
              <w:tc>
                <w:tcPr>
                  <w:tcW w:w="264" w:type="pct"/>
                  <w:tcBorders>
                    <w:tl2br w:val="nil"/>
                    <w:tr2bl w:val="nil"/>
                  </w:tcBorders>
                  <w:vAlign w:val="center"/>
                </w:tcPr>
                <w:p w14:paraId="10937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BFE5D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216D1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292F8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207FB5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65CE35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现有源提标升级改造</w:t>
                  </w:r>
                </w:p>
              </w:tc>
              <w:tc>
                <w:tcPr>
                  <w:tcW w:w="2336" w:type="pct"/>
                  <w:tcBorders>
                    <w:tl2br w:val="nil"/>
                    <w:tr2bl w:val="nil"/>
                  </w:tcBorders>
                  <w:vAlign w:val="center"/>
                </w:tcPr>
                <w:p w14:paraId="3CA90AE5">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到2025年，基本消除城市建成区生活污水直排口和收集处理设施空白区，县城污水处理率达到95%以上；水环境敏感地区污水处理基本达到一级A标排放标准。</w:t>
                  </w:r>
                </w:p>
                <w:p w14:paraId="6D101483">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到2035年，城市生活污水收集管网基本全覆盖，城镇污水处理能力全覆盖，全面实现污泥无害化处理。</w:t>
                  </w:r>
                </w:p>
                <w:p w14:paraId="0D52EF84">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加快城镇生活污水处理设施建设。推动县级及以上污水处理设施提标改造，坚持新建污水处理设施与配套管网同步涉及、同步建设、同步投运。</w:t>
                  </w:r>
                </w:p>
                <w:p w14:paraId="290C4811">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推进车船结构升级，城区环卫、邮政、通勤、轻型物流配送等车辆使用新能源或清洁能源汽车比达到80%以上。</w:t>
                  </w:r>
                </w:p>
                <w:p w14:paraId="7AD41556">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全面落实各类施工工地扬尘防控措施，重点、重大项目工地实现视频监控、可吸入颗粒物（PM10）在线监测全覆盖。</w:t>
                  </w:r>
                </w:p>
                <w:p w14:paraId="6982D065">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有序开展城市生活源VOCs污染防治；全面推广房屋建筑和市政工程涉VOCs工序环节使用低VOCs含量涂料和胶粘剂；推进加油站按照《四川省加油站大气污染排放标准》要求安装油气处理装置。</w:t>
                  </w:r>
                </w:p>
                <w:p w14:paraId="63E91035">
                  <w:pPr>
                    <w:keepNext w:val="0"/>
                    <w:keepLines w:val="0"/>
                    <w:pageBreakBefore w:val="0"/>
                    <w:widowControl w:val="0"/>
                    <w:numPr>
                      <w:ilvl w:val="0"/>
                      <w:numId w:val="18"/>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加大新能源汽车在城市公交、出租汽车、城市配送、邮政快递、机场、铁路货场、重点地区港口等领域应用，地级以上城市清洁能源汽车在公共领域使用率显著提升，设区的市城市公交车基本实现新能源化。</w:t>
                  </w:r>
                </w:p>
              </w:tc>
              <w:tc>
                <w:tcPr>
                  <w:tcW w:w="757" w:type="pct"/>
                  <w:tcBorders>
                    <w:tl2br w:val="nil"/>
                    <w:tr2bl w:val="nil"/>
                  </w:tcBorders>
                  <w:vAlign w:val="center"/>
                </w:tcPr>
                <w:p w14:paraId="43503F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本项目为电力基础设施建设项目，不涉及城镇污水处理设施建设改造</w:t>
                  </w:r>
                  <w:r>
                    <w:rPr>
                      <w:rFonts w:hint="eastAsia" w:cs="Times New Roman"/>
                      <w:color w:val="auto"/>
                      <w:sz w:val="18"/>
                      <w:szCs w:val="18"/>
                      <w:highlight w:val="none"/>
                      <w:lang w:val="en-US" w:eastAsia="zh-CN"/>
                    </w:rPr>
                    <w:t>，不涉及</w:t>
                  </w:r>
                  <w:r>
                    <w:rPr>
                      <w:rFonts w:hint="default" w:ascii="Times New Roman" w:hAnsi="Times New Roman" w:eastAsia="宋体" w:cs="Times New Roman"/>
                      <w:color w:val="auto"/>
                      <w:sz w:val="18"/>
                      <w:szCs w:val="18"/>
                      <w:highlight w:val="none"/>
                      <w:lang w:val="en-US" w:eastAsia="zh-CN"/>
                    </w:rPr>
                    <w:t>VOCs</w:t>
                  </w:r>
                  <w:r>
                    <w:rPr>
                      <w:rFonts w:hint="eastAsia" w:cs="Times New Roman"/>
                      <w:color w:val="auto"/>
                      <w:sz w:val="18"/>
                      <w:szCs w:val="18"/>
                      <w:highlight w:val="none"/>
                      <w:lang w:val="en-US" w:eastAsia="zh-CN"/>
                    </w:rPr>
                    <w:t>排放，</w:t>
                  </w:r>
                  <w:r>
                    <w:rPr>
                      <w:rFonts w:hint="default" w:ascii="Times New Roman" w:hAnsi="Times New Roman" w:eastAsia="宋体" w:cs="Times New Roman"/>
                      <w:color w:val="auto"/>
                      <w:sz w:val="18"/>
                      <w:szCs w:val="18"/>
                      <w:highlight w:val="none"/>
                      <w:lang w:val="en-US" w:eastAsia="zh-CN"/>
                    </w:rPr>
                    <w:t>施工期将严格落实扬尘防控措施，不新增相关污染物排放，符合相关要求。</w:t>
                  </w:r>
                </w:p>
              </w:tc>
              <w:tc>
                <w:tcPr>
                  <w:tcW w:w="264" w:type="pct"/>
                  <w:tcBorders>
                    <w:tl2br w:val="nil"/>
                    <w:tr2bl w:val="nil"/>
                  </w:tcBorders>
                  <w:vAlign w:val="center"/>
                </w:tcPr>
                <w:p w14:paraId="7DB5F9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E2E63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560C23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26E4E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37C5B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314EBA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其他污染物排放管控要求</w:t>
                  </w:r>
                </w:p>
              </w:tc>
              <w:tc>
                <w:tcPr>
                  <w:tcW w:w="2336" w:type="pct"/>
                  <w:tcBorders>
                    <w:tl2br w:val="nil"/>
                    <w:tr2bl w:val="nil"/>
                  </w:tcBorders>
                  <w:vAlign w:val="center"/>
                </w:tcPr>
                <w:p w14:paraId="7856C7D9">
                  <w:pPr>
                    <w:keepNext w:val="0"/>
                    <w:keepLines w:val="0"/>
                    <w:pageBreakBefore w:val="0"/>
                    <w:widowControl w:val="0"/>
                    <w:numPr>
                      <w:ilvl w:val="0"/>
                      <w:numId w:val="19"/>
                    </w:numPr>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污染物排放绩效水平准入要求：</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1</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从事机动车修理、印刷、服装干洗、研发等排放挥发性有机污染物的生产作业，应当按照有关技术规范进行综合治理。禁止露天和敞开式喷漆作业；包装印刷业必须使用符合环保要求的油墨；餐饮服务业油烟必须经处理达到相应排放标准要求。</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建材行业原料破碎、生产、运输、装卸等各环节严格落实抑尘措施，有效控制粉尘无组织排放。</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3</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推进建筑装饰行业VOCs综合治理，倡导绿色装修，推广使用符合环保要求的建筑涂料、木器涂料、胶黏剂等产品。</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4）</w:t>
                  </w:r>
                  <w:r>
                    <w:rPr>
                      <w:rFonts w:hint="default" w:ascii="Times New Roman" w:hAnsi="Times New Roman" w:cs="Times New Roman"/>
                      <w:color w:val="auto"/>
                      <w:sz w:val="18"/>
                      <w:szCs w:val="18"/>
                      <w:highlight w:val="none"/>
                    </w:rPr>
                    <w:t>全面推广汽修行业使用低挥发性涂料，采用高效涂装工艺，完善有机废气收集和处理系统，取缔露天和敞开是汽修喷涂作业。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5</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中心城区污水处理率达到100%；到2030年，中心城区污水处理率达到100%，县城污水处理率达100%；到2023年底，力争全市生活垃圾焚烧处理能力占比达到60%以上，具备厨余垃圾集中处理能力；县城生活垃圾无害化处理率保持95%以上，乡镇及行政村生活垃圾收转运处置体系基本实现全覆盖。</w:t>
                  </w:r>
                </w:p>
                <w:p w14:paraId="6DBCB8D0">
                  <w:pPr>
                    <w:keepNext w:val="0"/>
                    <w:keepLines w:val="0"/>
                    <w:pageBreakBefore w:val="0"/>
                    <w:widowControl w:val="0"/>
                    <w:numPr>
                      <w:ilvl w:val="0"/>
                      <w:numId w:val="19"/>
                    </w:numPr>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新建噪声敏感建筑物时，建设单位应全面执行绿色建筑标准，合理确定建筑物与交通干线等的防噪声距离，落实隔声减噪措施。</w:t>
                  </w:r>
                </w:p>
                <w:p w14:paraId="2AC094ED">
                  <w:pPr>
                    <w:keepNext w:val="0"/>
                    <w:keepLines w:val="0"/>
                    <w:pageBreakBefore w:val="0"/>
                    <w:widowControl w:val="0"/>
                    <w:numPr>
                      <w:ilvl w:val="0"/>
                      <w:numId w:val="19"/>
                    </w:numPr>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已竣工交付使用的住宅楼、商铺、办公楼等建筑物不得在午、夜间进行产噪装修作业，在其他时间进行装修作业的，应当采取噪声防治措施</w:t>
                  </w:r>
                  <w:r>
                    <w:rPr>
                      <w:rFonts w:hint="eastAsia" w:cs="Times New Roman"/>
                      <w:color w:val="auto"/>
                      <w:sz w:val="18"/>
                      <w:szCs w:val="18"/>
                      <w:highlight w:val="none"/>
                      <w:lang w:eastAsia="zh-CN"/>
                    </w:rPr>
                    <w:t>。</w:t>
                  </w:r>
                </w:p>
              </w:tc>
              <w:tc>
                <w:tcPr>
                  <w:tcW w:w="757" w:type="pct"/>
                  <w:tcBorders>
                    <w:tl2br w:val="nil"/>
                    <w:tr2bl w:val="nil"/>
                  </w:tcBorders>
                  <w:vAlign w:val="center"/>
                </w:tcPr>
                <w:p w14:paraId="49CC72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本项目运营期主要产生噪声、电磁环境影响，根据影响</w:t>
                  </w:r>
                  <w:r>
                    <w:rPr>
                      <w:rFonts w:hint="eastAsia" w:cs="Times New Roman"/>
                      <w:color w:val="auto"/>
                      <w:sz w:val="18"/>
                      <w:szCs w:val="18"/>
                      <w:highlight w:val="none"/>
                      <w:lang w:val="en-US" w:eastAsia="zh-CN"/>
                    </w:rPr>
                    <w:t>预测</w:t>
                  </w:r>
                  <w:r>
                    <w:rPr>
                      <w:rFonts w:hint="default" w:ascii="Times New Roman" w:hAnsi="Times New Roman" w:eastAsia="宋体" w:cs="Times New Roman"/>
                      <w:color w:val="auto"/>
                      <w:sz w:val="18"/>
                      <w:szCs w:val="18"/>
                      <w:highlight w:val="none"/>
                      <w:lang w:val="en-US" w:eastAsia="zh-CN"/>
                    </w:rPr>
                    <w:t>分析，厂界噪声排放满足《工业企业厂界环境噪声排放标准》(GB12348-2008)，电磁环境满足《电磁环境控制限值》（GB8702-2014）。生活污水经化粪池处理后用作农肥，不外排。生活垃圾由当地环卫部门收集处理，废事故油、废铅蓄电池</w:t>
                  </w:r>
                  <w:r>
                    <w:rPr>
                      <w:rFonts w:hint="eastAsia" w:cs="Times New Roman"/>
                      <w:color w:val="auto"/>
                      <w:sz w:val="18"/>
                      <w:szCs w:val="18"/>
                      <w:highlight w:val="none"/>
                      <w:lang w:val="en-US" w:eastAsia="zh-CN"/>
                    </w:rPr>
                    <w:t>经收集</w:t>
                  </w:r>
                  <w:r>
                    <w:rPr>
                      <w:rFonts w:hint="default" w:ascii="Times New Roman" w:hAnsi="Times New Roman" w:eastAsia="宋体" w:cs="Times New Roman"/>
                      <w:color w:val="auto"/>
                      <w:sz w:val="18"/>
                      <w:szCs w:val="18"/>
                      <w:highlight w:val="none"/>
                      <w:lang w:val="en-US" w:eastAsia="zh-CN"/>
                    </w:rPr>
                    <w:t>后运送至国网巴中供电公司枣林危废暂存间，定期交由有危险废物处置资质的单位进行处置</w:t>
                  </w:r>
                  <w:r>
                    <w:rPr>
                      <w:rFonts w:hint="eastAsia" w:cs="Times New Roman"/>
                      <w:color w:val="auto"/>
                      <w:sz w:val="18"/>
                      <w:szCs w:val="18"/>
                      <w:highlight w:val="none"/>
                      <w:lang w:val="en-US" w:eastAsia="zh-CN"/>
                    </w:rPr>
                    <w:t>。</w:t>
                  </w:r>
                </w:p>
              </w:tc>
              <w:tc>
                <w:tcPr>
                  <w:tcW w:w="264" w:type="pct"/>
                  <w:tcBorders>
                    <w:tl2br w:val="nil"/>
                    <w:tr2bl w:val="nil"/>
                  </w:tcBorders>
                  <w:vAlign w:val="center"/>
                </w:tcPr>
                <w:p w14:paraId="298EB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3F872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2" w:type="pct"/>
                  <w:vMerge w:val="continue"/>
                  <w:tcBorders>
                    <w:tl2br w:val="nil"/>
                    <w:tr2bl w:val="nil"/>
                  </w:tcBorders>
                  <w:vAlign w:val="center"/>
                </w:tcPr>
                <w:p w14:paraId="42866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38B936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restart"/>
                  <w:tcBorders>
                    <w:tl2br w:val="nil"/>
                    <w:tr2bl w:val="nil"/>
                  </w:tcBorders>
                  <w:vAlign w:val="center"/>
                </w:tcPr>
                <w:p w14:paraId="28C53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25" w:type="pct"/>
                  <w:tcBorders>
                    <w:tl2br w:val="nil"/>
                    <w:tr2bl w:val="nil"/>
                  </w:tcBorders>
                  <w:vAlign w:val="center"/>
                </w:tcPr>
                <w:p w14:paraId="63E6C7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联防联控要求</w:t>
                  </w:r>
                </w:p>
              </w:tc>
              <w:tc>
                <w:tcPr>
                  <w:tcW w:w="2336" w:type="pct"/>
                  <w:tcBorders>
                    <w:tl2br w:val="nil"/>
                    <w:tr2bl w:val="nil"/>
                  </w:tcBorders>
                  <w:vAlign w:val="center"/>
                </w:tcPr>
                <w:p w14:paraId="1F79F5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lang w:val="en-US"/>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757" w:type="pct"/>
                  <w:tcBorders>
                    <w:tl2br w:val="nil"/>
                    <w:tr2bl w:val="nil"/>
                  </w:tcBorders>
                  <w:vAlign w:val="center"/>
                </w:tcPr>
                <w:p w14:paraId="331AE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3F641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5EAFB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2" w:type="pct"/>
                  <w:vMerge w:val="continue"/>
                  <w:tcBorders>
                    <w:tl2br w:val="nil"/>
                    <w:tr2bl w:val="nil"/>
                  </w:tcBorders>
                  <w:vAlign w:val="center"/>
                </w:tcPr>
                <w:p w14:paraId="38C66D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6C9F3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5DE94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202B2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其他环境风险防控要求</w:t>
                  </w:r>
                </w:p>
              </w:tc>
              <w:tc>
                <w:tcPr>
                  <w:tcW w:w="2336" w:type="pct"/>
                  <w:tcBorders>
                    <w:tl2br w:val="nil"/>
                    <w:tr2bl w:val="nil"/>
                  </w:tcBorders>
                  <w:vAlign w:val="center"/>
                </w:tcPr>
                <w:p w14:paraId="3094BDF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lang w:val="en-US"/>
                    </w:rPr>
                    <w:t>企业环境风险防控要求：现有涉及五类重金属的企业</w:t>
                  </w:r>
                  <w:r>
                    <w:rPr>
                      <w:rFonts w:hint="eastAsia" w:cs="Times New Roman"/>
                      <w:color w:val="auto"/>
                      <w:sz w:val="18"/>
                      <w:szCs w:val="18"/>
                      <w:highlight w:val="none"/>
                      <w:lang w:val="en-US" w:eastAsia="zh-CN"/>
                    </w:rPr>
                    <w:t>，</w:t>
                  </w:r>
                  <w:r>
                    <w:rPr>
                      <w:rFonts w:hint="default" w:ascii="Times New Roman" w:hAnsi="Times New Roman" w:cs="Times New Roman"/>
                      <w:color w:val="auto"/>
                      <w:sz w:val="18"/>
                      <w:szCs w:val="18"/>
                      <w:highlight w:val="none"/>
                      <w:lang w:val="en-US"/>
                    </w:rPr>
                    <w:t>严控污染物排放，限时整治或搬迁。</w:t>
                  </w:r>
                </w:p>
                <w:p w14:paraId="1C166B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lang w:val="en-US"/>
                    </w:rPr>
                    <w:t>用地环境风险防控要求：工业企业退出用地，须经评估、修复满足相应用地功能后，方可改变用途</w:t>
                  </w:r>
                  <w:r>
                    <w:rPr>
                      <w:rFonts w:hint="eastAsia" w:cs="Times New Roman"/>
                      <w:color w:val="auto"/>
                      <w:sz w:val="18"/>
                      <w:szCs w:val="18"/>
                      <w:highlight w:val="none"/>
                      <w:lang w:val="en-US" w:eastAsia="zh-CN"/>
                    </w:rPr>
                    <w:t>。</w:t>
                  </w:r>
                </w:p>
              </w:tc>
              <w:tc>
                <w:tcPr>
                  <w:tcW w:w="757" w:type="pct"/>
                  <w:tcBorders>
                    <w:tl2br w:val="nil"/>
                    <w:tr2bl w:val="nil"/>
                  </w:tcBorders>
                  <w:vAlign w:val="center"/>
                </w:tcPr>
                <w:p w14:paraId="3C0B07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706DA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6CCEB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82" w:type="pct"/>
                  <w:vMerge w:val="continue"/>
                  <w:tcBorders>
                    <w:tl2br w:val="nil"/>
                    <w:tr2bl w:val="nil"/>
                  </w:tcBorders>
                  <w:vAlign w:val="center"/>
                </w:tcPr>
                <w:p w14:paraId="6BEC7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30ADD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restart"/>
                  <w:tcBorders>
                    <w:tl2br w:val="nil"/>
                    <w:tr2bl w:val="nil"/>
                  </w:tcBorders>
                  <w:vAlign w:val="center"/>
                </w:tcPr>
                <w:p w14:paraId="01ADEC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25" w:type="pct"/>
                  <w:tcBorders>
                    <w:tl2br w:val="nil"/>
                    <w:tr2bl w:val="nil"/>
                  </w:tcBorders>
                  <w:vAlign w:val="center"/>
                </w:tcPr>
                <w:p w14:paraId="0CCDD0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水资源利用总量要求</w:t>
                  </w:r>
                </w:p>
              </w:tc>
              <w:tc>
                <w:tcPr>
                  <w:tcW w:w="2336" w:type="pct"/>
                  <w:tcBorders>
                    <w:tl2br w:val="nil"/>
                    <w:tr2bl w:val="nil"/>
                  </w:tcBorders>
                  <w:vAlign w:val="center"/>
                </w:tcPr>
                <w:p w14:paraId="01C846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到2025年，全市用水总量控制在7.15亿m3以内；到2030年，全市用水总量控制在7.4亿m</w:t>
                  </w:r>
                  <w:r>
                    <w:rPr>
                      <w:rFonts w:hint="eastAsia" w:ascii="Times New Roman" w:hAnsi="Times New Roman" w:eastAsia="宋体" w:cs="Times New Roman"/>
                      <w:color w:val="auto"/>
                      <w:sz w:val="18"/>
                      <w:szCs w:val="18"/>
                      <w:highlight w:val="none"/>
                      <w:vertAlign w:val="superscript"/>
                      <w:lang w:eastAsia="zh-CN"/>
                    </w:rPr>
                    <w:t>3</w:t>
                  </w:r>
                  <w:r>
                    <w:rPr>
                      <w:rFonts w:hint="eastAsia" w:ascii="Times New Roman" w:hAnsi="Times New Roman" w:eastAsia="宋体" w:cs="Times New Roman"/>
                      <w:color w:val="auto"/>
                      <w:sz w:val="18"/>
                      <w:szCs w:val="18"/>
                      <w:highlight w:val="none"/>
                      <w:lang w:eastAsia="zh-CN"/>
                    </w:rPr>
                    <w:t>以内，万元工业增加值用水量17.15m</w:t>
                  </w:r>
                  <w:r>
                    <w:rPr>
                      <w:rFonts w:hint="eastAsia" w:ascii="Times New Roman" w:hAnsi="Times New Roman" w:eastAsia="宋体" w:cs="Times New Roman"/>
                      <w:color w:val="auto"/>
                      <w:sz w:val="18"/>
                      <w:szCs w:val="18"/>
                      <w:highlight w:val="none"/>
                      <w:vertAlign w:val="superscript"/>
                      <w:lang w:eastAsia="zh-CN"/>
                    </w:rPr>
                    <w:t>3</w:t>
                  </w:r>
                  <w:r>
                    <w:rPr>
                      <w:rFonts w:hint="eastAsia" w:ascii="Times New Roman" w:hAnsi="Times New Roman" w:eastAsia="宋体" w:cs="Times New Roman"/>
                      <w:color w:val="auto"/>
                      <w:sz w:val="18"/>
                      <w:szCs w:val="18"/>
                      <w:highlight w:val="none"/>
                      <w:lang w:eastAsia="zh-CN"/>
                    </w:rPr>
                    <w:t>。</w:t>
                  </w:r>
                </w:p>
              </w:tc>
              <w:tc>
                <w:tcPr>
                  <w:tcW w:w="757" w:type="pct"/>
                  <w:tcBorders>
                    <w:tl2br w:val="nil"/>
                    <w:tr2bl w:val="nil"/>
                  </w:tcBorders>
                  <w:vAlign w:val="center"/>
                </w:tcPr>
                <w:p w14:paraId="3CC37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5DD484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606DD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82" w:type="pct"/>
                  <w:vMerge w:val="continue"/>
                  <w:tcBorders>
                    <w:tl2br w:val="nil"/>
                    <w:tr2bl w:val="nil"/>
                  </w:tcBorders>
                  <w:vAlign w:val="center"/>
                </w:tcPr>
                <w:p w14:paraId="05444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06DF8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4640C1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22036D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地下水开采要求</w:t>
                  </w:r>
                </w:p>
              </w:tc>
              <w:tc>
                <w:tcPr>
                  <w:tcW w:w="2336" w:type="pct"/>
                  <w:tcBorders>
                    <w:tl2br w:val="nil"/>
                    <w:tr2bl w:val="nil"/>
                  </w:tcBorders>
                  <w:vAlign w:val="center"/>
                </w:tcPr>
                <w:p w14:paraId="7048CA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1、</w:t>
                  </w:r>
                  <w:r>
                    <w:rPr>
                      <w:rFonts w:hint="eastAsia" w:ascii="Times New Roman" w:hAnsi="Times New Roman" w:eastAsia="宋体" w:cs="Times New Roman"/>
                      <w:color w:val="auto"/>
                      <w:sz w:val="18"/>
                      <w:szCs w:val="18"/>
                      <w:highlight w:val="none"/>
                      <w:lang w:eastAsia="zh-CN"/>
                    </w:rPr>
                    <w:t>巴中市2025年地下水开采控制控制量保持在1400万m</w:t>
                  </w:r>
                  <w:r>
                    <w:rPr>
                      <w:rFonts w:hint="eastAsia" w:ascii="Times New Roman" w:hAnsi="Times New Roman" w:eastAsia="宋体" w:cs="Times New Roman"/>
                      <w:color w:val="auto"/>
                      <w:sz w:val="18"/>
                      <w:szCs w:val="18"/>
                      <w:highlight w:val="none"/>
                      <w:vertAlign w:val="superscript"/>
                      <w:lang w:eastAsia="zh-CN"/>
                    </w:rPr>
                    <w:t>3</w:t>
                  </w:r>
                  <w:r>
                    <w:rPr>
                      <w:rFonts w:hint="eastAsia" w:ascii="Times New Roman" w:hAnsi="Times New Roman" w:eastAsia="宋体" w:cs="Times New Roman"/>
                      <w:color w:val="auto"/>
                      <w:sz w:val="18"/>
                      <w:szCs w:val="18"/>
                      <w:highlight w:val="none"/>
                      <w:lang w:eastAsia="zh-CN"/>
                    </w:rPr>
                    <w:t>以内。</w:t>
                  </w:r>
                </w:p>
                <w:p w14:paraId="56BA47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2、</w:t>
                  </w:r>
                  <w:r>
                    <w:rPr>
                      <w:rFonts w:hint="eastAsia" w:ascii="Times New Roman" w:hAnsi="Times New Roman" w:eastAsia="宋体" w:cs="Times New Roman"/>
                      <w:color w:val="auto"/>
                      <w:sz w:val="18"/>
                      <w:szCs w:val="18"/>
                      <w:highlight w:val="none"/>
                      <w:lang w:eastAsia="zh-CN"/>
                    </w:rPr>
                    <w:t>地下水开采量控制在可开采量的允许范围内，抑制用水过度增长。</w:t>
                  </w:r>
                </w:p>
              </w:tc>
              <w:tc>
                <w:tcPr>
                  <w:tcW w:w="757" w:type="pct"/>
                  <w:tcBorders>
                    <w:tl2br w:val="nil"/>
                    <w:tr2bl w:val="nil"/>
                  </w:tcBorders>
                  <w:vAlign w:val="center"/>
                </w:tcPr>
                <w:p w14:paraId="3A845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34B759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C320D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82" w:type="pct"/>
                  <w:vMerge w:val="continue"/>
                  <w:tcBorders>
                    <w:tl2br w:val="nil"/>
                    <w:tr2bl w:val="nil"/>
                  </w:tcBorders>
                  <w:vAlign w:val="center"/>
                </w:tcPr>
                <w:p w14:paraId="057B49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7A336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6C039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03A0A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能源利用总量及效率要求</w:t>
                  </w:r>
                </w:p>
              </w:tc>
              <w:tc>
                <w:tcPr>
                  <w:tcW w:w="2336" w:type="pct"/>
                  <w:tcBorders>
                    <w:tl2br w:val="nil"/>
                    <w:tr2bl w:val="nil"/>
                  </w:tcBorders>
                  <w:vAlign w:val="center"/>
                </w:tcPr>
                <w:p w14:paraId="7857521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禁止使用不符合商品煤质量管理规定所列环保指标要求的商品煤。禁止劣质散煤流通与使用，依法查处散煤无照经营行为。加大民用散煤清洁化治理力度，推进以电代煤、以气代煤，推广使用洁净煤、先进民用炉具，加强民用散煤管理。</w:t>
                  </w:r>
                </w:p>
              </w:tc>
              <w:tc>
                <w:tcPr>
                  <w:tcW w:w="757" w:type="pct"/>
                  <w:tcBorders>
                    <w:tl2br w:val="nil"/>
                    <w:tr2bl w:val="nil"/>
                  </w:tcBorders>
                  <w:vAlign w:val="center"/>
                </w:tcPr>
                <w:p w14:paraId="043A1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06BA7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7AC5A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63DD0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5A6607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002746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635F489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color w:val="auto"/>
                      <w:kern w:val="2"/>
                      <w:sz w:val="18"/>
                      <w:szCs w:val="18"/>
                      <w:lang w:val="en-US" w:eastAsia="zh-CN" w:bidi="ar-SA"/>
                    </w:rPr>
                    <w:t>禁燃区要求</w:t>
                  </w:r>
                </w:p>
              </w:tc>
              <w:tc>
                <w:tcPr>
                  <w:tcW w:w="2336" w:type="pct"/>
                  <w:tcBorders>
                    <w:tl2br w:val="nil"/>
                    <w:tr2bl w:val="nil"/>
                  </w:tcBorders>
                  <w:vAlign w:val="center"/>
                </w:tcPr>
                <w:p w14:paraId="3E957E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在禁燃区范围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tc>
              <w:tc>
                <w:tcPr>
                  <w:tcW w:w="757" w:type="pct"/>
                  <w:tcBorders>
                    <w:tl2br w:val="nil"/>
                    <w:tr2bl w:val="nil"/>
                  </w:tcBorders>
                  <w:vAlign w:val="center"/>
                </w:tcPr>
                <w:p w14:paraId="7F558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100ED4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5936E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484A7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13225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2FD655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7BFC3EF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其他资源利用效率要求</w:t>
                  </w:r>
                </w:p>
              </w:tc>
              <w:tc>
                <w:tcPr>
                  <w:tcW w:w="2336" w:type="pct"/>
                  <w:tcBorders>
                    <w:tl2br w:val="nil"/>
                    <w:tr2bl w:val="nil"/>
                  </w:tcBorders>
                  <w:vAlign w:val="center"/>
                </w:tcPr>
                <w:p w14:paraId="08D6BF0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到2025年，巴中市城市再生水利用率达到不低于20%，到2030年，再生水利用率不低于30%。</w:t>
                  </w:r>
                </w:p>
              </w:tc>
              <w:tc>
                <w:tcPr>
                  <w:tcW w:w="757" w:type="pct"/>
                  <w:tcBorders>
                    <w:tl2br w:val="nil"/>
                    <w:tr2bl w:val="nil"/>
                  </w:tcBorders>
                  <w:vAlign w:val="center"/>
                </w:tcPr>
                <w:p w14:paraId="7AA60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509D85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14E4E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74BC1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restart"/>
                  <w:tcBorders>
                    <w:tl2br w:val="nil"/>
                    <w:tr2bl w:val="nil"/>
                  </w:tcBorders>
                  <w:vAlign w:val="center"/>
                </w:tcPr>
                <w:p w14:paraId="689F1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县区普适性清单</w:t>
                  </w:r>
                </w:p>
              </w:tc>
              <w:tc>
                <w:tcPr>
                  <w:tcW w:w="284" w:type="pct"/>
                  <w:vMerge w:val="restart"/>
                  <w:tcBorders>
                    <w:tl2br w:val="nil"/>
                    <w:tr2bl w:val="nil"/>
                  </w:tcBorders>
                  <w:vAlign w:val="center"/>
                </w:tcPr>
                <w:p w14:paraId="3ECB29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25" w:type="pct"/>
                  <w:tcBorders>
                    <w:tl2br w:val="nil"/>
                    <w:tr2bl w:val="nil"/>
                  </w:tcBorders>
                  <w:vAlign w:val="center"/>
                </w:tcPr>
                <w:p w14:paraId="71F766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不符合空间布局要求活动的退出要求</w:t>
                  </w:r>
                </w:p>
              </w:tc>
              <w:tc>
                <w:tcPr>
                  <w:tcW w:w="2336" w:type="pct"/>
                  <w:tcBorders>
                    <w:tl2br w:val="nil"/>
                    <w:tr2bl w:val="nil"/>
                  </w:tcBorders>
                  <w:vAlign w:val="center"/>
                </w:tcPr>
                <w:p w14:paraId="2DD405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持续加强工业“三废”治理，严格环境准入条件，落实“两高”企业退出制度。</w:t>
                  </w:r>
                </w:p>
              </w:tc>
              <w:tc>
                <w:tcPr>
                  <w:tcW w:w="757" w:type="pct"/>
                  <w:tcBorders>
                    <w:tl2br w:val="nil"/>
                    <w:tr2bl w:val="nil"/>
                  </w:tcBorders>
                  <w:vAlign w:val="center"/>
                </w:tcPr>
                <w:p w14:paraId="31C554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w:t>
                  </w:r>
                  <w:r>
                    <w:rPr>
                      <w:rFonts w:hint="eastAsia" w:cs="Times New Roman"/>
                      <w:color w:val="auto"/>
                      <w:sz w:val="18"/>
                      <w:szCs w:val="18"/>
                      <w:highlight w:val="none"/>
                      <w:lang w:val="en-US" w:eastAsia="zh-CN"/>
                    </w:rPr>
                    <w:t>涉及“三废”排放，不属于“两高”企业</w:t>
                  </w:r>
                  <w:r>
                    <w:rPr>
                      <w:rFonts w:hint="default" w:ascii="Times New Roman" w:hAnsi="Times New Roman" w:cs="Times New Roman"/>
                      <w:color w:val="auto"/>
                      <w:sz w:val="18"/>
                      <w:szCs w:val="18"/>
                      <w:highlight w:val="none"/>
                      <w:lang w:eastAsia="zh-CN"/>
                    </w:rPr>
                    <w:t>。</w:t>
                  </w:r>
                </w:p>
              </w:tc>
              <w:tc>
                <w:tcPr>
                  <w:tcW w:w="264" w:type="pct"/>
                  <w:tcBorders>
                    <w:tl2br w:val="nil"/>
                    <w:tr2bl w:val="nil"/>
                  </w:tcBorders>
                  <w:vAlign w:val="center"/>
                </w:tcPr>
                <w:p w14:paraId="09410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D462D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1AE17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79401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yellow"/>
                    </w:rPr>
                  </w:pPr>
                </w:p>
              </w:tc>
              <w:tc>
                <w:tcPr>
                  <w:tcW w:w="284" w:type="pct"/>
                  <w:vMerge w:val="continue"/>
                  <w:tcBorders>
                    <w:tl2br w:val="nil"/>
                    <w:tr2bl w:val="nil"/>
                  </w:tcBorders>
                  <w:vAlign w:val="center"/>
                </w:tcPr>
                <w:p w14:paraId="177458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yellow"/>
                    </w:rPr>
                  </w:pPr>
                </w:p>
              </w:tc>
              <w:tc>
                <w:tcPr>
                  <w:tcW w:w="325" w:type="pct"/>
                  <w:tcBorders>
                    <w:tl2br w:val="nil"/>
                    <w:tr2bl w:val="nil"/>
                  </w:tcBorders>
                  <w:vAlign w:val="center"/>
                </w:tcPr>
                <w:p w14:paraId="7BC310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其他空间布局约束要求</w:t>
                  </w:r>
                </w:p>
              </w:tc>
              <w:tc>
                <w:tcPr>
                  <w:tcW w:w="2336" w:type="pct"/>
                  <w:tcBorders>
                    <w:tl2br w:val="nil"/>
                    <w:tr2bl w:val="nil"/>
                  </w:tcBorders>
                  <w:vAlign w:val="center"/>
                </w:tcPr>
                <w:p w14:paraId="34B961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1、统筹生态环境保护与经济社会发展的关系，落实重点生态功能区的定位管控要求，加强生物多样性保护和天然林保护；</w:t>
                  </w:r>
                </w:p>
                <w:p w14:paraId="3A8B443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2、推进流域水生态环境修复与治理，更加注重城乡生态环境保护基础设施建设与管理。</w:t>
                  </w:r>
                </w:p>
              </w:tc>
              <w:tc>
                <w:tcPr>
                  <w:tcW w:w="757" w:type="pct"/>
                  <w:tcBorders>
                    <w:tl2br w:val="nil"/>
                    <w:tr2bl w:val="nil"/>
                  </w:tcBorders>
                  <w:vAlign w:val="center"/>
                </w:tcPr>
                <w:p w14:paraId="65C06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52BE45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08EDA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4A4CE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4F34B2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tcBorders>
                    <w:tl2br w:val="nil"/>
                    <w:tr2bl w:val="nil"/>
                  </w:tcBorders>
                  <w:vAlign w:val="center"/>
                </w:tcPr>
                <w:p w14:paraId="3BA86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auto"/>
                      <w:sz w:val="18"/>
                      <w:szCs w:val="18"/>
                      <w:highlight w:val="none"/>
                      <w:lang w:val="en-US" w:eastAsia="zh-CN"/>
                    </w:rPr>
                  </w:pPr>
                  <w:r>
                    <w:rPr>
                      <w:rFonts w:hint="default" w:cs="Times New Roman"/>
                      <w:color w:val="auto"/>
                      <w:sz w:val="18"/>
                      <w:szCs w:val="18"/>
                      <w:highlight w:val="none"/>
                      <w:lang w:val="en-US" w:eastAsia="zh-CN"/>
                    </w:rPr>
                    <w:t>资源开发利用效率要求</w:t>
                  </w:r>
                </w:p>
              </w:tc>
              <w:tc>
                <w:tcPr>
                  <w:tcW w:w="325" w:type="pct"/>
                  <w:tcBorders>
                    <w:tl2br w:val="nil"/>
                    <w:tr2bl w:val="nil"/>
                  </w:tcBorders>
                  <w:vAlign w:val="center"/>
                </w:tcPr>
                <w:p w14:paraId="48875E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eastAsia" w:ascii="Times New Roman" w:hAnsi="Times New Roman" w:eastAsia="宋体" w:cs="Times New Roman"/>
                      <w:color w:val="auto"/>
                      <w:spacing w:val="-1"/>
                      <w:sz w:val="18"/>
                      <w:szCs w:val="18"/>
                      <w:lang w:eastAsia="zh-CN"/>
                    </w:rPr>
                  </w:pPr>
                  <w:r>
                    <w:rPr>
                      <w:rFonts w:hint="eastAsia" w:cs="Times New Roman"/>
                      <w:color w:val="auto"/>
                      <w:sz w:val="18"/>
                      <w:szCs w:val="18"/>
                      <w:highlight w:val="none"/>
                      <w:lang w:val="en-US" w:eastAsia="zh-CN"/>
                    </w:rPr>
                    <w:t>其他资源利用效率要求</w:t>
                  </w:r>
                </w:p>
              </w:tc>
              <w:tc>
                <w:tcPr>
                  <w:tcW w:w="2336" w:type="pct"/>
                  <w:tcBorders>
                    <w:tl2br w:val="nil"/>
                    <w:tr2bl w:val="nil"/>
                  </w:tcBorders>
                  <w:vAlign w:val="center"/>
                </w:tcPr>
                <w:p w14:paraId="3D35E77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1、进一步调整优化矿产资源开发利用结构，加强矿产、油气等资源开发项目和工矿废弃地的污染治理及生态修复；</w:t>
                  </w:r>
                </w:p>
                <w:p w14:paraId="74C70D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2、强化水土流失防治，注重水源涵养地保护。加强对光雾山、关坝、杨坝等区域的生态环境重点管控，从严审批各类资源开发项目。</w:t>
                  </w:r>
                </w:p>
              </w:tc>
              <w:tc>
                <w:tcPr>
                  <w:tcW w:w="757" w:type="pct"/>
                  <w:tcBorders>
                    <w:tl2br w:val="nil"/>
                    <w:tr2bl w:val="nil"/>
                  </w:tcBorders>
                  <w:vAlign w:val="center"/>
                </w:tcPr>
                <w:p w14:paraId="2EB5EA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4" w:type="pct"/>
                  <w:tcBorders>
                    <w:tl2br w:val="nil"/>
                    <w:tr2bl w:val="nil"/>
                  </w:tcBorders>
                  <w:vAlign w:val="center"/>
                </w:tcPr>
                <w:p w14:paraId="48CAF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17F824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20D26A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restart"/>
                  <w:tcBorders>
                    <w:tl2br w:val="nil"/>
                    <w:tr2bl w:val="nil"/>
                  </w:tcBorders>
                  <w:vAlign w:val="center"/>
                </w:tcPr>
                <w:p w14:paraId="0AE85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单元级清单管控要求</w:t>
                  </w:r>
                </w:p>
              </w:tc>
              <w:tc>
                <w:tcPr>
                  <w:tcW w:w="284" w:type="pct"/>
                  <w:vMerge w:val="restart"/>
                  <w:tcBorders>
                    <w:tl2br w:val="nil"/>
                    <w:tr2bl w:val="nil"/>
                  </w:tcBorders>
                  <w:vAlign w:val="center"/>
                </w:tcPr>
                <w:p w14:paraId="30A8F0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25" w:type="pct"/>
                  <w:tcBorders>
                    <w:tl2br w:val="nil"/>
                    <w:tr2bl w:val="nil"/>
                  </w:tcBorders>
                  <w:vAlign w:val="center"/>
                </w:tcPr>
                <w:p w14:paraId="144DD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36" w:type="pct"/>
                  <w:tcBorders>
                    <w:tl2br w:val="nil"/>
                    <w:tr2bl w:val="nil"/>
                  </w:tcBorders>
                  <w:vAlign w:val="center"/>
                </w:tcPr>
                <w:p w14:paraId="7159F5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执行城镇重点管控单元普适性管控要求。</w:t>
                  </w:r>
                </w:p>
              </w:tc>
              <w:tc>
                <w:tcPr>
                  <w:tcW w:w="757" w:type="pct"/>
                  <w:tcBorders>
                    <w:tl2br w:val="nil"/>
                    <w:tr2bl w:val="nil"/>
                  </w:tcBorders>
                  <w:vAlign w:val="center"/>
                </w:tcPr>
                <w:p w14:paraId="69D14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47A27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B6298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5E771E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19A64D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0E42F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766CDB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2"/>
                      <w:sz w:val="18"/>
                      <w:szCs w:val="18"/>
                    </w:rPr>
                    <w:t>限制开发建设活动的要求</w:t>
                  </w:r>
                </w:p>
              </w:tc>
              <w:tc>
                <w:tcPr>
                  <w:tcW w:w="2336" w:type="pct"/>
                  <w:tcBorders>
                    <w:tl2br w:val="nil"/>
                    <w:tr2bl w:val="nil"/>
                  </w:tcBorders>
                  <w:vAlign w:val="center"/>
                </w:tcPr>
                <w:p w14:paraId="24DCAE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1、实施南进、东延、北拓的城市空间拓展策略，未来城市建设用地拓展应将朝阳新区作为城镇中心区；城镇开发空间规模控制在96平方公里以内。</w:t>
                  </w:r>
                </w:p>
                <w:p w14:paraId="72858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2、禁止在城区、饮用水水源地主流域上游2公里内建设鸡、羊养殖场，现有大型集中养殖场须立即配套粪便无害化处理设施和污水处理设施。</w:t>
                  </w:r>
                </w:p>
                <w:p w14:paraId="5878E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3、县城新建房地产开发项目须布局在经审批的城镇规划区范围内；禁止在退耕还林、还草、还湿地块新建房地产开发项目。</w:t>
                  </w:r>
                </w:p>
                <w:p w14:paraId="48114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4、城镇建设需依据现有资源环境承载能力相对较强的城镇集中布局、据点式开发，禁止成片蔓延式扩张。</w:t>
                  </w:r>
                </w:p>
                <w:p w14:paraId="3C82E3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5、其他要求执行城镇重点管控单元普适性管控要求。</w:t>
                  </w:r>
                </w:p>
              </w:tc>
              <w:tc>
                <w:tcPr>
                  <w:tcW w:w="757" w:type="pct"/>
                  <w:tcBorders>
                    <w:tl2br w:val="nil"/>
                    <w:tr2bl w:val="nil"/>
                  </w:tcBorders>
                  <w:vAlign w:val="center"/>
                </w:tcPr>
                <w:p w14:paraId="516E12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eastAsia" w:cs="Times New Roman"/>
                      <w:color w:val="auto"/>
                      <w:sz w:val="18"/>
                      <w:szCs w:val="18"/>
                      <w:highlight w:val="none"/>
                      <w:lang w:val="en-US" w:eastAsia="zh-CN"/>
                    </w:rPr>
                    <w:t>不属于大型集中养殖场、房地产开发项目；其他满足巴中市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35EAE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EFFBF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5D0FC1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54E402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09B958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5712B1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pacing w:val="-2"/>
                      <w:sz w:val="18"/>
                      <w:szCs w:val="18"/>
                      <w:lang w:val="en-US" w:eastAsia="zh-CN"/>
                    </w:rPr>
                  </w:pPr>
                  <w:r>
                    <w:rPr>
                      <w:rFonts w:hint="default" w:ascii="Times New Roman" w:hAnsi="Times New Roman" w:cs="Times New Roman"/>
                      <w:color w:val="auto"/>
                      <w:sz w:val="18"/>
                      <w:szCs w:val="18"/>
                      <w:highlight w:val="none"/>
                    </w:rPr>
                    <w:t>不符合空间布局要求活动的退出要求</w:t>
                  </w:r>
                </w:p>
              </w:tc>
              <w:tc>
                <w:tcPr>
                  <w:tcW w:w="2336" w:type="pct"/>
                  <w:tcBorders>
                    <w:tl2br w:val="nil"/>
                    <w:tr2bl w:val="nil"/>
                  </w:tcBorders>
                  <w:vAlign w:val="center"/>
                </w:tcPr>
                <w:p w14:paraId="5687F6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执行城镇重点管控单元普适性管控要求</w:t>
                  </w:r>
                  <w:r>
                    <w:rPr>
                      <w:rFonts w:hint="default" w:ascii="Times New Roman" w:hAnsi="Times New Roman" w:cs="Times New Roman"/>
                      <w:color w:val="auto"/>
                      <w:sz w:val="18"/>
                      <w:szCs w:val="18"/>
                      <w:highlight w:val="none"/>
                    </w:rPr>
                    <w:t>。</w:t>
                  </w:r>
                </w:p>
              </w:tc>
              <w:tc>
                <w:tcPr>
                  <w:tcW w:w="757" w:type="pct"/>
                  <w:tcBorders>
                    <w:tl2br w:val="nil"/>
                    <w:tr2bl w:val="nil"/>
                  </w:tcBorders>
                  <w:vAlign w:val="center"/>
                </w:tcPr>
                <w:p w14:paraId="46786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2751D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3BDC9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62717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4CD5EE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restart"/>
                  <w:tcBorders>
                    <w:tl2br w:val="nil"/>
                    <w:tr2bl w:val="nil"/>
                  </w:tcBorders>
                  <w:vAlign w:val="center"/>
                </w:tcPr>
                <w:p w14:paraId="2A6F7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25" w:type="pct"/>
                  <w:tcBorders>
                    <w:tl2br w:val="nil"/>
                    <w:tr2bl w:val="nil"/>
                  </w:tcBorders>
                  <w:vAlign w:val="center"/>
                </w:tcPr>
                <w:p w14:paraId="350AA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现有源提标升级改造</w:t>
                  </w:r>
                </w:p>
              </w:tc>
              <w:tc>
                <w:tcPr>
                  <w:tcW w:w="2336" w:type="pct"/>
                  <w:tcBorders>
                    <w:tl2br w:val="nil"/>
                    <w:tr2bl w:val="nil"/>
                  </w:tcBorders>
                  <w:vAlign w:val="center"/>
                </w:tcPr>
                <w:p w14:paraId="58BC8F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1、划定禁鸣区，在居住区、市政机关、学校及医院等噪声敏感单位附近对车速进行限制。</w:t>
                  </w:r>
                </w:p>
                <w:p w14:paraId="68D91E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2、严格执行老旧机动车强制报废制度，加快淘汰污染严重的老旧车辆，鼓励使用新能源汽车，加快电动汽车充电桩、天然气加气站等基础设施建设，按期完成国家第五阶段标准车用汽油、柴油升级置换。</w:t>
                  </w:r>
                </w:p>
                <w:p w14:paraId="6562AC3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3、公众绿色出行率达到55%及以上。</w:t>
                  </w:r>
                </w:p>
                <w:p w14:paraId="0A76AA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4、其他要求执行城镇重点管控单元普适性管控要求。</w:t>
                  </w:r>
                </w:p>
              </w:tc>
              <w:tc>
                <w:tcPr>
                  <w:tcW w:w="757" w:type="pct"/>
                  <w:tcBorders>
                    <w:tl2br w:val="nil"/>
                    <w:tr2bl w:val="nil"/>
                  </w:tcBorders>
                  <w:vAlign w:val="center"/>
                </w:tcPr>
                <w:p w14:paraId="564680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color w:val="auto"/>
                      <w:sz w:val="18"/>
                      <w:szCs w:val="18"/>
                      <w:highlight w:val="none"/>
                      <w:lang w:val="en-US" w:eastAsia="zh-CN"/>
                    </w:rPr>
                    <w:t>本项目运营期产生</w:t>
                  </w:r>
                  <w:r>
                    <w:rPr>
                      <w:rFonts w:hint="eastAsia" w:cs="Times New Roman"/>
                      <w:color w:val="auto"/>
                      <w:sz w:val="18"/>
                      <w:szCs w:val="18"/>
                      <w:highlight w:val="none"/>
                      <w:lang w:val="en-US" w:eastAsia="zh-CN"/>
                    </w:rPr>
                    <w:t>的</w:t>
                  </w:r>
                  <w:r>
                    <w:rPr>
                      <w:rFonts w:hint="default" w:ascii="Times New Roman" w:hAnsi="Times New Roman" w:eastAsia="宋体" w:cs="Times New Roman"/>
                      <w:color w:val="auto"/>
                      <w:sz w:val="18"/>
                      <w:szCs w:val="18"/>
                      <w:highlight w:val="none"/>
                      <w:lang w:val="en-US" w:eastAsia="zh-CN"/>
                    </w:rPr>
                    <w:t>噪声环境影响，根据影响</w:t>
                  </w:r>
                  <w:r>
                    <w:rPr>
                      <w:rFonts w:hint="eastAsia" w:cs="Times New Roman"/>
                      <w:color w:val="auto"/>
                      <w:sz w:val="18"/>
                      <w:szCs w:val="18"/>
                      <w:highlight w:val="none"/>
                      <w:lang w:val="en-US" w:eastAsia="zh-CN"/>
                    </w:rPr>
                    <w:t>预测</w:t>
                  </w:r>
                  <w:r>
                    <w:rPr>
                      <w:rFonts w:hint="default" w:ascii="Times New Roman" w:hAnsi="Times New Roman" w:eastAsia="宋体" w:cs="Times New Roman"/>
                      <w:color w:val="auto"/>
                      <w:sz w:val="18"/>
                      <w:szCs w:val="18"/>
                      <w:highlight w:val="none"/>
                      <w:lang w:val="en-US" w:eastAsia="zh-CN"/>
                    </w:rPr>
                    <w:t>分析，厂界噪声排放满足《工业企业厂界环境噪声排放标准》(GB12348-2008)</w:t>
                  </w:r>
                  <w:r>
                    <w:rPr>
                      <w:rFonts w:hint="eastAsia" w:cs="Times New Roman"/>
                      <w:color w:val="auto"/>
                      <w:sz w:val="18"/>
                      <w:szCs w:val="18"/>
                      <w:highlight w:val="none"/>
                      <w:lang w:val="en-US" w:eastAsia="zh-CN"/>
                    </w:rPr>
                    <w:t>；其他满足巴中市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4E6D0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ED2E4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70C90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49" w:type="pct"/>
                  <w:vMerge w:val="continue"/>
                  <w:tcBorders>
                    <w:tl2br w:val="nil"/>
                    <w:tr2bl w:val="nil"/>
                  </w:tcBorders>
                  <w:vAlign w:val="center"/>
                </w:tcPr>
                <w:p w14:paraId="1F643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84" w:type="pct"/>
                  <w:vMerge w:val="continue"/>
                  <w:tcBorders>
                    <w:tl2br w:val="nil"/>
                    <w:tr2bl w:val="nil"/>
                  </w:tcBorders>
                  <w:vAlign w:val="center"/>
                </w:tcPr>
                <w:p w14:paraId="7DAF09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25" w:type="pct"/>
                  <w:tcBorders>
                    <w:tl2br w:val="nil"/>
                    <w:tr2bl w:val="nil"/>
                  </w:tcBorders>
                  <w:vAlign w:val="center"/>
                </w:tcPr>
                <w:p w14:paraId="53F64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新增源等量或倍量替代</w:t>
                  </w:r>
                </w:p>
              </w:tc>
              <w:tc>
                <w:tcPr>
                  <w:tcW w:w="2336" w:type="pct"/>
                  <w:tcBorders>
                    <w:tl2br w:val="nil"/>
                    <w:tr2bl w:val="nil"/>
                  </w:tcBorders>
                  <w:vAlign w:val="center"/>
                </w:tcPr>
                <w:p w14:paraId="2E12032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执行城镇重点管控单元普适性管控要求</w:t>
                  </w:r>
                  <w:r>
                    <w:rPr>
                      <w:rFonts w:hint="eastAsia" w:cs="Times New Roman"/>
                      <w:color w:val="auto"/>
                      <w:sz w:val="18"/>
                      <w:szCs w:val="18"/>
                      <w:highlight w:val="none"/>
                      <w:lang w:eastAsia="zh-CN"/>
                    </w:rPr>
                    <w:t>。</w:t>
                  </w:r>
                </w:p>
              </w:tc>
              <w:tc>
                <w:tcPr>
                  <w:tcW w:w="757" w:type="pct"/>
                  <w:tcBorders>
                    <w:tl2br w:val="nil"/>
                    <w:tr2bl w:val="nil"/>
                  </w:tcBorders>
                  <w:vAlign w:val="center"/>
                </w:tcPr>
                <w:p w14:paraId="49ACC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35250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E41A3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619B5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49" w:type="pct"/>
                  <w:vMerge w:val="continue"/>
                  <w:tcBorders>
                    <w:tl2br w:val="nil"/>
                    <w:tr2bl w:val="nil"/>
                  </w:tcBorders>
                  <w:vAlign w:val="center"/>
                </w:tcPr>
                <w:p w14:paraId="3B1BEF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84" w:type="pct"/>
                  <w:vMerge w:val="continue"/>
                  <w:tcBorders>
                    <w:tl2br w:val="nil"/>
                    <w:tr2bl w:val="nil"/>
                  </w:tcBorders>
                  <w:vAlign w:val="center"/>
                </w:tcPr>
                <w:p w14:paraId="5F6D9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25" w:type="pct"/>
                  <w:tcBorders>
                    <w:tl2br w:val="nil"/>
                    <w:tr2bl w:val="nil"/>
                  </w:tcBorders>
                  <w:vAlign w:val="center"/>
                </w:tcPr>
                <w:p w14:paraId="2C05C8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新增源排放标准限值</w:t>
                  </w:r>
                </w:p>
              </w:tc>
              <w:tc>
                <w:tcPr>
                  <w:tcW w:w="2336" w:type="pct"/>
                  <w:tcBorders>
                    <w:tl2br w:val="nil"/>
                    <w:tr2bl w:val="nil"/>
                  </w:tcBorders>
                  <w:vAlign w:val="center"/>
                </w:tcPr>
                <w:p w14:paraId="2DC2213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执行城镇重点管控单元普适性管控要求</w:t>
                  </w:r>
                  <w:r>
                    <w:rPr>
                      <w:rFonts w:hint="eastAsia" w:cs="Times New Roman"/>
                      <w:color w:val="auto"/>
                      <w:sz w:val="18"/>
                      <w:szCs w:val="18"/>
                      <w:highlight w:val="none"/>
                      <w:lang w:eastAsia="zh-CN"/>
                    </w:rPr>
                    <w:t>。</w:t>
                  </w:r>
                </w:p>
              </w:tc>
              <w:tc>
                <w:tcPr>
                  <w:tcW w:w="757" w:type="pct"/>
                  <w:tcBorders>
                    <w:tl2br w:val="nil"/>
                    <w:tr2bl w:val="nil"/>
                  </w:tcBorders>
                  <w:vAlign w:val="center"/>
                </w:tcPr>
                <w:p w14:paraId="4A1D4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16AB8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440C5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1962D2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584522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0C2AD8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413DCCA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污染物排放绩效水平准入要求</w:t>
                  </w:r>
                </w:p>
              </w:tc>
              <w:tc>
                <w:tcPr>
                  <w:tcW w:w="2336" w:type="pct"/>
                  <w:tcBorders>
                    <w:tl2br w:val="nil"/>
                    <w:tr2bl w:val="nil"/>
                  </w:tcBorders>
                  <w:vAlign w:val="center"/>
                </w:tcPr>
                <w:p w14:paraId="0D3861A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执行城镇重点管控单元普适性管控要求</w:t>
                  </w:r>
                  <w:r>
                    <w:rPr>
                      <w:rFonts w:hint="eastAsia" w:cs="Times New Roman"/>
                      <w:color w:val="auto"/>
                      <w:sz w:val="18"/>
                      <w:szCs w:val="18"/>
                      <w:highlight w:val="none"/>
                      <w:lang w:eastAsia="zh-CN"/>
                    </w:rPr>
                    <w:t>。</w:t>
                  </w:r>
                </w:p>
              </w:tc>
              <w:tc>
                <w:tcPr>
                  <w:tcW w:w="757" w:type="pct"/>
                  <w:tcBorders>
                    <w:tl2br w:val="nil"/>
                    <w:tr2bl w:val="nil"/>
                  </w:tcBorders>
                  <w:vAlign w:val="center"/>
                </w:tcPr>
                <w:p w14:paraId="6240C6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5ED87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3BFAE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82" w:type="pct"/>
                  <w:vMerge w:val="continue"/>
                  <w:tcBorders>
                    <w:tl2br w:val="nil"/>
                    <w:tr2bl w:val="nil"/>
                  </w:tcBorders>
                  <w:vAlign w:val="center"/>
                </w:tcPr>
                <w:p w14:paraId="2235B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199B9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restart"/>
                  <w:tcBorders>
                    <w:tl2br w:val="nil"/>
                    <w:tr2bl w:val="nil"/>
                  </w:tcBorders>
                  <w:vAlign w:val="center"/>
                </w:tcPr>
                <w:p w14:paraId="659BAC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25" w:type="pct"/>
                  <w:tcBorders>
                    <w:tl2br w:val="nil"/>
                    <w:tr2bl w:val="nil"/>
                  </w:tcBorders>
                  <w:vAlign w:val="center"/>
                </w:tcPr>
                <w:p w14:paraId="5396CA1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严格管控类农用地管控要求</w:t>
                  </w:r>
                </w:p>
              </w:tc>
              <w:tc>
                <w:tcPr>
                  <w:tcW w:w="2336" w:type="pct"/>
                  <w:tcBorders>
                    <w:tl2br w:val="nil"/>
                    <w:tr2bl w:val="nil"/>
                  </w:tcBorders>
                  <w:vAlign w:val="center"/>
                </w:tcPr>
                <w:p w14:paraId="03DFCA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cs="Times New Roman"/>
                      <w:color w:val="auto"/>
                      <w:spacing w:val="-4"/>
                      <w:sz w:val="18"/>
                      <w:szCs w:val="18"/>
                      <w:lang w:val="en-US" w:eastAsia="zh-CN"/>
                    </w:rPr>
                  </w:pPr>
                  <w:r>
                    <w:rPr>
                      <w:rFonts w:hint="eastAsia" w:cs="Times New Roman"/>
                      <w:color w:val="auto"/>
                      <w:spacing w:val="-4"/>
                      <w:sz w:val="18"/>
                      <w:szCs w:val="18"/>
                      <w:lang w:val="en-US" w:eastAsia="zh-CN"/>
                    </w:rPr>
                    <w:t>1、工程建设要进行严格的地质灾害评价；停止一切不合理的建设活动，并采取各种措施积极恢复与改善生态环境。</w:t>
                  </w:r>
                </w:p>
                <w:p w14:paraId="380B68F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pacing w:val="-4"/>
                      <w:sz w:val="18"/>
                      <w:szCs w:val="18"/>
                      <w:lang w:val="en-US" w:eastAsia="zh-CN"/>
                    </w:rPr>
                    <w:t>2、其他要求执行城镇重点管控单元普适性管控要求。</w:t>
                  </w:r>
                </w:p>
              </w:tc>
              <w:tc>
                <w:tcPr>
                  <w:tcW w:w="757" w:type="pct"/>
                  <w:tcBorders>
                    <w:tl2br w:val="nil"/>
                    <w:tr2bl w:val="nil"/>
                  </w:tcBorders>
                  <w:vAlign w:val="center"/>
                </w:tcPr>
                <w:p w14:paraId="0AEE1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5E59B3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73EB5C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82" w:type="pct"/>
                  <w:vMerge w:val="continue"/>
                  <w:tcBorders>
                    <w:tl2br w:val="nil"/>
                    <w:tr2bl w:val="nil"/>
                  </w:tcBorders>
                  <w:vAlign w:val="center"/>
                </w:tcPr>
                <w:p w14:paraId="323D4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7612E9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5E2F67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0CDD1A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安全利用类农用地管控要求</w:t>
                  </w:r>
                </w:p>
              </w:tc>
              <w:tc>
                <w:tcPr>
                  <w:tcW w:w="2336" w:type="pct"/>
                  <w:tcBorders>
                    <w:tl2br w:val="nil"/>
                    <w:tr2bl w:val="nil"/>
                  </w:tcBorders>
                  <w:vAlign w:val="center"/>
                </w:tcPr>
                <w:p w14:paraId="2B86FA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cs="Times New Roman"/>
                      <w:color w:val="auto"/>
                      <w:spacing w:val="-4"/>
                      <w:sz w:val="18"/>
                      <w:szCs w:val="18"/>
                      <w:lang w:val="en-US" w:eastAsia="zh-CN"/>
                    </w:rPr>
                  </w:pPr>
                  <w:r>
                    <w:rPr>
                      <w:rFonts w:hint="eastAsia" w:cs="Times New Roman"/>
                      <w:color w:val="auto"/>
                      <w:spacing w:val="-4"/>
                      <w:sz w:val="18"/>
                      <w:szCs w:val="18"/>
                      <w:lang w:val="en-US" w:eastAsia="zh-CN"/>
                    </w:rPr>
                    <w:t>1、工程建设要进行严格的地质灾害评价；停止一切不合理的建设活动，并采取各种措施积极恢复与改善生态环境。</w:t>
                  </w:r>
                </w:p>
                <w:p w14:paraId="58D54F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2、其他要求执行城镇重点管控单元普适性管控要求。</w:t>
                  </w:r>
                </w:p>
              </w:tc>
              <w:tc>
                <w:tcPr>
                  <w:tcW w:w="757" w:type="pct"/>
                  <w:tcBorders>
                    <w:tl2br w:val="nil"/>
                    <w:tr2bl w:val="nil"/>
                  </w:tcBorders>
                  <w:vAlign w:val="center"/>
                </w:tcPr>
                <w:p w14:paraId="7FA83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371DC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B17B3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82" w:type="pct"/>
                  <w:vMerge w:val="continue"/>
                  <w:tcBorders>
                    <w:tl2br w:val="nil"/>
                    <w:tr2bl w:val="nil"/>
                  </w:tcBorders>
                  <w:vAlign w:val="center"/>
                </w:tcPr>
                <w:p w14:paraId="300D7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4599C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16DD47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3E90E8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污染地块管控要求</w:t>
                  </w:r>
                </w:p>
              </w:tc>
              <w:tc>
                <w:tcPr>
                  <w:tcW w:w="2336" w:type="pct"/>
                  <w:tcBorders>
                    <w:tl2br w:val="nil"/>
                    <w:tr2bl w:val="nil"/>
                  </w:tcBorders>
                  <w:vAlign w:val="center"/>
                </w:tcPr>
                <w:p w14:paraId="6EECC2C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cs="Times New Roman"/>
                      <w:color w:val="auto"/>
                      <w:spacing w:val="-4"/>
                      <w:sz w:val="18"/>
                      <w:szCs w:val="18"/>
                      <w:lang w:val="en-US" w:eastAsia="zh-CN"/>
                    </w:rPr>
                  </w:pPr>
                  <w:r>
                    <w:rPr>
                      <w:rFonts w:hint="eastAsia" w:cs="Times New Roman"/>
                      <w:color w:val="auto"/>
                      <w:spacing w:val="-4"/>
                      <w:sz w:val="18"/>
                      <w:szCs w:val="18"/>
                      <w:lang w:val="en-US" w:eastAsia="zh-CN"/>
                    </w:rPr>
                    <w:t>1、工程建设要进行严格的地质灾害评价；停止一切不合理的建设活动，并采取各种措施积极恢复与改善生态环境。</w:t>
                  </w:r>
                </w:p>
                <w:p w14:paraId="5D91D4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2、其他要求执行城镇重点管控单元普适性管控要求。</w:t>
                  </w:r>
                </w:p>
              </w:tc>
              <w:tc>
                <w:tcPr>
                  <w:tcW w:w="757" w:type="pct"/>
                  <w:tcBorders>
                    <w:tl2br w:val="nil"/>
                    <w:tr2bl w:val="nil"/>
                  </w:tcBorders>
                  <w:vAlign w:val="center"/>
                </w:tcPr>
                <w:p w14:paraId="35F9F8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121C9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41CEC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82" w:type="pct"/>
                  <w:vMerge w:val="continue"/>
                  <w:tcBorders>
                    <w:tl2br w:val="nil"/>
                    <w:tr2bl w:val="nil"/>
                  </w:tcBorders>
                  <w:vAlign w:val="center"/>
                </w:tcPr>
                <w:p w14:paraId="4B075E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249" w:type="pct"/>
                  <w:vMerge w:val="continue"/>
                  <w:tcBorders>
                    <w:tl2br w:val="nil"/>
                    <w:tr2bl w:val="nil"/>
                  </w:tcBorders>
                  <w:vAlign w:val="center"/>
                </w:tcPr>
                <w:p w14:paraId="617515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284" w:type="pct"/>
                  <w:vMerge w:val="continue"/>
                  <w:tcBorders>
                    <w:tl2br w:val="nil"/>
                    <w:tr2bl w:val="nil"/>
                  </w:tcBorders>
                  <w:vAlign w:val="center"/>
                </w:tcPr>
                <w:p w14:paraId="37B546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325" w:type="pct"/>
                  <w:tcBorders>
                    <w:tl2br w:val="nil"/>
                    <w:tr2bl w:val="nil"/>
                  </w:tcBorders>
                  <w:vAlign w:val="center"/>
                </w:tcPr>
                <w:p w14:paraId="6D3A1B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企业环境风险防控要求</w:t>
                  </w:r>
                </w:p>
              </w:tc>
              <w:tc>
                <w:tcPr>
                  <w:tcW w:w="2336" w:type="pct"/>
                  <w:tcBorders>
                    <w:tl2br w:val="nil"/>
                    <w:tr2bl w:val="nil"/>
                  </w:tcBorders>
                  <w:vAlign w:val="center"/>
                </w:tcPr>
                <w:p w14:paraId="25511F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pacing w:val="-4"/>
                      <w:sz w:val="18"/>
                      <w:szCs w:val="18"/>
                      <w:lang w:val="en-US" w:eastAsia="zh-CN"/>
                    </w:rPr>
                    <w:t>执行城镇重点管控单元普适性管控要求。</w:t>
                  </w:r>
                </w:p>
              </w:tc>
              <w:tc>
                <w:tcPr>
                  <w:tcW w:w="757" w:type="pct"/>
                  <w:tcBorders>
                    <w:tl2br w:val="nil"/>
                    <w:tr2bl w:val="nil"/>
                  </w:tcBorders>
                  <w:vAlign w:val="center"/>
                </w:tcPr>
                <w:p w14:paraId="448AE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584444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0ADB53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2F93F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606906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restart"/>
                  <w:tcBorders>
                    <w:tl2br w:val="nil"/>
                    <w:tr2bl w:val="nil"/>
                  </w:tcBorders>
                  <w:vAlign w:val="center"/>
                </w:tcPr>
                <w:p w14:paraId="0EEBE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25" w:type="pct"/>
                  <w:tcBorders>
                    <w:tl2br w:val="nil"/>
                    <w:tr2bl w:val="nil"/>
                  </w:tcBorders>
                  <w:vAlign w:val="center"/>
                </w:tcPr>
                <w:p w14:paraId="06AE65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水资源利用效率要求</w:t>
                  </w:r>
                </w:p>
              </w:tc>
              <w:tc>
                <w:tcPr>
                  <w:tcW w:w="2336" w:type="pct"/>
                  <w:tcBorders>
                    <w:tl2br w:val="nil"/>
                    <w:tr2bl w:val="nil"/>
                  </w:tcBorders>
                  <w:vAlign w:val="center"/>
                </w:tcPr>
                <w:p w14:paraId="136C50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pacing w:val="-4"/>
                      <w:sz w:val="18"/>
                      <w:szCs w:val="18"/>
                      <w:lang w:val="en-US" w:eastAsia="zh-CN"/>
                    </w:rPr>
                    <w:t>执行城镇重点管控单元普适性管控要求。</w:t>
                  </w:r>
                </w:p>
              </w:tc>
              <w:tc>
                <w:tcPr>
                  <w:tcW w:w="757" w:type="pct"/>
                  <w:tcBorders>
                    <w:tl2br w:val="nil"/>
                    <w:tr2bl w:val="nil"/>
                  </w:tcBorders>
                  <w:vAlign w:val="center"/>
                </w:tcPr>
                <w:p w14:paraId="57D254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58C56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01998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0BA4A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3E823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06085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39CBC7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地下水开采要求</w:t>
                  </w:r>
                </w:p>
              </w:tc>
              <w:tc>
                <w:tcPr>
                  <w:tcW w:w="2336" w:type="pct"/>
                  <w:tcBorders>
                    <w:tl2br w:val="nil"/>
                    <w:tr2bl w:val="nil"/>
                  </w:tcBorders>
                  <w:vAlign w:val="center"/>
                </w:tcPr>
                <w:p w14:paraId="415154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pacing w:val="-4"/>
                      <w:sz w:val="18"/>
                      <w:szCs w:val="18"/>
                    </w:rPr>
                  </w:pPr>
                  <w:r>
                    <w:rPr>
                      <w:rFonts w:hint="eastAsia" w:cs="Times New Roman"/>
                      <w:color w:val="auto"/>
                      <w:spacing w:val="-4"/>
                      <w:sz w:val="18"/>
                      <w:szCs w:val="18"/>
                      <w:lang w:val="en-US" w:eastAsia="zh-CN"/>
                    </w:rPr>
                    <w:t>执行城镇重点管控单元普适性管控要求。</w:t>
                  </w:r>
                </w:p>
              </w:tc>
              <w:tc>
                <w:tcPr>
                  <w:tcW w:w="757" w:type="pct"/>
                  <w:tcBorders>
                    <w:tl2br w:val="nil"/>
                    <w:tr2bl w:val="nil"/>
                  </w:tcBorders>
                  <w:vAlign w:val="center"/>
                </w:tcPr>
                <w:p w14:paraId="01B92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3A937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9BB95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2" w:type="pct"/>
                  <w:vMerge w:val="continue"/>
                  <w:tcBorders>
                    <w:tl2br w:val="nil"/>
                    <w:tr2bl w:val="nil"/>
                  </w:tcBorders>
                  <w:vAlign w:val="center"/>
                </w:tcPr>
                <w:p w14:paraId="654D8D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49" w:type="pct"/>
                  <w:vMerge w:val="continue"/>
                  <w:tcBorders>
                    <w:tl2br w:val="nil"/>
                    <w:tr2bl w:val="nil"/>
                  </w:tcBorders>
                  <w:vAlign w:val="center"/>
                </w:tcPr>
                <w:p w14:paraId="6389CA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84" w:type="pct"/>
                  <w:vMerge w:val="continue"/>
                  <w:tcBorders>
                    <w:tl2br w:val="nil"/>
                    <w:tr2bl w:val="nil"/>
                  </w:tcBorders>
                  <w:vAlign w:val="center"/>
                </w:tcPr>
                <w:p w14:paraId="5EA298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5" w:type="pct"/>
                  <w:tcBorders>
                    <w:tl2br w:val="nil"/>
                    <w:tr2bl w:val="nil"/>
                  </w:tcBorders>
                  <w:vAlign w:val="center"/>
                </w:tcPr>
                <w:p w14:paraId="4C6CB11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4"/>
                      <w:sz w:val="18"/>
                      <w:szCs w:val="18"/>
                    </w:rPr>
                    <w:t>能源利用效率要求</w:t>
                  </w:r>
                </w:p>
              </w:tc>
              <w:tc>
                <w:tcPr>
                  <w:tcW w:w="2336" w:type="pct"/>
                  <w:tcBorders>
                    <w:tl2br w:val="nil"/>
                    <w:tr2bl w:val="nil"/>
                  </w:tcBorders>
                  <w:vAlign w:val="center"/>
                </w:tcPr>
                <w:p w14:paraId="7B8B631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pacing w:val="-4"/>
                      <w:sz w:val="18"/>
                      <w:szCs w:val="18"/>
                      <w:lang w:val="en-US" w:eastAsia="zh-CN"/>
                    </w:rPr>
                    <w:t>执行城镇重点管控单元普适性管控要求。</w:t>
                  </w:r>
                </w:p>
              </w:tc>
              <w:tc>
                <w:tcPr>
                  <w:tcW w:w="757" w:type="pct"/>
                  <w:tcBorders>
                    <w:tl2br w:val="nil"/>
                    <w:tr2bl w:val="nil"/>
                  </w:tcBorders>
                  <w:vAlign w:val="center"/>
                </w:tcPr>
                <w:p w14:paraId="7E026D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满足巴中市</w:t>
                  </w:r>
                  <w:r>
                    <w:rPr>
                      <w:rFonts w:hint="default" w:ascii="Times New Roman" w:hAnsi="Times New Roman" w:cs="Times New Roman"/>
                      <w:color w:val="auto"/>
                      <w:sz w:val="18"/>
                      <w:szCs w:val="18"/>
                      <w:highlight w:val="none"/>
                    </w:rPr>
                    <w:t>城镇重点管控单元普适性管控要求。</w:t>
                  </w:r>
                </w:p>
              </w:tc>
              <w:tc>
                <w:tcPr>
                  <w:tcW w:w="264" w:type="pct"/>
                  <w:tcBorders>
                    <w:tl2br w:val="nil"/>
                    <w:tr2bl w:val="nil"/>
                  </w:tcBorders>
                  <w:vAlign w:val="center"/>
                </w:tcPr>
                <w:p w14:paraId="2AF8B4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bl>
          <w:p w14:paraId="7182C7E7">
            <w:pPr>
              <w:tabs>
                <w:tab w:val="left" w:pos="3240"/>
              </w:tabs>
              <w:wordWrap w:val="0"/>
              <w:jc w:val="center"/>
              <w:rPr>
                <w:rFonts w:hint="eastAsia" w:ascii="黑体" w:hAnsi="黑体" w:eastAsia="黑体" w:cs="黑体"/>
                <w:b w:val="0"/>
                <w:bCs w:val="0"/>
                <w:color w:val="auto"/>
                <w:kern w:val="0"/>
                <w:sz w:val="21"/>
                <w:szCs w:val="21"/>
              </w:rPr>
            </w:pPr>
            <w:r>
              <w:rPr>
                <w:rFonts w:eastAsia="黑体"/>
                <w:color w:val="auto"/>
                <w:szCs w:val="21"/>
              </w:rPr>
              <w:t>表1-</w:t>
            </w:r>
            <w:r>
              <w:rPr>
                <w:rFonts w:hint="eastAsia" w:eastAsia="黑体"/>
                <w:color w:val="auto"/>
                <w:szCs w:val="21"/>
                <w:lang w:val="en-US" w:eastAsia="zh-CN"/>
              </w:rPr>
              <w:t>11</w:t>
            </w:r>
            <w:r>
              <w:rPr>
                <w:rFonts w:eastAsia="黑体"/>
                <w:color w:val="auto"/>
                <w:szCs w:val="21"/>
              </w:rPr>
              <w:t xml:space="preserve">  </w:t>
            </w:r>
            <w:r>
              <w:rPr>
                <w:rFonts w:hint="eastAsia" w:eastAsia="黑体"/>
                <w:color w:val="auto"/>
                <w:szCs w:val="21"/>
              </w:rPr>
              <w:t>南江县</w:t>
            </w:r>
            <w:r>
              <w:rPr>
                <w:rFonts w:hint="eastAsia" w:eastAsia="黑体"/>
                <w:color w:val="auto"/>
                <w:szCs w:val="21"/>
                <w:lang w:val="en-US" w:eastAsia="zh-CN"/>
              </w:rPr>
              <w:t>一般管控单元</w:t>
            </w:r>
            <w:r>
              <w:rPr>
                <w:rFonts w:hint="eastAsia" w:ascii="黑体" w:hAnsi="黑体" w:eastAsia="黑体" w:cs="黑体"/>
                <w:b w:val="0"/>
                <w:bCs w:val="0"/>
                <w:color w:val="auto"/>
                <w:kern w:val="0"/>
                <w:sz w:val="21"/>
                <w:szCs w:val="21"/>
              </w:rPr>
              <w:t>生态环境准入清单符合性分析表</w:t>
            </w:r>
          </w:p>
          <w:tbl>
            <w:tblPr>
              <w:tblStyle w:val="25"/>
              <w:tblW w:w="497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5"/>
              <w:gridCol w:w="708"/>
              <w:gridCol w:w="620"/>
              <w:gridCol w:w="793"/>
              <w:gridCol w:w="5680"/>
              <w:gridCol w:w="1832"/>
              <w:gridCol w:w="633"/>
            </w:tblGrid>
            <w:tr w14:paraId="1FE53B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986" w:type="pct"/>
                  <w:gridSpan w:val="5"/>
                  <w:tcBorders>
                    <w:tl2br w:val="nil"/>
                    <w:tr2bl w:val="nil"/>
                  </w:tcBorders>
                  <w:vAlign w:val="center"/>
                </w:tcPr>
                <w:p w14:paraId="223B77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eastAsia="zh-CN"/>
                    </w:rPr>
                    <w:t>生态环境分区管控</w:t>
                  </w:r>
                  <w:r>
                    <w:rPr>
                      <w:rFonts w:hint="default" w:ascii="Times New Roman" w:hAnsi="Times New Roman" w:cs="Times New Roman"/>
                      <w:color w:val="auto"/>
                      <w:sz w:val="18"/>
                      <w:szCs w:val="18"/>
                      <w:highlight w:val="none"/>
                    </w:rPr>
                    <w:t>的具体要求</w:t>
                  </w:r>
                </w:p>
              </w:tc>
              <w:tc>
                <w:tcPr>
                  <w:tcW w:w="753" w:type="pct"/>
                  <w:vMerge w:val="restart"/>
                  <w:tcBorders>
                    <w:tl2br w:val="nil"/>
                    <w:tr2bl w:val="nil"/>
                  </w:tcBorders>
                  <w:vAlign w:val="center"/>
                </w:tcPr>
                <w:p w14:paraId="5B46FC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对应情况</w:t>
                  </w:r>
                  <w:r>
                    <w:rPr>
                      <w:rFonts w:hint="default" w:ascii="Times New Roman" w:hAnsi="Times New Roman" w:cs="Times New Roman"/>
                      <w:color w:val="auto"/>
                      <w:sz w:val="18"/>
                      <w:szCs w:val="18"/>
                      <w:highlight w:val="none"/>
                      <w:lang w:val="en-US" w:eastAsia="zh-CN"/>
                    </w:rPr>
                    <w:t>分析</w:t>
                  </w:r>
                </w:p>
              </w:tc>
              <w:tc>
                <w:tcPr>
                  <w:tcW w:w="260" w:type="pct"/>
                  <w:vMerge w:val="restart"/>
                  <w:tcBorders>
                    <w:tl2br w:val="nil"/>
                    <w:tr2bl w:val="nil"/>
                  </w:tcBorders>
                  <w:vAlign w:val="center"/>
                </w:tcPr>
                <w:p w14:paraId="75514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符合性分析</w:t>
                  </w:r>
                </w:p>
              </w:tc>
            </w:tr>
            <w:tr w14:paraId="3E8FD4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5" w:type="pct"/>
                  <w:gridSpan w:val="3"/>
                  <w:tcBorders>
                    <w:tl2br w:val="nil"/>
                    <w:tr2bl w:val="nil"/>
                  </w:tcBorders>
                  <w:vAlign w:val="center"/>
                </w:tcPr>
                <w:p w14:paraId="20F3D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类别</w:t>
                  </w:r>
                </w:p>
              </w:tc>
              <w:tc>
                <w:tcPr>
                  <w:tcW w:w="326" w:type="pct"/>
                  <w:tcBorders>
                    <w:tl2br w:val="nil"/>
                    <w:tr2bl w:val="nil"/>
                  </w:tcBorders>
                  <w:vAlign w:val="center"/>
                </w:tcPr>
                <w:p w14:paraId="71EEE5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清单编制要求</w:t>
                  </w:r>
                </w:p>
              </w:tc>
              <w:tc>
                <w:tcPr>
                  <w:tcW w:w="2335" w:type="pct"/>
                  <w:tcBorders>
                    <w:tl2br w:val="nil"/>
                    <w:tr2bl w:val="nil"/>
                  </w:tcBorders>
                  <w:vAlign w:val="center"/>
                </w:tcPr>
                <w:p w14:paraId="2BF85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对应管控要求</w:t>
                  </w:r>
                </w:p>
              </w:tc>
              <w:tc>
                <w:tcPr>
                  <w:tcW w:w="753" w:type="pct"/>
                  <w:vMerge w:val="continue"/>
                  <w:tcBorders>
                    <w:tl2br w:val="nil"/>
                    <w:tr2bl w:val="nil"/>
                  </w:tcBorders>
                  <w:vAlign w:val="center"/>
                </w:tcPr>
                <w:p w14:paraId="5BDC0B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60" w:type="pct"/>
                  <w:vMerge w:val="continue"/>
                  <w:tcBorders>
                    <w:tl2br w:val="nil"/>
                    <w:tr2bl w:val="nil"/>
                  </w:tcBorders>
                  <w:vAlign w:val="center"/>
                </w:tcPr>
                <w:p w14:paraId="0DEE3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r>
            <w:tr w14:paraId="6FAF40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restart"/>
                  <w:tcBorders>
                    <w:tl2br w:val="nil"/>
                    <w:tr2bl w:val="nil"/>
                  </w:tcBorders>
                  <w:vAlign w:val="center"/>
                </w:tcPr>
                <w:p w14:paraId="62F00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b w:val="0"/>
                      <w:bCs w:val="0"/>
                      <w:color w:val="auto"/>
                      <w:sz w:val="18"/>
                      <w:szCs w:val="18"/>
                      <w:highlight w:val="none"/>
                      <w:lang w:val="en-US" w:eastAsia="zh-CN"/>
                    </w:rPr>
                    <w:t>南江县一般管控单元（</w:t>
                  </w:r>
                  <w:r>
                    <w:rPr>
                      <w:rStyle w:val="27"/>
                      <w:rFonts w:hint="default" w:ascii="Times New Roman" w:hAnsi="Times New Roman" w:eastAsia="宋体" w:cs="Times New Roman"/>
                      <w:b w:val="0"/>
                      <w:bCs w:val="0"/>
                      <w:kern w:val="2"/>
                      <w:sz w:val="18"/>
                      <w:szCs w:val="18"/>
                      <w:highlight w:val="none"/>
                      <w:lang w:val="en-US" w:eastAsia="zh-CN" w:bidi="ar-SA"/>
                    </w:rPr>
                    <w:t>ZH51192230001</w:t>
                  </w:r>
                  <w:r>
                    <w:rPr>
                      <w:rFonts w:hint="eastAsia" w:cs="Times New Roman"/>
                      <w:b w:val="0"/>
                      <w:bCs w:val="0"/>
                      <w:color w:val="auto"/>
                      <w:sz w:val="18"/>
                      <w:szCs w:val="18"/>
                      <w:highlight w:val="none"/>
                      <w:lang w:val="en-US" w:eastAsia="zh-CN"/>
                    </w:rPr>
                    <w:t>）</w:t>
                  </w:r>
                </w:p>
              </w:tc>
              <w:tc>
                <w:tcPr>
                  <w:tcW w:w="291" w:type="pct"/>
                  <w:vMerge w:val="restart"/>
                  <w:tcBorders>
                    <w:tl2br w:val="nil"/>
                    <w:tr2bl w:val="nil"/>
                  </w:tcBorders>
                  <w:vAlign w:val="center"/>
                </w:tcPr>
                <w:p w14:paraId="32F8A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市州</w:t>
                  </w:r>
                  <w:r>
                    <w:rPr>
                      <w:rFonts w:hint="default" w:ascii="Times New Roman" w:hAnsi="Times New Roman" w:cs="Times New Roman"/>
                      <w:color w:val="auto"/>
                      <w:sz w:val="18"/>
                      <w:szCs w:val="18"/>
                      <w:highlight w:val="none"/>
                    </w:rPr>
                    <w:t>普适性清单</w:t>
                  </w:r>
                </w:p>
              </w:tc>
              <w:tc>
                <w:tcPr>
                  <w:tcW w:w="254" w:type="pct"/>
                  <w:vMerge w:val="restart"/>
                  <w:tcBorders>
                    <w:tl2br w:val="nil"/>
                    <w:tr2bl w:val="nil"/>
                  </w:tcBorders>
                  <w:vAlign w:val="center"/>
                </w:tcPr>
                <w:p w14:paraId="1680ED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26" w:type="pct"/>
                  <w:tcBorders>
                    <w:tl2br w:val="nil"/>
                    <w:tr2bl w:val="nil"/>
                  </w:tcBorders>
                  <w:vAlign w:val="center"/>
                </w:tcPr>
                <w:p w14:paraId="31582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35" w:type="pct"/>
                  <w:tcBorders>
                    <w:tl2br w:val="nil"/>
                    <w:tr2bl w:val="nil"/>
                  </w:tcBorders>
                  <w:vAlign w:val="center"/>
                </w:tcPr>
                <w:p w14:paraId="5E4151B2">
                  <w:pPr>
                    <w:keepNext w:val="0"/>
                    <w:keepLines w:val="0"/>
                    <w:pageBreakBefore w:val="0"/>
                    <w:widowControl w:val="0"/>
                    <w:numPr>
                      <w:ilvl w:val="0"/>
                      <w:numId w:val="2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禁止在长江干支流岸线一公里范围内新建、扩建化工园区和化工项目。</w:t>
                  </w:r>
                </w:p>
                <w:p w14:paraId="6758D166">
                  <w:pPr>
                    <w:keepNext w:val="0"/>
                    <w:keepLines w:val="0"/>
                    <w:pageBreakBefore w:val="0"/>
                    <w:widowControl w:val="0"/>
                    <w:numPr>
                      <w:ilvl w:val="0"/>
                      <w:numId w:val="2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禁止在长江干流岸线三公里范围内和重要支流岸线一公里范围内新建、改建、扩建尾矿库、冶炼渣库、磷石膏库，以提升安全、生态环境保护水平为目的的改建除外。</w:t>
                  </w:r>
                </w:p>
                <w:p w14:paraId="4F83EC9E">
                  <w:pPr>
                    <w:keepNext w:val="0"/>
                    <w:keepLines w:val="0"/>
                    <w:pageBreakBefore w:val="0"/>
                    <w:widowControl w:val="0"/>
                    <w:numPr>
                      <w:ilvl w:val="0"/>
                      <w:numId w:val="2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禁止在法律法规规定的禁采区内开采矿产；禁止土法采、选、冶严重污染环境的矿产资源。</w:t>
                  </w:r>
                </w:p>
                <w:p w14:paraId="4DCBFBAB">
                  <w:pPr>
                    <w:keepNext w:val="0"/>
                    <w:keepLines w:val="0"/>
                    <w:pageBreakBefore w:val="0"/>
                    <w:widowControl w:val="0"/>
                    <w:numPr>
                      <w:ilvl w:val="0"/>
                      <w:numId w:val="2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禁止在长江流域河湖管理范围内倾倒、填埋、堆放、弃置、处理固体废物。</w:t>
                  </w:r>
                </w:p>
                <w:p w14:paraId="4EDF7D5F">
                  <w:pPr>
                    <w:keepNext w:val="0"/>
                    <w:keepLines w:val="0"/>
                    <w:pageBreakBefore w:val="0"/>
                    <w:widowControl w:val="0"/>
                    <w:numPr>
                      <w:ilvl w:val="0"/>
                      <w:numId w:val="2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pacing w:val="-1"/>
                      <w:kern w:val="2"/>
                      <w:sz w:val="18"/>
                      <w:szCs w:val="18"/>
                      <w:lang w:val="en-US" w:eastAsia="zh-CN" w:bidi="ar-SA"/>
                    </w:rPr>
                  </w:pPr>
                  <w:r>
                    <w:rPr>
                      <w:rFonts w:hint="eastAsia" w:ascii="Times New Roman" w:hAnsi="Times New Roman" w:eastAsia="宋体" w:cs="Times New Roman"/>
                      <w:color w:val="auto"/>
                      <w:spacing w:val="-1"/>
                      <w:kern w:val="2"/>
                      <w:sz w:val="18"/>
                      <w:szCs w:val="18"/>
                      <w:lang w:val="en-US" w:eastAsia="zh-CN" w:bidi="ar-SA"/>
                    </w:rPr>
                    <w:t>对全部基本农田按禁止开发的要求进行管理。涉及基本农田的区域，除法律规定的重点建设项目选址确实无法避让外，其他任何建设不得占用。</w:t>
                  </w:r>
                </w:p>
                <w:p w14:paraId="7F3C9141">
                  <w:pPr>
                    <w:keepNext w:val="0"/>
                    <w:keepLines w:val="0"/>
                    <w:pageBreakBefore w:val="0"/>
                    <w:widowControl w:val="0"/>
                    <w:numPr>
                      <w:ilvl w:val="0"/>
                      <w:numId w:val="2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pacing w:val="-1"/>
                      <w:kern w:val="2"/>
                      <w:sz w:val="18"/>
                      <w:szCs w:val="18"/>
                      <w:lang w:val="en-US" w:eastAsia="zh-CN" w:bidi="ar-SA"/>
                    </w:rPr>
                    <w:t>禁止在永久基本农田集中区域和其他需要特别保护的区域选址建设尾矿库、冶炼渣库、磷石膏库。</w:t>
                  </w:r>
                </w:p>
              </w:tc>
              <w:tc>
                <w:tcPr>
                  <w:tcW w:w="753" w:type="pct"/>
                  <w:tcBorders>
                    <w:tl2br w:val="nil"/>
                    <w:tr2bl w:val="nil"/>
                  </w:tcBorders>
                  <w:vAlign w:val="center"/>
                </w:tcPr>
                <w:p w14:paraId="6387EA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本项目属于电力基础设施建设项目，为鼓励类项目，</w:t>
                  </w:r>
                  <w:r>
                    <w:rPr>
                      <w:rFonts w:hint="eastAsia" w:cs="Times New Roman"/>
                      <w:color w:val="auto"/>
                      <w:sz w:val="18"/>
                      <w:szCs w:val="18"/>
                      <w:highlight w:val="none"/>
                      <w:lang w:val="en-US" w:eastAsia="zh-CN"/>
                    </w:rPr>
                    <w:t>不涉及</w:t>
                  </w:r>
                  <w:r>
                    <w:rPr>
                      <w:rFonts w:hint="eastAsia" w:ascii="Times New Roman" w:hAnsi="Times New Roman" w:eastAsia="宋体" w:cs="Times New Roman"/>
                      <w:color w:val="auto"/>
                      <w:spacing w:val="-1"/>
                      <w:kern w:val="2"/>
                      <w:sz w:val="18"/>
                      <w:szCs w:val="18"/>
                      <w:lang w:val="en-US" w:eastAsia="zh-CN" w:bidi="ar-SA"/>
                    </w:rPr>
                    <w:t>新建、扩建化工园区和化工项目</w:t>
                  </w:r>
                  <w:r>
                    <w:rPr>
                      <w:rFonts w:hint="eastAsia" w:cs="Times New Roman"/>
                      <w:color w:val="auto"/>
                      <w:spacing w:val="-1"/>
                      <w:kern w:val="2"/>
                      <w:sz w:val="18"/>
                      <w:szCs w:val="18"/>
                      <w:lang w:val="en-US" w:eastAsia="zh-CN" w:bidi="ar-SA"/>
                    </w:rPr>
                    <w:t>，</w:t>
                  </w:r>
                  <w:r>
                    <w:rPr>
                      <w:rFonts w:hint="default" w:ascii="Times New Roman" w:hAnsi="Times New Roman" w:cs="Times New Roman"/>
                      <w:color w:val="auto"/>
                      <w:sz w:val="18"/>
                      <w:szCs w:val="18"/>
                      <w:highlight w:val="none"/>
                    </w:rPr>
                    <w:t>不属于</w:t>
                  </w:r>
                  <w:r>
                    <w:rPr>
                      <w:rFonts w:hint="eastAsia" w:cs="Times New Roman"/>
                      <w:color w:val="auto"/>
                      <w:sz w:val="18"/>
                      <w:szCs w:val="18"/>
                      <w:highlight w:val="none"/>
                      <w:lang w:val="en-US" w:eastAsia="zh-CN"/>
                    </w:rPr>
                    <w:t>矿山</w:t>
                  </w:r>
                  <w:r>
                    <w:rPr>
                      <w:rFonts w:hint="default" w:ascii="Times New Roman" w:hAnsi="Times New Roman" w:cs="Times New Roman"/>
                      <w:color w:val="auto"/>
                      <w:sz w:val="18"/>
                      <w:szCs w:val="18"/>
                      <w:highlight w:val="none"/>
                    </w:rPr>
                    <w:t>、化工</w:t>
                  </w:r>
                  <w:r>
                    <w:rPr>
                      <w:rFonts w:hint="eastAsia" w:cs="Times New Roman"/>
                      <w:color w:val="auto"/>
                      <w:sz w:val="18"/>
                      <w:szCs w:val="18"/>
                      <w:highlight w:val="none"/>
                      <w:lang w:eastAsia="zh-CN"/>
                    </w:rPr>
                    <w:t>、尾矿库、冶炼渣库、磷石膏库、</w:t>
                  </w:r>
                  <w:r>
                    <w:rPr>
                      <w:rFonts w:hint="eastAsia" w:cs="Times New Roman"/>
                      <w:color w:val="auto"/>
                      <w:sz w:val="18"/>
                      <w:szCs w:val="18"/>
                      <w:highlight w:val="none"/>
                      <w:lang w:val="en-US" w:eastAsia="zh-CN"/>
                    </w:rPr>
                    <w:t>畜禽养殖</w:t>
                  </w:r>
                  <w:r>
                    <w:rPr>
                      <w:rFonts w:hint="default" w:ascii="Times New Roman" w:hAnsi="Times New Roman" w:cs="Times New Roman"/>
                      <w:color w:val="auto"/>
                      <w:sz w:val="18"/>
                      <w:szCs w:val="18"/>
                      <w:highlight w:val="none"/>
                    </w:rPr>
                    <w:t>项目，不在长江流域河湖管理范围内倾倒、填埋、堆放、弃置、处理固体废物。</w:t>
                  </w:r>
                </w:p>
              </w:tc>
              <w:tc>
                <w:tcPr>
                  <w:tcW w:w="260" w:type="pct"/>
                  <w:tcBorders>
                    <w:tl2br w:val="nil"/>
                    <w:tr2bl w:val="nil"/>
                  </w:tcBorders>
                  <w:vAlign w:val="center"/>
                </w:tcPr>
                <w:p w14:paraId="1621C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60042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3F5280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3E9E76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61BFB9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2BB3B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限制开发建设活动的要求</w:t>
                  </w:r>
                </w:p>
              </w:tc>
              <w:tc>
                <w:tcPr>
                  <w:tcW w:w="2335" w:type="pct"/>
                  <w:tcBorders>
                    <w:tl2br w:val="nil"/>
                    <w:tr2bl w:val="nil"/>
                  </w:tcBorders>
                  <w:vAlign w:val="center"/>
                </w:tcPr>
                <w:p w14:paraId="4ECDC1E6">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涉及法定保护地，严格按照国家及地方法律法规、管理办法等相关要求进行控制。配套旅游、基础设施等建设项目，在符合规划和相关保护要求的前提下，应实施生态避让、减缓影响及生态恢复措施。</w:t>
                  </w:r>
                </w:p>
                <w:p w14:paraId="5361BAA0">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按照相关要求严控水泥新增产能。</w:t>
                  </w:r>
                </w:p>
                <w:p w14:paraId="55EC5D9E">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因地制宜地发展适宜产业，在不损害生态系统功能的前提下，适度发展旅游、农林牧产品生产和加工、生态农业、休闲农业等产业；</w:t>
                  </w:r>
                </w:p>
                <w:p w14:paraId="21D4BDF4">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严格控制非农业建设占用农用地。</w:t>
                  </w:r>
                </w:p>
                <w:p w14:paraId="3D6870B3">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6ADCBA83">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68112081">
                  <w:pPr>
                    <w:keepNext w:val="0"/>
                    <w:keepLines w:val="0"/>
                    <w:pageBreakBefore w:val="0"/>
                    <w:widowControl w:val="0"/>
                    <w:numPr>
                      <w:ilvl w:val="0"/>
                      <w:numId w:val="21"/>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w:t>
                  </w:r>
                </w:p>
              </w:tc>
              <w:tc>
                <w:tcPr>
                  <w:tcW w:w="753" w:type="pct"/>
                  <w:tcBorders>
                    <w:tl2br w:val="nil"/>
                    <w:tr2bl w:val="nil"/>
                  </w:tcBorders>
                  <w:vAlign w:val="center"/>
                </w:tcPr>
                <w:p w14:paraId="47395E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不属于限制开发建设的项目</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788B37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3C6D5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174BF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91" w:type="pct"/>
                  <w:vMerge w:val="continue"/>
                  <w:tcBorders>
                    <w:tl2br w:val="nil"/>
                    <w:tr2bl w:val="nil"/>
                  </w:tcBorders>
                  <w:vAlign w:val="center"/>
                </w:tcPr>
                <w:p w14:paraId="2ED6A0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54" w:type="pct"/>
                  <w:vMerge w:val="continue"/>
                  <w:tcBorders>
                    <w:tl2br w:val="nil"/>
                    <w:tr2bl w:val="nil"/>
                  </w:tcBorders>
                  <w:vAlign w:val="center"/>
                </w:tcPr>
                <w:p w14:paraId="746ED7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26" w:type="pct"/>
                  <w:tcBorders>
                    <w:tl2br w:val="nil"/>
                    <w:tr2bl w:val="nil"/>
                  </w:tcBorders>
                  <w:vAlign w:val="center"/>
                </w:tcPr>
                <w:p w14:paraId="375A2C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不符合空间布局要求活动的退出要求</w:t>
                  </w:r>
                </w:p>
              </w:tc>
              <w:tc>
                <w:tcPr>
                  <w:tcW w:w="2335" w:type="pct"/>
                  <w:tcBorders>
                    <w:tl2br w:val="nil"/>
                    <w:tr2bl w:val="nil"/>
                  </w:tcBorders>
                  <w:vAlign w:val="center"/>
                </w:tcPr>
                <w:p w14:paraId="58A7DE7D">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全面取缔禁养区内规模化畜禽养殖场。</w:t>
                  </w:r>
                </w:p>
                <w:p w14:paraId="06E67A00">
                  <w:pPr>
                    <w:keepNext w:val="0"/>
                    <w:keepLines w:val="0"/>
                    <w:pageBreakBefore w:val="0"/>
                    <w:widowControl w:val="0"/>
                    <w:numPr>
                      <w:ilvl w:val="0"/>
                      <w:numId w:val="22"/>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针对现有水泥企业，强化污染治理和污染物减排，依法依规整治或搬迁。</w:t>
                  </w:r>
                </w:p>
              </w:tc>
              <w:tc>
                <w:tcPr>
                  <w:tcW w:w="753" w:type="pct"/>
                  <w:tcBorders>
                    <w:tl2br w:val="nil"/>
                    <w:tr2bl w:val="nil"/>
                  </w:tcBorders>
                  <w:vAlign w:val="center"/>
                </w:tcPr>
                <w:p w14:paraId="0ACBC3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不属于规模化畜禽养殖场</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水泥项目</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38F7F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9895C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597A9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3C24A5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restart"/>
                  <w:tcBorders>
                    <w:tl2br w:val="nil"/>
                    <w:tr2bl w:val="nil"/>
                  </w:tcBorders>
                  <w:vAlign w:val="center"/>
                </w:tcPr>
                <w:p w14:paraId="1A0E9D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26" w:type="pct"/>
                  <w:tcBorders>
                    <w:tl2br w:val="nil"/>
                    <w:tr2bl w:val="nil"/>
                  </w:tcBorders>
                  <w:vAlign w:val="center"/>
                </w:tcPr>
                <w:p w14:paraId="2BC182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现有源提标升级改造</w:t>
                  </w:r>
                </w:p>
              </w:tc>
              <w:tc>
                <w:tcPr>
                  <w:tcW w:w="2335" w:type="pct"/>
                  <w:tcBorders>
                    <w:tl2br w:val="nil"/>
                    <w:tr2bl w:val="nil"/>
                  </w:tcBorders>
                  <w:vAlign w:val="center"/>
                </w:tcPr>
                <w:p w14:paraId="1F419C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1、</w:t>
                  </w:r>
                  <w:r>
                    <w:rPr>
                      <w:rFonts w:hint="default" w:ascii="Times New Roman" w:hAnsi="Times New Roman" w:eastAsia="宋体" w:cs="Times New Roman"/>
                      <w:color w:val="auto"/>
                      <w:sz w:val="18"/>
                      <w:szCs w:val="18"/>
                      <w:highlight w:val="none"/>
                      <w:lang w:val="en-US" w:eastAsia="zh-CN"/>
                    </w:rPr>
                    <w:t>加快现有乡镇污水处理设施升级改造，按要求达《城镇污水处理厂污染物排放标准》一级A标后排放。</w:t>
                  </w:r>
                </w:p>
                <w:p w14:paraId="36F8EB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2、</w:t>
                  </w:r>
                  <w:r>
                    <w:rPr>
                      <w:rFonts w:hint="default" w:ascii="Times New Roman" w:hAnsi="Times New Roman" w:eastAsia="宋体" w:cs="Times New Roman"/>
                      <w:color w:val="auto"/>
                      <w:sz w:val="18"/>
                      <w:szCs w:val="18"/>
                      <w:highlight w:val="none"/>
                      <w:lang w:val="en-US" w:eastAsia="zh-CN"/>
                    </w:rPr>
                    <w:t>在矿产资源开发活动集中区域，废水执行重金属污染物排放特别限值。</w:t>
                  </w:r>
                </w:p>
                <w:p w14:paraId="11BB16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3、</w:t>
                  </w:r>
                  <w:r>
                    <w:rPr>
                      <w:rFonts w:hint="default" w:ascii="Times New Roman" w:hAnsi="Times New Roman" w:eastAsia="宋体" w:cs="Times New Roman"/>
                      <w:color w:val="auto"/>
                      <w:sz w:val="18"/>
                      <w:szCs w:val="18"/>
                      <w:highlight w:val="none"/>
                      <w:lang w:val="en-US" w:eastAsia="zh-CN"/>
                    </w:rPr>
                    <w:t>砖瓦行业实施脱硫、除尘升级改造，污染物排放达到《砖瓦工业大气污染物排放标准》相关要求。</w:t>
                  </w:r>
                </w:p>
                <w:p w14:paraId="4D2912A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4、</w:t>
                  </w:r>
                  <w:r>
                    <w:rPr>
                      <w:rFonts w:hint="default" w:ascii="Times New Roman" w:hAnsi="Times New Roman" w:eastAsia="宋体" w:cs="Times New Roman"/>
                      <w:color w:val="auto"/>
                      <w:sz w:val="18"/>
                      <w:szCs w:val="18"/>
                      <w:highlight w:val="none"/>
                      <w:lang w:val="en-US" w:eastAsia="zh-CN"/>
                    </w:rPr>
                    <w:t>火电、水泥等行业按相关要求推进大气污染物超低排放和深度治理。</w:t>
                  </w:r>
                </w:p>
                <w:p w14:paraId="1EB9DDB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5、</w:t>
                  </w:r>
                  <w:r>
                    <w:rPr>
                      <w:rFonts w:hint="default" w:ascii="Times New Roman" w:hAnsi="Times New Roman" w:eastAsia="宋体" w:cs="Times New Roman"/>
                      <w:color w:val="auto"/>
                      <w:sz w:val="18"/>
                      <w:szCs w:val="18"/>
                      <w:highlight w:val="none"/>
                      <w:lang w:val="en-US" w:eastAsia="zh-CN"/>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tc>
              <w:tc>
                <w:tcPr>
                  <w:tcW w:w="753" w:type="pct"/>
                  <w:tcBorders>
                    <w:tl2br w:val="nil"/>
                    <w:tr2bl w:val="nil"/>
                  </w:tcBorders>
                  <w:vAlign w:val="center"/>
                </w:tcPr>
                <w:p w14:paraId="13FD2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本项目属于电力基础设施建设项目，不属于</w:t>
                  </w:r>
                  <w:r>
                    <w:rPr>
                      <w:rFonts w:hint="eastAsia" w:cs="Times New Roman"/>
                      <w:color w:val="auto"/>
                      <w:sz w:val="18"/>
                      <w:szCs w:val="18"/>
                      <w:highlight w:val="none"/>
                      <w:lang w:val="en-US" w:eastAsia="zh-CN"/>
                    </w:rPr>
                    <w:t>矿产开发</w:t>
                  </w:r>
                  <w:r>
                    <w:rPr>
                      <w:rFonts w:hint="default" w:ascii="Times New Roman" w:hAnsi="Times New Roman" w:cs="Times New Roman"/>
                      <w:color w:val="auto"/>
                      <w:sz w:val="18"/>
                      <w:szCs w:val="18"/>
                      <w:highlight w:val="none"/>
                    </w:rPr>
                    <w:t>、</w:t>
                  </w:r>
                  <w:r>
                    <w:rPr>
                      <w:rFonts w:hint="eastAsia" w:cs="Times New Roman"/>
                      <w:color w:val="auto"/>
                      <w:sz w:val="18"/>
                      <w:szCs w:val="18"/>
                      <w:highlight w:val="none"/>
                      <w:lang w:val="en-US" w:eastAsia="zh-CN"/>
                    </w:rPr>
                    <w:t>火电、</w:t>
                  </w:r>
                  <w:r>
                    <w:rPr>
                      <w:rFonts w:hint="default" w:ascii="Times New Roman" w:hAnsi="Times New Roman" w:cs="Times New Roman"/>
                      <w:color w:val="auto"/>
                      <w:sz w:val="18"/>
                      <w:szCs w:val="18"/>
                      <w:highlight w:val="none"/>
                    </w:rPr>
                    <w:t>水泥、</w:t>
                  </w:r>
                  <w:r>
                    <w:rPr>
                      <w:rFonts w:hint="eastAsia" w:cs="Times New Roman"/>
                      <w:color w:val="auto"/>
                      <w:sz w:val="18"/>
                      <w:szCs w:val="18"/>
                      <w:highlight w:val="none"/>
                      <w:lang w:val="en-US" w:eastAsia="zh-CN"/>
                    </w:rPr>
                    <w:t>砖瓦、畜禽养殖</w:t>
                  </w:r>
                  <w:r>
                    <w:rPr>
                      <w:rFonts w:hint="default" w:ascii="Times New Roman" w:hAnsi="Times New Roman" w:cs="Times New Roman"/>
                      <w:color w:val="auto"/>
                      <w:sz w:val="18"/>
                      <w:szCs w:val="18"/>
                      <w:highlight w:val="none"/>
                    </w:rPr>
                    <w:t>项目。</w:t>
                  </w:r>
                </w:p>
              </w:tc>
              <w:tc>
                <w:tcPr>
                  <w:tcW w:w="260" w:type="pct"/>
                  <w:tcBorders>
                    <w:tl2br w:val="nil"/>
                    <w:tr2bl w:val="nil"/>
                  </w:tcBorders>
                  <w:vAlign w:val="center"/>
                </w:tcPr>
                <w:p w14:paraId="75DE8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D57C3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6B22C6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2FB54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5B0332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0B394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其他污染物排放管控要求</w:t>
                  </w:r>
                </w:p>
              </w:tc>
              <w:tc>
                <w:tcPr>
                  <w:tcW w:w="2335" w:type="pct"/>
                  <w:tcBorders>
                    <w:tl2br w:val="nil"/>
                    <w:tr2bl w:val="nil"/>
                  </w:tcBorders>
                  <w:vAlign w:val="center"/>
                </w:tcPr>
                <w:p w14:paraId="294D73CF">
                  <w:pPr>
                    <w:keepNext w:val="0"/>
                    <w:keepLines w:val="0"/>
                    <w:pageBreakBefore w:val="0"/>
                    <w:widowControl w:val="0"/>
                    <w:numPr>
                      <w:ilvl w:val="0"/>
                      <w:numId w:val="23"/>
                    </w:numPr>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污染物排放绩效水平准入要求：</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1</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到2025年乡镇污水处理率达95%；到2030年乡镇污水处理率达100%；</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2</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大中型矿山达到绿色矿山标准，引导小型矿山按照绿色矿山标准规范法发展。加强矿山采选废水的处理和综合利用工作，选矿废水全部综合利用，不外排，采矿废水应尽量回用</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3</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新、改扩建规模化畜禽养殖场（小区）要实施雨污分流，畜禽粪污实现资源化利用；散养密集区要实行畜禽粪便污水分户收集，集中处理利用；</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4</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屠宰项目必须配套污水处理设施或进入城市污水管网</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5</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2021年底，全市生活垃圾收转运处置体系覆盖95%以上行政村，再生资源回收网点覆盖30%以上行政村。全市95%以上行政村的生活垃圾得到有效治理，到2023年，全市生活垃圾收转运处置体系覆盖所有行政村，再生资源回收网点覆盖60%以上行政村，实现保洁员配备合理、管理有效、村组保洁工作运转有序。到2025年，乡镇和农村地区生活垃圾分类工作取得明显成效。生活垃圾减量化、资源化、无害化水平显著提高，基本建立“垃圾分类有特色、转运设施较齐全、村庄保洁见长效，资金投入有保障、监管制度较完善”的农村生活垃圾治理体系</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6</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到2025年底，全市有机肥使用面积达到370万亩。平均耕地质量提升一个等级，化肥使用量总体保持零增长</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7</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2025年主要粮经作物主产区农药包装废弃物回收率达80%</w:t>
                  </w:r>
                  <w:r>
                    <w:rPr>
                      <w:rFonts w:hint="eastAsia" w:cs="Times New Roman"/>
                      <w:color w:val="auto"/>
                      <w:sz w:val="18"/>
                      <w:szCs w:val="18"/>
                      <w:highlight w:val="none"/>
                      <w:lang w:eastAsia="zh-CN"/>
                    </w:rPr>
                    <w:t>。</w:t>
                  </w:r>
                </w:p>
              </w:tc>
              <w:tc>
                <w:tcPr>
                  <w:tcW w:w="753" w:type="pct"/>
                  <w:tcBorders>
                    <w:tl2br w:val="nil"/>
                    <w:tr2bl w:val="nil"/>
                  </w:tcBorders>
                  <w:vAlign w:val="center"/>
                </w:tcPr>
                <w:p w14:paraId="7B88E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本项目属于电力基础设施建设项目，不属于屠宰、</w:t>
                  </w:r>
                  <w:r>
                    <w:rPr>
                      <w:rFonts w:hint="eastAsia" w:cs="Times New Roman"/>
                      <w:color w:val="auto"/>
                      <w:sz w:val="18"/>
                      <w:szCs w:val="18"/>
                      <w:highlight w:val="none"/>
                      <w:lang w:val="en-US" w:eastAsia="zh-CN"/>
                    </w:rPr>
                    <w:t>矿山开发、农作物生产</w:t>
                  </w:r>
                  <w:r>
                    <w:rPr>
                      <w:rFonts w:hint="default" w:ascii="Times New Roman" w:hAnsi="Times New Roman" w:cs="Times New Roman"/>
                      <w:color w:val="auto"/>
                      <w:sz w:val="18"/>
                      <w:szCs w:val="18"/>
                      <w:highlight w:val="none"/>
                    </w:rPr>
                    <w:t>等行业</w:t>
                  </w:r>
                  <w:r>
                    <w:rPr>
                      <w:rFonts w:hint="eastAsia"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val="en-US" w:eastAsia="zh-CN"/>
                    </w:rPr>
                    <w:t>生活垃圾由当地环卫部门收集处理</w:t>
                  </w:r>
                  <w:r>
                    <w:rPr>
                      <w:rFonts w:hint="default" w:ascii="Times New Roman" w:hAnsi="Times New Roman" w:cs="Times New Roman"/>
                      <w:color w:val="auto"/>
                      <w:sz w:val="18"/>
                      <w:szCs w:val="18"/>
                      <w:highlight w:val="none"/>
                    </w:rPr>
                    <w:t>。</w:t>
                  </w:r>
                </w:p>
              </w:tc>
              <w:tc>
                <w:tcPr>
                  <w:tcW w:w="260" w:type="pct"/>
                  <w:tcBorders>
                    <w:tl2br w:val="nil"/>
                    <w:tr2bl w:val="nil"/>
                  </w:tcBorders>
                  <w:vAlign w:val="center"/>
                </w:tcPr>
                <w:p w14:paraId="72347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1B88F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9" w:type="pct"/>
                  <w:vMerge w:val="continue"/>
                  <w:tcBorders>
                    <w:tl2br w:val="nil"/>
                    <w:tr2bl w:val="nil"/>
                  </w:tcBorders>
                  <w:vAlign w:val="center"/>
                </w:tcPr>
                <w:p w14:paraId="5AE30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27905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restart"/>
                  <w:tcBorders>
                    <w:tl2br w:val="nil"/>
                    <w:tr2bl w:val="nil"/>
                  </w:tcBorders>
                  <w:vAlign w:val="center"/>
                </w:tcPr>
                <w:p w14:paraId="4C9A2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26" w:type="pct"/>
                  <w:tcBorders>
                    <w:tl2br w:val="nil"/>
                    <w:tr2bl w:val="nil"/>
                  </w:tcBorders>
                  <w:vAlign w:val="center"/>
                </w:tcPr>
                <w:p w14:paraId="4CECE9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联防联控要求</w:t>
                  </w:r>
                </w:p>
              </w:tc>
              <w:tc>
                <w:tcPr>
                  <w:tcW w:w="2335" w:type="pct"/>
                  <w:tcBorders>
                    <w:tl2br w:val="nil"/>
                    <w:tr2bl w:val="nil"/>
                  </w:tcBorders>
                  <w:vAlign w:val="center"/>
                </w:tcPr>
                <w:p w14:paraId="703928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lang w:val="en-US"/>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753" w:type="pct"/>
                  <w:tcBorders>
                    <w:tl2br w:val="nil"/>
                    <w:tr2bl w:val="nil"/>
                  </w:tcBorders>
                  <w:vAlign w:val="center"/>
                </w:tcPr>
                <w:p w14:paraId="64E48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47B0B8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D658F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9" w:type="pct"/>
                  <w:vMerge w:val="continue"/>
                  <w:tcBorders>
                    <w:tl2br w:val="nil"/>
                    <w:tr2bl w:val="nil"/>
                  </w:tcBorders>
                  <w:vAlign w:val="center"/>
                </w:tcPr>
                <w:p w14:paraId="439C0F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0185A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05FFA1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3D20F7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其他环境风险防控要求</w:t>
                  </w:r>
                </w:p>
              </w:tc>
              <w:tc>
                <w:tcPr>
                  <w:tcW w:w="2335" w:type="pct"/>
                  <w:tcBorders>
                    <w:tl2br w:val="nil"/>
                    <w:tr2bl w:val="nil"/>
                  </w:tcBorders>
                  <w:vAlign w:val="center"/>
                </w:tcPr>
                <w:p w14:paraId="7E33B3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企业环境风险防控要求：（1）工业企业退出用地，须经评估、修复满足相应用地功能后，方可改变用途；（2）加强“散乱污”企业环境风险防控；（3）现有涉及五类重金属的企业，严控污染物排放，限时整治或搬迁。</w:t>
                  </w:r>
                </w:p>
                <w:p w14:paraId="3B0B974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2、用地环境风险防控要求：（1）严禁将城镇生活垃圾、污泥、工业废物直接用作肥料，禁止处理不达标的污泥进入耕地；禁止在农用地排放、倾倒、使用污泥、清淤底泥、尾矿（渣）等可能对土壤造成污染的固体废物；（2）定期对单元内尾矿库进行风险巡查，建立监测系统和环境风险应急预案；完善各尾矿库渗滤液收集、处理、回用系统，杜绝事故排放；尾矿库闭矿后因地制宜进行植被恢复和综合利用。                                                                    （3）规范排土场、渣场等整治；（4）严格控制林地、草地、园地的农药使用量，禁止使用高毒、高残留农药。</w:t>
                  </w:r>
                </w:p>
              </w:tc>
              <w:tc>
                <w:tcPr>
                  <w:tcW w:w="753" w:type="pct"/>
                  <w:tcBorders>
                    <w:tl2br w:val="nil"/>
                    <w:tr2bl w:val="nil"/>
                  </w:tcBorders>
                  <w:vAlign w:val="center"/>
                </w:tcPr>
                <w:p w14:paraId="62B95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18BCE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B7C44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79" w:type="pct"/>
                  <w:vMerge w:val="continue"/>
                  <w:tcBorders>
                    <w:tl2br w:val="nil"/>
                    <w:tr2bl w:val="nil"/>
                  </w:tcBorders>
                  <w:vAlign w:val="center"/>
                </w:tcPr>
                <w:p w14:paraId="5416D3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74D57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restart"/>
                  <w:tcBorders>
                    <w:tl2br w:val="nil"/>
                    <w:tr2bl w:val="nil"/>
                  </w:tcBorders>
                  <w:vAlign w:val="center"/>
                </w:tcPr>
                <w:p w14:paraId="7D727E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26" w:type="pct"/>
                  <w:tcBorders>
                    <w:tl2br w:val="nil"/>
                    <w:tr2bl w:val="nil"/>
                  </w:tcBorders>
                  <w:vAlign w:val="center"/>
                </w:tcPr>
                <w:p w14:paraId="11454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水资源利用总量要求</w:t>
                  </w:r>
                </w:p>
              </w:tc>
              <w:tc>
                <w:tcPr>
                  <w:tcW w:w="2335" w:type="pct"/>
                  <w:tcBorders>
                    <w:tl2br w:val="nil"/>
                    <w:tr2bl w:val="nil"/>
                  </w:tcBorders>
                  <w:vAlign w:val="center"/>
                </w:tcPr>
                <w:p w14:paraId="7BCFE7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z w:val="18"/>
                      <w:szCs w:val="18"/>
                      <w:highlight w:val="none"/>
                      <w:lang w:eastAsia="zh-CN"/>
                    </w:rPr>
                  </w:pPr>
                  <w:r>
                    <w:rPr>
                      <w:rFonts w:hint="eastAsia" w:ascii="Times New Roman" w:hAnsi="Times New Roman" w:eastAsia="宋体" w:cs="Times New Roman"/>
                      <w:color w:val="auto"/>
                      <w:sz w:val="18"/>
                      <w:szCs w:val="18"/>
                      <w:highlight w:val="none"/>
                      <w:lang w:eastAsia="zh-CN"/>
                    </w:rPr>
                    <w:t>到2025年，全市用水总量控制在7.15亿m3以内；到2030年，全市用水总量控制在7.4亿m</w:t>
                  </w:r>
                  <w:r>
                    <w:rPr>
                      <w:rFonts w:hint="eastAsia" w:ascii="Times New Roman" w:hAnsi="Times New Roman" w:eastAsia="宋体" w:cs="Times New Roman"/>
                      <w:color w:val="auto"/>
                      <w:sz w:val="18"/>
                      <w:szCs w:val="18"/>
                      <w:highlight w:val="none"/>
                      <w:vertAlign w:val="superscript"/>
                      <w:lang w:eastAsia="zh-CN"/>
                    </w:rPr>
                    <w:t>3</w:t>
                  </w:r>
                  <w:r>
                    <w:rPr>
                      <w:rFonts w:hint="eastAsia" w:ascii="Times New Roman" w:hAnsi="Times New Roman" w:eastAsia="宋体" w:cs="Times New Roman"/>
                      <w:color w:val="auto"/>
                      <w:sz w:val="18"/>
                      <w:szCs w:val="18"/>
                      <w:highlight w:val="none"/>
                      <w:lang w:eastAsia="zh-CN"/>
                    </w:rPr>
                    <w:t>以内，万元工业增加值用水量17.15m</w:t>
                  </w:r>
                  <w:r>
                    <w:rPr>
                      <w:rFonts w:hint="eastAsia" w:ascii="Times New Roman" w:hAnsi="Times New Roman" w:eastAsia="宋体" w:cs="Times New Roman"/>
                      <w:color w:val="auto"/>
                      <w:sz w:val="18"/>
                      <w:szCs w:val="18"/>
                      <w:highlight w:val="none"/>
                      <w:vertAlign w:val="superscript"/>
                      <w:lang w:eastAsia="zh-CN"/>
                    </w:rPr>
                    <w:t>3</w:t>
                  </w:r>
                  <w:r>
                    <w:rPr>
                      <w:rFonts w:hint="eastAsia" w:ascii="Times New Roman" w:hAnsi="Times New Roman" w:eastAsia="宋体" w:cs="Times New Roman"/>
                      <w:color w:val="auto"/>
                      <w:sz w:val="18"/>
                      <w:szCs w:val="18"/>
                      <w:highlight w:val="none"/>
                      <w:lang w:eastAsia="zh-CN"/>
                    </w:rPr>
                    <w:t>。</w:t>
                  </w:r>
                </w:p>
              </w:tc>
              <w:tc>
                <w:tcPr>
                  <w:tcW w:w="753" w:type="pct"/>
                  <w:tcBorders>
                    <w:tl2br w:val="nil"/>
                    <w:tr2bl w:val="nil"/>
                  </w:tcBorders>
                  <w:vAlign w:val="center"/>
                </w:tcPr>
                <w:p w14:paraId="03359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76C786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3383D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79" w:type="pct"/>
                  <w:vMerge w:val="continue"/>
                  <w:tcBorders>
                    <w:tl2br w:val="nil"/>
                    <w:tr2bl w:val="nil"/>
                  </w:tcBorders>
                  <w:vAlign w:val="center"/>
                </w:tcPr>
                <w:p w14:paraId="76523D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34D921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2FEDCA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56EFA6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地下水开采要求</w:t>
                  </w:r>
                </w:p>
              </w:tc>
              <w:tc>
                <w:tcPr>
                  <w:tcW w:w="2335" w:type="pct"/>
                  <w:tcBorders>
                    <w:tl2br w:val="nil"/>
                    <w:tr2bl w:val="nil"/>
                  </w:tcBorders>
                  <w:vAlign w:val="center"/>
                </w:tcPr>
                <w:p w14:paraId="5C0A84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1、巴中市2025年地下水开采控制控制量保持在1400万m3以内。</w:t>
                  </w:r>
                </w:p>
                <w:p w14:paraId="7332611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2、地下水开采量控制在可开采量的允 许范围内，抑制用水过度增长。</w:t>
                  </w:r>
                </w:p>
              </w:tc>
              <w:tc>
                <w:tcPr>
                  <w:tcW w:w="753" w:type="pct"/>
                  <w:tcBorders>
                    <w:tl2br w:val="nil"/>
                    <w:tr2bl w:val="nil"/>
                  </w:tcBorders>
                  <w:vAlign w:val="center"/>
                </w:tcPr>
                <w:p w14:paraId="390DBD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75620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56702E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779" w:type="pct"/>
                  <w:vMerge w:val="continue"/>
                  <w:tcBorders>
                    <w:tl2br w:val="nil"/>
                    <w:tr2bl w:val="nil"/>
                  </w:tcBorders>
                  <w:vAlign w:val="center"/>
                </w:tcPr>
                <w:p w14:paraId="6DB82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72E3E5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35E735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085B0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能源利用总量及效率要求</w:t>
                  </w:r>
                </w:p>
              </w:tc>
              <w:tc>
                <w:tcPr>
                  <w:tcW w:w="2335" w:type="pct"/>
                  <w:tcBorders>
                    <w:tl2br w:val="nil"/>
                    <w:tr2bl w:val="nil"/>
                  </w:tcBorders>
                  <w:vAlign w:val="center"/>
                </w:tcPr>
                <w:p w14:paraId="4F463BD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1、推进清洁能源的推广使用，全面推进散煤清洁化整治；禁止新建每小时10蒸吨以下的燃煤锅炉及其他燃煤设施。</w:t>
                  </w:r>
                </w:p>
                <w:p w14:paraId="1A31A9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2、禁止焚烧秸秆和垃圾。</w:t>
                  </w:r>
                </w:p>
              </w:tc>
              <w:tc>
                <w:tcPr>
                  <w:tcW w:w="753" w:type="pct"/>
                  <w:tcBorders>
                    <w:tl2br w:val="nil"/>
                    <w:tr2bl w:val="nil"/>
                  </w:tcBorders>
                  <w:vAlign w:val="center"/>
                </w:tcPr>
                <w:p w14:paraId="1C9D0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3AA2F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F290A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69599B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2F0DE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6D1B4D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6DBDB8F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color w:val="auto"/>
                      <w:kern w:val="2"/>
                      <w:sz w:val="18"/>
                      <w:szCs w:val="18"/>
                      <w:lang w:val="en-US" w:eastAsia="zh-CN" w:bidi="ar-SA"/>
                    </w:rPr>
                    <w:t>禁燃区要求</w:t>
                  </w:r>
                </w:p>
              </w:tc>
              <w:tc>
                <w:tcPr>
                  <w:tcW w:w="2335" w:type="pct"/>
                  <w:tcBorders>
                    <w:tl2br w:val="nil"/>
                    <w:tr2bl w:val="nil"/>
                  </w:tcBorders>
                  <w:vAlign w:val="center"/>
                </w:tcPr>
                <w:p w14:paraId="2A144C3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tc>
              <w:tc>
                <w:tcPr>
                  <w:tcW w:w="753" w:type="pct"/>
                  <w:tcBorders>
                    <w:tl2br w:val="nil"/>
                    <w:tr2bl w:val="nil"/>
                  </w:tcBorders>
                  <w:vAlign w:val="center"/>
                </w:tcPr>
                <w:p w14:paraId="01AB1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49C9A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7170D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5F0256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5BAE85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1BBA0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6540FB8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其他资源利用效率要求</w:t>
                  </w:r>
                </w:p>
              </w:tc>
              <w:tc>
                <w:tcPr>
                  <w:tcW w:w="2335" w:type="pct"/>
                  <w:tcBorders>
                    <w:tl2br w:val="nil"/>
                    <w:tr2bl w:val="nil"/>
                  </w:tcBorders>
                  <w:vAlign w:val="center"/>
                </w:tcPr>
                <w:p w14:paraId="0867995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到2025年，巴中市农田有效灌溉系数达到0.56；到2030年，巴中市农田有效灌溉率提到40%，农田灌溉用水有效利用系数提高到0.62左右。</w:t>
                  </w:r>
                </w:p>
              </w:tc>
              <w:tc>
                <w:tcPr>
                  <w:tcW w:w="753" w:type="pct"/>
                  <w:tcBorders>
                    <w:tl2br w:val="nil"/>
                    <w:tr2bl w:val="nil"/>
                  </w:tcBorders>
                  <w:vAlign w:val="center"/>
                </w:tcPr>
                <w:p w14:paraId="2E327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27368A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A148E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7F4358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restart"/>
                  <w:tcBorders>
                    <w:tl2br w:val="nil"/>
                    <w:tr2bl w:val="nil"/>
                  </w:tcBorders>
                  <w:vAlign w:val="center"/>
                </w:tcPr>
                <w:p w14:paraId="765BC1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县区普适性清单</w:t>
                  </w:r>
                </w:p>
              </w:tc>
              <w:tc>
                <w:tcPr>
                  <w:tcW w:w="254" w:type="pct"/>
                  <w:vMerge w:val="restart"/>
                  <w:tcBorders>
                    <w:tl2br w:val="nil"/>
                    <w:tr2bl w:val="nil"/>
                  </w:tcBorders>
                  <w:vAlign w:val="center"/>
                </w:tcPr>
                <w:p w14:paraId="4FEF4B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26" w:type="pct"/>
                  <w:tcBorders>
                    <w:tl2br w:val="nil"/>
                    <w:tr2bl w:val="nil"/>
                  </w:tcBorders>
                  <w:vAlign w:val="center"/>
                </w:tcPr>
                <w:p w14:paraId="7AACE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不符合空间布局要求活动的退出要求</w:t>
                  </w:r>
                </w:p>
              </w:tc>
              <w:tc>
                <w:tcPr>
                  <w:tcW w:w="2335" w:type="pct"/>
                  <w:tcBorders>
                    <w:tl2br w:val="nil"/>
                    <w:tr2bl w:val="nil"/>
                  </w:tcBorders>
                  <w:vAlign w:val="center"/>
                </w:tcPr>
                <w:p w14:paraId="086BF1B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持续加强工业“三废”治理，严格环境准入条件，落实“两高”企业退出制度。</w:t>
                  </w:r>
                </w:p>
              </w:tc>
              <w:tc>
                <w:tcPr>
                  <w:tcW w:w="753" w:type="pct"/>
                  <w:tcBorders>
                    <w:tl2br w:val="nil"/>
                    <w:tr2bl w:val="nil"/>
                  </w:tcBorders>
                  <w:vAlign w:val="center"/>
                </w:tcPr>
                <w:p w14:paraId="0A261B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不</w:t>
                  </w:r>
                  <w:r>
                    <w:rPr>
                      <w:rFonts w:hint="eastAsia" w:cs="Times New Roman"/>
                      <w:color w:val="auto"/>
                      <w:sz w:val="18"/>
                      <w:szCs w:val="18"/>
                      <w:highlight w:val="none"/>
                      <w:lang w:val="en-US" w:eastAsia="zh-CN"/>
                    </w:rPr>
                    <w:t>涉及“三废”排放，不属于“两高”企业</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1A648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D44EA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199014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150070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yellow"/>
                    </w:rPr>
                  </w:pPr>
                </w:p>
              </w:tc>
              <w:tc>
                <w:tcPr>
                  <w:tcW w:w="254" w:type="pct"/>
                  <w:vMerge w:val="continue"/>
                  <w:tcBorders>
                    <w:tl2br w:val="nil"/>
                    <w:tr2bl w:val="nil"/>
                  </w:tcBorders>
                  <w:vAlign w:val="center"/>
                </w:tcPr>
                <w:p w14:paraId="1E0D06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yellow"/>
                    </w:rPr>
                  </w:pPr>
                </w:p>
              </w:tc>
              <w:tc>
                <w:tcPr>
                  <w:tcW w:w="326" w:type="pct"/>
                  <w:tcBorders>
                    <w:tl2br w:val="nil"/>
                    <w:tr2bl w:val="nil"/>
                  </w:tcBorders>
                  <w:vAlign w:val="center"/>
                </w:tcPr>
                <w:p w14:paraId="7D767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其他空间布局约束要求</w:t>
                  </w:r>
                </w:p>
              </w:tc>
              <w:tc>
                <w:tcPr>
                  <w:tcW w:w="2335" w:type="pct"/>
                  <w:tcBorders>
                    <w:tl2br w:val="nil"/>
                    <w:tr2bl w:val="nil"/>
                  </w:tcBorders>
                  <w:vAlign w:val="center"/>
                </w:tcPr>
                <w:p w14:paraId="408468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1、统筹生态环境保护与经济社会发展的关系，落实重点生态功能区的定位管控要求，加强生物多样性保护和天然林保护；</w:t>
                  </w:r>
                </w:p>
                <w:p w14:paraId="73DFA6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2、推进流域水生态环境修复与治理，更加注重城乡生态环境保护基础设施建设与管理。</w:t>
                  </w:r>
                </w:p>
              </w:tc>
              <w:tc>
                <w:tcPr>
                  <w:tcW w:w="753" w:type="pct"/>
                  <w:tcBorders>
                    <w:tl2br w:val="nil"/>
                    <w:tr2bl w:val="nil"/>
                  </w:tcBorders>
                  <w:vAlign w:val="center"/>
                </w:tcPr>
                <w:p w14:paraId="0E8C92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205FD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319D0E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167FD5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6F753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tcBorders>
                    <w:tl2br w:val="nil"/>
                    <w:tr2bl w:val="nil"/>
                  </w:tcBorders>
                  <w:vAlign w:val="center"/>
                </w:tcPr>
                <w:p w14:paraId="3E9F9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color w:val="auto"/>
                      <w:sz w:val="18"/>
                      <w:szCs w:val="18"/>
                      <w:highlight w:val="none"/>
                      <w:lang w:val="en-US" w:eastAsia="zh-CN"/>
                    </w:rPr>
                  </w:pPr>
                  <w:r>
                    <w:rPr>
                      <w:rFonts w:hint="default" w:cs="Times New Roman"/>
                      <w:color w:val="auto"/>
                      <w:sz w:val="18"/>
                      <w:szCs w:val="18"/>
                      <w:highlight w:val="none"/>
                      <w:lang w:val="en-US" w:eastAsia="zh-CN"/>
                    </w:rPr>
                    <w:t>资源开发利用效率要求</w:t>
                  </w:r>
                </w:p>
              </w:tc>
              <w:tc>
                <w:tcPr>
                  <w:tcW w:w="326" w:type="pct"/>
                  <w:tcBorders>
                    <w:tl2br w:val="nil"/>
                    <w:tr2bl w:val="nil"/>
                  </w:tcBorders>
                  <w:vAlign w:val="center"/>
                </w:tcPr>
                <w:p w14:paraId="1B4DCA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eastAsia" w:ascii="Times New Roman" w:hAnsi="Times New Roman" w:eastAsia="宋体" w:cs="Times New Roman"/>
                      <w:color w:val="auto"/>
                      <w:spacing w:val="-1"/>
                      <w:sz w:val="18"/>
                      <w:szCs w:val="18"/>
                      <w:lang w:eastAsia="zh-CN"/>
                    </w:rPr>
                  </w:pPr>
                  <w:r>
                    <w:rPr>
                      <w:rFonts w:hint="eastAsia" w:cs="Times New Roman"/>
                      <w:color w:val="auto"/>
                      <w:sz w:val="18"/>
                      <w:szCs w:val="18"/>
                      <w:highlight w:val="none"/>
                      <w:lang w:val="en-US" w:eastAsia="zh-CN"/>
                    </w:rPr>
                    <w:t>其他资源利用效率要求</w:t>
                  </w:r>
                </w:p>
              </w:tc>
              <w:tc>
                <w:tcPr>
                  <w:tcW w:w="2335" w:type="pct"/>
                  <w:tcBorders>
                    <w:tl2br w:val="nil"/>
                    <w:tr2bl w:val="nil"/>
                  </w:tcBorders>
                  <w:vAlign w:val="center"/>
                </w:tcPr>
                <w:p w14:paraId="4DDDEB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1、进一步调整优化矿产资源开发利用结构，加强矿产、油气等资源开发项目和工矿废弃地的污染治理及生态修复；</w:t>
                  </w:r>
                </w:p>
                <w:p w14:paraId="323BDF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2、强化水土流失防治，注重水源涵养地保护。加强对光雾山、关坝、杨坝等区域的生态环境重点管控，从严审批各类资源开发项目。</w:t>
                  </w:r>
                </w:p>
              </w:tc>
              <w:tc>
                <w:tcPr>
                  <w:tcW w:w="753" w:type="pct"/>
                  <w:tcBorders>
                    <w:tl2br w:val="nil"/>
                    <w:tr2bl w:val="nil"/>
                  </w:tcBorders>
                  <w:vAlign w:val="center"/>
                </w:tcPr>
                <w:p w14:paraId="13EEF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不涉及</w:t>
                  </w:r>
                </w:p>
              </w:tc>
              <w:tc>
                <w:tcPr>
                  <w:tcW w:w="260" w:type="pct"/>
                  <w:tcBorders>
                    <w:tl2br w:val="nil"/>
                    <w:tr2bl w:val="nil"/>
                  </w:tcBorders>
                  <w:vAlign w:val="center"/>
                </w:tcPr>
                <w:p w14:paraId="73D292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EA705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042EC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restart"/>
                  <w:tcBorders>
                    <w:tl2br w:val="nil"/>
                    <w:tr2bl w:val="nil"/>
                  </w:tcBorders>
                  <w:vAlign w:val="center"/>
                </w:tcPr>
                <w:p w14:paraId="299EE6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单元级清单管控要求</w:t>
                  </w:r>
                </w:p>
              </w:tc>
              <w:tc>
                <w:tcPr>
                  <w:tcW w:w="254" w:type="pct"/>
                  <w:vMerge w:val="restart"/>
                  <w:tcBorders>
                    <w:tl2br w:val="nil"/>
                    <w:tr2bl w:val="nil"/>
                  </w:tcBorders>
                  <w:vAlign w:val="center"/>
                </w:tcPr>
                <w:p w14:paraId="52726E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空间布局约束</w:t>
                  </w:r>
                </w:p>
              </w:tc>
              <w:tc>
                <w:tcPr>
                  <w:tcW w:w="326" w:type="pct"/>
                  <w:tcBorders>
                    <w:tl2br w:val="nil"/>
                    <w:tr2bl w:val="nil"/>
                  </w:tcBorders>
                  <w:vAlign w:val="center"/>
                </w:tcPr>
                <w:p w14:paraId="4B2CD8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禁止开发建设活动的要求</w:t>
                  </w:r>
                </w:p>
              </w:tc>
              <w:tc>
                <w:tcPr>
                  <w:tcW w:w="2335" w:type="pct"/>
                  <w:tcBorders>
                    <w:tl2br w:val="nil"/>
                    <w:tr2bl w:val="nil"/>
                  </w:tcBorders>
                  <w:vAlign w:val="center"/>
                </w:tcPr>
                <w:p w14:paraId="278ACD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1、</w:t>
                  </w:r>
                  <w:r>
                    <w:rPr>
                      <w:rFonts w:hint="default" w:ascii="Times New Roman" w:hAnsi="Times New Roman" w:cs="Times New Roman"/>
                      <w:color w:val="auto"/>
                      <w:sz w:val="18"/>
                      <w:szCs w:val="18"/>
                      <w:highlight w:val="none"/>
                    </w:rPr>
                    <w:t>工业园区外现有钢铁、有色金属、造纸、印染、原料药制造、化工等污染较重的企业应有序搬迁改造或依法关闭。</w:t>
                  </w:r>
                </w:p>
                <w:p w14:paraId="6D6253D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严格执行《四川省国家重点生态功能区产业准入负面清单（第一批）（试行）》中南江县禁止类产业管控要求。</w:t>
                  </w:r>
                </w:p>
                <w:p w14:paraId="03E1953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3、</w:t>
                  </w:r>
                  <w:r>
                    <w:rPr>
                      <w:rFonts w:hint="default" w:ascii="Times New Roman" w:hAnsi="Times New Roman" w:cs="Times New Roman"/>
                      <w:color w:val="auto"/>
                      <w:sz w:val="18"/>
                      <w:szCs w:val="18"/>
                      <w:highlight w:val="none"/>
                    </w:rPr>
                    <w:t>其他要求执行一般管控单元普适性管控要求。</w:t>
                  </w:r>
                </w:p>
              </w:tc>
              <w:tc>
                <w:tcPr>
                  <w:tcW w:w="753" w:type="pct"/>
                  <w:tcBorders>
                    <w:tl2br w:val="nil"/>
                    <w:tr2bl w:val="nil"/>
                  </w:tcBorders>
                  <w:vAlign w:val="center"/>
                </w:tcPr>
                <w:p w14:paraId="372215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不属于</w:t>
                  </w:r>
                  <w:r>
                    <w:rPr>
                      <w:rFonts w:hint="default" w:ascii="Times New Roman" w:hAnsi="Times New Roman" w:cs="Times New Roman"/>
                      <w:color w:val="auto"/>
                      <w:sz w:val="18"/>
                      <w:szCs w:val="18"/>
                      <w:highlight w:val="none"/>
                    </w:rPr>
                    <w:t>钢铁、有色金属、造纸、化工等污染较重的企业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不属于南江县限制类产业；其他满足巴中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545B4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A9483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1BE71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55BB5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2394FC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0BD5CB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2"/>
                      <w:sz w:val="18"/>
                      <w:szCs w:val="18"/>
                    </w:rPr>
                    <w:t>限制开发建设活动的要求</w:t>
                  </w:r>
                </w:p>
              </w:tc>
              <w:tc>
                <w:tcPr>
                  <w:tcW w:w="2335" w:type="pct"/>
                  <w:tcBorders>
                    <w:tl2br w:val="nil"/>
                    <w:tr2bl w:val="nil"/>
                  </w:tcBorders>
                  <w:vAlign w:val="center"/>
                </w:tcPr>
                <w:p w14:paraId="7D6CA4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1、严格控制开发建设项目布局，鼓励企业入园发展；</w:t>
                  </w:r>
                </w:p>
                <w:p w14:paraId="03725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2、严格执行《四川省国家重点生态功能区产业准入负面清单（第一批）（试行）》中南江县限制类产业管控要求。</w:t>
                  </w:r>
                </w:p>
                <w:p w14:paraId="0194FE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3、其他要求执行一般管控单元普适性管控要求。</w:t>
                  </w:r>
                </w:p>
              </w:tc>
              <w:tc>
                <w:tcPr>
                  <w:tcW w:w="753" w:type="pct"/>
                  <w:tcBorders>
                    <w:tl2br w:val="nil"/>
                    <w:tr2bl w:val="nil"/>
                  </w:tcBorders>
                  <w:vAlign w:val="center"/>
                </w:tcPr>
                <w:p w14:paraId="13D5C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本项目属于电力基础设施建设</w:t>
                  </w:r>
                  <w:r>
                    <w:rPr>
                      <w:rFonts w:hint="eastAsia" w:cs="Times New Roman"/>
                      <w:color w:val="auto"/>
                      <w:sz w:val="18"/>
                      <w:szCs w:val="18"/>
                      <w:highlight w:val="none"/>
                      <w:lang w:val="en-US" w:eastAsia="zh-CN"/>
                    </w:rPr>
                    <w:t>项目</w:t>
                  </w:r>
                  <w:r>
                    <w:rPr>
                      <w:rFonts w:hint="default" w:ascii="Times New Roman" w:hAnsi="Times New Roman" w:cs="Times New Roman"/>
                      <w:color w:val="auto"/>
                      <w:sz w:val="18"/>
                      <w:szCs w:val="18"/>
                      <w:highlight w:val="none"/>
                    </w:rPr>
                    <w:t>，为鼓励类项目</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不属于南江县限制类产业</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其他满足巴中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423618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200CB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4C433A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2F0F6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3B891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29CA3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pacing w:val="-2"/>
                      <w:sz w:val="18"/>
                      <w:szCs w:val="18"/>
                      <w:lang w:val="en-US" w:eastAsia="zh-CN"/>
                    </w:rPr>
                  </w:pPr>
                  <w:r>
                    <w:rPr>
                      <w:rFonts w:hint="default" w:ascii="Times New Roman" w:hAnsi="Times New Roman" w:cs="Times New Roman"/>
                      <w:color w:val="auto"/>
                      <w:sz w:val="18"/>
                      <w:szCs w:val="18"/>
                      <w:highlight w:val="none"/>
                    </w:rPr>
                    <w:t>不符合空间布局要求活动的退出要求</w:t>
                  </w:r>
                </w:p>
              </w:tc>
              <w:tc>
                <w:tcPr>
                  <w:tcW w:w="2335" w:type="pct"/>
                  <w:tcBorders>
                    <w:tl2br w:val="nil"/>
                    <w:tr2bl w:val="nil"/>
                  </w:tcBorders>
                  <w:vAlign w:val="center"/>
                </w:tcPr>
                <w:p w14:paraId="277825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1、现有企业按照相关规定限期入园搬迁或整治；</w:t>
                  </w:r>
                </w:p>
                <w:p w14:paraId="11A4DE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2、执行一般管控单元总体准入要求。</w:t>
                  </w:r>
                </w:p>
              </w:tc>
              <w:tc>
                <w:tcPr>
                  <w:tcW w:w="753" w:type="pct"/>
                  <w:tcBorders>
                    <w:tl2br w:val="nil"/>
                    <w:tr2bl w:val="nil"/>
                  </w:tcBorders>
                  <w:vAlign w:val="center"/>
                </w:tcPr>
                <w:p w14:paraId="5BC589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3F71C4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90285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34A3F0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54C2F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restart"/>
                  <w:tcBorders>
                    <w:tl2br w:val="nil"/>
                    <w:tr2bl w:val="nil"/>
                  </w:tcBorders>
                  <w:vAlign w:val="center"/>
                </w:tcPr>
                <w:p w14:paraId="289FF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污染物排放管控</w:t>
                  </w:r>
                </w:p>
              </w:tc>
              <w:tc>
                <w:tcPr>
                  <w:tcW w:w="326" w:type="pct"/>
                  <w:tcBorders>
                    <w:tl2br w:val="nil"/>
                    <w:tr2bl w:val="nil"/>
                  </w:tcBorders>
                  <w:vAlign w:val="center"/>
                </w:tcPr>
                <w:p w14:paraId="0A77C3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现有源提标升级改造</w:t>
                  </w:r>
                </w:p>
              </w:tc>
              <w:tc>
                <w:tcPr>
                  <w:tcW w:w="2335" w:type="pct"/>
                  <w:tcBorders>
                    <w:tl2br w:val="nil"/>
                    <w:tr2bl w:val="nil"/>
                  </w:tcBorders>
                  <w:vAlign w:val="center"/>
                </w:tcPr>
                <w:p w14:paraId="5DC572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62E3F2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lang w:val="en-US"/>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3EDD9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6FDF63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26944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91" w:type="pct"/>
                  <w:vMerge w:val="continue"/>
                  <w:tcBorders>
                    <w:tl2br w:val="nil"/>
                    <w:tr2bl w:val="nil"/>
                  </w:tcBorders>
                  <w:vAlign w:val="center"/>
                </w:tcPr>
                <w:p w14:paraId="3E12A2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254" w:type="pct"/>
                  <w:vMerge w:val="continue"/>
                  <w:tcBorders>
                    <w:tl2br w:val="nil"/>
                    <w:tr2bl w:val="nil"/>
                  </w:tcBorders>
                  <w:vAlign w:val="center"/>
                </w:tcPr>
                <w:p w14:paraId="01926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highlight w:val="none"/>
                    </w:rPr>
                  </w:pPr>
                </w:p>
              </w:tc>
              <w:tc>
                <w:tcPr>
                  <w:tcW w:w="326" w:type="pct"/>
                  <w:tcBorders>
                    <w:tl2br w:val="nil"/>
                    <w:tr2bl w:val="nil"/>
                  </w:tcBorders>
                  <w:vAlign w:val="center"/>
                </w:tcPr>
                <w:p w14:paraId="43CBE8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新增源等量或倍量替代</w:t>
                  </w:r>
                </w:p>
              </w:tc>
              <w:tc>
                <w:tcPr>
                  <w:tcW w:w="2335" w:type="pct"/>
                  <w:tcBorders>
                    <w:tl2br w:val="nil"/>
                    <w:tr2bl w:val="nil"/>
                  </w:tcBorders>
                  <w:vAlign w:val="center"/>
                </w:tcPr>
                <w:p w14:paraId="6E1290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4D5EC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52F209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2DF6CB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4DEB7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78C4F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48140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2A1128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rPr>
                  </w:pPr>
                  <w:r>
                    <w:rPr>
                      <w:rFonts w:hint="eastAsia" w:ascii="Times New Roman" w:hAnsi="Times New Roman" w:eastAsia="宋体" w:cs="Times New Roman"/>
                      <w:color w:val="auto"/>
                      <w:sz w:val="18"/>
                      <w:szCs w:val="18"/>
                      <w:highlight w:val="none"/>
                      <w:lang w:eastAsia="zh-CN"/>
                    </w:rPr>
                    <w:t>污染物排放绩效水平准入要求</w:t>
                  </w:r>
                </w:p>
              </w:tc>
              <w:tc>
                <w:tcPr>
                  <w:tcW w:w="2335" w:type="pct"/>
                  <w:tcBorders>
                    <w:tl2br w:val="nil"/>
                    <w:tr2bl w:val="nil"/>
                  </w:tcBorders>
                  <w:vAlign w:val="center"/>
                </w:tcPr>
                <w:p w14:paraId="6A450C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1303F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5781C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46255E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9" w:type="pct"/>
                  <w:vMerge w:val="continue"/>
                  <w:tcBorders>
                    <w:tl2br w:val="nil"/>
                    <w:tr2bl w:val="nil"/>
                  </w:tcBorders>
                  <w:vAlign w:val="center"/>
                </w:tcPr>
                <w:p w14:paraId="4613AC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4AC1F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restart"/>
                  <w:tcBorders>
                    <w:tl2br w:val="nil"/>
                    <w:tr2bl w:val="nil"/>
                  </w:tcBorders>
                  <w:vAlign w:val="center"/>
                </w:tcPr>
                <w:p w14:paraId="7ECBEF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环境风险防控</w:t>
                  </w:r>
                </w:p>
              </w:tc>
              <w:tc>
                <w:tcPr>
                  <w:tcW w:w="326" w:type="pct"/>
                  <w:tcBorders>
                    <w:tl2br w:val="nil"/>
                    <w:tr2bl w:val="nil"/>
                  </w:tcBorders>
                  <w:vAlign w:val="center"/>
                </w:tcPr>
                <w:p w14:paraId="1906D02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严格管控类农用地管控要求</w:t>
                  </w:r>
                </w:p>
              </w:tc>
              <w:tc>
                <w:tcPr>
                  <w:tcW w:w="2335" w:type="pct"/>
                  <w:tcBorders>
                    <w:tl2br w:val="nil"/>
                    <w:tr2bl w:val="nil"/>
                  </w:tcBorders>
                  <w:vAlign w:val="center"/>
                </w:tcPr>
                <w:p w14:paraId="182363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25518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12F82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313924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9" w:type="pct"/>
                  <w:vMerge w:val="continue"/>
                  <w:tcBorders>
                    <w:tl2br w:val="nil"/>
                    <w:tr2bl w:val="nil"/>
                  </w:tcBorders>
                  <w:vAlign w:val="center"/>
                </w:tcPr>
                <w:p w14:paraId="18714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06D40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1D236E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435B5C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安全利用类农用地管控要求</w:t>
                  </w:r>
                </w:p>
              </w:tc>
              <w:tc>
                <w:tcPr>
                  <w:tcW w:w="2335" w:type="pct"/>
                  <w:tcBorders>
                    <w:tl2br w:val="nil"/>
                    <w:tr2bl w:val="nil"/>
                  </w:tcBorders>
                  <w:vAlign w:val="center"/>
                </w:tcPr>
                <w:p w14:paraId="36AC3C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6983C9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5BC0C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0802FC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9" w:type="pct"/>
                  <w:vMerge w:val="continue"/>
                  <w:tcBorders>
                    <w:tl2br w:val="nil"/>
                    <w:tr2bl w:val="nil"/>
                  </w:tcBorders>
                  <w:vAlign w:val="center"/>
                </w:tcPr>
                <w:p w14:paraId="22FFF7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2B1706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1C09B9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67D242C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污染地块管控要求</w:t>
                  </w:r>
                </w:p>
              </w:tc>
              <w:tc>
                <w:tcPr>
                  <w:tcW w:w="2335" w:type="pct"/>
                  <w:tcBorders>
                    <w:tl2br w:val="nil"/>
                    <w:tr2bl w:val="nil"/>
                  </w:tcBorders>
                  <w:vAlign w:val="center"/>
                </w:tcPr>
                <w:p w14:paraId="0246B05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284D4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1CC70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8B922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9" w:type="pct"/>
                  <w:vMerge w:val="continue"/>
                  <w:tcBorders>
                    <w:tl2br w:val="nil"/>
                    <w:tr2bl w:val="nil"/>
                  </w:tcBorders>
                  <w:vAlign w:val="center"/>
                </w:tcPr>
                <w:p w14:paraId="4C740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291" w:type="pct"/>
                  <w:vMerge w:val="continue"/>
                  <w:tcBorders>
                    <w:tl2br w:val="nil"/>
                    <w:tr2bl w:val="nil"/>
                  </w:tcBorders>
                  <w:vAlign w:val="center"/>
                </w:tcPr>
                <w:p w14:paraId="3850F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254" w:type="pct"/>
                  <w:vMerge w:val="continue"/>
                  <w:tcBorders>
                    <w:tl2br w:val="nil"/>
                    <w:tr2bl w:val="nil"/>
                  </w:tcBorders>
                  <w:vAlign w:val="center"/>
                </w:tcPr>
                <w:p w14:paraId="4A2EF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rPr>
                  </w:pPr>
                </w:p>
              </w:tc>
              <w:tc>
                <w:tcPr>
                  <w:tcW w:w="326" w:type="pct"/>
                  <w:tcBorders>
                    <w:tl2br w:val="nil"/>
                    <w:tr2bl w:val="nil"/>
                  </w:tcBorders>
                  <w:vAlign w:val="center"/>
                </w:tcPr>
                <w:p w14:paraId="437BA05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pacing w:val="-4"/>
                      <w:sz w:val="18"/>
                      <w:szCs w:val="18"/>
                    </w:rPr>
                    <w:t>企业环境风险防控要求</w:t>
                  </w:r>
                </w:p>
              </w:tc>
              <w:tc>
                <w:tcPr>
                  <w:tcW w:w="2335" w:type="pct"/>
                  <w:tcBorders>
                    <w:tl2br w:val="nil"/>
                    <w:tr2bl w:val="nil"/>
                  </w:tcBorders>
                  <w:vAlign w:val="center"/>
                </w:tcPr>
                <w:p w14:paraId="4F341E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pacing w:val="-4"/>
                      <w:sz w:val="18"/>
                      <w:szCs w:val="18"/>
                      <w:lang w:eastAsia="zh-CN"/>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43D73C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1AF2E5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pacing w:val="-4"/>
                      <w:sz w:val="18"/>
                      <w:szCs w:val="18"/>
                    </w:rPr>
                  </w:pPr>
                  <w:r>
                    <w:rPr>
                      <w:rFonts w:hint="default" w:ascii="Times New Roman" w:hAnsi="Times New Roman" w:cs="Times New Roman"/>
                      <w:color w:val="auto"/>
                      <w:sz w:val="18"/>
                      <w:szCs w:val="18"/>
                      <w:highlight w:val="none"/>
                    </w:rPr>
                    <w:t>符合</w:t>
                  </w:r>
                </w:p>
              </w:tc>
            </w:tr>
            <w:tr w14:paraId="3BB49F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70B59B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49B8D2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restart"/>
                  <w:tcBorders>
                    <w:tl2br w:val="nil"/>
                    <w:tr2bl w:val="nil"/>
                  </w:tcBorders>
                  <w:vAlign w:val="center"/>
                </w:tcPr>
                <w:p w14:paraId="60B9F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资源开发利用效率</w:t>
                  </w:r>
                  <w:r>
                    <w:rPr>
                      <w:rFonts w:hint="eastAsia" w:cs="Times New Roman"/>
                      <w:color w:val="auto"/>
                      <w:sz w:val="18"/>
                      <w:szCs w:val="18"/>
                      <w:highlight w:val="none"/>
                      <w:lang w:val="en-US" w:eastAsia="zh-CN"/>
                    </w:rPr>
                    <w:t>要求</w:t>
                  </w:r>
                </w:p>
              </w:tc>
              <w:tc>
                <w:tcPr>
                  <w:tcW w:w="326" w:type="pct"/>
                  <w:tcBorders>
                    <w:tl2br w:val="nil"/>
                    <w:tr2bl w:val="nil"/>
                  </w:tcBorders>
                  <w:vAlign w:val="center"/>
                </w:tcPr>
                <w:p w14:paraId="31000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水资源利用效率要求</w:t>
                  </w:r>
                </w:p>
              </w:tc>
              <w:tc>
                <w:tcPr>
                  <w:tcW w:w="2335" w:type="pct"/>
                  <w:tcBorders>
                    <w:tl2br w:val="nil"/>
                    <w:tr2bl w:val="nil"/>
                  </w:tcBorders>
                  <w:vAlign w:val="center"/>
                </w:tcPr>
                <w:p w14:paraId="20F53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3C0885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253E2D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r w14:paraId="7AE594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9" w:type="pct"/>
                  <w:vMerge w:val="continue"/>
                  <w:tcBorders>
                    <w:tl2br w:val="nil"/>
                    <w:tr2bl w:val="nil"/>
                  </w:tcBorders>
                  <w:vAlign w:val="center"/>
                </w:tcPr>
                <w:p w14:paraId="5A7C91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91" w:type="pct"/>
                  <w:vMerge w:val="continue"/>
                  <w:tcBorders>
                    <w:tl2br w:val="nil"/>
                    <w:tr2bl w:val="nil"/>
                  </w:tcBorders>
                  <w:vAlign w:val="center"/>
                </w:tcPr>
                <w:p w14:paraId="6F9A05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254" w:type="pct"/>
                  <w:vMerge w:val="continue"/>
                  <w:tcBorders>
                    <w:tl2br w:val="nil"/>
                    <w:tr2bl w:val="nil"/>
                  </w:tcBorders>
                  <w:vAlign w:val="center"/>
                </w:tcPr>
                <w:p w14:paraId="74A75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p>
              </w:tc>
              <w:tc>
                <w:tcPr>
                  <w:tcW w:w="326" w:type="pct"/>
                  <w:tcBorders>
                    <w:tl2br w:val="nil"/>
                    <w:tr2bl w:val="nil"/>
                  </w:tcBorders>
                  <w:vAlign w:val="center"/>
                </w:tcPr>
                <w:p w14:paraId="70B788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pacing w:val="-4"/>
                      <w:sz w:val="18"/>
                      <w:szCs w:val="18"/>
                    </w:rPr>
                    <w:t>能源利用效率要求</w:t>
                  </w:r>
                </w:p>
              </w:tc>
              <w:tc>
                <w:tcPr>
                  <w:tcW w:w="2335" w:type="pct"/>
                  <w:tcBorders>
                    <w:tl2br w:val="nil"/>
                    <w:tr2bl w:val="nil"/>
                  </w:tcBorders>
                  <w:vAlign w:val="center"/>
                </w:tcPr>
                <w:p w14:paraId="345CDA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right="0" w:rightChars="0"/>
                    <w:jc w:val="left"/>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执行一般管控单元总体准入要求。</w:t>
                  </w:r>
                </w:p>
              </w:tc>
              <w:tc>
                <w:tcPr>
                  <w:tcW w:w="753" w:type="pct"/>
                  <w:tcBorders>
                    <w:tl2br w:val="nil"/>
                    <w:tr2bl w:val="nil"/>
                  </w:tcBorders>
                  <w:vAlign w:val="center"/>
                </w:tcPr>
                <w:p w14:paraId="29BFD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color w:val="auto"/>
                      <w:sz w:val="18"/>
                      <w:szCs w:val="18"/>
                      <w:highlight w:val="none"/>
                      <w:lang w:eastAsia="zh-CN"/>
                    </w:rPr>
                  </w:pPr>
                  <w:r>
                    <w:rPr>
                      <w:rFonts w:hint="eastAsia" w:cs="Times New Roman"/>
                      <w:color w:val="auto"/>
                      <w:sz w:val="18"/>
                      <w:szCs w:val="18"/>
                      <w:highlight w:val="none"/>
                      <w:lang w:val="en-US" w:eastAsia="zh-CN"/>
                    </w:rPr>
                    <w:t>满足巴中</w:t>
                  </w:r>
                  <w:r>
                    <w:rPr>
                      <w:rFonts w:hint="default" w:ascii="Times New Roman" w:hAnsi="Times New Roman" w:cs="Times New Roman"/>
                      <w:color w:val="auto"/>
                      <w:sz w:val="18"/>
                      <w:szCs w:val="18"/>
                      <w:highlight w:val="none"/>
                    </w:rPr>
                    <w:t>市一般管控单元总体准入要求</w:t>
                  </w:r>
                  <w:r>
                    <w:rPr>
                      <w:rFonts w:hint="default" w:ascii="Times New Roman" w:hAnsi="Times New Roman" w:cs="Times New Roman"/>
                      <w:color w:val="auto"/>
                      <w:sz w:val="18"/>
                      <w:szCs w:val="18"/>
                      <w:highlight w:val="none"/>
                      <w:lang w:eastAsia="zh-CN"/>
                    </w:rPr>
                    <w:t>。</w:t>
                  </w:r>
                </w:p>
              </w:tc>
              <w:tc>
                <w:tcPr>
                  <w:tcW w:w="260" w:type="pct"/>
                  <w:tcBorders>
                    <w:tl2br w:val="nil"/>
                    <w:tr2bl w:val="nil"/>
                  </w:tcBorders>
                  <w:vAlign w:val="center"/>
                </w:tcPr>
                <w:p w14:paraId="65EE9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符合</w:t>
                  </w:r>
                </w:p>
              </w:tc>
            </w:tr>
          </w:tbl>
          <w:p w14:paraId="601A7BB7">
            <w:pPr>
              <w:tabs>
                <w:tab w:val="left" w:pos="840"/>
              </w:tabs>
              <w:spacing w:line="360" w:lineRule="auto"/>
              <w:ind w:firstLine="422" w:firstLineChars="200"/>
              <w:rPr>
                <w:b/>
                <w:color w:val="auto"/>
                <w:szCs w:val="21"/>
              </w:rPr>
            </w:pPr>
            <w:r>
              <w:rPr>
                <w:b/>
                <w:bCs/>
                <w:color w:val="auto"/>
                <w:szCs w:val="21"/>
              </w:rPr>
              <w:t>综上所述，</w:t>
            </w:r>
            <w:r>
              <w:rPr>
                <w:b/>
                <w:bCs/>
                <w:color w:val="auto"/>
              </w:rPr>
              <w:t>本项目建设符合</w:t>
            </w:r>
            <w:r>
              <w:rPr>
                <w:rFonts w:hint="eastAsia"/>
                <w:b/>
                <w:bCs/>
                <w:color w:val="auto"/>
                <w:lang w:val="en-US" w:eastAsia="zh-CN"/>
              </w:rPr>
              <w:t>巴中</w:t>
            </w:r>
            <w:r>
              <w:rPr>
                <w:rFonts w:hint="eastAsia"/>
                <w:b/>
                <w:bCs/>
                <w:color w:val="auto"/>
                <w:lang w:eastAsia="zh-CN"/>
              </w:rPr>
              <w:t>市</w:t>
            </w:r>
            <w:r>
              <w:rPr>
                <w:b/>
                <w:bCs/>
                <w:color w:val="auto"/>
              </w:rPr>
              <w:t>“</w:t>
            </w:r>
            <w:r>
              <w:rPr>
                <w:rFonts w:hint="eastAsia"/>
                <w:b/>
                <w:bCs/>
                <w:color w:val="auto"/>
                <w:lang w:val="en-US" w:eastAsia="zh-CN"/>
              </w:rPr>
              <w:t>生态环境分区管控”</w:t>
            </w:r>
            <w:r>
              <w:rPr>
                <w:b/>
                <w:bCs/>
                <w:color w:val="auto"/>
              </w:rPr>
              <w:t>的要求</w:t>
            </w:r>
            <w:r>
              <w:rPr>
                <w:b/>
                <w:color w:val="auto"/>
                <w:szCs w:val="21"/>
              </w:rPr>
              <w:t>。</w:t>
            </w:r>
          </w:p>
          <w:p w14:paraId="4C4CA8BF">
            <w:pPr>
              <w:tabs>
                <w:tab w:val="left" w:pos="840"/>
              </w:tabs>
              <w:spacing w:line="360" w:lineRule="auto"/>
              <w:rPr>
                <w:rFonts w:eastAsia="黑体"/>
                <w:color w:val="auto"/>
                <w:szCs w:val="21"/>
              </w:rPr>
            </w:pPr>
            <w:r>
              <w:rPr>
                <w:rFonts w:hint="eastAsia" w:eastAsia="黑体"/>
                <w:color w:val="auto"/>
                <w:szCs w:val="21"/>
                <w:lang w:val="en-US" w:eastAsia="zh-CN"/>
              </w:rPr>
              <w:t>四</w:t>
            </w:r>
            <w:r>
              <w:rPr>
                <w:rFonts w:eastAsia="黑体"/>
                <w:color w:val="auto"/>
                <w:szCs w:val="21"/>
              </w:rPr>
              <w:t>、</w:t>
            </w:r>
            <w:r>
              <w:rPr>
                <w:rFonts w:hint="eastAsia" w:eastAsia="黑体"/>
                <w:color w:val="auto"/>
                <w:szCs w:val="21"/>
              </w:rPr>
              <w:t>本项目</w:t>
            </w:r>
            <w:r>
              <w:rPr>
                <w:rFonts w:eastAsia="黑体"/>
                <w:color w:val="auto"/>
                <w:szCs w:val="21"/>
              </w:rPr>
              <w:t>与《输变电建设项目环境保护技术要求》（HJ1113-2020）符合性分析</w:t>
            </w:r>
          </w:p>
          <w:p w14:paraId="5F80AE16">
            <w:pPr>
              <w:adjustRightInd w:val="0"/>
              <w:spacing w:line="360" w:lineRule="auto"/>
              <w:ind w:firstLine="420" w:firstLineChars="200"/>
              <w:rPr>
                <w:rFonts w:hint="eastAsia"/>
                <w:color w:val="FF0000"/>
                <w:szCs w:val="21"/>
                <w:lang w:eastAsia="zh-CN"/>
              </w:rPr>
            </w:pPr>
            <w:r>
              <w:rPr>
                <w:rFonts w:hint="eastAsia"/>
                <w:color w:val="auto"/>
                <w:szCs w:val="21"/>
              </w:rPr>
              <w:t>《</w:t>
            </w:r>
            <w:r>
              <w:rPr>
                <w:color w:val="auto"/>
                <w:szCs w:val="21"/>
              </w:rPr>
              <w:t>输变电建设项目环境保护技术要求》（HJ1113-2020）规定了输变电建设项目环境保护的选址选线、设计、施工、运行各阶段电磁、声、生态、水、大气等要素的环境保护要求。本工程目前处于设计阶段，与《输变电建设项目环境保护技术要求》（HJ1113-2020）中基本规定、选址选线及设计等主要技术要求符合性分析见</w:t>
            </w:r>
            <w:r>
              <w:rPr>
                <w:rFonts w:hint="eastAsia"/>
                <w:color w:val="auto"/>
                <w:szCs w:val="21"/>
              </w:rPr>
              <w:t>下</w:t>
            </w:r>
            <w:r>
              <w:rPr>
                <w:color w:val="auto"/>
                <w:szCs w:val="21"/>
              </w:rPr>
              <w:t>表</w:t>
            </w:r>
            <w:r>
              <w:rPr>
                <w:rFonts w:hint="eastAsia"/>
                <w:color w:val="auto"/>
                <w:szCs w:val="21"/>
                <w:lang w:eastAsia="zh-CN"/>
              </w:rPr>
              <w:t>。</w:t>
            </w:r>
          </w:p>
          <w:p w14:paraId="7AF5737B">
            <w:pPr>
              <w:tabs>
                <w:tab w:val="left" w:pos="3240"/>
              </w:tabs>
              <w:jc w:val="center"/>
              <w:rPr>
                <w:rFonts w:eastAsia="黑体"/>
                <w:color w:val="auto"/>
                <w:szCs w:val="21"/>
              </w:rPr>
            </w:pPr>
            <w:r>
              <w:rPr>
                <w:rFonts w:eastAsia="黑体"/>
                <w:color w:val="auto"/>
                <w:szCs w:val="21"/>
              </w:rPr>
              <w:t>表1-</w:t>
            </w:r>
            <w:r>
              <w:rPr>
                <w:rFonts w:hint="eastAsia" w:eastAsia="黑体"/>
                <w:color w:val="auto"/>
                <w:szCs w:val="21"/>
                <w:lang w:val="en-US" w:eastAsia="zh-CN"/>
              </w:rPr>
              <w:t>12</w:t>
            </w:r>
            <w:r>
              <w:rPr>
                <w:rFonts w:hint="eastAsia" w:eastAsia="黑体"/>
                <w:color w:val="auto"/>
                <w:szCs w:val="21"/>
              </w:rPr>
              <w:t xml:space="preserve"> </w:t>
            </w:r>
            <w:r>
              <w:rPr>
                <w:rFonts w:eastAsia="黑体"/>
                <w:color w:val="auto"/>
                <w:szCs w:val="21"/>
              </w:rPr>
              <w:t xml:space="preserve"> 与“HJ1113-2020”主要技术要求符合性分析</w:t>
            </w:r>
          </w:p>
          <w:tbl>
            <w:tblPr>
              <w:tblStyle w:val="25"/>
              <w:tblW w:w="4919"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5"/>
              <w:gridCol w:w="677"/>
              <w:gridCol w:w="670"/>
              <w:gridCol w:w="5465"/>
              <w:gridCol w:w="2086"/>
              <w:gridCol w:w="1970"/>
              <w:gridCol w:w="593"/>
            </w:tblGrid>
            <w:tr w14:paraId="32AAC8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39" w:type="pct"/>
                  <w:vMerge w:val="restart"/>
                  <w:tcBorders>
                    <w:tl2br w:val="nil"/>
                    <w:tr2bl w:val="nil"/>
                  </w:tcBorders>
                  <w:vAlign w:val="center"/>
                </w:tcPr>
                <w:p w14:paraId="65E09800">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类别</w:t>
                  </w:r>
                </w:p>
              </w:tc>
              <w:tc>
                <w:tcPr>
                  <w:tcW w:w="281" w:type="pct"/>
                  <w:vMerge w:val="restart"/>
                  <w:tcBorders>
                    <w:tl2br w:val="nil"/>
                    <w:tr2bl w:val="nil"/>
                  </w:tcBorders>
                  <w:vAlign w:val="center"/>
                </w:tcPr>
                <w:p w14:paraId="17345F18">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子项</w:t>
                  </w:r>
                </w:p>
              </w:tc>
              <w:tc>
                <w:tcPr>
                  <w:tcW w:w="278" w:type="pct"/>
                  <w:vMerge w:val="restart"/>
                  <w:tcBorders>
                    <w:tl2br w:val="nil"/>
                    <w:tr2bl w:val="nil"/>
                  </w:tcBorders>
                  <w:vAlign w:val="center"/>
                </w:tcPr>
                <w:p w14:paraId="697FB009">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序号</w:t>
                  </w:r>
                </w:p>
              </w:tc>
              <w:tc>
                <w:tcPr>
                  <w:tcW w:w="2269" w:type="pct"/>
                  <w:vMerge w:val="restart"/>
                  <w:tcBorders>
                    <w:tl2br w:val="nil"/>
                    <w:tr2bl w:val="nil"/>
                  </w:tcBorders>
                  <w:vAlign w:val="center"/>
                </w:tcPr>
                <w:p w14:paraId="2D69F43B">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要求</w:t>
                  </w:r>
                </w:p>
              </w:tc>
              <w:tc>
                <w:tcPr>
                  <w:tcW w:w="1684" w:type="pct"/>
                  <w:gridSpan w:val="2"/>
                  <w:tcBorders>
                    <w:tl2br w:val="nil"/>
                    <w:tr2bl w:val="nil"/>
                  </w:tcBorders>
                  <w:vAlign w:val="center"/>
                </w:tcPr>
                <w:p w14:paraId="40962124">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本项目情况</w:t>
                  </w:r>
                </w:p>
              </w:tc>
              <w:tc>
                <w:tcPr>
                  <w:tcW w:w="246" w:type="pct"/>
                  <w:vMerge w:val="restart"/>
                  <w:tcBorders>
                    <w:tl2br w:val="nil"/>
                    <w:tr2bl w:val="nil"/>
                  </w:tcBorders>
                  <w:vAlign w:val="center"/>
                </w:tcPr>
                <w:p w14:paraId="7C536528">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符合性</w:t>
                  </w:r>
                </w:p>
              </w:tc>
            </w:tr>
            <w:tr w14:paraId="3FA813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39" w:type="pct"/>
                  <w:vMerge w:val="continue"/>
                  <w:tcBorders>
                    <w:tl2br w:val="nil"/>
                    <w:tr2bl w:val="nil"/>
                  </w:tcBorders>
                  <w:vAlign w:val="center"/>
                </w:tcPr>
                <w:p w14:paraId="1F4CA3BB">
                  <w:pPr>
                    <w:ind w:left="0" w:leftChars="0" w:right="0" w:rightChars="0"/>
                    <w:jc w:val="center"/>
                    <w:rPr>
                      <w:rFonts w:hint="default" w:ascii="Times New Roman" w:hAnsi="Times New Roman" w:cs="Times New Roman" w:eastAsiaTheme="minorEastAsia"/>
                      <w:color w:val="FF0000"/>
                    </w:rPr>
                  </w:pPr>
                </w:p>
              </w:tc>
              <w:tc>
                <w:tcPr>
                  <w:tcW w:w="281" w:type="pct"/>
                  <w:vMerge w:val="continue"/>
                  <w:tcBorders>
                    <w:tl2br w:val="nil"/>
                    <w:tr2bl w:val="nil"/>
                  </w:tcBorders>
                  <w:vAlign w:val="center"/>
                </w:tcPr>
                <w:p w14:paraId="05B74801">
                  <w:pPr>
                    <w:ind w:left="0" w:leftChars="0" w:right="0" w:rightChars="0"/>
                    <w:jc w:val="center"/>
                    <w:rPr>
                      <w:rFonts w:hint="default" w:ascii="Times New Roman" w:hAnsi="Times New Roman" w:cs="Times New Roman" w:eastAsiaTheme="minorEastAsia"/>
                      <w:color w:val="FF0000"/>
                    </w:rPr>
                  </w:pPr>
                </w:p>
              </w:tc>
              <w:tc>
                <w:tcPr>
                  <w:tcW w:w="278" w:type="pct"/>
                  <w:vMerge w:val="continue"/>
                  <w:tcBorders>
                    <w:tl2br w:val="nil"/>
                    <w:tr2bl w:val="nil"/>
                  </w:tcBorders>
                  <w:vAlign w:val="center"/>
                </w:tcPr>
                <w:p w14:paraId="0E2A1043">
                  <w:pPr>
                    <w:ind w:left="0" w:leftChars="0" w:right="0" w:rightChars="0"/>
                    <w:jc w:val="center"/>
                    <w:rPr>
                      <w:rFonts w:hint="default" w:ascii="Times New Roman" w:hAnsi="Times New Roman" w:cs="Times New Roman" w:eastAsiaTheme="minorEastAsia"/>
                      <w:color w:val="FF0000"/>
                    </w:rPr>
                  </w:pPr>
                </w:p>
              </w:tc>
              <w:tc>
                <w:tcPr>
                  <w:tcW w:w="2269" w:type="pct"/>
                  <w:vMerge w:val="continue"/>
                  <w:tcBorders>
                    <w:tl2br w:val="nil"/>
                    <w:tr2bl w:val="nil"/>
                  </w:tcBorders>
                  <w:vAlign w:val="center"/>
                </w:tcPr>
                <w:p w14:paraId="1462D539">
                  <w:pPr>
                    <w:ind w:left="0" w:leftChars="0" w:right="0" w:rightChars="0"/>
                    <w:jc w:val="center"/>
                    <w:rPr>
                      <w:rFonts w:hint="default" w:ascii="Times New Roman" w:hAnsi="Times New Roman" w:cs="Times New Roman" w:eastAsiaTheme="minorEastAsia"/>
                      <w:color w:val="FF0000"/>
                    </w:rPr>
                  </w:pPr>
                </w:p>
              </w:tc>
              <w:tc>
                <w:tcPr>
                  <w:tcW w:w="866" w:type="pct"/>
                  <w:tcBorders>
                    <w:tl2br w:val="nil"/>
                    <w:tr2bl w:val="nil"/>
                  </w:tcBorders>
                  <w:vAlign w:val="center"/>
                </w:tcPr>
                <w:p w14:paraId="6307B478">
                  <w:pPr>
                    <w:ind w:left="0" w:leftChars="0" w:right="0" w:rightChars="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变电站</w:t>
                  </w:r>
                </w:p>
              </w:tc>
              <w:tc>
                <w:tcPr>
                  <w:tcW w:w="818" w:type="pct"/>
                  <w:tcBorders>
                    <w:tl2br w:val="nil"/>
                    <w:tr2bl w:val="nil"/>
                  </w:tcBorders>
                  <w:vAlign w:val="center"/>
                </w:tcPr>
                <w:p w14:paraId="2A557C4D">
                  <w:pPr>
                    <w:ind w:left="0" w:leftChars="0" w:right="0" w:rightChars="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输电线路</w:t>
                  </w:r>
                </w:p>
              </w:tc>
              <w:tc>
                <w:tcPr>
                  <w:tcW w:w="246" w:type="pct"/>
                  <w:vMerge w:val="continue"/>
                  <w:tcBorders>
                    <w:tl2br w:val="nil"/>
                    <w:tr2bl w:val="nil"/>
                  </w:tcBorders>
                  <w:vAlign w:val="center"/>
                </w:tcPr>
                <w:p w14:paraId="1E5BA087">
                  <w:pPr>
                    <w:ind w:left="0" w:leftChars="0" w:right="0" w:rightChars="0"/>
                    <w:jc w:val="center"/>
                    <w:rPr>
                      <w:rFonts w:hint="default" w:ascii="Times New Roman" w:hAnsi="Times New Roman" w:cs="Times New Roman" w:eastAsiaTheme="minorEastAsia"/>
                      <w:color w:val="FF0000"/>
                      <w:sz w:val="18"/>
                      <w:szCs w:val="18"/>
                    </w:rPr>
                  </w:pPr>
                </w:p>
              </w:tc>
            </w:tr>
            <w:tr w14:paraId="034880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restart"/>
                  <w:tcBorders>
                    <w:tl2br w:val="nil"/>
                    <w:tr2bl w:val="nil"/>
                  </w:tcBorders>
                  <w:vAlign w:val="center"/>
                </w:tcPr>
                <w:p w14:paraId="70273BC5">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选址选线</w:t>
                  </w:r>
                </w:p>
              </w:tc>
              <w:tc>
                <w:tcPr>
                  <w:tcW w:w="281" w:type="pct"/>
                  <w:vMerge w:val="restart"/>
                  <w:tcBorders>
                    <w:tl2br w:val="nil"/>
                    <w:tr2bl w:val="nil"/>
                  </w:tcBorders>
                  <w:vAlign w:val="center"/>
                </w:tcPr>
                <w:p w14:paraId="7BCA8B2F">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w:t>
                  </w:r>
                </w:p>
              </w:tc>
              <w:tc>
                <w:tcPr>
                  <w:tcW w:w="278" w:type="pct"/>
                  <w:tcBorders>
                    <w:tl2br w:val="nil"/>
                    <w:tr2bl w:val="nil"/>
                  </w:tcBorders>
                  <w:vAlign w:val="center"/>
                </w:tcPr>
                <w:p w14:paraId="664AB2E8">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503BC071">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工程选址选线应符合规划环境影响评价文件的要求</w:t>
                  </w:r>
                </w:p>
              </w:tc>
              <w:tc>
                <w:tcPr>
                  <w:tcW w:w="1684" w:type="pct"/>
                  <w:gridSpan w:val="2"/>
                  <w:tcBorders>
                    <w:tl2br w:val="nil"/>
                    <w:tr2bl w:val="nil"/>
                  </w:tcBorders>
                  <w:vAlign w:val="center"/>
                </w:tcPr>
                <w:p w14:paraId="48CFAD5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eastAsia="宋体" w:cs="Times New Roman"/>
                      <w:color w:val="auto"/>
                      <w:sz w:val="18"/>
                      <w:szCs w:val="18"/>
                    </w:rPr>
                    <w:t>区域未开展规划环评</w:t>
                  </w:r>
                </w:p>
              </w:tc>
              <w:tc>
                <w:tcPr>
                  <w:tcW w:w="246" w:type="pct"/>
                  <w:tcBorders>
                    <w:tl2br w:val="nil"/>
                    <w:tr2bl w:val="nil"/>
                  </w:tcBorders>
                  <w:vAlign w:val="center"/>
                </w:tcPr>
                <w:p w14:paraId="5ECDEF40">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64D60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74E866CE">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59F6C075">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0E06FE44">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w:t>
                  </w:r>
                </w:p>
              </w:tc>
              <w:tc>
                <w:tcPr>
                  <w:tcW w:w="2269" w:type="pct"/>
                  <w:tcBorders>
                    <w:tl2br w:val="nil"/>
                    <w:tr2bl w:val="nil"/>
                  </w:tcBorders>
                  <w:vAlign w:val="center"/>
                </w:tcPr>
                <w:p w14:paraId="5A927AE9">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1684" w:type="pct"/>
                  <w:gridSpan w:val="2"/>
                  <w:tcBorders>
                    <w:tl2br w:val="nil"/>
                    <w:tr2bl w:val="nil"/>
                  </w:tcBorders>
                  <w:vAlign w:val="center"/>
                </w:tcPr>
                <w:p w14:paraId="4FE87B1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eastAsia="宋体" w:cs="Times New Roman"/>
                      <w:color w:val="auto"/>
                      <w:sz w:val="18"/>
                      <w:szCs w:val="18"/>
                      <w:lang w:val="en-US" w:eastAsia="zh-CN"/>
                    </w:rPr>
                    <w:t>本项目新建输变电工程选址选线不涉及生态保护红线，不涉及</w:t>
                  </w:r>
                  <w:r>
                    <w:rPr>
                      <w:rFonts w:hint="default" w:ascii="Times New Roman" w:hAnsi="Times New Roman" w:eastAsia="宋体" w:cs="Times New Roman"/>
                      <w:color w:val="auto"/>
                      <w:sz w:val="18"/>
                      <w:szCs w:val="18"/>
                    </w:rPr>
                    <w:t>自然保护区实验区、饮用水水源二级保护区等环境敏感区</w:t>
                  </w:r>
                  <w:r>
                    <w:rPr>
                      <w:rFonts w:hint="eastAsia"/>
                      <w:lang w:eastAsia="zh-CN"/>
                    </w:rPr>
                    <w:t>。</w:t>
                  </w:r>
                </w:p>
              </w:tc>
              <w:tc>
                <w:tcPr>
                  <w:tcW w:w="246" w:type="pct"/>
                  <w:tcBorders>
                    <w:tl2br w:val="nil"/>
                    <w:tr2bl w:val="nil"/>
                  </w:tcBorders>
                  <w:vAlign w:val="center"/>
                </w:tcPr>
                <w:p w14:paraId="7541C780">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3CEF0E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490E3E9F">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78E1FAB6">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56A2A325">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w:t>
                  </w:r>
                </w:p>
              </w:tc>
              <w:tc>
                <w:tcPr>
                  <w:tcW w:w="2269" w:type="pct"/>
                  <w:tcBorders>
                    <w:tl2br w:val="nil"/>
                    <w:tr2bl w:val="nil"/>
                  </w:tcBorders>
                  <w:vAlign w:val="center"/>
                </w:tcPr>
                <w:p w14:paraId="2A296198">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变电工程在选址时应按</w:t>
                  </w:r>
                  <w:r>
                    <w:rPr>
                      <w:rFonts w:hint="default" w:ascii="Times New Roman" w:hAnsi="Times New Roman" w:cs="Times New Roman" w:eastAsiaTheme="minorEastAsia"/>
                      <w:color w:val="auto"/>
                      <w:sz w:val="18"/>
                      <w:szCs w:val="18"/>
                      <w:lang w:eastAsia="zh-CN"/>
                    </w:rPr>
                    <w:t>远期</w:t>
                  </w:r>
                  <w:r>
                    <w:rPr>
                      <w:rFonts w:hint="default" w:ascii="Times New Roman" w:hAnsi="Times New Roman" w:cs="Times New Roman" w:eastAsiaTheme="minorEastAsia"/>
                      <w:color w:val="auto"/>
                      <w:sz w:val="18"/>
                      <w:szCs w:val="18"/>
                    </w:rPr>
                    <w:t>规模综合考虑进出线走廊规划，避免进出线进入自然保护区、饮用水水源保护区等环境敏感区。</w:t>
                  </w:r>
                </w:p>
              </w:tc>
              <w:tc>
                <w:tcPr>
                  <w:tcW w:w="866" w:type="pct"/>
                  <w:tcBorders>
                    <w:tl2br w:val="nil"/>
                    <w:tr2bl w:val="nil"/>
                  </w:tcBorders>
                  <w:vAlign w:val="center"/>
                </w:tcPr>
                <w:p w14:paraId="499CBC4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变电站已考虑</w:t>
                  </w:r>
                  <w:r>
                    <w:rPr>
                      <w:rFonts w:hint="default" w:ascii="Times New Roman" w:hAnsi="Times New Roman" w:cs="Times New Roman" w:eastAsiaTheme="minorEastAsia"/>
                      <w:color w:val="auto"/>
                      <w:sz w:val="18"/>
                      <w:szCs w:val="18"/>
                      <w:lang w:eastAsia="zh-CN"/>
                    </w:rPr>
                    <w:t>远期</w:t>
                  </w:r>
                  <w:r>
                    <w:rPr>
                      <w:rFonts w:hint="default" w:ascii="Times New Roman" w:hAnsi="Times New Roman" w:cs="Times New Roman" w:eastAsiaTheme="minorEastAsia"/>
                      <w:color w:val="auto"/>
                      <w:sz w:val="18"/>
                      <w:szCs w:val="18"/>
                    </w:rPr>
                    <w:t>规模进出线走廊，已避开了环境敏感区</w:t>
                  </w:r>
                  <w:r>
                    <w:rPr>
                      <w:rFonts w:hint="default" w:ascii="Times New Roman" w:hAnsi="Times New Roman" w:cs="Times New Roman" w:eastAsiaTheme="minorEastAsia"/>
                      <w:color w:val="auto"/>
                      <w:sz w:val="18"/>
                      <w:szCs w:val="18"/>
                      <w:lang w:eastAsia="zh-CN"/>
                    </w:rPr>
                    <w:t>。</w:t>
                  </w:r>
                </w:p>
              </w:tc>
              <w:tc>
                <w:tcPr>
                  <w:tcW w:w="818" w:type="pct"/>
                  <w:tcBorders>
                    <w:tl2br w:val="nil"/>
                    <w:tr2bl w:val="nil"/>
                  </w:tcBorders>
                  <w:vAlign w:val="center"/>
                </w:tcPr>
                <w:p w14:paraId="6AC9639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0E3B6455">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1008CD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105F6AC1">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48174E98">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3B213EA7">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4</w:t>
                  </w:r>
                </w:p>
              </w:tc>
              <w:tc>
                <w:tcPr>
                  <w:tcW w:w="2269" w:type="pct"/>
                  <w:tcBorders>
                    <w:tl2br w:val="nil"/>
                    <w:tr2bl w:val="nil"/>
                  </w:tcBorders>
                  <w:vAlign w:val="center"/>
                </w:tcPr>
                <w:p w14:paraId="0B7BC9D8">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户外变电工程及规划架空进出线选址选线时，应关注以居住、医疗卫生、文化教育、科研、行政办公等为主要功能的区域，采取综合措施，减少电磁和声环境影响。</w:t>
                  </w:r>
                </w:p>
              </w:tc>
              <w:tc>
                <w:tcPr>
                  <w:tcW w:w="866" w:type="pct"/>
                  <w:tcBorders>
                    <w:tl2br w:val="nil"/>
                    <w:tr2bl w:val="nil"/>
                  </w:tcBorders>
                  <w:vAlign w:val="center"/>
                </w:tcPr>
                <w:p w14:paraId="513BCB3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w:t>
                  </w:r>
                  <w:r>
                    <w:rPr>
                      <w:rFonts w:hint="default" w:ascii="Times New Roman" w:hAnsi="Times New Roman" w:cs="Times New Roman"/>
                      <w:color w:val="auto"/>
                      <w:sz w:val="18"/>
                      <w:szCs w:val="18"/>
                      <w:highlight w:val="none"/>
                      <w:lang w:val="en-US" w:eastAsia="zh-CN"/>
                    </w:rPr>
                    <w:t>周边分布有少量的居民，主变布置于</w:t>
                  </w:r>
                  <w:r>
                    <w:rPr>
                      <w:rFonts w:hint="eastAsia" w:ascii="Times New Roman" w:hAnsi="Times New Roman" w:cs="Times New Roman"/>
                      <w:color w:val="auto"/>
                      <w:sz w:val="18"/>
                      <w:szCs w:val="18"/>
                      <w:highlight w:val="none"/>
                      <w:lang w:val="en-US" w:eastAsia="zh-CN"/>
                    </w:rPr>
                    <w:t>站区</w:t>
                  </w:r>
                  <w:r>
                    <w:rPr>
                      <w:rFonts w:hint="default" w:ascii="Times New Roman" w:hAnsi="Times New Roman" w:cs="Times New Roman"/>
                      <w:color w:val="auto"/>
                      <w:sz w:val="18"/>
                      <w:szCs w:val="18"/>
                      <w:highlight w:val="none"/>
                      <w:lang w:val="en-US" w:eastAsia="zh-CN"/>
                    </w:rPr>
                    <w:t>中部，</w:t>
                  </w:r>
                  <w:r>
                    <w:rPr>
                      <w:rFonts w:hint="default" w:ascii="Times New Roman" w:hAnsi="Times New Roman" w:cs="Times New Roman"/>
                      <w:color w:val="auto"/>
                      <w:sz w:val="18"/>
                      <w:szCs w:val="18"/>
                      <w:highlight w:val="none"/>
                    </w:rPr>
                    <w:t>选择低噪声设备</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尽可能</w:t>
                  </w:r>
                  <w:r>
                    <w:rPr>
                      <w:rFonts w:hint="default" w:ascii="Times New Roman" w:hAnsi="Times New Roman" w:cs="Times New Roman"/>
                      <w:color w:val="auto"/>
                      <w:sz w:val="18"/>
                      <w:szCs w:val="18"/>
                      <w:highlight w:val="none"/>
                    </w:rPr>
                    <w:t>减少电磁和声环境影响。</w:t>
                  </w:r>
                </w:p>
              </w:tc>
              <w:tc>
                <w:tcPr>
                  <w:tcW w:w="818" w:type="pct"/>
                  <w:tcBorders>
                    <w:tl2br w:val="nil"/>
                    <w:tr2bl w:val="nil"/>
                  </w:tcBorders>
                  <w:vAlign w:val="center"/>
                </w:tcPr>
                <w:p w14:paraId="2DFCDEC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6532A489">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3DEE0B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396C3BB0">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651AD679">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14077245">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5</w:t>
                  </w:r>
                </w:p>
              </w:tc>
              <w:tc>
                <w:tcPr>
                  <w:tcW w:w="2269" w:type="pct"/>
                  <w:tcBorders>
                    <w:tl2br w:val="nil"/>
                    <w:tr2bl w:val="nil"/>
                  </w:tcBorders>
                  <w:vAlign w:val="center"/>
                </w:tcPr>
                <w:p w14:paraId="03D18F0B">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同一走廊内的多回输电线路，宜采取同塔多回架设、并行架设等形式，减少新开辟走廊，优化线路走廊间距，降低环境影响。</w:t>
                  </w:r>
                </w:p>
              </w:tc>
              <w:tc>
                <w:tcPr>
                  <w:tcW w:w="866" w:type="pct"/>
                  <w:tcBorders>
                    <w:tl2br w:val="nil"/>
                    <w:tr2bl w:val="nil"/>
                  </w:tcBorders>
                  <w:vAlign w:val="center"/>
                </w:tcPr>
                <w:p w14:paraId="1EFC873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FF0000"/>
                      <w:sz w:val="18"/>
                      <w:szCs w:val="18"/>
                      <w:lang w:val="en-US" w:eastAsia="zh-CN"/>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4B5ADFC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eastAsia"/>
                      <w:color w:val="auto"/>
                      <w:sz w:val="18"/>
                      <w:szCs w:val="18"/>
                      <w:highlight w:val="none"/>
                      <w:lang w:val="en-US" w:eastAsia="zh-CN"/>
                    </w:rPr>
                    <w:t>新建</w:t>
                  </w:r>
                  <w:r>
                    <w:rPr>
                      <w:rFonts w:hint="eastAsia"/>
                      <w:color w:val="auto"/>
                      <w:sz w:val="18"/>
                      <w:szCs w:val="18"/>
                      <w:highlight w:val="none"/>
                      <w:lang w:eastAsia="zh-CN"/>
                    </w:rPr>
                    <w:t>110kV线路工程</w:t>
                  </w:r>
                  <w:r>
                    <w:rPr>
                      <w:rFonts w:hint="eastAsia"/>
                      <w:color w:val="auto"/>
                      <w:sz w:val="18"/>
                      <w:szCs w:val="18"/>
                      <w:highlight w:val="none"/>
                      <w:lang w:val="en-US" w:eastAsia="zh-CN"/>
                    </w:rPr>
                    <w:t>部分</w:t>
                  </w:r>
                  <w:r>
                    <w:rPr>
                      <w:rFonts w:hint="eastAsia" w:cs="Times New Roman"/>
                      <w:color w:val="000000" w:themeColor="text1"/>
                      <w:sz w:val="18"/>
                      <w:szCs w:val="18"/>
                      <w:highlight w:val="none"/>
                      <w:lang w:val="en-US" w:eastAsia="zh-CN"/>
                      <w14:textFill>
                        <w14:solidFill>
                          <w14:schemeClr w14:val="tx1"/>
                        </w14:solidFill>
                      </w14:textFill>
                    </w:rPr>
                    <w:t>利用既有杆塔架线，路径不变，未新开辟走廊；</w:t>
                  </w:r>
                  <w:r>
                    <w:rPr>
                      <w:rFonts w:hint="eastAsia"/>
                      <w:color w:val="auto"/>
                      <w:sz w:val="18"/>
                      <w:szCs w:val="18"/>
                      <w:highlight w:val="none"/>
                      <w:lang w:val="en-US" w:eastAsia="zh-CN"/>
                    </w:rPr>
                    <w:t>部分</w:t>
                  </w:r>
                  <w:r>
                    <w:rPr>
                      <w:rFonts w:hint="eastAsia" w:cs="Times New Roman"/>
                      <w:color w:val="000000" w:themeColor="text1"/>
                      <w:sz w:val="18"/>
                      <w:szCs w:val="18"/>
                      <w:lang w:val="en-US" w:eastAsia="zh-CN"/>
                      <w14:textFill>
                        <w14:solidFill>
                          <w14:schemeClr w14:val="tx1"/>
                        </w14:solidFill>
                      </w14:textFill>
                    </w:rPr>
                    <w:t>采用双回塔单边挂线架设，可减少后期其他线路工程新建走廊</w:t>
                  </w:r>
                  <w:r>
                    <w:rPr>
                      <w:rFonts w:hint="default" w:ascii="Times New Roman" w:hAnsi="Times New Roman" w:cs="Times New Roman" w:eastAsiaTheme="minorEastAsia"/>
                      <w:color w:val="auto"/>
                      <w:sz w:val="18"/>
                      <w:szCs w:val="18"/>
                    </w:rPr>
                    <w:t>，降低了环境影响</w:t>
                  </w:r>
                  <w:r>
                    <w:rPr>
                      <w:rFonts w:hint="default" w:ascii="Times New Roman" w:hAnsi="Times New Roman" w:cs="Times New Roman" w:eastAsiaTheme="minorEastAsia"/>
                      <w:color w:val="auto"/>
                      <w:sz w:val="18"/>
                      <w:szCs w:val="18"/>
                      <w:lang w:eastAsia="zh-CN"/>
                    </w:rPr>
                    <w:t>。</w:t>
                  </w:r>
                </w:p>
              </w:tc>
              <w:tc>
                <w:tcPr>
                  <w:tcW w:w="246" w:type="pct"/>
                  <w:tcBorders>
                    <w:tl2br w:val="nil"/>
                    <w:tr2bl w:val="nil"/>
                  </w:tcBorders>
                  <w:vAlign w:val="center"/>
                </w:tcPr>
                <w:p w14:paraId="24ABC274">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39F16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049F427B">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139A8475">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0D18E833">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6</w:t>
                  </w:r>
                </w:p>
              </w:tc>
              <w:tc>
                <w:tcPr>
                  <w:tcW w:w="2269" w:type="pct"/>
                  <w:tcBorders>
                    <w:tl2br w:val="nil"/>
                    <w:tr2bl w:val="nil"/>
                  </w:tcBorders>
                  <w:vAlign w:val="center"/>
                </w:tcPr>
                <w:p w14:paraId="69CF73F3">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原则上避免在0类声环境功能区建设变电工程。</w:t>
                  </w:r>
                </w:p>
              </w:tc>
              <w:tc>
                <w:tcPr>
                  <w:tcW w:w="866" w:type="pct"/>
                  <w:tcBorders>
                    <w:tl2br w:val="nil"/>
                    <w:tr2bl w:val="nil"/>
                  </w:tcBorders>
                  <w:vAlign w:val="center"/>
                </w:tcPr>
                <w:p w14:paraId="398842E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本项目新建变电站位于2类</w:t>
                  </w:r>
                  <w:r>
                    <w:rPr>
                      <w:rFonts w:hint="eastAsia" w:cs="Times New Roman" w:eastAsiaTheme="minorEastAsia"/>
                      <w:color w:val="auto"/>
                      <w:sz w:val="18"/>
                      <w:szCs w:val="18"/>
                      <w:lang w:val="en-US" w:eastAsia="zh-CN"/>
                    </w:rPr>
                    <w:t>、</w:t>
                  </w:r>
                  <w:r>
                    <w:rPr>
                      <w:rFonts w:hint="default" w:ascii="Times New Roman" w:hAnsi="Times New Roman" w:cs="Times New Roman" w:eastAsiaTheme="minorEastAsia"/>
                      <w:color w:val="auto"/>
                      <w:sz w:val="18"/>
                      <w:szCs w:val="18"/>
                      <w:lang w:val="en-US" w:eastAsia="zh-CN"/>
                    </w:rPr>
                    <w:t>4a类声环境功能区。</w:t>
                  </w:r>
                </w:p>
              </w:tc>
              <w:tc>
                <w:tcPr>
                  <w:tcW w:w="818" w:type="pct"/>
                  <w:tcBorders>
                    <w:tl2br w:val="nil"/>
                    <w:tr2bl w:val="nil"/>
                  </w:tcBorders>
                  <w:vAlign w:val="center"/>
                </w:tcPr>
                <w:p w14:paraId="4AD7389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本项目输电线路位于2类、4a类声环境功能区。</w:t>
                  </w:r>
                </w:p>
              </w:tc>
              <w:tc>
                <w:tcPr>
                  <w:tcW w:w="246" w:type="pct"/>
                  <w:tcBorders>
                    <w:tl2br w:val="nil"/>
                    <w:tr2bl w:val="nil"/>
                  </w:tcBorders>
                  <w:vAlign w:val="center"/>
                </w:tcPr>
                <w:p w14:paraId="505B1C73">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061E00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15737F25">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7ED520C2">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5B93EA8B">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7</w:t>
                  </w:r>
                </w:p>
              </w:tc>
              <w:tc>
                <w:tcPr>
                  <w:tcW w:w="2269" w:type="pct"/>
                  <w:tcBorders>
                    <w:tl2br w:val="nil"/>
                    <w:tr2bl w:val="nil"/>
                  </w:tcBorders>
                  <w:vAlign w:val="center"/>
                </w:tcPr>
                <w:p w14:paraId="569BB854">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变电工程选址时，应综合考虑减少土地占用、植被砍伐和弃土弃渣等，以减少对生态环境的不利影响。</w:t>
                  </w:r>
                </w:p>
              </w:tc>
              <w:tc>
                <w:tcPr>
                  <w:tcW w:w="866" w:type="pct"/>
                  <w:tcBorders>
                    <w:tl2br w:val="nil"/>
                    <w:tr2bl w:val="nil"/>
                  </w:tcBorders>
                  <w:vAlign w:val="center"/>
                </w:tcPr>
                <w:p w14:paraId="45530D1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FF0000"/>
                      <w:sz w:val="18"/>
                      <w:szCs w:val="18"/>
                      <w:lang w:eastAsia="zh-CN"/>
                    </w:rPr>
                  </w:pPr>
                  <w:r>
                    <w:rPr>
                      <w:rFonts w:hint="default" w:ascii="Times New Roman" w:hAnsi="Times New Roman" w:cs="Times New Roman" w:eastAsiaTheme="minorEastAsia"/>
                      <w:color w:val="auto"/>
                      <w:sz w:val="18"/>
                      <w:szCs w:val="18"/>
                      <w:lang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w:t>
                  </w:r>
                  <w:r>
                    <w:rPr>
                      <w:rFonts w:hint="default" w:ascii="Times New Roman" w:hAnsi="Times New Roman" w:cs="Times New Roman" w:eastAsiaTheme="minorEastAsia"/>
                      <w:color w:val="auto"/>
                      <w:sz w:val="18"/>
                      <w:szCs w:val="18"/>
                      <w:lang w:val="en-US" w:eastAsia="zh-CN"/>
                    </w:rPr>
                    <w:t>场址</w:t>
                  </w:r>
                  <w:r>
                    <w:rPr>
                      <w:rFonts w:hint="default" w:ascii="Times New Roman" w:hAnsi="Times New Roman" w:cs="Times New Roman" w:eastAsiaTheme="minorEastAsia"/>
                      <w:color w:val="auto"/>
                      <w:sz w:val="18"/>
                      <w:szCs w:val="18"/>
                    </w:rPr>
                    <w:t>属于</w:t>
                  </w:r>
                  <w:r>
                    <w:rPr>
                      <w:rFonts w:hint="eastAsia" w:cs="Times New Roman" w:eastAsiaTheme="minorEastAsia"/>
                      <w:color w:val="auto"/>
                      <w:sz w:val="18"/>
                      <w:szCs w:val="18"/>
                      <w:lang w:val="en-US" w:eastAsia="zh-CN"/>
                    </w:rPr>
                    <w:t>建设用地和耕地</w:t>
                  </w:r>
                  <w:r>
                    <w:rPr>
                      <w:rFonts w:hint="default" w:ascii="Times New Roman" w:hAnsi="Times New Roman" w:cs="Times New Roman" w:eastAsiaTheme="minorEastAsia"/>
                      <w:color w:val="auto"/>
                      <w:sz w:val="18"/>
                      <w:szCs w:val="18"/>
                    </w:rPr>
                    <w:t>，</w:t>
                  </w:r>
                  <w:r>
                    <w:rPr>
                      <w:rFonts w:hint="default" w:ascii="Times New Roman" w:hAnsi="Times New Roman" w:cs="Times New Roman" w:eastAsiaTheme="minorEastAsia"/>
                      <w:color w:val="auto"/>
                      <w:sz w:val="18"/>
                      <w:szCs w:val="18"/>
                      <w:lang w:val="en-US" w:eastAsia="zh-CN"/>
                    </w:rPr>
                    <w:t>已最大限度减少占地，占地内植被较少，</w:t>
                  </w:r>
                  <w:r>
                    <w:rPr>
                      <w:rFonts w:hint="eastAsia" w:cs="Times New Roman" w:eastAsiaTheme="minorEastAsia"/>
                      <w:color w:val="auto"/>
                      <w:sz w:val="18"/>
                      <w:szCs w:val="18"/>
                      <w:lang w:val="en-US" w:eastAsia="zh-CN"/>
                    </w:rPr>
                    <w:t>无</w:t>
                  </w:r>
                  <w:r>
                    <w:rPr>
                      <w:rFonts w:hint="default" w:ascii="Times New Roman" w:hAnsi="Times New Roman" w:cs="Times New Roman" w:eastAsiaTheme="minorEastAsia"/>
                      <w:color w:val="auto"/>
                      <w:sz w:val="18"/>
                      <w:szCs w:val="18"/>
                      <w:lang w:val="en-US" w:eastAsia="zh-CN"/>
                    </w:rPr>
                    <w:t>弃土弃渣，</w:t>
                  </w:r>
                  <w:r>
                    <w:rPr>
                      <w:rFonts w:hint="default" w:ascii="Times New Roman" w:hAnsi="Times New Roman" w:cs="Times New Roman" w:eastAsiaTheme="minorEastAsia"/>
                      <w:color w:val="auto"/>
                      <w:sz w:val="18"/>
                      <w:szCs w:val="18"/>
                    </w:rPr>
                    <w:t>对生态环境影响小</w:t>
                  </w:r>
                  <w:r>
                    <w:rPr>
                      <w:rFonts w:hint="default" w:ascii="Times New Roman" w:hAnsi="Times New Roman" w:cs="Times New Roman" w:eastAsiaTheme="minorEastAsia"/>
                      <w:color w:val="auto"/>
                      <w:sz w:val="18"/>
                      <w:szCs w:val="18"/>
                      <w:lang w:eastAsia="zh-CN"/>
                    </w:rPr>
                    <w:t>。</w:t>
                  </w:r>
                </w:p>
              </w:tc>
              <w:tc>
                <w:tcPr>
                  <w:tcW w:w="818" w:type="pct"/>
                  <w:tcBorders>
                    <w:tl2br w:val="nil"/>
                    <w:tr2bl w:val="nil"/>
                  </w:tcBorders>
                  <w:vAlign w:val="center"/>
                </w:tcPr>
                <w:p w14:paraId="1D4DF97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u w:val="none"/>
                    </w:rPr>
                    <w:t>/</w:t>
                  </w:r>
                </w:p>
              </w:tc>
              <w:tc>
                <w:tcPr>
                  <w:tcW w:w="246" w:type="pct"/>
                  <w:tcBorders>
                    <w:tl2br w:val="nil"/>
                    <w:tr2bl w:val="nil"/>
                  </w:tcBorders>
                  <w:vAlign w:val="center"/>
                </w:tcPr>
                <w:p w14:paraId="75F445E6">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3DE0CAF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4B7020D5">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291293F9">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31F0C578">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8</w:t>
                  </w:r>
                </w:p>
              </w:tc>
              <w:tc>
                <w:tcPr>
                  <w:tcW w:w="2269" w:type="pct"/>
                  <w:tcBorders>
                    <w:tl2br w:val="nil"/>
                    <w:tr2bl w:val="nil"/>
                  </w:tcBorders>
                  <w:vAlign w:val="center"/>
                </w:tcPr>
                <w:p w14:paraId="38EFFCFC">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输电线路宜避让集中林区，以减少林木砍伐，保护生态环境。</w:t>
                  </w:r>
                </w:p>
              </w:tc>
              <w:tc>
                <w:tcPr>
                  <w:tcW w:w="866" w:type="pct"/>
                  <w:tcBorders>
                    <w:tl2br w:val="nil"/>
                    <w:tr2bl w:val="nil"/>
                  </w:tcBorders>
                  <w:vAlign w:val="center"/>
                </w:tcPr>
                <w:p w14:paraId="08BFA68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3005CEB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eastAsia="zh-CN"/>
                    </w:rPr>
                    <w:t>由于项目区域存在较多集中林区，因此本项目新建架空线路不可避免地要穿越部分集中林区，设计阶段通过优化塔基位置的选择，尽量减少林木砍伐，保护生态环境</w:t>
                  </w:r>
                </w:p>
              </w:tc>
              <w:tc>
                <w:tcPr>
                  <w:tcW w:w="246" w:type="pct"/>
                  <w:tcBorders>
                    <w:tl2br w:val="nil"/>
                    <w:tr2bl w:val="nil"/>
                  </w:tcBorders>
                  <w:vAlign w:val="center"/>
                </w:tcPr>
                <w:p w14:paraId="769E04FC">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25674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54A6217D">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578B8AAD">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1B408991">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9</w:t>
                  </w:r>
                </w:p>
              </w:tc>
              <w:tc>
                <w:tcPr>
                  <w:tcW w:w="2269" w:type="pct"/>
                  <w:tcBorders>
                    <w:tl2br w:val="nil"/>
                    <w:tr2bl w:val="nil"/>
                  </w:tcBorders>
                  <w:vAlign w:val="center"/>
                </w:tcPr>
                <w:p w14:paraId="4535FB38">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进入自然保护区的输电线路，应按照HJ19的要求开展生态现状调查，避让保护对象的集中分布区。</w:t>
                  </w:r>
                </w:p>
              </w:tc>
              <w:tc>
                <w:tcPr>
                  <w:tcW w:w="866" w:type="pct"/>
                  <w:tcBorders>
                    <w:tl2br w:val="nil"/>
                    <w:tr2bl w:val="nil"/>
                  </w:tcBorders>
                  <w:vAlign w:val="center"/>
                </w:tcPr>
                <w:p w14:paraId="7E03DA6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3A31869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本项目不涉及自然保护区</w:t>
                  </w:r>
                </w:p>
              </w:tc>
              <w:tc>
                <w:tcPr>
                  <w:tcW w:w="246" w:type="pct"/>
                  <w:tcBorders>
                    <w:tl2br w:val="nil"/>
                    <w:tr2bl w:val="nil"/>
                  </w:tcBorders>
                  <w:vAlign w:val="center"/>
                </w:tcPr>
                <w:p w14:paraId="37FF8F31">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3DD1A5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restart"/>
                  <w:tcBorders>
                    <w:tl2br w:val="nil"/>
                    <w:tr2bl w:val="nil"/>
                  </w:tcBorders>
                  <w:vAlign w:val="center"/>
                </w:tcPr>
                <w:p w14:paraId="67498209">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设计</w:t>
                  </w:r>
                </w:p>
              </w:tc>
              <w:tc>
                <w:tcPr>
                  <w:tcW w:w="281" w:type="pct"/>
                  <w:vMerge w:val="restart"/>
                  <w:tcBorders>
                    <w:tl2br w:val="nil"/>
                    <w:tr2bl w:val="nil"/>
                  </w:tcBorders>
                  <w:vAlign w:val="center"/>
                </w:tcPr>
                <w:p w14:paraId="1BA0ADC0">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总体要求</w:t>
                  </w:r>
                </w:p>
              </w:tc>
              <w:tc>
                <w:tcPr>
                  <w:tcW w:w="278" w:type="pct"/>
                  <w:tcBorders>
                    <w:tl2br w:val="nil"/>
                    <w:tr2bl w:val="nil"/>
                  </w:tcBorders>
                  <w:vAlign w:val="center"/>
                </w:tcPr>
                <w:p w14:paraId="348F300A">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2B27EFF8">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输变电建设项目的初步设计、施工图设计文件中应包含相关的环境保护内容，编制环境保护篇章、开展环境保护专项设计，落实防治环境污染和生态破坏的措施、设施及相应资金。</w:t>
                  </w:r>
                </w:p>
              </w:tc>
              <w:tc>
                <w:tcPr>
                  <w:tcW w:w="1684" w:type="pct"/>
                  <w:gridSpan w:val="2"/>
                  <w:tcBorders>
                    <w:tl2br w:val="nil"/>
                    <w:tr2bl w:val="nil"/>
                  </w:tcBorders>
                  <w:vAlign w:val="center"/>
                </w:tcPr>
                <w:p w14:paraId="68E8F60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根据</w:t>
                  </w:r>
                  <w:r>
                    <w:rPr>
                      <w:rFonts w:hint="default" w:ascii="Times New Roman" w:hAnsi="Times New Roman" w:cs="Times New Roman" w:eastAsiaTheme="minorEastAsia"/>
                      <w:color w:val="auto"/>
                      <w:sz w:val="18"/>
                      <w:szCs w:val="18"/>
                      <w:lang w:eastAsia="zh-CN"/>
                    </w:rPr>
                    <w:t>四川南充电力设计有限公司</w:t>
                  </w:r>
                  <w:r>
                    <w:rPr>
                      <w:rFonts w:hint="default" w:ascii="Times New Roman" w:hAnsi="Times New Roman" w:cs="Times New Roman" w:eastAsiaTheme="minorEastAsia"/>
                      <w:color w:val="auto"/>
                      <w:sz w:val="18"/>
                      <w:szCs w:val="18"/>
                    </w:rPr>
                    <w:t>编制</w:t>
                  </w:r>
                  <w:r>
                    <w:rPr>
                      <w:rFonts w:hint="default" w:ascii="Times New Roman" w:hAnsi="Times New Roman" w:cs="Times New Roman" w:eastAsiaTheme="minorEastAsia"/>
                      <w:color w:val="auto"/>
                      <w:sz w:val="18"/>
                      <w:szCs w:val="18"/>
                      <w:lang w:val="en-US" w:eastAsia="zh-CN"/>
                    </w:rPr>
                    <w:t>的《巴中</w:t>
                  </w:r>
                  <w:r>
                    <w:rPr>
                      <w:rFonts w:hint="eastAsia" w:cs="Times New Roman" w:eastAsiaTheme="minorEastAsia"/>
                      <w:color w:val="auto"/>
                      <w:sz w:val="18"/>
                      <w:szCs w:val="18"/>
                      <w:lang w:val="en-US" w:eastAsia="zh-CN"/>
                    </w:rPr>
                    <w:t>恩阳司城</w:t>
                  </w:r>
                  <w:r>
                    <w:rPr>
                      <w:rFonts w:hint="default" w:ascii="Times New Roman" w:hAnsi="Times New Roman" w:cs="Times New Roman" w:eastAsiaTheme="minorEastAsia"/>
                      <w:color w:val="auto"/>
                      <w:sz w:val="18"/>
                      <w:szCs w:val="18"/>
                      <w:lang w:eastAsia="zh-CN"/>
                    </w:rPr>
                    <w:t>110</w:t>
                  </w:r>
                  <w:r>
                    <w:rPr>
                      <w:rFonts w:hint="eastAsia" w:cs="Times New Roman" w:eastAsiaTheme="minorEastAsia"/>
                      <w:color w:val="auto"/>
                      <w:sz w:val="18"/>
                      <w:szCs w:val="18"/>
                      <w:lang w:val="en-US" w:eastAsia="zh-CN"/>
                    </w:rPr>
                    <w:t>千伏</w:t>
                  </w:r>
                  <w:r>
                    <w:rPr>
                      <w:rFonts w:hint="default" w:ascii="Times New Roman" w:hAnsi="Times New Roman" w:cs="Times New Roman" w:eastAsiaTheme="minorEastAsia"/>
                      <w:color w:val="auto"/>
                      <w:sz w:val="18"/>
                      <w:szCs w:val="18"/>
                      <w:lang w:eastAsia="zh-CN"/>
                    </w:rPr>
                    <w:t>输变电工程初步设计说明书》</w:t>
                  </w:r>
                  <w:r>
                    <w:rPr>
                      <w:rFonts w:hint="default" w:ascii="Times New Roman" w:hAnsi="Times New Roman" w:cs="Times New Roman"/>
                      <w:color w:val="auto"/>
                      <w:sz w:val="18"/>
                      <w:szCs w:val="18"/>
                      <w:lang w:val="en-US" w:eastAsia="zh-CN"/>
                    </w:rPr>
                    <w:t>已包含环境保护篇章，并有针对性进行环境保护专项设计，提出的生态保护措施具有可行性；本次评价已要求</w:t>
                  </w:r>
                  <w:r>
                    <w:rPr>
                      <w:rFonts w:hint="eastAsia" w:cs="Times New Roman"/>
                      <w:color w:val="auto"/>
                      <w:sz w:val="18"/>
                      <w:szCs w:val="18"/>
                      <w:lang w:val="en-US" w:eastAsia="zh-CN"/>
                    </w:rPr>
                    <w:t>设计单位</w:t>
                  </w:r>
                  <w:r>
                    <w:rPr>
                      <w:rFonts w:hint="default" w:ascii="Times New Roman" w:hAnsi="Times New Roman" w:cs="Times New Roman"/>
                      <w:color w:val="auto"/>
                      <w:sz w:val="18"/>
                      <w:szCs w:val="18"/>
                      <w:lang w:val="en-US" w:eastAsia="zh-CN"/>
                    </w:rPr>
                    <w:t>后期</w:t>
                  </w:r>
                  <w:r>
                    <w:rPr>
                      <w:rFonts w:hint="eastAsia" w:cs="Times New Roman"/>
                      <w:color w:val="auto"/>
                      <w:sz w:val="18"/>
                      <w:szCs w:val="18"/>
                      <w:lang w:val="en-US" w:eastAsia="zh-CN"/>
                    </w:rPr>
                    <w:t>初步设计、</w:t>
                  </w:r>
                  <w:r>
                    <w:rPr>
                      <w:rFonts w:hint="default" w:ascii="Times New Roman" w:hAnsi="Times New Roman" w:cs="Times New Roman"/>
                      <w:color w:val="auto"/>
                      <w:sz w:val="18"/>
                      <w:szCs w:val="18"/>
                      <w:lang w:val="en-US" w:eastAsia="zh-CN"/>
                    </w:rPr>
                    <w:t>施工图</w:t>
                  </w:r>
                  <w:r>
                    <w:rPr>
                      <w:rFonts w:hint="default" w:ascii="Times New Roman" w:hAnsi="Times New Roman" w:eastAsia="宋体" w:cs="Times New Roman"/>
                      <w:color w:val="auto"/>
                      <w:sz w:val="18"/>
                      <w:szCs w:val="18"/>
                    </w:rPr>
                    <w:t>设计</w:t>
                  </w:r>
                  <w:r>
                    <w:rPr>
                      <w:rFonts w:hint="default" w:ascii="Times New Roman" w:hAnsi="Times New Roman" w:cs="Times New Roman"/>
                      <w:color w:val="auto"/>
                      <w:sz w:val="18"/>
                      <w:szCs w:val="18"/>
                      <w:lang w:val="en-US" w:eastAsia="zh-CN"/>
                    </w:rPr>
                    <w:t>时也包含环境保护篇章。</w:t>
                  </w:r>
                </w:p>
              </w:tc>
              <w:tc>
                <w:tcPr>
                  <w:tcW w:w="246" w:type="pct"/>
                  <w:tcBorders>
                    <w:tl2br w:val="nil"/>
                    <w:tr2bl w:val="nil"/>
                  </w:tcBorders>
                  <w:vAlign w:val="center"/>
                </w:tcPr>
                <w:p w14:paraId="741B81EA">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846EC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1F8FCFCA">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58073A91">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4C7BA994">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2</w:t>
                  </w:r>
                </w:p>
              </w:tc>
              <w:tc>
                <w:tcPr>
                  <w:tcW w:w="2269" w:type="pct"/>
                  <w:tcBorders>
                    <w:tl2br w:val="nil"/>
                    <w:tr2bl w:val="nil"/>
                  </w:tcBorders>
                  <w:vAlign w:val="center"/>
                </w:tcPr>
                <w:p w14:paraId="333F5EA1">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改建、扩建输变电建设项目应采取措施，治理与该项目有关的原有环境污染和生态破坏。</w:t>
                  </w:r>
                </w:p>
              </w:tc>
              <w:tc>
                <w:tcPr>
                  <w:tcW w:w="1684" w:type="pct"/>
                  <w:gridSpan w:val="2"/>
                  <w:tcBorders>
                    <w:tl2br w:val="nil"/>
                    <w:tr2bl w:val="nil"/>
                  </w:tcBorders>
                  <w:vAlign w:val="center"/>
                </w:tcPr>
                <w:p w14:paraId="5AC1321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eastAsia="zh-CN"/>
                    </w:rPr>
                    <w:t>本项目为新建输</w:t>
                  </w:r>
                  <w:r>
                    <w:rPr>
                      <w:rFonts w:hint="default" w:ascii="Times New Roman" w:hAnsi="Times New Roman" w:cs="Times New Roman" w:eastAsiaTheme="minorEastAsia"/>
                      <w:color w:val="auto"/>
                      <w:sz w:val="18"/>
                      <w:szCs w:val="18"/>
                      <w:lang w:val="en-US" w:eastAsia="zh-CN"/>
                    </w:rPr>
                    <w:t>变</w:t>
                  </w:r>
                  <w:r>
                    <w:rPr>
                      <w:rFonts w:hint="default" w:ascii="Times New Roman" w:hAnsi="Times New Roman" w:cs="Times New Roman" w:eastAsiaTheme="minorEastAsia"/>
                      <w:color w:val="auto"/>
                      <w:sz w:val="18"/>
                      <w:szCs w:val="18"/>
                      <w:lang w:eastAsia="zh-CN"/>
                    </w:rPr>
                    <w:t>电项目，不涉及原有环境污染和生态破坏</w:t>
                  </w:r>
                </w:p>
              </w:tc>
              <w:tc>
                <w:tcPr>
                  <w:tcW w:w="246" w:type="pct"/>
                  <w:tcBorders>
                    <w:tl2br w:val="nil"/>
                    <w:tr2bl w:val="nil"/>
                  </w:tcBorders>
                  <w:vAlign w:val="center"/>
                </w:tcPr>
                <w:p w14:paraId="7D770B3E">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1F685D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20EFFD4B">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3C46E66B">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6F06003A">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3</w:t>
                  </w:r>
                </w:p>
              </w:tc>
              <w:tc>
                <w:tcPr>
                  <w:tcW w:w="2269" w:type="pct"/>
                  <w:tcBorders>
                    <w:tl2br w:val="nil"/>
                    <w:tr2bl w:val="nil"/>
                  </w:tcBorders>
                  <w:vAlign w:val="center"/>
                </w:tcPr>
                <w:p w14:paraId="188ED52C">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输电线路进入自然保护区实验区、饮用水水源二级保护区等环境敏感区时，应采取塔基定位避让、减少进入长度、控制导线高度等环境保护措施，减少对环境保护对象的不利影响。</w:t>
                  </w:r>
                </w:p>
              </w:tc>
              <w:tc>
                <w:tcPr>
                  <w:tcW w:w="866" w:type="pct"/>
                  <w:tcBorders>
                    <w:tl2br w:val="nil"/>
                    <w:tr2bl w:val="nil"/>
                  </w:tcBorders>
                  <w:vAlign w:val="center"/>
                </w:tcPr>
                <w:p w14:paraId="1EF0FC0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val="en-US"/>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5A87666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highlight w:val="none"/>
                    </w:rPr>
                    <w:t>本项目</w:t>
                  </w:r>
                  <w:r>
                    <w:rPr>
                      <w:rFonts w:hint="default" w:ascii="Times New Roman" w:hAnsi="Times New Roman" w:cs="Times New Roman" w:eastAsiaTheme="minorEastAsia"/>
                      <w:color w:val="auto"/>
                      <w:sz w:val="18"/>
                      <w:szCs w:val="18"/>
                      <w:highlight w:val="none"/>
                      <w:lang w:val="en-US" w:eastAsia="zh-CN"/>
                    </w:rPr>
                    <w:t>新建110kV输电线路不</w:t>
                  </w:r>
                  <w:r>
                    <w:rPr>
                      <w:rFonts w:hint="default" w:ascii="Times New Roman" w:hAnsi="Times New Roman" w:cs="Times New Roman" w:eastAsiaTheme="minorEastAsia"/>
                      <w:color w:val="auto"/>
                      <w:sz w:val="18"/>
                      <w:szCs w:val="18"/>
                      <w:highlight w:val="none"/>
                    </w:rPr>
                    <w:t>涉及</w:t>
                  </w:r>
                  <w:r>
                    <w:rPr>
                      <w:rFonts w:hint="default" w:ascii="Times New Roman" w:hAnsi="Times New Roman" w:cs="Times New Roman" w:eastAsiaTheme="minorEastAsia"/>
                      <w:color w:val="auto"/>
                      <w:sz w:val="18"/>
                      <w:szCs w:val="18"/>
                    </w:rPr>
                    <w:t>自然保护区实验区、饮用水水源二级保护区等环境敏感区</w:t>
                  </w:r>
                  <w:r>
                    <w:rPr>
                      <w:rFonts w:hint="default" w:ascii="Times New Roman" w:hAnsi="Times New Roman" w:cs="Times New Roman" w:eastAsiaTheme="minorEastAsia"/>
                      <w:color w:val="auto"/>
                      <w:sz w:val="18"/>
                      <w:szCs w:val="18"/>
                      <w:lang w:eastAsia="zh-CN"/>
                    </w:rPr>
                    <w:t>。</w:t>
                  </w:r>
                </w:p>
              </w:tc>
              <w:tc>
                <w:tcPr>
                  <w:tcW w:w="246" w:type="pct"/>
                  <w:tcBorders>
                    <w:tl2br w:val="nil"/>
                    <w:tr2bl w:val="nil"/>
                  </w:tcBorders>
                  <w:vAlign w:val="center"/>
                </w:tcPr>
                <w:p w14:paraId="3679A461">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DCE7E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03B84C5F">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448D992D">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3A4A4AB1">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4</w:t>
                  </w:r>
                </w:p>
              </w:tc>
              <w:tc>
                <w:tcPr>
                  <w:tcW w:w="2269" w:type="pct"/>
                  <w:tcBorders>
                    <w:tl2br w:val="nil"/>
                    <w:tr2bl w:val="nil"/>
                  </w:tcBorders>
                  <w:vAlign w:val="center"/>
                </w:tcPr>
                <w:p w14:paraId="13DA40B3">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变电工程应设置足够容量的事故油池及其配套的拦截、防雨、防渗等措施和设施。一旦发生泄漏，应能及时进行拦截和处理，确保油及油水混合物全部收集、不外排。</w:t>
                  </w:r>
                </w:p>
              </w:tc>
              <w:tc>
                <w:tcPr>
                  <w:tcW w:w="866" w:type="pct"/>
                  <w:tcBorders>
                    <w:tl2br w:val="nil"/>
                    <w:tr2bl w:val="nil"/>
                  </w:tcBorders>
                  <w:vAlign w:val="center"/>
                </w:tcPr>
                <w:p w14:paraId="432939B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110kV变电站</w:t>
                  </w:r>
                  <w:r>
                    <w:rPr>
                      <w:rFonts w:hint="default" w:ascii="Times New Roman" w:hAnsi="Times New Roman" w:cs="Times New Roman" w:eastAsiaTheme="minorEastAsia"/>
                      <w:color w:val="auto"/>
                      <w:sz w:val="18"/>
                      <w:szCs w:val="18"/>
                    </w:rPr>
                    <w:t>拟建事故油池（具有油水分离功能），</w:t>
                  </w:r>
                  <w:r>
                    <w:rPr>
                      <w:rFonts w:hint="default" w:ascii="Times New Roman" w:hAnsi="Times New Roman" w:cs="Times New Roman" w:eastAsiaTheme="minorEastAsia"/>
                      <w:color w:val="auto"/>
                      <w:sz w:val="18"/>
                      <w:szCs w:val="18"/>
                      <w:lang w:val="en-US" w:eastAsia="zh-CN"/>
                    </w:rPr>
                    <w:t>有效</w:t>
                  </w:r>
                  <w:r>
                    <w:rPr>
                      <w:rFonts w:hint="default" w:ascii="Times New Roman" w:hAnsi="Times New Roman" w:cs="Times New Roman" w:eastAsiaTheme="minorEastAsia"/>
                      <w:color w:val="auto"/>
                      <w:sz w:val="18"/>
                      <w:szCs w:val="18"/>
                    </w:rPr>
                    <w:t>容积</w:t>
                  </w:r>
                  <w:r>
                    <w:rPr>
                      <w:rFonts w:hint="default" w:ascii="Times New Roman" w:hAnsi="Times New Roman" w:cs="Times New Roman" w:eastAsiaTheme="minorEastAsia"/>
                      <w:color w:val="auto"/>
                      <w:sz w:val="18"/>
                      <w:szCs w:val="18"/>
                      <w:lang w:val="en-US" w:eastAsia="zh-CN"/>
                    </w:rPr>
                    <w:t>3</w:t>
                  </w:r>
                  <w:r>
                    <w:rPr>
                      <w:rFonts w:hint="default" w:ascii="Times New Roman" w:hAnsi="Times New Roman" w:cs="Times New Roman" w:eastAsiaTheme="minorEastAsia"/>
                      <w:color w:val="auto"/>
                      <w:sz w:val="18"/>
                      <w:szCs w:val="18"/>
                    </w:rPr>
                    <w:t>0m</w:t>
                  </w:r>
                  <w:r>
                    <w:rPr>
                      <w:rFonts w:hint="default" w:ascii="Times New Roman" w:hAnsi="Times New Roman" w:cs="Times New Roman" w:eastAsiaTheme="minorEastAsia"/>
                      <w:color w:val="auto"/>
                      <w:sz w:val="18"/>
                      <w:szCs w:val="18"/>
                      <w:vertAlign w:val="superscript"/>
                    </w:rPr>
                    <w:t>3</w:t>
                  </w:r>
                  <w:r>
                    <w:rPr>
                      <w:rFonts w:hint="default" w:ascii="Times New Roman" w:hAnsi="Times New Roman" w:cs="Times New Roman" w:eastAsiaTheme="minorEastAsia"/>
                      <w:color w:val="auto"/>
                      <w:sz w:val="18"/>
                      <w:szCs w:val="18"/>
                    </w:rPr>
                    <w:t>，容积满足要求，配有拦截、防雨、防渗漏等措施和设施</w:t>
                  </w:r>
                  <w:r>
                    <w:rPr>
                      <w:rFonts w:hint="default" w:ascii="Times New Roman" w:hAnsi="Times New Roman" w:cs="Times New Roman" w:eastAsiaTheme="minorEastAsia"/>
                      <w:color w:val="auto"/>
                      <w:sz w:val="18"/>
                      <w:szCs w:val="18"/>
                      <w:lang w:eastAsia="zh-CN"/>
                    </w:rPr>
                    <w:t>。一旦发生泄漏，事故油排入事故油池收集，</w:t>
                  </w:r>
                  <w:r>
                    <w:rPr>
                      <w:rFonts w:hint="default" w:ascii="Times New Roman" w:hAnsi="Times New Roman" w:cs="Times New Roman" w:eastAsiaTheme="minorEastAsia"/>
                      <w:color w:val="auto"/>
                      <w:sz w:val="18"/>
                      <w:szCs w:val="18"/>
                      <w:lang w:val="en-US" w:eastAsia="zh-CN"/>
                    </w:rPr>
                    <w:t>经</w:t>
                  </w:r>
                  <w:r>
                    <w:rPr>
                      <w:rFonts w:hint="default" w:ascii="Times New Roman" w:hAnsi="Times New Roman" w:cs="Times New Roman" w:eastAsiaTheme="minorEastAsia"/>
                      <w:color w:val="auto"/>
                      <w:sz w:val="18"/>
                      <w:szCs w:val="18"/>
                      <w:lang w:eastAsia="zh-CN"/>
                    </w:rPr>
                    <w:t>油水分离后，事故油中可回收部分由建设单位回收再利用，</w:t>
                  </w:r>
                  <w:r>
                    <w:rPr>
                      <w:rFonts w:hint="eastAsia" w:ascii="Times New Roman" w:hAnsi="Times New Roman" w:cs="Times New Roman" w:eastAsiaTheme="minorEastAsia"/>
                      <w:color w:val="auto"/>
                      <w:sz w:val="18"/>
                      <w:szCs w:val="18"/>
                      <w:lang w:eastAsia="zh-CN"/>
                    </w:rPr>
                    <w:t>不可回收部分</w:t>
                  </w:r>
                  <w:r>
                    <w:rPr>
                      <w:rFonts w:hint="eastAsia" w:ascii="Times New Roman" w:hAnsi="Times New Roman" w:cs="Times New Roman" w:eastAsiaTheme="minorEastAsia"/>
                      <w:color w:val="auto"/>
                      <w:sz w:val="18"/>
                      <w:szCs w:val="18"/>
                      <w:lang w:val="en-US" w:eastAsia="zh-CN"/>
                    </w:rPr>
                    <w:t>经收集</w:t>
                  </w:r>
                  <w:r>
                    <w:rPr>
                      <w:rFonts w:hint="eastAsia" w:ascii="Times New Roman" w:hAnsi="Times New Roman" w:cs="Times New Roman" w:eastAsiaTheme="minorEastAsia"/>
                      <w:color w:val="auto"/>
                      <w:sz w:val="18"/>
                      <w:szCs w:val="18"/>
                      <w:lang w:eastAsia="zh-CN"/>
                    </w:rPr>
                    <w:t>后运送至国网巴中供电公司枣林危废暂存间，定期交由有危险废物处置资质的单位进行处置，</w:t>
                  </w:r>
                  <w:r>
                    <w:rPr>
                      <w:rFonts w:hint="default" w:ascii="Times New Roman" w:hAnsi="Times New Roman" w:cs="Times New Roman" w:eastAsiaTheme="minorEastAsia"/>
                      <w:color w:val="auto"/>
                      <w:sz w:val="18"/>
                      <w:szCs w:val="18"/>
                      <w:lang w:eastAsia="zh-CN"/>
                    </w:rPr>
                    <w:t>不外排。</w:t>
                  </w:r>
                </w:p>
              </w:tc>
              <w:tc>
                <w:tcPr>
                  <w:tcW w:w="818" w:type="pct"/>
                  <w:tcBorders>
                    <w:tl2br w:val="nil"/>
                    <w:tr2bl w:val="nil"/>
                  </w:tcBorders>
                  <w:vAlign w:val="center"/>
                </w:tcPr>
                <w:p w14:paraId="5B4B211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57243333">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0DCDDE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2B4C423E">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087E9D65">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电磁环境保护</w:t>
                  </w:r>
                </w:p>
              </w:tc>
              <w:tc>
                <w:tcPr>
                  <w:tcW w:w="278" w:type="pct"/>
                  <w:tcBorders>
                    <w:tl2br w:val="nil"/>
                    <w:tr2bl w:val="nil"/>
                  </w:tcBorders>
                  <w:vAlign w:val="center"/>
                </w:tcPr>
                <w:p w14:paraId="2C283B67">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458489F1">
                  <w:pPr>
                    <w:ind w:left="0" w:leftChars="0" w:right="0" w:rightChars="0"/>
                    <w:jc w:val="center"/>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rPr>
                    <w:t>工程设计应对产生的工频电场、工频磁场、直流合成电场等电磁环境影响因子进行验算，采取相应防护措施，确保电磁环境影响满足国家标准要求</w:t>
                  </w:r>
                  <w:r>
                    <w:rPr>
                      <w:rFonts w:hint="default" w:ascii="Times New Roman" w:hAnsi="Times New Roman" w:cs="Times New Roman" w:eastAsiaTheme="minorEastAsia"/>
                      <w:color w:val="auto"/>
                      <w:sz w:val="18"/>
                      <w:szCs w:val="18"/>
                      <w:lang w:eastAsia="zh-CN"/>
                    </w:rPr>
                    <w:t>。</w:t>
                  </w:r>
                </w:p>
              </w:tc>
              <w:tc>
                <w:tcPr>
                  <w:tcW w:w="1684" w:type="pct"/>
                  <w:gridSpan w:val="2"/>
                  <w:tcBorders>
                    <w:tl2br w:val="nil"/>
                    <w:tr2bl w:val="nil"/>
                  </w:tcBorders>
                  <w:vAlign w:val="center"/>
                </w:tcPr>
                <w:p w14:paraId="204A252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根据预测结果可知，本项目产生的电磁环境影响满足国家标准要求</w:t>
                  </w:r>
                  <w:r>
                    <w:rPr>
                      <w:rFonts w:hint="default" w:ascii="Times New Roman" w:hAnsi="Times New Roman" w:cs="Times New Roman" w:eastAsiaTheme="minorEastAsia"/>
                      <w:color w:val="auto"/>
                      <w:sz w:val="18"/>
                      <w:szCs w:val="18"/>
                      <w:lang w:eastAsia="zh-CN"/>
                    </w:rPr>
                    <w:t>。</w:t>
                  </w:r>
                </w:p>
              </w:tc>
              <w:tc>
                <w:tcPr>
                  <w:tcW w:w="246" w:type="pct"/>
                  <w:tcBorders>
                    <w:tl2br w:val="nil"/>
                    <w:tr2bl w:val="nil"/>
                  </w:tcBorders>
                  <w:vAlign w:val="center"/>
                </w:tcPr>
                <w:p w14:paraId="47A1E12E">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31ABA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783E050C">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6138F29B">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111338B6">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2</w:t>
                  </w:r>
                </w:p>
              </w:tc>
              <w:tc>
                <w:tcPr>
                  <w:tcW w:w="2269" w:type="pct"/>
                  <w:tcBorders>
                    <w:tl2br w:val="nil"/>
                    <w:tr2bl w:val="nil"/>
                  </w:tcBorders>
                  <w:vAlign w:val="center"/>
                </w:tcPr>
                <w:p w14:paraId="08D162CF">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输电线路设计应因地制宜选择线路型式、架设高度、杆塔塔型、导线参数、相序布置等，减少电磁环境影响。</w:t>
                  </w:r>
                </w:p>
              </w:tc>
              <w:tc>
                <w:tcPr>
                  <w:tcW w:w="866" w:type="pct"/>
                  <w:tcBorders>
                    <w:tl2br w:val="nil"/>
                    <w:tr2bl w:val="nil"/>
                  </w:tcBorders>
                  <w:vAlign w:val="center"/>
                </w:tcPr>
                <w:p w14:paraId="6C1D228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1AEE6DF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eastAsiaTheme="minorEastAsia"/>
                      <w:color w:val="auto"/>
                      <w:sz w:val="18"/>
                      <w:szCs w:val="18"/>
                      <w:lang w:val="en-US" w:eastAsia="zh-CN"/>
                    </w:rPr>
                    <w:t>本项目输电线路已因地制宜选择线路型式、架设高度、杆塔塔型、导线参数、相序布置等，减少了电磁环境影响。</w:t>
                  </w:r>
                </w:p>
              </w:tc>
              <w:tc>
                <w:tcPr>
                  <w:tcW w:w="246" w:type="pct"/>
                  <w:tcBorders>
                    <w:tl2br w:val="nil"/>
                    <w:tr2bl w:val="nil"/>
                  </w:tcBorders>
                  <w:vAlign w:val="center"/>
                </w:tcPr>
                <w:p w14:paraId="6A7F5627">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0E2826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723D2E49">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08AB2743">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2F062520">
                  <w:pPr>
                    <w:jc w:val="center"/>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val="en-US" w:eastAsia="zh-CN"/>
                    </w:rPr>
                    <w:t>3</w:t>
                  </w:r>
                </w:p>
              </w:tc>
              <w:tc>
                <w:tcPr>
                  <w:tcW w:w="2269" w:type="pct"/>
                  <w:tcBorders>
                    <w:tl2br w:val="nil"/>
                    <w:tr2bl w:val="nil"/>
                  </w:tcBorders>
                  <w:vAlign w:val="center"/>
                </w:tcPr>
                <w:p w14:paraId="7D779F58">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架空输电线路经过电磁环境敏感目标时，应采取避让或增加导线对地高度等措施，减少电磁环境影响。</w:t>
                  </w:r>
                </w:p>
              </w:tc>
              <w:tc>
                <w:tcPr>
                  <w:tcW w:w="866" w:type="pct"/>
                  <w:tcBorders>
                    <w:tl2br w:val="nil"/>
                    <w:tr2bl w:val="nil"/>
                  </w:tcBorders>
                  <w:vAlign w:val="center"/>
                </w:tcPr>
                <w:p w14:paraId="7C81636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44D5995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本项目</w:t>
                  </w:r>
                  <w:r>
                    <w:rPr>
                      <w:rFonts w:hint="default" w:ascii="Times New Roman" w:hAnsi="Times New Roman" w:cs="Times New Roman" w:eastAsiaTheme="minorEastAsia"/>
                      <w:color w:val="auto"/>
                      <w:sz w:val="18"/>
                      <w:szCs w:val="18"/>
                      <w:lang w:eastAsia="zh-CN"/>
                    </w:rPr>
                    <w:t>新建</w:t>
                  </w:r>
                  <w:r>
                    <w:rPr>
                      <w:rFonts w:hint="default" w:ascii="Times New Roman" w:hAnsi="Times New Roman" w:cs="Times New Roman" w:eastAsiaTheme="minorEastAsia"/>
                      <w:color w:val="auto"/>
                      <w:sz w:val="18"/>
                      <w:szCs w:val="18"/>
                    </w:rPr>
                    <w:t>输电线路</w:t>
                  </w:r>
                  <w:r>
                    <w:rPr>
                      <w:rFonts w:hint="default" w:ascii="Times New Roman" w:hAnsi="Times New Roman" w:cs="Times New Roman" w:eastAsiaTheme="minorEastAsia"/>
                      <w:color w:val="auto"/>
                      <w:sz w:val="18"/>
                      <w:szCs w:val="18"/>
                      <w:lang w:val="en-US" w:eastAsia="zh-CN"/>
                    </w:rPr>
                    <w:t>经过</w:t>
                  </w:r>
                  <w:r>
                    <w:rPr>
                      <w:rFonts w:hint="default" w:ascii="Times New Roman" w:hAnsi="Times New Roman" w:cs="Times New Roman" w:eastAsiaTheme="minorEastAsia"/>
                      <w:color w:val="auto"/>
                      <w:sz w:val="18"/>
                      <w:szCs w:val="18"/>
                    </w:rPr>
                    <w:t>电磁环境敏感目标</w:t>
                  </w:r>
                  <w:r>
                    <w:rPr>
                      <w:rFonts w:hint="default" w:ascii="Times New Roman" w:hAnsi="Times New Roman" w:cs="Times New Roman" w:eastAsiaTheme="minorEastAsia"/>
                      <w:color w:val="auto"/>
                      <w:sz w:val="18"/>
                      <w:szCs w:val="18"/>
                      <w:lang w:val="en-US" w:eastAsia="zh-CN"/>
                    </w:rPr>
                    <w:t>时</w:t>
                  </w:r>
                  <w:r>
                    <w:rPr>
                      <w:rFonts w:hint="default" w:ascii="Times New Roman" w:hAnsi="Times New Roman" w:cs="Times New Roman"/>
                      <w:color w:val="auto"/>
                      <w:sz w:val="18"/>
                      <w:szCs w:val="18"/>
                      <w:lang w:val="en-US" w:eastAsia="zh-CN"/>
                    </w:rPr>
                    <w:t>避让了居民集中区</w:t>
                  </w:r>
                  <w:r>
                    <w:rPr>
                      <w:rFonts w:hint="default" w:ascii="Times New Roman" w:hAnsi="Times New Roman" w:cs="Times New Roman" w:eastAsiaTheme="minorEastAsia"/>
                      <w:color w:val="auto"/>
                      <w:sz w:val="18"/>
                      <w:szCs w:val="18"/>
                      <w:lang w:val="en-US" w:eastAsia="zh-CN"/>
                    </w:rPr>
                    <w:t>，导线架设最低高度不低于7m</w:t>
                  </w:r>
                  <w:r>
                    <w:rPr>
                      <w:rFonts w:hint="default" w:ascii="Times New Roman" w:hAnsi="Times New Roman" w:cs="Times New Roman" w:eastAsiaTheme="minorEastAsia"/>
                      <w:color w:val="auto"/>
                      <w:sz w:val="18"/>
                      <w:szCs w:val="18"/>
                      <w:lang w:eastAsia="zh-CN"/>
                    </w:rPr>
                    <w:t>，</w:t>
                  </w:r>
                  <w:r>
                    <w:rPr>
                      <w:rFonts w:hint="default" w:ascii="Times New Roman" w:hAnsi="Times New Roman" w:cs="Times New Roman" w:eastAsiaTheme="minorEastAsia"/>
                      <w:color w:val="auto"/>
                      <w:sz w:val="18"/>
                      <w:szCs w:val="18"/>
                    </w:rPr>
                    <w:t>可以满足规范要求</w:t>
                  </w:r>
                  <w:r>
                    <w:rPr>
                      <w:rFonts w:hint="default" w:ascii="Times New Roman" w:hAnsi="Times New Roman" w:cs="Times New Roman" w:eastAsiaTheme="minorEastAsia"/>
                      <w:color w:val="auto"/>
                      <w:sz w:val="18"/>
                      <w:szCs w:val="18"/>
                      <w:lang w:eastAsia="zh-CN"/>
                    </w:rPr>
                    <w:t>。</w:t>
                  </w:r>
                </w:p>
              </w:tc>
              <w:tc>
                <w:tcPr>
                  <w:tcW w:w="246" w:type="pct"/>
                  <w:tcBorders>
                    <w:tl2br w:val="nil"/>
                    <w:tr2bl w:val="nil"/>
                  </w:tcBorders>
                  <w:vAlign w:val="center"/>
                </w:tcPr>
                <w:p w14:paraId="7147EF98">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ABC36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4E29975E">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58A0AFBC">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7374B971">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4</w:t>
                  </w:r>
                </w:p>
              </w:tc>
              <w:tc>
                <w:tcPr>
                  <w:tcW w:w="2269" w:type="pct"/>
                  <w:tcBorders>
                    <w:tl2br w:val="nil"/>
                    <w:tr2bl w:val="nil"/>
                  </w:tcBorders>
                  <w:vAlign w:val="center"/>
                </w:tcPr>
                <w:p w14:paraId="58DD469B">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新建城市电力线路在市中心地区、高层建筑群区、市区主干路、人口密集区、繁华街道等区域应采用地下电缆，减少电磁环境影响</w:t>
                  </w:r>
                  <w:r>
                    <w:rPr>
                      <w:rFonts w:hint="eastAsia" w:cs="Times New Roman" w:eastAsiaTheme="minorEastAsia"/>
                      <w:color w:val="auto"/>
                      <w:sz w:val="18"/>
                      <w:szCs w:val="18"/>
                      <w:lang w:val="en-US" w:eastAsia="zh-CN"/>
                    </w:rPr>
                    <w:t>。</w:t>
                  </w:r>
                </w:p>
              </w:tc>
              <w:tc>
                <w:tcPr>
                  <w:tcW w:w="1684" w:type="pct"/>
                  <w:gridSpan w:val="2"/>
                  <w:tcBorders>
                    <w:tl2br w:val="nil"/>
                    <w:tr2bl w:val="nil"/>
                  </w:tcBorders>
                  <w:vAlign w:val="center"/>
                </w:tcPr>
                <w:p w14:paraId="26240B6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本项目不涉及</w:t>
                  </w:r>
                </w:p>
              </w:tc>
              <w:tc>
                <w:tcPr>
                  <w:tcW w:w="246" w:type="pct"/>
                  <w:tcBorders>
                    <w:tl2br w:val="nil"/>
                    <w:tr2bl w:val="nil"/>
                  </w:tcBorders>
                  <w:vAlign w:val="center"/>
                </w:tcPr>
                <w:p w14:paraId="37848314">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rPr>
                    <w:t>符合</w:t>
                  </w:r>
                </w:p>
              </w:tc>
            </w:tr>
            <w:tr w14:paraId="463127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7345557A">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74D665C0">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188EBBF6">
                  <w:pPr>
                    <w:jc w:val="center"/>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val="en-US" w:eastAsia="zh-CN"/>
                    </w:rPr>
                    <w:t>5</w:t>
                  </w:r>
                </w:p>
              </w:tc>
              <w:tc>
                <w:tcPr>
                  <w:tcW w:w="2269" w:type="pct"/>
                  <w:tcBorders>
                    <w:tl2br w:val="nil"/>
                    <w:tr2bl w:val="nil"/>
                  </w:tcBorders>
                  <w:vAlign w:val="center"/>
                </w:tcPr>
                <w:p w14:paraId="14D2EEF7">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变电工程的布置设计应考虑进出线对周围电磁环境的影响。</w:t>
                  </w:r>
                </w:p>
              </w:tc>
              <w:tc>
                <w:tcPr>
                  <w:tcW w:w="866" w:type="pct"/>
                  <w:tcBorders>
                    <w:tl2br w:val="nil"/>
                    <w:tr2bl w:val="nil"/>
                  </w:tcBorders>
                  <w:vAlign w:val="center"/>
                </w:tcPr>
                <w:p w14:paraId="47DC5F6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w:t>
                  </w:r>
                  <w:r>
                    <w:rPr>
                      <w:rFonts w:hint="default" w:ascii="Times New Roman" w:hAnsi="Times New Roman" w:cs="Times New Roman" w:eastAsiaTheme="minorEastAsia"/>
                      <w:color w:val="auto"/>
                      <w:sz w:val="18"/>
                      <w:szCs w:val="18"/>
                      <w:lang w:val="en-US" w:eastAsia="zh-CN"/>
                    </w:rPr>
                    <w:t>110kV架空进出线侧无电磁环境敏感目标，主要产生电磁环境影响的主变布置在站区中央，可减少对周围电磁环境的影响。</w:t>
                  </w:r>
                </w:p>
              </w:tc>
              <w:tc>
                <w:tcPr>
                  <w:tcW w:w="818" w:type="pct"/>
                  <w:tcBorders>
                    <w:tl2br w:val="nil"/>
                    <w:tr2bl w:val="nil"/>
                  </w:tcBorders>
                  <w:vAlign w:val="center"/>
                </w:tcPr>
                <w:p w14:paraId="260450D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47C70900">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53A203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092738D0">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2A8E1BA5">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声环境保护</w:t>
                  </w:r>
                </w:p>
              </w:tc>
              <w:tc>
                <w:tcPr>
                  <w:tcW w:w="278" w:type="pct"/>
                  <w:tcBorders>
                    <w:tl2br w:val="nil"/>
                    <w:tr2bl w:val="nil"/>
                  </w:tcBorders>
                  <w:vAlign w:val="center"/>
                </w:tcPr>
                <w:p w14:paraId="3DE3D6BF">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1</w:t>
                  </w:r>
                </w:p>
              </w:tc>
              <w:tc>
                <w:tcPr>
                  <w:tcW w:w="2269" w:type="pct"/>
                  <w:tcBorders>
                    <w:tl2br w:val="nil"/>
                    <w:tr2bl w:val="nil"/>
                  </w:tcBorders>
                  <w:vAlign w:val="center"/>
                </w:tcPr>
                <w:p w14:paraId="28DC49C4">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变电工程噪声控制设计应首先从噪声源强上进行控制，选择低噪声设备；对于声源上无法根治的噪声，应采用隔声、吸声、消声、防振、减振等降噪措施，确保厂界排放噪声和周围声环境敏感目标分别满足 GB 12348 和 GB 3096 要求。</w:t>
                  </w:r>
                </w:p>
              </w:tc>
              <w:tc>
                <w:tcPr>
                  <w:tcW w:w="866" w:type="pct"/>
                  <w:tcBorders>
                    <w:tl2br w:val="nil"/>
                    <w:tr2bl w:val="nil"/>
                  </w:tcBorders>
                  <w:vAlign w:val="center"/>
                </w:tcPr>
                <w:p w14:paraId="46D70F7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val="en-US"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110kV变电站选择低噪声设备</w:t>
                  </w:r>
                  <w:r>
                    <w:rPr>
                      <w:rFonts w:hint="default" w:ascii="Times New Roman" w:hAnsi="Times New Roman" w:cs="Times New Roman" w:eastAsiaTheme="minorEastAsia"/>
                      <w:color w:val="auto"/>
                      <w:sz w:val="18"/>
                      <w:szCs w:val="18"/>
                      <w:lang w:eastAsia="zh-CN"/>
                    </w:rPr>
                    <w:t>（</w:t>
                  </w:r>
                  <w:r>
                    <w:rPr>
                      <w:rFonts w:hint="default" w:ascii="Times New Roman" w:hAnsi="Times New Roman" w:eastAsia="宋体" w:cs="Times New Roman"/>
                      <w:color w:val="auto"/>
                      <w:sz w:val="18"/>
                      <w:szCs w:val="18"/>
                      <w:highlight w:val="none"/>
                      <w:lang w:val="en-US" w:eastAsia="zh-CN"/>
                    </w:rPr>
                    <w:t>距离主变压器2m处，</w:t>
                  </w:r>
                  <w:r>
                    <w:rPr>
                      <w:rFonts w:hint="default" w:ascii="Times New Roman" w:hAnsi="Times New Roman" w:cs="Times New Roman" w:eastAsiaTheme="minorEastAsia"/>
                      <w:color w:val="auto"/>
                      <w:sz w:val="18"/>
                      <w:szCs w:val="18"/>
                      <w:lang w:val="en-US" w:eastAsia="zh-CN"/>
                    </w:rPr>
                    <w:t>主变噪声不大于60dB（A）</w:t>
                  </w:r>
                  <w:r>
                    <w:rPr>
                      <w:rFonts w:hint="default" w:ascii="Times New Roman" w:hAnsi="Times New Roman" w:cs="Times New Roman" w:eastAsiaTheme="minorEastAsia"/>
                      <w:color w:val="auto"/>
                      <w:sz w:val="18"/>
                      <w:szCs w:val="18"/>
                      <w:lang w:eastAsia="zh-CN"/>
                    </w:rPr>
                    <w:t>）</w:t>
                  </w:r>
                  <w:r>
                    <w:rPr>
                      <w:rFonts w:hint="default" w:ascii="Times New Roman" w:hAnsi="Times New Roman" w:cs="Times New Roman" w:eastAsiaTheme="minorEastAsia"/>
                      <w:color w:val="auto"/>
                      <w:sz w:val="18"/>
                      <w:szCs w:val="18"/>
                      <w:lang w:val="en-US" w:eastAsia="zh-CN"/>
                    </w:rPr>
                    <w:t>，根据预测，可以确保厂界排放噪声和周围声环境敏感目标分别满足 GB 12348 和 GB 3096 要求。</w:t>
                  </w:r>
                </w:p>
              </w:tc>
              <w:tc>
                <w:tcPr>
                  <w:tcW w:w="818" w:type="pct"/>
                  <w:tcBorders>
                    <w:tl2br w:val="nil"/>
                    <w:tr2bl w:val="nil"/>
                  </w:tcBorders>
                  <w:vAlign w:val="center"/>
                </w:tcPr>
                <w:p w14:paraId="74E7C0D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30D4BE5A">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479EB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0EC9375A">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17D878A4">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6C4B6225">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2</w:t>
                  </w:r>
                </w:p>
              </w:tc>
              <w:tc>
                <w:tcPr>
                  <w:tcW w:w="2269" w:type="pct"/>
                  <w:tcBorders>
                    <w:tl2br w:val="nil"/>
                    <w:tr2bl w:val="nil"/>
                  </w:tcBorders>
                  <w:vAlign w:val="center"/>
                </w:tcPr>
                <w:p w14:paraId="0FBC09F6">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户外变电工程总体布置应综合考虑声环境影响因素，合理规划，利用建筑物、地形等阻挡噪声传播，减少对声环境敏感目标的影响。</w:t>
                  </w:r>
                </w:p>
              </w:tc>
              <w:tc>
                <w:tcPr>
                  <w:tcW w:w="866" w:type="pct"/>
                  <w:tcBorders>
                    <w:tl2br w:val="nil"/>
                    <w:tr2bl w:val="nil"/>
                  </w:tcBorders>
                  <w:vAlign w:val="center"/>
                </w:tcPr>
                <w:p w14:paraId="680EAE3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val="en-US"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w:t>
                  </w:r>
                  <w:r>
                    <w:rPr>
                      <w:rFonts w:hint="default" w:ascii="Times New Roman" w:hAnsi="Times New Roman" w:cs="Times New Roman" w:eastAsiaTheme="minorEastAsia"/>
                      <w:color w:val="auto"/>
                      <w:sz w:val="18"/>
                      <w:szCs w:val="18"/>
                      <w:lang w:val="en-US" w:eastAsia="zh-CN"/>
                    </w:rPr>
                    <w:t>利用配电装置室、辅助用房等建筑物阻挡噪声传播，</w:t>
                  </w:r>
                  <w:r>
                    <w:rPr>
                      <w:rFonts w:hint="default" w:ascii="Times New Roman" w:hAnsi="Times New Roman" w:cs="Times New Roman" w:eastAsiaTheme="minorEastAsia"/>
                      <w:color w:val="auto"/>
                      <w:sz w:val="18"/>
                      <w:szCs w:val="18"/>
                    </w:rPr>
                    <w:t>尽量减少了对周围声环境敏感目标的影响</w:t>
                  </w:r>
                  <w:r>
                    <w:rPr>
                      <w:rFonts w:hint="default" w:ascii="Times New Roman" w:hAnsi="Times New Roman" w:cs="Times New Roman" w:eastAsiaTheme="minorEastAsia"/>
                      <w:color w:val="auto"/>
                      <w:sz w:val="18"/>
                      <w:szCs w:val="18"/>
                      <w:lang w:eastAsia="zh-CN"/>
                    </w:rPr>
                    <w:t>。</w:t>
                  </w:r>
                </w:p>
              </w:tc>
              <w:tc>
                <w:tcPr>
                  <w:tcW w:w="818" w:type="pct"/>
                  <w:tcBorders>
                    <w:tl2br w:val="nil"/>
                    <w:tr2bl w:val="nil"/>
                  </w:tcBorders>
                  <w:vAlign w:val="center"/>
                </w:tcPr>
                <w:p w14:paraId="74BB8C9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2225B024">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5A07D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2E2A5630">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279E43A3">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43F5B3E4">
                  <w:pPr>
                    <w:jc w:val="center"/>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val="en-US" w:eastAsia="zh-CN"/>
                    </w:rPr>
                    <w:t>3</w:t>
                  </w:r>
                </w:p>
              </w:tc>
              <w:tc>
                <w:tcPr>
                  <w:tcW w:w="2269" w:type="pct"/>
                  <w:tcBorders>
                    <w:tl2br w:val="nil"/>
                    <w:tr2bl w:val="nil"/>
                  </w:tcBorders>
                  <w:vAlign w:val="center"/>
                </w:tcPr>
                <w:p w14:paraId="34EBCE7E">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户外变电工程在设计过程中应进行平面布置优化，将主变压器、换流变压器、高压电抗器等主要声源设备布置在站址中央区域或远离站外声环境敏感目标侧的区域。</w:t>
                  </w:r>
                </w:p>
              </w:tc>
              <w:tc>
                <w:tcPr>
                  <w:tcW w:w="866" w:type="pct"/>
                  <w:tcBorders>
                    <w:tl2br w:val="nil"/>
                    <w:tr2bl w:val="nil"/>
                  </w:tcBorders>
                  <w:vAlign w:val="center"/>
                </w:tcPr>
                <w:p w14:paraId="5C48C09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val="en-US"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w:t>
                  </w:r>
                  <w:r>
                    <w:rPr>
                      <w:rFonts w:hint="default" w:ascii="Times New Roman" w:hAnsi="Times New Roman" w:cs="Times New Roman" w:eastAsiaTheme="minorEastAsia"/>
                      <w:color w:val="auto"/>
                      <w:sz w:val="18"/>
                      <w:szCs w:val="18"/>
                      <w:lang w:val="en-US" w:eastAsia="zh-CN"/>
                    </w:rPr>
                    <w:t>主变设置在场址中部，</w:t>
                  </w:r>
                  <w:r>
                    <w:rPr>
                      <w:rFonts w:hint="default" w:ascii="Times New Roman" w:hAnsi="Times New Roman" w:cs="Times New Roman" w:eastAsiaTheme="minorEastAsia"/>
                      <w:color w:val="auto"/>
                      <w:sz w:val="18"/>
                      <w:szCs w:val="18"/>
                    </w:rPr>
                    <w:t>远离四周声环境敏感目标</w:t>
                  </w:r>
                  <w:r>
                    <w:rPr>
                      <w:rFonts w:hint="default" w:ascii="Times New Roman" w:hAnsi="Times New Roman" w:cs="Times New Roman" w:eastAsiaTheme="minorEastAsia"/>
                      <w:color w:val="auto"/>
                      <w:sz w:val="18"/>
                      <w:szCs w:val="18"/>
                      <w:lang w:eastAsia="zh-CN"/>
                    </w:rPr>
                    <w:t>。</w:t>
                  </w:r>
                </w:p>
              </w:tc>
              <w:tc>
                <w:tcPr>
                  <w:tcW w:w="818" w:type="pct"/>
                  <w:tcBorders>
                    <w:tl2br w:val="nil"/>
                    <w:tr2bl w:val="nil"/>
                  </w:tcBorders>
                  <w:vAlign w:val="center"/>
                </w:tcPr>
                <w:p w14:paraId="52B75E7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7558EB75">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7536A2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6E8BD704">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79934C17">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38CDA2FD">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4</w:t>
                  </w:r>
                </w:p>
              </w:tc>
              <w:tc>
                <w:tcPr>
                  <w:tcW w:w="2269" w:type="pct"/>
                  <w:tcBorders>
                    <w:tl2br w:val="nil"/>
                    <w:tr2bl w:val="nil"/>
                  </w:tcBorders>
                  <w:vAlign w:val="center"/>
                </w:tcPr>
                <w:p w14:paraId="36FEFB6E">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变电工程位于1类或周围噪声敏感建筑物较多的2类声环境功能区时，建设单位应严格控制主变压器、换流变压器、高压电抗器等主要噪声源的噪声水平，并在满足GB 12348的基础上保留适当裕度。</w:t>
                  </w:r>
                </w:p>
              </w:tc>
              <w:tc>
                <w:tcPr>
                  <w:tcW w:w="866" w:type="pct"/>
                  <w:tcBorders>
                    <w:tl2br w:val="nil"/>
                    <w:tr2bl w:val="nil"/>
                  </w:tcBorders>
                  <w:vAlign w:val="center"/>
                </w:tcPr>
                <w:p w14:paraId="52F82D9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w:t>
                  </w:r>
                  <w:r>
                    <w:rPr>
                      <w:rFonts w:hint="default" w:ascii="Times New Roman" w:hAnsi="Times New Roman" w:cs="Times New Roman" w:eastAsiaTheme="minorEastAsia"/>
                      <w:color w:val="auto"/>
                      <w:sz w:val="18"/>
                      <w:szCs w:val="18"/>
                      <w:lang w:val="en-US" w:eastAsia="zh-CN"/>
                    </w:rPr>
                    <w:t>位于2类</w:t>
                  </w:r>
                  <w:r>
                    <w:rPr>
                      <w:rFonts w:hint="eastAsia" w:cs="Times New Roman" w:eastAsiaTheme="minorEastAsia"/>
                      <w:color w:val="auto"/>
                      <w:sz w:val="18"/>
                      <w:szCs w:val="18"/>
                      <w:lang w:val="en-US" w:eastAsia="zh-CN"/>
                    </w:rPr>
                    <w:t>、4类</w:t>
                  </w:r>
                  <w:r>
                    <w:rPr>
                      <w:rFonts w:hint="default" w:ascii="Times New Roman" w:hAnsi="Times New Roman" w:cs="Times New Roman" w:eastAsiaTheme="minorEastAsia"/>
                      <w:color w:val="auto"/>
                      <w:sz w:val="18"/>
                      <w:szCs w:val="18"/>
                      <w:lang w:val="en-US" w:eastAsia="zh-CN"/>
                    </w:rPr>
                    <w:t>声环境功能区，在设计过程已严格控制主变压器等主要噪声源的噪声水平，可以在满足GB 12348的基础上保留适当裕度。</w:t>
                  </w:r>
                </w:p>
              </w:tc>
              <w:tc>
                <w:tcPr>
                  <w:tcW w:w="818" w:type="pct"/>
                  <w:tcBorders>
                    <w:tl2br w:val="nil"/>
                    <w:tr2bl w:val="nil"/>
                  </w:tcBorders>
                  <w:vAlign w:val="center"/>
                </w:tcPr>
                <w:p w14:paraId="205BAD8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7D5AA068">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rPr>
                    <w:t>符合</w:t>
                  </w:r>
                </w:p>
              </w:tc>
            </w:tr>
            <w:tr w14:paraId="7224B0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378420C6">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05778BC6">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645B1839">
                  <w:pPr>
                    <w:jc w:val="center"/>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val="en-US" w:eastAsia="zh-CN"/>
                    </w:rPr>
                    <w:t>5</w:t>
                  </w:r>
                </w:p>
              </w:tc>
              <w:tc>
                <w:tcPr>
                  <w:tcW w:w="2269" w:type="pct"/>
                  <w:tcBorders>
                    <w:tl2br w:val="nil"/>
                    <w:tr2bl w:val="nil"/>
                  </w:tcBorders>
                  <w:vAlign w:val="center"/>
                </w:tcPr>
                <w:p w14:paraId="6A8EDAD6">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位于城市规划区1类声环境功能区的变电站应采用全户内布置方式。位于城市规划区其他声环境功能区的变电工程，可采取户内、半户内等环境影响较小的布置型式。</w:t>
                  </w:r>
                </w:p>
              </w:tc>
              <w:tc>
                <w:tcPr>
                  <w:tcW w:w="866" w:type="pct"/>
                  <w:tcBorders>
                    <w:tl2br w:val="nil"/>
                    <w:tr2bl w:val="nil"/>
                  </w:tcBorders>
                  <w:vAlign w:val="center"/>
                </w:tcPr>
                <w:p w14:paraId="7535172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val="en-US" w:eastAsia="zh-CN"/>
                    </w:rPr>
                  </w:pPr>
                  <w:r>
                    <w:rPr>
                      <w:rFonts w:hint="eastAsia"/>
                      <w:color w:val="000000" w:themeColor="text1"/>
                      <w:sz w:val="18"/>
                      <w:szCs w:val="18"/>
                      <w14:textFill>
                        <w14:solidFill>
                          <w14:schemeClr w14:val="tx1"/>
                        </w14:solidFill>
                      </w14:textFill>
                    </w:rPr>
                    <w:t>本项目</w:t>
                  </w:r>
                  <w:r>
                    <w:rPr>
                      <w:rFonts w:hint="eastAsia"/>
                      <w:color w:val="000000" w:themeColor="text1"/>
                      <w:sz w:val="18"/>
                      <w:szCs w:val="18"/>
                      <w:lang w:val="en-US" w:eastAsia="zh-CN"/>
                      <w14:textFill>
                        <w14:solidFill>
                          <w14:schemeClr w14:val="tx1"/>
                        </w14:solidFill>
                      </w14:textFill>
                    </w:rPr>
                    <w:t>拟建变电站不在城市规划区内。</w:t>
                  </w:r>
                </w:p>
              </w:tc>
              <w:tc>
                <w:tcPr>
                  <w:tcW w:w="818" w:type="pct"/>
                  <w:tcBorders>
                    <w:tl2br w:val="nil"/>
                    <w:tr2bl w:val="nil"/>
                  </w:tcBorders>
                  <w:vAlign w:val="center"/>
                </w:tcPr>
                <w:p w14:paraId="1B0C238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2B25A2AF">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3FF42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9" w:type="pct"/>
                  <w:vMerge w:val="continue"/>
                  <w:tcBorders>
                    <w:tl2br w:val="nil"/>
                    <w:tr2bl w:val="nil"/>
                  </w:tcBorders>
                  <w:vAlign w:val="center"/>
                </w:tcPr>
                <w:p w14:paraId="636AE153">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53987CC9">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031B6AE5">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6</w:t>
                  </w:r>
                </w:p>
              </w:tc>
              <w:tc>
                <w:tcPr>
                  <w:tcW w:w="2269" w:type="pct"/>
                  <w:tcBorders>
                    <w:tl2br w:val="nil"/>
                    <w:tr2bl w:val="nil"/>
                  </w:tcBorders>
                  <w:vAlign w:val="center"/>
                </w:tcPr>
                <w:p w14:paraId="41581912">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变电工程应采取降低低频噪声影响的防治措施，以减少噪声扰民。</w:t>
                  </w:r>
                </w:p>
              </w:tc>
              <w:tc>
                <w:tcPr>
                  <w:tcW w:w="866" w:type="pct"/>
                  <w:tcBorders>
                    <w:tl2br w:val="nil"/>
                    <w:tr2bl w:val="nil"/>
                  </w:tcBorders>
                  <w:vAlign w:val="center"/>
                </w:tcPr>
                <w:p w14:paraId="2A517C1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本项目</w:t>
                  </w:r>
                  <w:r>
                    <w:rPr>
                      <w:rFonts w:hint="default" w:ascii="Times New Roman" w:hAnsi="Times New Roman" w:cs="Times New Roman" w:eastAsiaTheme="minorEastAsia"/>
                      <w:color w:val="auto"/>
                      <w:sz w:val="18"/>
                      <w:szCs w:val="18"/>
                      <w:lang w:eastAsia="zh-CN"/>
                    </w:rPr>
                    <w:t>拟建</w:t>
                  </w:r>
                  <w:r>
                    <w:rPr>
                      <w:rFonts w:hint="default" w:ascii="Times New Roman" w:hAnsi="Times New Roman" w:cs="Times New Roman" w:eastAsiaTheme="minorEastAsia"/>
                      <w:color w:val="auto"/>
                      <w:sz w:val="18"/>
                      <w:szCs w:val="18"/>
                      <w:lang w:val="en-US" w:eastAsia="zh-CN"/>
                    </w:rPr>
                    <w:t>变电站主变选用低噪声设备，合理布置平面，将主变设于场址中央。</w:t>
                  </w:r>
                </w:p>
              </w:tc>
              <w:tc>
                <w:tcPr>
                  <w:tcW w:w="818" w:type="pct"/>
                  <w:tcBorders>
                    <w:tl2br w:val="nil"/>
                    <w:tr2bl w:val="nil"/>
                  </w:tcBorders>
                  <w:vAlign w:val="center"/>
                </w:tcPr>
                <w:p w14:paraId="3ED47BA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2B440CD3">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rPr>
                    <w:t>符合</w:t>
                  </w:r>
                </w:p>
              </w:tc>
            </w:tr>
            <w:tr w14:paraId="1AF18C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3A80DF16">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307F4574">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生态环境保护</w:t>
                  </w:r>
                </w:p>
              </w:tc>
              <w:tc>
                <w:tcPr>
                  <w:tcW w:w="278" w:type="pct"/>
                  <w:tcBorders>
                    <w:tl2br w:val="nil"/>
                    <w:tr2bl w:val="nil"/>
                  </w:tcBorders>
                  <w:vAlign w:val="center"/>
                </w:tcPr>
                <w:p w14:paraId="06B1EEA1">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675F62D4">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输变电建设项目在设计过程中应按照避让、减缓、恢复的次序提出生态影响防护与恢复的措施。</w:t>
                  </w:r>
                </w:p>
              </w:tc>
              <w:tc>
                <w:tcPr>
                  <w:tcW w:w="1684" w:type="pct"/>
                  <w:gridSpan w:val="2"/>
                  <w:tcBorders>
                    <w:tl2br w:val="nil"/>
                    <w:tr2bl w:val="nil"/>
                  </w:tcBorders>
                  <w:vAlign w:val="center"/>
                </w:tcPr>
                <w:p w14:paraId="51F50A6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已在设计文件中提出</w:t>
                  </w:r>
                  <w:r>
                    <w:rPr>
                      <w:rFonts w:hint="default" w:ascii="Times New Roman" w:hAnsi="Times New Roman" w:cs="Times New Roman" w:eastAsiaTheme="minorEastAsia"/>
                      <w:color w:val="auto"/>
                      <w:sz w:val="18"/>
                      <w:szCs w:val="18"/>
                      <w:lang w:eastAsia="zh-CN"/>
                    </w:rPr>
                    <w:t>了</w:t>
                  </w:r>
                  <w:r>
                    <w:rPr>
                      <w:rFonts w:hint="default" w:ascii="Times New Roman" w:hAnsi="Times New Roman" w:cs="Times New Roman" w:eastAsiaTheme="minorEastAsia"/>
                      <w:color w:val="auto"/>
                      <w:sz w:val="18"/>
                      <w:szCs w:val="18"/>
                    </w:rPr>
                    <w:t>相应的生态影响防护与恢复的措施</w:t>
                  </w:r>
                  <w:r>
                    <w:rPr>
                      <w:rFonts w:hint="default" w:ascii="Times New Roman" w:hAnsi="Times New Roman" w:cs="Times New Roman" w:eastAsiaTheme="minorEastAsia"/>
                      <w:color w:val="auto"/>
                      <w:sz w:val="18"/>
                      <w:szCs w:val="18"/>
                      <w:lang w:eastAsia="zh-CN"/>
                    </w:rPr>
                    <w:t>。</w:t>
                  </w:r>
                </w:p>
              </w:tc>
              <w:tc>
                <w:tcPr>
                  <w:tcW w:w="246" w:type="pct"/>
                  <w:tcBorders>
                    <w:tl2br w:val="nil"/>
                    <w:tr2bl w:val="nil"/>
                  </w:tcBorders>
                  <w:vAlign w:val="center"/>
                </w:tcPr>
                <w:p w14:paraId="74122192">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19BF5F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4339C7D6">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01BEF885">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43684736">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2</w:t>
                  </w:r>
                </w:p>
              </w:tc>
              <w:tc>
                <w:tcPr>
                  <w:tcW w:w="2269" w:type="pct"/>
                  <w:tcBorders>
                    <w:tl2br w:val="nil"/>
                    <w:tr2bl w:val="nil"/>
                  </w:tcBorders>
                  <w:vAlign w:val="center"/>
                </w:tcPr>
                <w:p w14:paraId="01A6D202">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输电线路应因地制宜合理选择塔基基础，在山丘区应采用全方位长短腿与不等高基础设计，以减少土石方开挖。输电线路无法避让集中林区时，应采取控制导线高度设计，以减少林木砍伐，保护生态环境。</w:t>
                  </w:r>
                </w:p>
              </w:tc>
              <w:tc>
                <w:tcPr>
                  <w:tcW w:w="866" w:type="pct"/>
                  <w:tcBorders>
                    <w:tl2br w:val="nil"/>
                    <w:tr2bl w:val="nil"/>
                  </w:tcBorders>
                  <w:vAlign w:val="center"/>
                </w:tcPr>
                <w:p w14:paraId="330BA4A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69FEE5C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highlight w:val="none"/>
                      <w:lang w:eastAsia="zh-CN"/>
                    </w:rPr>
                    <w:t>本项目新建架空段</w:t>
                  </w:r>
                  <w:r>
                    <w:rPr>
                      <w:rFonts w:hint="default" w:ascii="Times New Roman" w:hAnsi="Times New Roman" w:cs="Times New Roman"/>
                      <w:color w:val="auto"/>
                      <w:sz w:val="18"/>
                      <w:szCs w:val="18"/>
                      <w:highlight w:val="none"/>
                    </w:rPr>
                    <w:t>输电线路</w:t>
                  </w:r>
                  <w:r>
                    <w:rPr>
                      <w:rFonts w:hint="default" w:ascii="Times New Roman" w:hAnsi="Times New Roman" w:cs="Times New Roman"/>
                      <w:color w:val="auto"/>
                      <w:sz w:val="18"/>
                      <w:szCs w:val="18"/>
                      <w:highlight w:val="none"/>
                      <w:lang w:eastAsia="zh-CN"/>
                    </w:rPr>
                    <w:t>已根据具体地形合理选择了</w:t>
                  </w:r>
                  <w:r>
                    <w:rPr>
                      <w:rFonts w:hint="default" w:ascii="Times New Roman" w:hAnsi="Times New Roman" w:cs="Times New Roman"/>
                      <w:color w:val="auto"/>
                      <w:sz w:val="18"/>
                      <w:szCs w:val="18"/>
                      <w:highlight w:val="none"/>
                      <w:lang w:val="en-US" w:eastAsia="zh-CN"/>
                    </w:rPr>
                    <w:t>塔基基础</w:t>
                  </w:r>
                  <w:r>
                    <w:rPr>
                      <w:rFonts w:hint="default" w:ascii="Times New Roman" w:hAnsi="Times New Roman"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本项目设计时控制了导线高度，减少</w:t>
                  </w:r>
                  <w:r>
                    <w:rPr>
                      <w:rFonts w:hint="eastAsia" w:cs="Times New Roman"/>
                      <w:color w:val="auto"/>
                      <w:sz w:val="18"/>
                      <w:szCs w:val="18"/>
                      <w:highlight w:val="none"/>
                      <w:lang w:val="en-US" w:eastAsia="zh-CN"/>
                    </w:rPr>
                    <w:t>了</w:t>
                  </w:r>
                  <w:r>
                    <w:rPr>
                      <w:rFonts w:hint="default" w:ascii="Times New Roman" w:hAnsi="Times New Roman" w:cs="Times New Roman"/>
                      <w:color w:val="auto"/>
                      <w:sz w:val="18"/>
                      <w:szCs w:val="18"/>
                      <w:highlight w:val="none"/>
                      <w:lang w:val="en-US" w:eastAsia="zh-CN"/>
                    </w:rPr>
                    <w:t>林木砍伐</w:t>
                  </w:r>
                  <w:r>
                    <w:rPr>
                      <w:rFonts w:hint="eastAsia" w:cs="Times New Roman"/>
                      <w:color w:val="auto"/>
                      <w:sz w:val="18"/>
                      <w:szCs w:val="18"/>
                      <w:highlight w:val="none"/>
                      <w:lang w:val="en-US" w:eastAsia="zh-CN"/>
                    </w:rPr>
                    <w:t>，保护了生态环境</w:t>
                  </w:r>
                  <w:r>
                    <w:rPr>
                      <w:rFonts w:hint="default" w:ascii="Times New Roman" w:hAnsi="Times New Roman" w:cs="Times New Roman"/>
                      <w:color w:val="auto"/>
                      <w:sz w:val="18"/>
                      <w:szCs w:val="18"/>
                      <w:highlight w:val="none"/>
                    </w:rPr>
                    <w:t>。</w:t>
                  </w:r>
                </w:p>
              </w:tc>
              <w:tc>
                <w:tcPr>
                  <w:tcW w:w="246" w:type="pct"/>
                  <w:tcBorders>
                    <w:tl2br w:val="nil"/>
                    <w:tr2bl w:val="nil"/>
                  </w:tcBorders>
                  <w:vAlign w:val="center"/>
                </w:tcPr>
                <w:p w14:paraId="33B65993">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B32A9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65F48189">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49E88A2F">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7B94AAC0">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3</w:t>
                  </w:r>
                </w:p>
              </w:tc>
              <w:tc>
                <w:tcPr>
                  <w:tcW w:w="2269" w:type="pct"/>
                  <w:tcBorders>
                    <w:tl2br w:val="nil"/>
                    <w:tr2bl w:val="nil"/>
                  </w:tcBorders>
                  <w:vAlign w:val="center"/>
                </w:tcPr>
                <w:p w14:paraId="2526156B">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输变电建设项目临时占地，应因地制宜进行土地功能恢复设计。</w:t>
                  </w:r>
                </w:p>
              </w:tc>
              <w:tc>
                <w:tcPr>
                  <w:tcW w:w="1684" w:type="pct"/>
                  <w:gridSpan w:val="2"/>
                  <w:tcBorders>
                    <w:tl2br w:val="nil"/>
                    <w:tr2bl w:val="nil"/>
                  </w:tcBorders>
                  <w:vAlign w:val="center"/>
                </w:tcPr>
                <w:p w14:paraId="444BB7F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已制定植被恢复计划</w:t>
                  </w:r>
                </w:p>
              </w:tc>
              <w:tc>
                <w:tcPr>
                  <w:tcW w:w="246" w:type="pct"/>
                  <w:tcBorders>
                    <w:tl2br w:val="nil"/>
                    <w:tr2bl w:val="nil"/>
                  </w:tcBorders>
                  <w:vAlign w:val="center"/>
                </w:tcPr>
                <w:p w14:paraId="0EE2801D">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5F1C9D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4587681E">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6DC0B498">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23A919C8">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4</w:t>
                  </w:r>
                </w:p>
              </w:tc>
              <w:tc>
                <w:tcPr>
                  <w:tcW w:w="2269" w:type="pct"/>
                  <w:tcBorders>
                    <w:tl2br w:val="nil"/>
                    <w:tr2bl w:val="nil"/>
                  </w:tcBorders>
                  <w:vAlign w:val="center"/>
                </w:tcPr>
                <w:p w14:paraId="1E7CFB99">
                  <w:pPr>
                    <w:ind w:left="0" w:leftChars="0" w:right="0" w:rightChars="0"/>
                    <w:jc w:val="center"/>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rPr>
                    <w:t>进入自然保护区的输电线路，应根据生态现状调查结果，制定相应的保护方案。塔基定位应避让珍稀濒危物种、保护植物和保护动物的栖息地，根据保护对象的特性设计相应的生态环境保护措施、设施等</w:t>
                  </w:r>
                  <w:r>
                    <w:rPr>
                      <w:rFonts w:hint="default" w:ascii="Times New Roman" w:hAnsi="Times New Roman" w:cs="Times New Roman" w:eastAsiaTheme="minorEastAsia"/>
                      <w:color w:val="auto"/>
                      <w:sz w:val="18"/>
                      <w:szCs w:val="18"/>
                      <w:lang w:eastAsia="zh-CN"/>
                    </w:rPr>
                    <w:t>。</w:t>
                  </w:r>
                </w:p>
              </w:tc>
              <w:tc>
                <w:tcPr>
                  <w:tcW w:w="866" w:type="pct"/>
                  <w:tcBorders>
                    <w:tl2br w:val="nil"/>
                    <w:tr2bl w:val="nil"/>
                  </w:tcBorders>
                  <w:vAlign w:val="center"/>
                </w:tcPr>
                <w:p w14:paraId="4E7E5B0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4DD6000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rPr>
                    <w:t>本项目不涉及自然保护区</w:t>
                  </w:r>
                  <w:r>
                    <w:rPr>
                      <w:rFonts w:hint="eastAsia" w:cs="Times New Roman" w:eastAsiaTheme="minorEastAsia"/>
                      <w:color w:val="auto"/>
                      <w:sz w:val="18"/>
                      <w:szCs w:val="18"/>
                      <w:lang w:eastAsia="zh-CN"/>
                    </w:rPr>
                    <w:t>。</w:t>
                  </w:r>
                </w:p>
              </w:tc>
              <w:tc>
                <w:tcPr>
                  <w:tcW w:w="246" w:type="pct"/>
                  <w:tcBorders>
                    <w:tl2br w:val="nil"/>
                    <w:tr2bl w:val="nil"/>
                  </w:tcBorders>
                  <w:vAlign w:val="center"/>
                </w:tcPr>
                <w:p w14:paraId="35169839">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5E6509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6FE6F6B3">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473DC0D9">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水环境保护</w:t>
                  </w:r>
                </w:p>
              </w:tc>
              <w:tc>
                <w:tcPr>
                  <w:tcW w:w="278" w:type="pct"/>
                  <w:tcBorders>
                    <w:tl2br w:val="nil"/>
                    <w:tr2bl w:val="nil"/>
                  </w:tcBorders>
                  <w:vAlign w:val="center"/>
                </w:tcPr>
                <w:p w14:paraId="7B26650D">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6815959A">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变电工程应采取节水措施，加强水的重复利用，减少废（污）水排放。雨水和生活污水应采取分流制。</w:t>
                  </w:r>
                </w:p>
              </w:tc>
              <w:tc>
                <w:tcPr>
                  <w:tcW w:w="866" w:type="pct"/>
                  <w:tcBorders>
                    <w:tl2br w:val="nil"/>
                    <w:tr2bl w:val="nil"/>
                  </w:tcBorders>
                  <w:vAlign w:val="center"/>
                </w:tcPr>
                <w:p w14:paraId="25AF94E3">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变电站采用雨污分流制</w:t>
                  </w:r>
                  <w:r>
                    <w:rPr>
                      <w:rFonts w:hint="eastAsia" w:cs="Times New Roman" w:eastAsiaTheme="minorEastAsia"/>
                      <w:color w:val="auto"/>
                      <w:sz w:val="18"/>
                      <w:szCs w:val="18"/>
                      <w:lang w:eastAsia="zh-CN"/>
                    </w:rPr>
                    <w:t>。</w:t>
                  </w:r>
                </w:p>
              </w:tc>
              <w:tc>
                <w:tcPr>
                  <w:tcW w:w="818" w:type="pct"/>
                  <w:tcBorders>
                    <w:tl2br w:val="nil"/>
                    <w:tr2bl w:val="nil"/>
                  </w:tcBorders>
                  <w:vAlign w:val="center"/>
                </w:tcPr>
                <w:p w14:paraId="4AB694F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6D19A088">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7A601B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574DEF25">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0F6651C7">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51CF134C">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w:t>
                  </w:r>
                </w:p>
              </w:tc>
              <w:tc>
                <w:tcPr>
                  <w:tcW w:w="2269" w:type="pct"/>
                  <w:tcBorders>
                    <w:tl2br w:val="nil"/>
                    <w:tr2bl w:val="nil"/>
                  </w:tcBorders>
                  <w:vAlign w:val="center"/>
                </w:tcPr>
                <w:p w14:paraId="567812EA">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站内产生的生活污水宜考虑处理后纳入城市污水管网；不具备纳入城市污水管网条件的变电工程，应根据站内生活污水产生情况设置生活污水处理装置（化粪池、地埋式污水处理装置、回用水池、蒸发池等），生活污水经处理后回收利用、定期清理或外排，外排时应严格执行相应的国家和地方水污染物排放标准相关要求。</w:t>
                  </w:r>
                </w:p>
              </w:tc>
              <w:tc>
                <w:tcPr>
                  <w:tcW w:w="866" w:type="pct"/>
                  <w:tcBorders>
                    <w:tl2br w:val="nil"/>
                    <w:tr2bl w:val="nil"/>
                  </w:tcBorders>
                  <w:vAlign w:val="center"/>
                </w:tcPr>
                <w:p w14:paraId="79C362A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lang w:eastAsia="zh-CN"/>
                    </w:rPr>
                    <w:t>拟建</w:t>
                  </w:r>
                  <w:r>
                    <w:rPr>
                      <w:rFonts w:hint="eastAsia" w:cs="Times New Roman" w:eastAsiaTheme="minorEastAsia"/>
                      <w:color w:val="auto"/>
                      <w:sz w:val="18"/>
                      <w:szCs w:val="18"/>
                      <w:lang w:val="en-US" w:eastAsia="zh-CN"/>
                    </w:rPr>
                    <w:t>司城</w:t>
                  </w:r>
                  <w:r>
                    <w:rPr>
                      <w:rFonts w:hint="default" w:ascii="Times New Roman" w:hAnsi="Times New Roman" w:cs="Times New Roman" w:eastAsiaTheme="minorEastAsia"/>
                      <w:color w:val="auto"/>
                      <w:sz w:val="18"/>
                      <w:szCs w:val="18"/>
                      <w:lang w:val="en-US" w:eastAsia="zh-CN"/>
                    </w:rPr>
                    <w:t>110kV</w:t>
                  </w:r>
                  <w:r>
                    <w:rPr>
                      <w:rFonts w:hint="default" w:ascii="Times New Roman" w:hAnsi="Times New Roman" w:cs="Times New Roman" w:eastAsiaTheme="minorEastAsia"/>
                      <w:color w:val="auto"/>
                      <w:sz w:val="18"/>
                      <w:szCs w:val="18"/>
                    </w:rPr>
                    <w:t>变电站产生的站内生活污水排入化粪池，经化粪池处理后，再经运维单位人工定时清掏</w:t>
                  </w:r>
                  <w:r>
                    <w:rPr>
                      <w:rFonts w:hint="default" w:ascii="Times New Roman" w:hAnsi="Times New Roman" w:cs="Times New Roman" w:eastAsiaTheme="minorEastAsia"/>
                      <w:bCs/>
                      <w:color w:val="auto"/>
                      <w:sz w:val="18"/>
                      <w:szCs w:val="18"/>
                    </w:rPr>
                    <w:t>，不外排</w:t>
                  </w:r>
                  <w:r>
                    <w:rPr>
                      <w:rFonts w:hint="default" w:ascii="Times New Roman" w:hAnsi="Times New Roman" w:cs="Times New Roman" w:eastAsiaTheme="minorEastAsia"/>
                      <w:bCs/>
                      <w:color w:val="auto"/>
                      <w:sz w:val="18"/>
                      <w:szCs w:val="18"/>
                      <w:lang w:eastAsia="zh-CN"/>
                    </w:rPr>
                    <w:t>。</w:t>
                  </w:r>
                </w:p>
              </w:tc>
              <w:tc>
                <w:tcPr>
                  <w:tcW w:w="818" w:type="pct"/>
                  <w:tcBorders>
                    <w:tl2br w:val="nil"/>
                    <w:tr2bl w:val="nil"/>
                  </w:tcBorders>
                  <w:vAlign w:val="center"/>
                </w:tcPr>
                <w:p w14:paraId="63F21C4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56CEEBFF">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2889A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39" w:type="pct"/>
                  <w:vMerge w:val="restart"/>
                  <w:tcBorders>
                    <w:tl2br w:val="nil"/>
                    <w:tr2bl w:val="nil"/>
                  </w:tcBorders>
                  <w:vAlign w:val="center"/>
                </w:tcPr>
                <w:p w14:paraId="10E0387B">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w:t>
                  </w:r>
                </w:p>
              </w:tc>
              <w:tc>
                <w:tcPr>
                  <w:tcW w:w="281" w:type="pct"/>
                  <w:vMerge w:val="restart"/>
                  <w:tcBorders>
                    <w:tl2br w:val="nil"/>
                    <w:tr2bl w:val="nil"/>
                  </w:tcBorders>
                  <w:vAlign w:val="center"/>
                </w:tcPr>
                <w:p w14:paraId="641A0C11">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总体要求</w:t>
                  </w:r>
                </w:p>
              </w:tc>
              <w:tc>
                <w:tcPr>
                  <w:tcW w:w="278" w:type="pct"/>
                  <w:tcBorders>
                    <w:tl2br w:val="nil"/>
                    <w:tr2bl w:val="nil"/>
                  </w:tcBorders>
                  <w:vAlign w:val="center"/>
                </w:tcPr>
                <w:p w14:paraId="74BD8B74">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33399FB9">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变电建设项目施工应落实设计文件、环境影响评价文件及其审批部门审批决定中提出的环境保护要求。设备采购和施工合同中应明确环境保护要求，环境保护措施的实施和环境保护设施的施工安装质量应符合设计和技术协议书、相关标准的要求。</w:t>
                  </w:r>
                </w:p>
              </w:tc>
              <w:tc>
                <w:tcPr>
                  <w:tcW w:w="1684" w:type="pct"/>
                  <w:gridSpan w:val="2"/>
                  <w:tcBorders>
                    <w:tl2br w:val="nil"/>
                    <w:tr2bl w:val="nil"/>
                  </w:tcBorders>
                  <w:vAlign w:val="center"/>
                </w:tcPr>
                <w:p w14:paraId="4433B5D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color w:val="auto"/>
                      <w:sz w:val="18"/>
                      <w:szCs w:val="18"/>
                      <w:highlight w:val="none"/>
                    </w:rPr>
                    <w:t>已要求建设单位在施工合同中应明确环境保护要求，环境保护措施的实施和环境保护设施的施工安装质量应符合设计和技术协议书、相关标准的要求</w:t>
                  </w:r>
                  <w:r>
                    <w:rPr>
                      <w:rFonts w:hint="default" w:ascii="Times New Roman" w:hAnsi="Times New Roman" w:cs="Times New Roman"/>
                      <w:color w:val="auto"/>
                      <w:sz w:val="18"/>
                      <w:szCs w:val="18"/>
                      <w:highlight w:val="none"/>
                      <w:lang w:eastAsia="zh-CN"/>
                    </w:rPr>
                    <w:t>。</w:t>
                  </w:r>
                </w:p>
              </w:tc>
              <w:tc>
                <w:tcPr>
                  <w:tcW w:w="246" w:type="pct"/>
                  <w:tcBorders>
                    <w:tl2br w:val="nil"/>
                    <w:tr2bl w:val="nil"/>
                  </w:tcBorders>
                  <w:vAlign w:val="center"/>
                </w:tcPr>
                <w:p w14:paraId="500C4198">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67647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39" w:type="pct"/>
                  <w:vMerge w:val="continue"/>
                  <w:tcBorders>
                    <w:tl2br w:val="nil"/>
                    <w:tr2bl w:val="nil"/>
                  </w:tcBorders>
                  <w:vAlign w:val="center"/>
                </w:tcPr>
                <w:p w14:paraId="15C94170">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107A9AFD">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0993D0F1">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2</w:t>
                  </w:r>
                </w:p>
              </w:tc>
              <w:tc>
                <w:tcPr>
                  <w:tcW w:w="2269" w:type="pct"/>
                  <w:tcBorders>
                    <w:tl2br w:val="nil"/>
                    <w:tr2bl w:val="nil"/>
                  </w:tcBorders>
                  <w:vAlign w:val="center"/>
                </w:tcPr>
                <w:p w14:paraId="43726642">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进入自然保护区和饮用水水源保护区等环境敏感区的输电线路，建设单位应加强施工过程的管理，开展环境保护培训，明确保护对象和保护要求，严格控制施工影响范围，确定适宜的施工季节和施工方式，减少对环境保护对象的不利影响。</w:t>
                  </w:r>
                </w:p>
              </w:tc>
              <w:tc>
                <w:tcPr>
                  <w:tcW w:w="866" w:type="pct"/>
                  <w:tcBorders>
                    <w:tl2br w:val="nil"/>
                    <w:tr2bl w:val="nil"/>
                  </w:tcBorders>
                  <w:vAlign w:val="center"/>
                </w:tcPr>
                <w:p w14:paraId="5D19106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Cs w:val="21"/>
                    </w:rPr>
                    <w:t>/</w:t>
                  </w:r>
                </w:p>
              </w:tc>
              <w:tc>
                <w:tcPr>
                  <w:tcW w:w="818" w:type="pct"/>
                  <w:tcBorders>
                    <w:tl2br w:val="nil"/>
                    <w:tr2bl w:val="nil"/>
                  </w:tcBorders>
                  <w:vAlign w:val="center"/>
                </w:tcPr>
                <w:p w14:paraId="1C40A07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highlight w:val="none"/>
                    </w:rPr>
                    <w:t>已要求建设单位在施工</w:t>
                  </w:r>
                  <w:r>
                    <w:rPr>
                      <w:rFonts w:hint="eastAsia" w:ascii="Times New Roman" w:hAnsi="Times New Roman" w:cs="Times New Roman"/>
                      <w:color w:val="auto"/>
                      <w:sz w:val="18"/>
                      <w:szCs w:val="18"/>
                      <w:highlight w:val="none"/>
                      <w:lang w:val="en-US" w:eastAsia="zh-CN"/>
                    </w:rPr>
                    <w:t>过程</w:t>
                  </w:r>
                  <w:r>
                    <w:rPr>
                      <w:rFonts w:hint="default" w:ascii="Times New Roman" w:hAnsi="Times New Roman" w:cs="Times New Roman"/>
                      <w:color w:val="auto"/>
                      <w:sz w:val="18"/>
                      <w:szCs w:val="18"/>
                      <w:highlight w:val="none"/>
                    </w:rPr>
                    <w:t>中</w:t>
                  </w:r>
                  <w:r>
                    <w:rPr>
                      <w:rFonts w:hint="default" w:ascii="Times New Roman" w:hAnsi="Times New Roman" w:cs="Times New Roman" w:eastAsiaTheme="minorEastAsia"/>
                      <w:color w:val="auto"/>
                      <w:sz w:val="18"/>
                      <w:szCs w:val="18"/>
                      <w:lang w:val="en-US" w:eastAsia="zh-CN"/>
                    </w:rPr>
                    <w:t>加强施工过程的管理，开展环境保护培训，明确保护对象和保护要求，严格控制施工影响范围，确定适宜的施工季节和施工方式，减少对环境保护对象的不利影响</w:t>
                  </w:r>
                  <w:r>
                    <w:rPr>
                      <w:rFonts w:hint="default" w:ascii="Times New Roman" w:hAnsi="Times New Roman" w:cs="Times New Roman"/>
                      <w:color w:val="auto"/>
                      <w:sz w:val="18"/>
                      <w:szCs w:val="18"/>
                      <w:highlight w:val="none"/>
                      <w:lang w:eastAsia="zh-CN"/>
                    </w:rPr>
                    <w:t>。</w:t>
                  </w:r>
                </w:p>
              </w:tc>
              <w:tc>
                <w:tcPr>
                  <w:tcW w:w="246" w:type="pct"/>
                  <w:tcBorders>
                    <w:tl2br w:val="nil"/>
                    <w:tr2bl w:val="nil"/>
                  </w:tcBorders>
                  <w:vAlign w:val="center"/>
                </w:tcPr>
                <w:p w14:paraId="2841347D">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35C741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4B4A9008">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16CF474C">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声环境保护</w:t>
                  </w:r>
                </w:p>
              </w:tc>
              <w:tc>
                <w:tcPr>
                  <w:tcW w:w="278" w:type="pct"/>
                  <w:tcBorders>
                    <w:tl2br w:val="nil"/>
                    <w:tr2bl w:val="nil"/>
                  </w:tcBorders>
                  <w:vAlign w:val="center"/>
                </w:tcPr>
                <w:p w14:paraId="12AF2312">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0E653337">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变电工程施工过程中场界环境噪声排放应满足GB12523中的要求。</w:t>
                  </w:r>
                </w:p>
              </w:tc>
              <w:tc>
                <w:tcPr>
                  <w:tcW w:w="866" w:type="pct"/>
                  <w:tcBorders>
                    <w:tl2br w:val="nil"/>
                    <w:tr2bl w:val="nil"/>
                  </w:tcBorders>
                  <w:vAlign w:val="center"/>
                </w:tcPr>
                <w:p w14:paraId="22003A0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lang w:eastAsia="zh-CN"/>
                    </w:rPr>
                  </w:pPr>
                  <w:r>
                    <w:rPr>
                      <w:rFonts w:hint="default" w:ascii="Times New Roman" w:hAnsi="Times New Roman" w:cs="Times New Roman" w:eastAsiaTheme="minorEastAsia"/>
                      <w:color w:val="auto"/>
                      <w:sz w:val="18"/>
                      <w:szCs w:val="18"/>
                    </w:rPr>
                    <w:t>根据本评价预测结果，本项目施工期满足相关噪声排放限值要求</w:t>
                  </w:r>
                  <w:r>
                    <w:rPr>
                      <w:rFonts w:hint="default" w:ascii="Times New Roman" w:hAnsi="Times New Roman" w:cs="Times New Roman" w:eastAsiaTheme="minorEastAsia"/>
                      <w:color w:val="auto"/>
                      <w:sz w:val="18"/>
                      <w:szCs w:val="18"/>
                      <w:lang w:eastAsia="zh-CN"/>
                    </w:rPr>
                    <w:t>。</w:t>
                  </w:r>
                </w:p>
              </w:tc>
              <w:tc>
                <w:tcPr>
                  <w:tcW w:w="818" w:type="pct"/>
                  <w:tcBorders>
                    <w:tl2br w:val="nil"/>
                    <w:tr2bl w:val="nil"/>
                  </w:tcBorders>
                  <w:vAlign w:val="center"/>
                </w:tcPr>
                <w:p w14:paraId="69D9D71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3F1C1A0C">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A5A0A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39" w:type="pct"/>
                  <w:vMerge w:val="continue"/>
                  <w:tcBorders>
                    <w:tl2br w:val="nil"/>
                    <w:tr2bl w:val="nil"/>
                  </w:tcBorders>
                  <w:vAlign w:val="center"/>
                </w:tcPr>
                <w:p w14:paraId="0BE4338E">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7B1758E0">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7DE2C528">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2</w:t>
                  </w:r>
                </w:p>
              </w:tc>
              <w:tc>
                <w:tcPr>
                  <w:tcW w:w="2269" w:type="pct"/>
                  <w:tcBorders>
                    <w:tl2br w:val="nil"/>
                    <w:tr2bl w:val="nil"/>
                  </w:tcBorders>
                  <w:vAlign w:val="center"/>
                </w:tcPr>
                <w:p w14:paraId="1FF59918">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在城市市区噪声敏感建筑物集中区域内，禁止夜间进行产生环境噪声污染的建筑施工作业，但抢修、抢险作业和因生产工艺上要求或者特殊需要必须连续作业的除外。夜间作业必须公告附近居民。</w:t>
                  </w:r>
                </w:p>
              </w:tc>
              <w:tc>
                <w:tcPr>
                  <w:tcW w:w="1684" w:type="pct"/>
                  <w:gridSpan w:val="2"/>
                  <w:tcBorders>
                    <w:tl2br w:val="nil"/>
                    <w:tr2bl w:val="nil"/>
                  </w:tcBorders>
                  <w:vAlign w:val="center"/>
                </w:tcPr>
                <w:p w14:paraId="403E541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highlight w:val="none"/>
                      <w:lang w:val="en-US" w:eastAsia="zh-CN"/>
                    </w:rPr>
                    <w:t>本项目未在</w:t>
                  </w:r>
                  <w:r>
                    <w:rPr>
                      <w:rFonts w:hint="default" w:ascii="Times New Roman" w:hAnsi="Times New Roman" w:cs="Times New Roman"/>
                      <w:color w:val="auto"/>
                      <w:sz w:val="18"/>
                      <w:szCs w:val="18"/>
                      <w:highlight w:val="none"/>
                    </w:rPr>
                    <w:t>城市市区噪声敏感建筑物集中区域</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已要求建设单位</w:t>
                  </w:r>
                  <w:r>
                    <w:rPr>
                      <w:rFonts w:hint="default" w:ascii="Times New Roman" w:hAnsi="Times New Roman" w:cs="Times New Roman"/>
                      <w:color w:val="auto"/>
                      <w:sz w:val="18"/>
                      <w:szCs w:val="18"/>
                      <w:highlight w:val="none"/>
                      <w:lang w:eastAsia="zh-CN"/>
                    </w:rPr>
                    <w:t>夜间不施工，</w:t>
                  </w:r>
                  <w:r>
                    <w:rPr>
                      <w:rFonts w:hint="default" w:ascii="Times New Roman" w:hAnsi="Times New Roman" w:cs="Times New Roman"/>
                      <w:color w:val="auto"/>
                      <w:sz w:val="18"/>
                      <w:szCs w:val="18"/>
                      <w:highlight w:val="none"/>
                      <w:lang w:val="en-US" w:eastAsia="zh-CN"/>
                    </w:rPr>
                    <w:t>但若出现因生产工艺上要求或者特殊需要必须夜间作业的情况，建设单位将公告附近居民。</w:t>
                  </w:r>
                </w:p>
              </w:tc>
              <w:tc>
                <w:tcPr>
                  <w:tcW w:w="246" w:type="pct"/>
                  <w:tcBorders>
                    <w:tl2br w:val="nil"/>
                    <w:tr2bl w:val="nil"/>
                  </w:tcBorders>
                  <w:vAlign w:val="center"/>
                </w:tcPr>
                <w:p w14:paraId="53763EF5">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EED56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5144B45C">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33746E39">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生态环境保护</w:t>
                  </w:r>
                </w:p>
              </w:tc>
              <w:tc>
                <w:tcPr>
                  <w:tcW w:w="278" w:type="pct"/>
                  <w:tcBorders>
                    <w:tl2br w:val="nil"/>
                    <w:tr2bl w:val="nil"/>
                  </w:tcBorders>
                  <w:vAlign w:val="center"/>
                </w:tcPr>
                <w:p w14:paraId="6B4DF68B">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3EF9458D">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输变电建设项目施工期临时用地应永临结合，优先利用荒地、劣地。</w:t>
                  </w:r>
                </w:p>
              </w:tc>
              <w:tc>
                <w:tcPr>
                  <w:tcW w:w="866" w:type="pct"/>
                  <w:tcBorders>
                    <w:tl2br w:val="nil"/>
                    <w:tr2bl w:val="nil"/>
                  </w:tcBorders>
                  <w:vAlign w:val="center"/>
                </w:tcPr>
                <w:p w14:paraId="5790D99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eastAsia="宋体" w:cs="Times New Roman"/>
                      <w:color w:val="auto"/>
                      <w:sz w:val="18"/>
                      <w:szCs w:val="18"/>
                      <w:lang w:val="en-US" w:eastAsia="zh-CN"/>
                    </w:rPr>
                    <w:t>变电站</w:t>
                  </w:r>
                  <w:r>
                    <w:rPr>
                      <w:rFonts w:hint="default" w:ascii="Times New Roman" w:hAnsi="Times New Roman" w:cs="Times New Roman"/>
                      <w:color w:val="auto"/>
                      <w:sz w:val="18"/>
                      <w:szCs w:val="18"/>
                      <w:lang w:val="en-US" w:eastAsia="zh-CN"/>
                    </w:rPr>
                    <w:t>在永久占地范围内设置</w:t>
                  </w:r>
                  <w:r>
                    <w:rPr>
                      <w:rFonts w:hint="default" w:ascii="Times New Roman" w:hAnsi="Times New Roman" w:eastAsia="宋体" w:cs="Times New Roman"/>
                      <w:color w:val="auto"/>
                      <w:sz w:val="18"/>
                      <w:szCs w:val="18"/>
                    </w:rPr>
                    <w:t>临时用地</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实现了变电站</w:t>
                  </w:r>
                  <w:r>
                    <w:rPr>
                      <w:rFonts w:hint="default" w:ascii="Times New Roman" w:hAnsi="Times New Roman" w:eastAsia="宋体" w:cs="Times New Roman"/>
                      <w:color w:val="auto"/>
                      <w:sz w:val="18"/>
                      <w:szCs w:val="18"/>
                    </w:rPr>
                    <w:t>永临结合</w:t>
                  </w:r>
                  <w:r>
                    <w:rPr>
                      <w:rFonts w:hint="default" w:ascii="Times New Roman" w:hAnsi="Times New Roman" w:cs="Times New Roman"/>
                      <w:color w:val="auto"/>
                      <w:sz w:val="18"/>
                      <w:szCs w:val="18"/>
                      <w:lang w:eastAsia="zh-CN"/>
                    </w:rPr>
                    <w:t>。</w:t>
                  </w:r>
                </w:p>
              </w:tc>
              <w:tc>
                <w:tcPr>
                  <w:tcW w:w="818" w:type="pct"/>
                  <w:tcBorders>
                    <w:tl2br w:val="nil"/>
                    <w:tr2bl w:val="nil"/>
                  </w:tcBorders>
                  <w:vAlign w:val="center"/>
                </w:tcPr>
                <w:p w14:paraId="24F740B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临时用地选址时优先选用荒地或劣地</w:t>
                  </w:r>
                </w:p>
              </w:tc>
              <w:tc>
                <w:tcPr>
                  <w:tcW w:w="246" w:type="pct"/>
                  <w:tcBorders>
                    <w:tl2br w:val="nil"/>
                    <w:tr2bl w:val="nil"/>
                  </w:tcBorders>
                  <w:vAlign w:val="center"/>
                </w:tcPr>
                <w:p w14:paraId="0F0E2699">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71FD3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 w:type="pct"/>
                  <w:vMerge w:val="continue"/>
                  <w:tcBorders>
                    <w:tl2br w:val="nil"/>
                    <w:tr2bl w:val="nil"/>
                  </w:tcBorders>
                  <w:vAlign w:val="center"/>
                </w:tcPr>
                <w:p w14:paraId="189A4877">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3ACEFC97">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5467DBBA">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w:t>
                  </w:r>
                </w:p>
              </w:tc>
              <w:tc>
                <w:tcPr>
                  <w:tcW w:w="2269" w:type="pct"/>
                  <w:tcBorders>
                    <w:tl2br w:val="nil"/>
                    <w:tr2bl w:val="nil"/>
                  </w:tcBorders>
                  <w:vAlign w:val="center"/>
                </w:tcPr>
                <w:p w14:paraId="70ADCA79">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输变电建设项目施工占用耕地、园地、林地和草地，应做好表土剥离、分类存放和回填利用。</w:t>
                  </w:r>
                </w:p>
              </w:tc>
              <w:tc>
                <w:tcPr>
                  <w:tcW w:w="1684" w:type="pct"/>
                  <w:gridSpan w:val="2"/>
                  <w:tcBorders>
                    <w:tl2br w:val="nil"/>
                    <w:tr2bl w:val="nil"/>
                  </w:tcBorders>
                  <w:vAlign w:val="center"/>
                </w:tcPr>
                <w:p w14:paraId="51D1DA3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highlight w:val="none"/>
                      <w:lang w:val="en-US" w:eastAsia="zh-CN"/>
                    </w:rPr>
                    <w:t>已</w:t>
                  </w:r>
                  <w:r>
                    <w:rPr>
                      <w:rFonts w:hint="default" w:ascii="Times New Roman" w:hAnsi="Times New Roman" w:cs="Times New Roman"/>
                      <w:color w:val="auto"/>
                      <w:sz w:val="18"/>
                      <w:szCs w:val="18"/>
                      <w:highlight w:val="none"/>
                      <w:lang w:eastAsia="zh-CN"/>
                    </w:rPr>
                    <w:t>要求建设单位做好表土剥离、分类存放和回填利用工作</w:t>
                  </w:r>
                  <w:r>
                    <w:rPr>
                      <w:rFonts w:hint="default" w:ascii="Times New Roman" w:hAnsi="Times New Roman" w:cs="Times New Roman"/>
                      <w:color w:val="auto"/>
                      <w:highlight w:val="none"/>
                      <w:lang w:eastAsia="zh-CN"/>
                    </w:rPr>
                    <w:t>。</w:t>
                  </w:r>
                </w:p>
              </w:tc>
              <w:tc>
                <w:tcPr>
                  <w:tcW w:w="246" w:type="pct"/>
                  <w:tcBorders>
                    <w:tl2br w:val="nil"/>
                    <w:tr2bl w:val="nil"/>
                  </w:tcBorders>
                  <w:vAlign w:val="center"/>
                </w:tcPr>
                <w:p w14:paraId="4D289474">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85AC9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 w:type="pct"/>
                  <w:vMerge w:val="continue"/>
                  <w:tcBorders>
                    <w:tl2br w:val="nil"/>
                    <w:tr2bl w:val="nil"/>
                  </w:tcBorders>
                  <w:vAlign w:val="center"/>
                </w:tcPr>
                <w:p w14:paraId="0313517C">
                  <w:pPr>
                    <w:ind w:left="0" w:right="0"/>
                    <w:jc w:val="center"/>
                    <w:rPr>
                      <w:rFonts w:hint="default" w:ascii="Times New Roman" w:hAnsi="Times New Roman" w:cs="Times New Roman" w:eastAsiaTheme="minorEastAsia"/>
                      <w:color w:val="auto"/>
                    </w:rPr>
                  </w:pPr>
                </w:p>
              </w:tc>
              <w:tc>
                <w:tcPr>
                  <w:tcW w:w="281" w:type="pct"/>
                  <w:vMerge w:val="continue"/>
                  <w:tcBorders>
                    <w:tl2br w:val="nil"/>
                    <w:tr2bl w:val="nil"/>
                  </w:tcBorders>
                  <w:vAlign w:val="center"/>
                </w:tcPr>
                <w:p w14:paraId="5DC43773">
                  <w:pPr>
                    <w:ind w:left="0" w:right="0"/>
                    <w:jc w:val="center"/>
                    <w:rPr>
                      <w:rFonts w:hint="default" w:ascii="Times New Roman" w:hAnsi="Times New Roman" w:cs="Times New Roman" w:eastAsiaTheme="minorEastAsia"/>
                      <w:color w:val="auto"/>
                    </w:rPr>
                  </w:pPr>
                </w:p>
              </w:tc>
              <w:tc>
                <w:tcPr>
                  <w:tcW w:w="278" w:type="pct"/>
                  <w:tcBorders>
                    <w:tl2br w:val="nil"/>
                    <w:tr2bl w:val="nil"/>
                  </w:tcBorders>
                  <w:vAlign w:val="center"/>
                </w:tcPr>
                <w:p w14:paraId="2E2BC1E0">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3</w:t>
                  </w:r>
                </w:p>
              </w:tc>
              <w:tc>
                <w:tcPr>
                  <w:tcW w:w="2269" w:type="pct"/>
                  <w:tcBorders>
                    <w:tl2br w:val="nil"/>
                    <w:tr2bl w:val="nil"/>
                  </w:tcBorders>
                  <w:vAlign w:val="center"/>
                </w:tcPr>
                <w:p w14:paraId="42BFB6C8">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进入自然保护区的输电线路，应落实环境影响评价文件和设计阶段制定的生态环境保护方案。施工时宜采用飞艇、动力伞、无人机等展放线，索道运输、人畜运输材料等对生态环境破坏较小的施工工艺。</w:t>
                  </w:r>
                </w:p>
              </w:tc>
              <w:tc>
                <w:tcPr>
                  <w:tcW w:w="866" w:type="pct"/>
                  <w:vMerge w:val="restart"/>
                  <w:tcBorders>
                    <w:tl2br w:val="nil"/>
                    <w:tr2bl w:val="nil"/>
                  </w:tcBorders>
                  <w:vAlign w:val="center"/>
                </w:tcPr>
                <w:p w14:paraId="319CD7F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FF0000"/>
                      <w:sz w:val="18"/>
                      <w:szCs w:val="18"/>
                    </w:rPr>
                  </w:pPr>
                  <w:r>
                    <w:rPr>
                      <w:rFonts w:hint="default" w:ascii="Times New Roman" w:hAnsi="Times New Roman" w:cs="Times New Roman" w:eastAsiaTheme="minorEastAsia"/>
                      <w:color w:val="auto"/>
                      <w:szCs w:val="21"/>
                    </w:rPr>
                    <w:t>/</w:t>
                  </w:r>
                </w:p>
              </w:tc>
              <w:tc>
                <w:tcPr>
                  <w:tcW w:w="818" w:type="pct"/>
                  <w:vMerge w:val="restart"/>
                  <w:tcBorders>
                    <w:tl2br w:val="nil"/>
                    <w:tr2bl w:val="nil"/>
                  </w:tcBorders>
                  <w:vAlign w:val="center"/>
                </w:tcPr>
                <w:p w14:paraId="5E2CF61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eastAsia="zh-CN"/>
                    </w:rPr>
                    <w:t>本项目不涉及</w:t>
                  </w:r>
                  <w:r>
                    <w:rPr>
                      <w:rFonts w:hint="default" w:ascii="Times New Roman" w:hAnsi="Times New Roman" w:cs="Times New Roman" w:eastAsiaTheme="minorEastAsia"/>
                      <w:color w:val="auto"/>
                      <w:sz w:val="18"/>
                      <w:szCs w:val="18"/>
                      <w:lang w:val="en-US" w:eastAsia="zh-CN"/>
                    </w:rPr>
                    <w:t>自然保护区</w:t>
                  </w:r>
                </w:p>
              </w:tc>
              <w:tc>
                <w:tcPr>
                  <w:tcW w:w="246" w:type="pct"/>
                  <w:vMerge w:val="restart"/>
                  <w:tcBorders>
                    <w:tl2br w:val="nil"/>
                    <w:tr2bl w:val="nil"/>
                  </w:tcBorders>
                  <w:vAlign w:val="center"/>
                </w:tcPr>
                <w:p w14:paraId="1DEC90EA">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12C8C9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 w:type="pct"/>
                  <w:vMerge w:val="continue"/>
                  <w:tcBorders>
                    <w:tl2br w:val="nil"/>
                    <w:tr2bl w:val="nil"/>
                  </w:tcBorders>
                  <w:vAlign w:val="center"/>
                </w:tcPr>
                <w:p w14:paraId="0ADB8126">
                  <w:pPr>
                    <w:ind w:left="0" w:right="0"/>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147BCA55">
                  <w:pPr>
                    <w:ind w:left="0" w:right="0"/>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39EC7021">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4</w:t>
                  </w:r>
                </w:p>
              </w:tc>
              <w:tc>
                <w:tcPr>
                  <w:tcW w:w="2269" w:type="pct"/>
                  <w:tcBorders>
                    <w:tl2br w:val="nil"/>
                    <w:tr2bl w:val="nil"/>
                  </w:tcBorders>
                  <w:vAlign w:val="center"/>
                </w:tcPr>
                <w:p w14:paraId="20E08E61">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进入自然保护区的输电线路，应对工程影响区域内的保护植物进行就地保护，设置围栏和植物保护警示牌。不能避让需异地保护时，应选择适宜的生境进行植株移栽，并确保移栽成活率。</w:t>
                  </w:r>
                </w:p>
              </w:tc>
              <w:tc>
                <w:tcPr>
                  <w:tcW w:w="866" w:type="pct"/>
                  <w:vMerge w:val="continue"/>
                  <w:tcBorders>
                    <w:tl2br w:val="nil"/>
                    <w:tr2bl w:val="nil"/>
                  </w:tcBorders>
                  <w:vAlign w:val="center"/>
                </w:tcPr>
                <w:p w14:paraId="6808D2A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FF0000"/>
                      <w:sz w:val="18"/>
                      <w:szCs w:val="18"/>
                    </w:rPr>
                  </w:pPr>
                </w:p>
              </w:tc>
              <w:tc>
                <w:tcPr>
                  <w:tcW w:w="818" w:type="pct"/>
                  <w:vMerge w:val="continue"/>
                  <w:tcBorders>
                    <w:tl2br w:val="nil"/>
                    <w:tr2bl w:val="nil"/>
                  </w:tcBorders>
                  <w:vAlign w:val="center"/>
                </w:tcPr>
                <w:p w14:paraId="14DE191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FF0000"/>
                      <w:sz w:val="18"/>
                      <w:szCs w:val="18"/>
                    </w:rPr>
                  </w:pPr>
                </w:p>
              </w:tc>
              <w:tc>
                <w:tcPr>
                  <w:tcW w:w="246" w:type="pct"/>
                  <w:vMerge w:val="continue"/>
                  <w:tcBorders>
                    <w:tl2br w:val="nil"/>
                    <w:tr2bl w:val="nil"/>
                  </w:tcBorders>
                  <w:vAlign w:val="center"/>
                </w:tcPr>
                <w:p w14:paraId="2A029B72">
                  <w:pPr>
                    <w:ind w:left="0" w:right="0"/>
                    <w:jc w:val="center"/>
                    <w:rPr>
                      <w:rFonts w:hint="default" w:ascii="Times New Roman" w:hAnsi="Times New Roman" w:cs="Times New Roman" w:eastAsiaTheme="minorEastAsia"/>
                      <w:color w:val="FF0000"/>
                      <w:sz w:val="18"/>
                      <w:szCs w:val="18"/>
                    </w:rPr>
                  </w:pPr>
                </w:p>
              </w:tc>
            </w:tr>
            <w:tr w14:paraId="5DF4BB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239" w:type="pct"/>
                  <w:vMerge w:val="continue"/>
                  <w:tcBorders>
                    <w:tl2br w:val="nil"/>
                    <w:tr2bl w:val="nil"/>
                  </w:tcBorders>
                  <w:vAlign w:val="center"/>
                </w:tcPr>
                <w:p w14:paraId="0BF54A87">
                  <w:pPr>
                    <w:ind w:left="0" w:right="0"/>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261CFAA4">
                  <w:pPr>
                    <w:ind w:left="0" w:right="0"/>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5DC92E44">
                  <w:pPr>
                    <w:ind w:left="0" w:right="0"/>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5</w:t>
                  </w:r>
                </w:p>
              </w:tc>
              <w:tc>
                <w:tcPr>
                  <w:tcW w:w="2269" w:type="pct"/>
                  <w:tcBorders>
                    <w:tl2br w:val="nil"/>
                    <w:tr2bl w:val="nil"/>
                  </w:tcBorders>
                  <w:vAlign w:val="center"/>
                </w:tcPr>
                <w:p w14:paraId="6B878670">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val="en-US" w:eastAsia="zh-CN"/>
                    </w:rPr>
                    <w:t>进入自然保护区的输电线路，应选择合理施工时间，避开保护动物的重要生理活动期。施工区发现有保护动物时应暂停施工，并实施保护方案。</w:t>
                  </w:r>
                </w:p>
              </w:tc>
              <w:tc>
                <w:tcPr>
                  <w:tcW w:w="866" w:type="pct"/>
                  <w:vMerge w:val="continue"/>
                  <w:tcBorders>
                    <w:tl2br w:val="nil"/>
                    <w:tr2bl w:val="nil"/>
                  </w:tcBorders>
                  <w:vAlign w:val="center"/>
                </w:tcPr>
                <w:p w14:paraId="30E9F45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FF0000"/>
                      <w:sz w:val="18"/>
                      <w:szCs w:val="18"/>
                    </w:rPr>
                  </w:pPr>
                </w:p>
              </w:tc>
              <w:tc>
                <w:tcPr>
                  <w:tcW w:w="818" w:type="pct"/>
                  <w:vMerge w:val="continue"/>
                  <w:tcBorders>
                    <w:tl2br w:val="nil"/>
                    <w:tr2bl w:val="nil"/>
                  </w:tcBorders>
                  <w:vAlign w:val="center"/>
                </w:tcPr>
                <w:p w14:paraId="2EB6E42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FF0000"/>
                      <w:sz w:val="18"/>
                      <w:szCs w:val="18"/>
                    </w:rPr>
                  </w:pPr>
                </w:p>
              </w:tc>
              <w:tc>
                <w:tcPr>
                  <w:tcW w:w="246" w:type="pct"/>
                  <w:vMerge w:val="continue"/>
                  <w:tcBorders>
                    <w:tl2br w:val="nil"/>
                    <w:tr2bl w:val="nil"/>
                  </w:tcBorders>
                  <w:vAlign w:val="center"/>
                </w:tcPr>
                <w:p w14:paraId="57E521CC">
                  <w:pPr>
                    <w:ind w:left="0" w:right="0"/>
                    <w:jc w:val="center"/>
                    <w:rPr>
                      <w:rFonts w:hint="default" w:ascii="Times New Roman" w:hAnsi="Times New Roman" w:cs="Times New Roman" w:eastAsiaTheme="minorEastAsia"/>
                      <w:color w:val="FF0000"/>
                      <w:sz w:val="18"/>
                      <w:szCs w:val="18"/>
                    </w:rPr>
                  </w:pPr>
                </w:p>
              </w:tc>
            </w:tr>
            <w:tr w14:paraId="6A71F3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34178FCF">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1EA695CC">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5E9B7BCF">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6</w:t>
                  </w:r>
                </w:p>
              </w:tc>
              <w:tc>
                <w:tcPr>
                  <w:tcW w:w="2269" w:type="pct"/>
                  <w:tcBorders>
                    <w:tl2br w:val="nil"/>
                    <w:tr2bl w:val="nil"/>
                  </w:tcBorders>
                  <w:vAlign w:val="center"/>
                </w:tcPr>
                <w:p w14:paraId="7D3BC133">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施工临时道路应尽可能利用机耕路、林区小路等现有道路，新建道路应严格控制道路宽度，以减少临时工程对生态环境的影响。</w:t>
                  </w:r>
                </w:p>
              </w:tc>
              <w:tc>
                <w:tcPr>
                  <w:tcW w:w="4056" w:type="dxa"/>
                  <w:gridSpan w:val="2"/>
                  <w:tcBorders>
                    <w:tl2br w:val="nil"/>
                    <w:tr2bl w:val="nil"/>
                  </w:tcBorders>
                  <w:vAlign w:val="center"/>
                </w:tcPr>
                <w:p w14:paraId="09D313A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highlight w:val="none"/>
                      <w:lang w:eastAsia="zh-CN"/>
                    </w:rPr>
                    <w:t>已要求建设单位</w:t>
                  </w:r>
                  <w:r>
                    <w:rPr>
                      <w:rFonts w:hint="default" w:ascii="Times New Roman" w:hAnsi="Times New Roman" w:cs="Times New Roman"/>
                      <w:color w:val="auto"/>
                      <w:sz w:val="18"/>
                      <w:szCs w:val="18"/>
                      <w:highlight w:val="none"/>
                    </w:rPr>
                    <w:t>尽可能利用现有道路</w:t>
                  </w:r>
                  <w:r>
                    <w:rPr>
                      <w:rFonts w:hint="default" w:ascii="Times New Roman" w:hAnsi="Times New Roman" w:cs="Times New Roman"/>
                      <w:color w:val="auto"/>
                      <w:sz w:val="18"/>
                      <w:szCs w:val="18"/>
                      <w:highlight w:val="none"/>
                      <w:lang w:val="en-US" w:eastAsia="zh-CN"/>
                    </w:rPr>
                    <w:t>来设置施工临时道路</w:t>
                  </w:r>
                  <w:r>
                    <w:rPr>
                      <w:rFonts w:hint="default" w:ascii="Times New Roman" w:hAnsi="Times New Roman" w:cs="Times New Roman"/>
                      <w:color w:val="auto"/>
                      <w:sz w:val="18"/>
                      <w:szCs w:val="18"/>
                      <w:highlight w:val="none"/>
                      <w:lang w:eastAsia="zh-CN"/>
                    </w:rPr>
                    <w:t>。</w:t>
                  </w:r>
                </w:p>
              </w:tc>
              <w:tc>
                <w:tcPr>
                  <w:tcW w:w="246" w:type="pct"/>
                  <w:tcBorders>
                    <w:tl2br w:val="nil"/>
                    <w:tr2bl w:val="nil"/>
                  </w:tcBorders>
                  <w:vAlign w:val="center"/>
                </w:tcPr>
                <w:p w14:paraId="58DB07AE">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29BF59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9" w:type="pct"/>
                  <w:vMerge w:val="continue"/>
                  <w:tcBorders>
                    <w:tl2br w:val="nil"/>
                    <w:tr2bl w:val="nil"/>
                  </w:tcBorders>
                  <w:vAlign w:val="center"/>
                </w:tcPr>
                <w:p w14:paraId="732B5F48">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06E566B7">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173353D2">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7</w:t>
                  </w:r>
                </w:p>
              </w:tc>
              <w:tc>
                <w:tcPr>
                  <w:tcW w:w="2269" w:type="pct"/>
                  <w:tcBorders>
                    <w:tl2br w:val="nil"/>
                    <w:tr2bl w:val="nil"/>
                  </w:tcBorders>
                  <w:vAlign w:val="center"/>
                </w:tcPr>
                <w:p w14:paraId="07D45A32">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施工现场使用带油料的机械器具，应采取措施防止油料跑、冒、滴、漏，防止对土壤和水体造成污染。</w:t>
                  </w:r>
                </w:p>
              </w:tc>
              <w:tc>
                <w:tcPr>
                  <w:tcW w:w="4056" w:type="dxa"/>
                  <w:gridSpan w:val="2"/>
                  <w:tcBorders>
                    <w:tl2br w:val="nil"/>
                    <w:tr2bl w:val="nil"/>
                  </w:tcBorders>
                  <w:vAlign w:val="center"/>
                </w:tcPr>
                <w:p w14:paraId="71383E4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highlight w:val="none"/>
                      <w:lang w:eastAsia="zh-CN"/>
                    </w:rPr>
                    <w:t>已要求施工单位在施工现场使用带油料的机械器具</w:t>
                  </w:r>
                  <w:r>
                    <w:rPr>
                      <w:rFonts w:hint="default" w:ascii="Times New Roman" w:hAnsi="Times New Roman" w:cs="Times New Roman"/>
                      <w:color w:val="auto"/>
                      <w:sz w:val="18"/>
                      <w:szCs w:val="18"/>
                      <w:highlight w:val="none"/>
                      <w:lang w:val="en-US" w:eastAsia="zh-CN"/>
                    </w:rPr>
                    <w:t>时</w:t>
                  </w:r>
                  <w:r>
                    <w:rPr>
                      <w:rFonts w:hint="default" w:ascii="Times New Roman" w:hAnsi="Times New Roman" w:cs="Times New Roman"/>
                      <w:color w:val="auto"/>
                      <w:sz w:val="18"/>
                      <w:szCs w:val="18"/>
                      <w:highlight w:val="none"/>
                      <w:lang w:eastAsia="zh-CN"/>
                    </w:rPr>
                    <w:t>采取措施防止油料跑、冒、滴、漏。</w:t>
                  </w:r>
                </w:p>
              </w:tc>
              <w:tc>
                <w:tcPr>
                  <w:tcW w:w="246" w:type="pct"/>
                  <w:tcBorders>
                    <w:tl2br w:val="nil"/>
                    <w:tr2bl w:val="nil"/>
                  </w:tcBorders>
                  <w:vAlign w:val="center"/>
                </w:tcPr>
                <w:p w14:paraId="267A5472">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0C82AE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18721C56">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2BF97F79">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4729E801">
                  <w:pPr>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eastAsiaTheme="minorEastAsia"/>
                      <w:color w:val="auto"/>
                      <w:sz w:val="18"/>
                      <w:szCs w:val="18"/>
                      <w:lang w:val="en-US" w:eastAsia="zh-CN"/>
                    </w:rPr>
                    <w:t>8</w:t>
                  </w:r>
                </w:p>
              </w:tc>
              <w:tc>
                <w:tcPr>
                  <w:tcW w:w="2269" w:type="pct"/>
                  <w:tcBorders>
                    <w:tl2br w:val="nil"/>
                    <w:tr2bl w:val="nil"/>
                  </w:tcBorders>
                  <w:vAlign w:val="center"/>
                </w:tcPr>
                <w:p w14:paraId="0C6D8D2B">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施工结束后，应及时清理施工现场，因地制宜进行土地功能恢复。</w:t>
                  </w:r>
                </w:p>
              </w:tc>
              <w:tc>
                <w:tcPr>
                  <w:tcW w:w="4056" w:type="dxa"/>
                  <w:gridSpan w:val="2"/>
                  <w:tcBorders>
                    <w:tl2br w:val="nil"/>
                    <w:tr2bl w:val="nil"/>
                  </w:tcBorders>
                  <w:vAlign w:val="center"/>
                </w:tcPr>
                <w:p w14:paraId="0E7F13B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highlight w:val="none"/>
                      <w:lang w:val="en-US" w:eastAsia="zh-CN"/>
                    </w:rPr>
                    <w:t>已</w:t>
                  </w:r>
                  <w:r>
                    <w:rPr>
                      <w:rFonts w:hint="default" w:ascii="Times New Roman" w:hAnsi="Times New Roman" w:cs="Times New Roman"/>
                      <w:color w:val="auto"/>
                      <w:sz w:val="18"/>
                      <w:szCs w:val="18"/>
                      <w:highlight w:val="none"/>
                      <w:lang w:eastAsia="zh-CN"/>
                    </w:rPr>
                    <w:t>要求施工单位</w:t>
                  </w:r>
                  <w:r>
                    <w:rPr>
                      <w:rFonts w:hint="default" w:ascii="Times New Roman" w:hAnsi="Times New Roman" w:cs="Times New Roman"/>
                      <w:color w:val="auto"/>
                      <w:sz w:val="18"/>
                      <w:szCs w:val="18"/>
                      <w:highlight w:val="none"/>
                      <w:lang w:val="en-US" w:eastAsia="zh-CN"/>
                    </w:rPr>
                    <w:t>施工完成后，及时恢复土地原来的功能，种植当地常见植物进行生态恢复，并加强抚育管理</w:t>
                  </w:r>
                  <w:r>
                    <w:rPr>
                      <w:rFonts w:hint="default" w:ascii="Times New Roman" w:hAnsi="Times New Roman" w:cs="Times New Roman"/>
                      <w:color w:val="auto"/>
                      <w:sz w:val="18"/>
                      <w:szCs w:val="18"/>
                      <w:highlight w:val="none"/>
                      <w:lang w:eastAsia="zh-CN"/>
                    </w:rPr>
                    <w:t>。</w:t>
                  </w:r>
                </w:p>
              </w:tc>
              <w:tc>
                <w:tcPr>
                  <w:tcW w:w="246" w:type="pct"/>
                  <w:tcBorders>
                    <w:tl2br w:val="nil"/>
                    <w:tr2bl w:val="nil"/>
                  </w:tcBorders>
                  <w:vAlign w:val="center"/>
                </w:tcPr>
                <w:p w14:paraId="7FE0A8DF">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0D1BC1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6F892F82">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3A5D1E5E">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水环境保护</w:t>
                  </w:r>
                </w:p>
              </w:tc>
              <w:tc>
                <w:tcPr>
                  <w:tcW w:w="278" w:type="pct"/>
                  <w:tcBorders>
                    <w:tl2br w:val="nil"/>
                    <w:tr2bl w:val="nil"/>
                  </w:tcBorders>
                  <w:vAlign w:val="center"/>
                </w:tcPr>
                <w:p w14:paraId="1B967E08">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4D573D5C">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在饮用水水源保护区和其他水体保护区内或附近施工时，应加强管理，做好污水防治措施，确保水环境不受影响。</w:t>
                  </w:r>
                </w:p>
              </w:tc>
              <w:tc>
                <w:tcPr>
                  <w:tcW w:w="1684" w:type="pct"/>
                  <w:gridSpan w:val="2"/>
                  <w:tcBorders>
                    <w:tl2br w:val="nil"/>
                    <w:tr2bl w:val="nil"/>
                  </w:tcBorders>
                  <w:vAlign w:val="center"/>
                </w:tcPr>
                <w:p w14:paraId="41F94E6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本项目不涉及</w:t>
                  </w:r>
                  <w:r>
                    <w:rPr>
                      <w:rFonts w:hint="default" w:ascii="Times New Roman" w:hAnsi="Times New Roman" w:cs="Times New Roman"/>
                      <w:color w:val="auto"/>
                      <w:sz w:val="18"/>
                      <w:szCs w:val="18"/>
                      <w:highlight w:val="none"/>
                    </w:rPr>
                    <w:t>进入</w:t>
                  </w:r>
                  <w:r>
                    <w:rPr>
                      <w:rFonts w:hint="eastAsia" w:ascii="Times New Roman" w:hAnsi="Times New Roman" w:cs="Times New Roman"/>
                      <w:color w:val="auto"/>
                      <w:sz w:val="18"/>
                      <w:szCs w:val="18"/>
                      <w:highlight w:val="none"/>
                      <w:lang w:val="en-US" w:eastAsia="zh-CN"/>
                    </w:rPr>
                    <w:t>饮用水源</w:t>
                  </w:r>
                  <w:r>
                    <w:rPr>
                      <w:rFonts w:hint="default" w:ascii="Times New Roman" w:hAnsi="Times New Roman" w:cs="Times New Roman"/>
                      <w:color w:val="auto"/>
                      <w:sz w:val="18"/>
                      <w:szCs w:val="18"/>
                      <w:highlight w:val="none"/>
                      <w:lang w:val="en-US" w:eastAsia="zh-CN"/>
                    </w:rPr>
                    <w:t>保护区</w:t>
                  </w:r>
                  <w:r>
                    <w:rPr>
                      <w:rFonts w:hint="default" w:ascii="Times New Roman" w:hAnsi="Times New Roman" w:cs="Times New Roman"/>
                      <w:color w:val="000000" w:themeColor="text1"/>
                      <w:sz w:val="18"/>
                      <w:szCs w:val="18"/>
                      <w:highlight w:val="none"/>
                      <w:lang w:eastAsia="zh-CN"/>
                      <w14:textFill>
                        <w14:solidFill>
                          <w14:schemeClr w14:val="tx1"/>
                        </w14:solidFill>
                      </w14:textFill>
                    </w:rPr>
                    <w:t>。</w:t>
                  </w:r>
                </w:p>
              </w:tc>
              <w:tc>
                <w:tcPr>
                  <w:tcW w:w="246" w:type="pct"/>
                  <w:tcBorders>
                    <w:tl2br w:val="nil"/>
                    <w:tr2bl w:val="nil"/>
                  </w:tcBorders>
                  <w:vAlign w:val="center"/>
                </w:tcPr>
                <w:p w14:paraId="3CD0D03C">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46ED33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 w:type="pct"/>
                  <w:vMerge w:val="continue"/>
                  <w:tcBorders>
                    <w:tl2br w:val="nil"/>
                    <w:tr2bl w:val="nil"/>
                  </w:tcBorders>
                  <w:vAlign w:val="center"/>
                </w:tcPr>
                <w:p w14:paraId="2A2878BC">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53525023">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053C2FDA">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w:t>
                  </w:r>
                </w:p>
              </w:tc>
              <w:tc>
                <w:tcPr>
                  <w:tcW w:w="2269" w:type="pct"/>
                  <w:tcBorders>
                    <w:tl2br w:val="nil"/>
                    <w:tr2bl w:val="nil"/>
                  </w:tcBorders>
                  <w:vAlign w:val="center"/>
                </w:tcPr>
                <w:p w14:paraId="3E931F8F">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施工期间禁止向水体排放、倾倒垃圾、弃土、弃渣，禁止排放未经处理的钻浆等废弃物。</w:t>
                  </w:r>
                </w:p>
              </w:tc>
              <w:tc>
                <w:tcPr>
                  <w:tcW w:w="1684" w:type="pct"/>
                  <w:gridSpan w:val="2"/>
                  <w:tcBorders>
                    <w:tl2br w:val="nil"/>
                    <w:tr2bl w:val="nil"/>
                  </w:tcBorders>
                  <w:vAlign w:val="center"/>
                </w:tcPr>
                <w:p w14:paraId="50CFE30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已要求建设单位在施工期间禁止向水体排放、倾倒垃圾、弃土、弃渣，禁止排放未经处理的钻浆等废弃物</w:t>
                  </w:r>
                  <w:r>
                    <w:rPr>
                      <w:rFonts w:hint="default" w:ascii="Times New Roman" w:hAnsi="Times New Roman" w:cs="Times New Roman" w:eastAsiaTheme="minorEastAsia"/>
                      <w:color w:val="auto"/>
                      <w:sz w:val="18"/>
                      <w:szCs w:val="18"/>
                      <w:lang w:eastAsia="zh-CN"/>
                    </w:rPr>
                    <w:t>。</w:t>
                  </w:r>
                </w:p>
              </w:tc>
              <w:tc>
                <w:tcPr>
                  <w:tcW w:w="246" w:type="pct"/>
                  <w:tcBorders>
                    <w:tl2br w:val="nil"/>
                    <w:tr2bl w:val="nil"/>
                  </w:tcBorders>
                  <w:vAlign w:val="center"/>
                </w:tcPr>
                <w:p w14:paraId="554D454D">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6D3E5C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41986D1A">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5515BD9C">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039F937B">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w:t>
                  </w:r>
                </w:p>
              </w:tc>
              <w:tc>
                <w:tcPr>
                  <w:tcW w:w="2269" w:type="pct"/>
                  <w:tcBorders>
                    <w:tl2br w:val="nil"/>
                    <w:tr2bl w:val="nil"/>
                  </w:tcBorders>
                  <w:vAlign w:val="center"/>
                </w:tcPr>
                <w:p w14:paraId="24861751">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变电工程施工现场临时厕所的化粪池应进行防渗处理。</w:t>
                  </w:r>
                </w:p>
              </w:tc>
              <w:tc>
                <w:tcPr>
                  <w:tcW w:w="866" w:type="pct"/>
                  <w:tcBorders>
                    <w:tl2br w:val="nil"/>
                    <w:tr2bl w:val="nil"/>
                  </w:tcBorders>
                  <w:vAlign w:val="center"/>
                </w:tcPr>
                <w:p w14:paraId="14061DC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已要求建设单位在施工期间落实临时厕所的化粪池进行防渗处理</w:t>
                  </w:r>
                  <w:r>
                    <w:rPr>
                      <w:rFonts w:hint="default" w:ascii="Times New Roman" w:hAnsi="Times New Roman" w:cs="Times New Roman" w:eastAsiaTheme="minorEastAsia"/>
                      <w:color w:val="auto"/>
                      <w:sz w:val="18"/>
                      <w:szCs w:val="18"/>
                      <w:lang w:eastAsia="zh-CN"/>
                    </w:rPr>
                    <w:t>。</w:t>
                  </w:r>
                </w:p>
              </w:tc>
              <w:tc>
                <w:tcPr>
                  <w:tcW w:w="818" w:type="pct"/>
                  <w:tcBorders>
                    <w:tl2br w:val="nil"/>
                    <w:tr2bl w:val="nil"/>
                  </w:tcBorders>
                  <w:vAlign w:val="center"/>
                </w:tcPr>
                <w:p w14:paraId="1F13D8A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Cs w:val="21"/>
                    </w:rPr>
                    <w:t>/</w:t>
                  </w:r>
                </w:p>
              </w:tc>
              <w:tc>
                <w:tcPr>
                  <w:tcW w:w="246" w:type="pct"/>
                  <w:tcBorders>
                    <w:tl2br w:val="nil"/>
                    <w:tr2bl w:val="nil"/>
                  </w:tcBorders>
                  <w:vAlign w:val="center"/>
                </w:tcPr>
                <w:p w14:paraId="4B6C7B06">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1FD8BF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46C3E52F">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6606D1E7">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大气环境保护</w:t>
                  </w:r>
                </w:p>
              </w:tc>
              <w:tc>
                <w:tcPr>
                  <w:tcW w:w="278" w:type="pct"/>
                  <w:tcBorders>
                    <w:tl2br w:val="nil"/>
                    <w:tr2bl w:val="nil"/>
                  </w:tcBorders>
                  <w:vAlign w:val="center"/>
                </w:tcPr>
                <w:p w14:paraId="7D757219">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453AFC89">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施工过程中，应当加强对施工现场和物料运输的管理，在施工工地设置硬质围挡，保持道路清洁，管控料堆和渣土堆放，防治扬尘污染。</w:t>
                  </w:r>
                </w:p>
              </w:tc>
              <w:tc>
                <w:tcPr>
                  <w:tcW w:w="4056" w:type="dxa"/>
                  <w:gridSpan w:val="2"/>
                  <w:tcBorders>
                    <w:tl2br w:val="nil"/>
                    <w:tr2bl w:val="nil"/>
                  </w:tcBorders>
                  <w:vAlign w:val="center"/>
                </w:tcPr>
                <w:p w14:paraId="7BD9518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已要求建设单位在</w:t>
                  </w:r>
                  <w:r>
                    <w:rPr>
                      <w:rFonts w:hint="default" w:ascii="Times New Roman" w:hAnsi="Times New Roman" w:cs="Times New Roman"/>
                      <w:color w:val="auto"/>
                      <w:sz w:val="18"/>
                      <w:szCs w:val="18"/>
                      <w:highlight w:val="none"/>
                      <w:lang w:eastAsia="zh-CN"/>
                    </w:rPr>
                    <w:t>施工过程中，加强对施工现场和物料运输的管理，管控料堆和</w:t>
                  </w:r>
                  <w:r>
                    <w:rPr>
                      <w:rFonts w:hint="default" w:ascii="Times New Roman" w:hAnsi="Times New Roman" w:cs="Times New Roman"/>
                      <w:color w:val="auto"/>
                      <w:sz w:val="18"/>
                      <w:szCs w:val="18"/>
                      <w:highlight w:val="none"/>
                      <w:lang w:val="en-US" w:eastAsia="zh-CN"/>
                    </w:rPr>
                    <w:t>余方</w:t>
                  </w:r>
                  <w:r>
                    <w:rPr>
                      <w:rFonts w:hint="default" w:ascii="Times New Roman" w:hAnsi="Times New Roman" w:cs="Times New Roman"/>
                      <w:color w:val="auto"/>
                      <w:sz w:val="18"/>
                      <w:szCs w:val="18"/>
                      <w:highlight w:val="none"/>
                      <w:lang w:eastAsia="zh-CN"/>
                    </w:rPr>
                    <w:t>堆放</w:t>
                  </w:r>
                  <w:r>
                    <w:rPr>
                      <w:rFonts w:hint="default" w:ascii="Times New Roman" w:hAnsi="Times New Roman" w:cs="Times New Roman"/>
                      <w:color w:val="auto"/>
                      <w:sz w:val="18"/>
                      <w:szCs w:val="18"/>
                      <w:highlight w:val="none"/>
                      <w:lang w:val="en-US" w:eastAsia="zh-CN"/>
                    </w:rPr>
                    <w:t>。</w:t>
                  </w:r>
                </w:p>
              </w:tc>
              <w:tc>
                <w:tcPr>
                  <w:tcW w:w="246" w:type="pct"/>
                  <w:tcBorders>
                    <w:tl2br w:val="nil"/>
                    <w:tr2bl w:val="nil"/>
                  </w:tcBorders>
                  <w:vAlign w:val="center"/>
                </w:tcPr>
                <w:p w14:paraId="4DF2FAFC">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6694EF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0966F179">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3FD25EDE">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2D77EA2A">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w:t>
                  </w:r>
                </w:p>
              </w:tc>
              <w:tc>
                <w:tcPr>
                  <w:tcW w:w="2269" w:type="pct"/>
                  <w:tcBorders>
                    <w:tl2br w:val="nil"/>
                    <w:tr2bl w:val="nil"/>
                  </w:tcBorders>
                  <w:vAlign w:val="center"/>
                </w:tcPr>
                <w:p w14:paraId="6E4F5A4D">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施工过程中，对易起尘的临时堆土、运输过程中的土石方等应采用密闭式防尘布（网）进行苫盖，施工面集中且有条件的地方宜采取洒水降尘等有效措施，减少易造成大气污染的施工作业。</w:t>
                  </w:r>
                </w:p>
              </w:tc>
              <w:tc>
                <w:tcPr>
                  <w:tcW w:w="4056" w:type="dxa"/>
                  <w:gridSpan w:val="2"/>
                  <w:tcBorders>
                    <w:tl2br w:val="nil"/>
                    <w:tr2bl w:val="nil"/>
                  </w:tcBorders>
                  <w:vAlign w:val="center"/>
                </w:tcPr>
                <w:p w14:paraId="3BBD4C3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w:t>
                  </w:r>
                  <w:r>
                    <w:rPr>
                      <w:rFonts w:hint="default" w:ascii="Times New Roman" w:hAnsi="Times New Roman" w:cs="Times New Roman"/>
                      <w:color w:val="auto"/>
                      <w:sz w:val="18"/>
                      <w:szCs w:val="18"/>
                      <w:highlight w:val="none"/>
                      <w:lang w:val="en-US" w:eastAsia="zh-CN"/>
                    </w:rPr>
                    <w:t>在</w:t>
                  </w:r>
                  <w:r>
                    <w:rPr>
                      <w:rFonts w:hint="default" w:ascii="Times New Roman" w:hAnsi="Times New Roman" w:cs="Times New Roman"/>
                      <w:color w:val="auto"/>
                      <w:sz w:val="18"/>
                      <w:szCs w:val="18"/>
                      <w:highlight w:val="none"/>
                      <w:lang w:eastAsia="zh-CN"/>
                    </w:rPr>
                    <w:t>施工过程中，对易起尘的临时堆土应采用密闭式防尘布（网）进行苫盖，施工面集中且有条件的地方宜采取洒水降尘等有效措施</w:t>
                  </w:r>
                  <w:r>
                    <w:rPr>
                      <w:rFonts w:hint="default" w:ascii="Times New Roman" w:hAnsi="Times New Roman" w:cs="Times New Roman"/>
                      <w:color w:val="auto"/>
                      <w:sz w:val="18"/>
                      <w:szCs w:val="18"/>
                      <w:highlight w:val="none"/>
                      <w:lang w:val="en-US" w:eastAsia="zh-CN"/>
                    </w:rPr>
                    <w:t>。</w:t>
                  </w:r>
                </w:p>
              </w:tc>
              <w:tc>
                <w:tcPr>
                  <w:tcW w:w="246" w:type="pct"/>
                  <w:tcBorders>
                    <w:tl2br w:val="nil"/>
                    <w:tr2bl w:val="nil"/>
                  </w:tcBorders>
                  <w:vAlign w:val="center"/>
                </w:tcPr>
                <w:p w14:paraId="059653F6">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12BB3D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0B327C7C">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20058BF1">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61164751">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w:t>
                  </w:r>
                </w:p>
              </w:tc>
              <w:tc>
                <w:tcPr>
                  <w:tcW w:w="2269" w:type="pct"/>
                  <w:tcBorders>
                    <w:tl2br w:val="nil"/>
                    <w:tr2bl w:val="nil"/>
                  </w:tcBorders>
                  <w:vAlign w:val="center"/>
                </w:tcPr>
                <w:p w14:paraId="731508BE">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施工过程中，建设单位应当对裸露地面进行覆盖；暂时不能开工的建设用地超过三个月的，应当进行绿化、铺装或者遮盖。</w:t>
                  </w:r>
                </w:p>
              </w:tc>
              <w:tc>
                <w:tcPr>
                  <w:tcW w:w="4056" w:type="dxa"/>
                  <w:gridSpan w:val="2"/>
                  <w:tcBorders>
                    <w:tl2br w:val="nil"/>
                    <w:tr2bl w:val="nil"/>
                  </w:tcBorders>
                  <w:vAlign w:val="center"/>
                </w:tcPr>
                <w:p w14:paraId="613297E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w:t>
                  </w:r>
                  <w:r>
                    <w:rPr>
                      <w:rFonts w:hint="default" w:ascii="Times New Roman" w:hAnsi="Times New Roman" w:cs="Times New Roman"/>
                      <w:color w:val="auto"/>
                      <w:sz w:val="18"/>
                      <w:szCs w:val="18"/>
                      <w:highlight w:val="none"/>
                      <w:lang w:val="en-US" w:eastAsia="zh-CN"/>
                    </w:rPr>
                    <w:t>在施工过程中，应当对裸露地面进行覆盖；暂时不能开工的建设用地超过三个月的，应当进行绿化、铺装或者遮盖</w:t>
                  </w:r>
                  <w:r>
                    <w:rPr>
                      <w:rFonts w:hint="eastAsia" w:cs="Times New Roman"/>
                      <w:color w:val="auto"/>
                      <w:sz w:val="18"/>
                      <w:szCs w:val="18"/>
                      <w:highlight w:val="none"/>
                      <w:lang w:val="en-US" w:eastAsia="zh-CN"/>
                    </w:rPr>
                    <w:t>。</w:t>
                  </w:r>
                </w:p>
              </w:tc>
              <w:tc>
                <w:tcPr>
                  <w:tcW w:w="246" w:type="pct"/>
                  <w:tcBorders>
                    <w:tl2br w:val="nil"/>
                    <w:tr2bl w:val="nil"/>
                  </w:tcBorders>
                  <w:vAlign w:val="center"/>
                </w:tcPr>
                <w:p w14:paraId="3CA0D6AE">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62B42F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5B9A719C">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0A78F924">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050F0068">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4</w:t>
                  </w:r>
                </w:p>
              </w:tc>
              <w:tc>
                <w:tcPr>
                  <w:tcW w:w="2269" w:type="pct"/>
                  <w:tcBorders>
                    <w:tl2br w:val="nil"/>
                    <w:tr2bl w:val="nil"/>
                  </w:tcBorders>
                  <w:vAlign w:val="center"/>
                </w:tcPr>
                <w:p w14:paraId="07CADB96">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施工现场禁止将包装物、可燃垃圾等固体废弃物就地焚烧。</w:t>
                  </w:r>
                </w:p>
              </w:tc>
              <w:tc>
                <w:tcPr>
                  <w:tcW w:w="4056" w:type="dxa"/>
                  <w:gridSpan w:val="2"/>
                  <w:tcBorders>
                    <w:tl2br w:val="nil"/>
                    <w:tr2bl w:val="nil"/>
                  </w:tcBorders>
                  <w:vAlign w:val="center"/>
                </w:tcPr>
                <w:p w14:paraId="1B318A6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w:t>
                  </w:r>
                  <w:r>
                    <w:rPr>
                      <w:rFonts w:hint="default" w:ascii="Times New Roman" w:hAnsi="Times New Roman" w:cs="Times New Roman"/>
                      <w:color w:val="auto"/>
                      <w:sz w:val="18"/>
                      <w:szCs w:val="18"/>
                      <w:highlight w:val="none"/>
                    </w:rPr>
                    <w:t>在施工现场禁止将包装物、可燃垃圾等固体废弃物就地焚烧</w:t>
                  </w:r>
                  <w:r>
                    <w:rPr>
                      <w:rFonts w:hint="eastAsia" w:cs="Times New Roman"/>
                      <w:color w:val="auto"/>
                      <w:sz w:val="18"/>
                      <w:szCs w:val="18"/>
                      <w:highlight w:val="none"/>
                      <w:lang w:eastAsia="zh-CN"/>
                    </w:rPr>
                    <w:t>。</w:t>
                  </w:r>
                </w:p>
              </w:tc>
              <w:tc>
                <w:tcPr>
                  <w:tcW w:w="246" w:type="pct"/>
                  <w:tcBorders>
                    <w:tl2br w:val="nil"/>
                    <w:tr2bl w:val="nil"/>
                  </w:tcBorders>
                  <w:vAlign w:val="center"/>
                </w:tcPr>
                <w:p w14:paraId="46C2A115">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54324C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0681C76F">
                  <w:pPr>
                    <w:jc w:val="center"/>
                    <w:rPr>
                      <w:rFonts w:hint="default" w:ascii="Times New Roman" w:hAnsi="Times New Roman" w:cs="Times New Roman" w:eastAsiaTheme="minorEastAsia"/>
                      <w:color w:val="auto"/>
                      <w:sz w:val="18"/>
                      <w:szCs w:val="18"/>
                    </w:rPr>
                  </w:pPr>
                </w:p>
              </w:tc>
              <w:tc>
                <w:tcPr>
                  <w:tcW w:w="281" w:type="pct"/>
                  <w:vMerge w:val="restart"/>
                  <w:tcBorders>
                    <w:tl2br w:val="nil"/>
                    <w:tr2bl w:val="nil"/>
                  </w:tcBorders>
                  <w:vAlign w:val="center"/>
                </w:tcPr>
                <w:p w14:paraId="5F11B508">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固体废物处置</w:t>
                  </w:r>
                </w:p>
              </w:tc>
              <w:tc>
                <w:tcPr>
                  <w:tcW w:w="278" w:type="pct"/>
                  <w:tcBorders>
                    <w:tl2br w:val="nil"/>
                    <w:tr2bl w:val="nil"/>
                  </w:tcBorders>
                  <w:vAlign w:val="center"/>
                </w:tcPr>
                <w:p w14:paraId="540384BE">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w:t>
                  </w:r>
                </w:p>
              </w:tc>
              <w:tc>
                <w:tcPr>
                  <w:tcW w:w="2269" w:type="pct"/>
                  <w:tcBorders>
                    <w:tl2br w:val="nil"/>
                    <w:tr2bl w:val="nil"/>
                  </w:tcBorders>
                  <w:vAlign w:val="center"/>
                </w:tcPr>
                <w:p w14:paraId="298E89C3">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施工过程中产生的土石方、建筑垃圾、生活垃圾应分类集中收集，并按国家和地方有关规定定期进行清运处置，施工完成后及时做好迹地清理工作。</w:t>
                  </w:r>
                </w:p>
              </w:tc>
              <w:tc>
                <w:tcPr>
                  <w:tcW w:w="4056" w:type="dxa"/>
                  <w:gridSpan w:val="2"/>
                  <w:tcBorders>
                    <w:tl2br w:val="nil"/>
                    <w:tr2bl w:val="nil"/>
                  </w:tcBorders>
                  <w:vAlign w:val="center"/>
                </w:tcPr>
                <w:p w14:paraId="0273E0E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w:t>
                  </w:r>
                  <w:r>
                    <w:rPr>
                      <w:rFonts w:hint="default" w:ascii="Times New Roman" w:hAnsi="Times New Roman" w:cs="Times New Roman"/>
                      <w:color w:val="auto"/>
                      <w:sz w:val="18"/>
                      <w:szCs w:val="18"/>
                      <w:highlight w:val="none"/>
                    </w:rPr>
                    <w:t>在施工期间</w:t>
                  </w:r>
                  <w:r>
                    <w:rPr>
                      <w:rFonts w:hint="default" w:ascii="Times New Roman" w:hAnsi="Times New Roman" w:cs="Times New Roman"/>
                      <w:color w:val="auto"/>
                      <w:sz w:val="18"/>
                      <w:szCs w:val="18"/>
                      <w:highlight w:val="none"/>
                      <w:lang w:val="en-US" w:eastAsia="zh-CN"/>
                    </w:rPr>
                    <w:t>线路工程产生的</w:t>
                  </w:r>
                  <w:r>
                    <w:rPr>
                      <w:rFonts w:hint="default" w:ascii="Times New Roman" w:hAnsi="Times New Roman" w:cs="Times New Roman"/>
                      <w:color w:val="auto"/>
                      <w:sz w:val="18"/>
                      <w:szCs w:val="18"/>
                      <w:highlight w:val="none"/>
                      <w:lang w:eastAsia="zh-CN"/>
                    </w:rPr>
                    <w:t>余方</w:t>
                  </w:r>
                  <w:r>
                    <w:rPr>
                      <w:rFonts w:hint="default" w:ascii="Times New Roman" w:hAnsi="Times New Roman" w:cs="Times New Roman"/>
                      <w:color w:val="auto"/>
                      <w:sz w:val="18"/>
                      <w:szCs w:val="18"/>
                      <w:highlight w:val="none"/>
                    </w:rPr>
                    <w:t>就地进行平整回填</w:t>
                  </w:r>
                  <w:r>
                    <w:rPr>
                      <w:rFonts w:hint="default" w:ascii="Times New Roman" w:hAnsi="Times New Roman" w:cs="Times New Roman"/>
                      <w:color w:val="auto"/>
                      <w:sz w:val="18"/>
                      <w:szCs w:val="18"/>
                      <w:highlight w:val="none"/>
                      <w:lang w:eastAsia="zh-CN"/>
                    </w:rPr>
                    <w:t>，建筑垃圾及生活垃圾应分别收集堆放，生活垃圾集中收集后交由环卫统一清运，建筑垃圾可回收部分回收利用，不能回收利用的部分运至指定的市政建筑垃圾堆场处置</w:t>
                  </w:r>
                  <w:r>
                    <w:rPr>
                      <w:rFonts w:hint="eastAsia" w:cs="Times New Roman"/>
                      <w:color w:val="auto"/>
                      <w:sz w:val="18"/>
                      <w:szCs w:val="18"/>
                      <w:highlight w:val="none"/>
                      <w:lang w:eastAsia="zh-CN"/>
                    </w:rPr>
                    <w:t>。</w:t>
                  </w:r>
                </w:p>
              </w:tc>
              <w:tc>
                <w:tcPr>
                  <w:tcW w:w="246" w:type="pct"/>
                  <w:tcBorders>
                    <w:tl2br w:val="nil"/>
                    <w:tr2bl w:val="nil"/>
                  </w:tcBorders>
                  <w:vAlign w:val="center"/>
                </w:tcPr>
                <w:p w14:paraId="7AEE00BA">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r w14:paraId="6A2FBF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tcBorders>
                    <w:tl2br w:val="nil"/>
                    <w:tr2bl w:val="nil"/>
                  </w:tcBorders>
                  <w:vAlign w:val="center"/>
                </w:tcPr>
                <w:p w14:paraId="65030110">
                  <w:pPr>
                    <w:jc w:val="center"/>
                    <w:rPr>
                      <w:rFonts w:hint="default" w:ascii="Times New Roman" w:hAnsi="Times New Roman" w:cs="Times New Roman" w:eastAsiaTheme="minorEastAsia"/>
                      <w:color w:val="auto"/>
                      <w:sz w:val="18"/>
                      <w:szCs w:val="18"/>
                    </w:rPr>
                  </w:pPr>
                </w:p>
              </w:tc>
              <w:tc>
                <w:tcPr>
                  <w:tcW w:w="281" w:type="pct"/>
                  <w:vMerge w:val="continue"/>
                  <w:tcBorders>
                    <w:tl2br w:val="nil"/>
                    <w:tr2bl w:val="nil"/>
                  </w:tcBorders>
                  <w:vAlign w:val="center"/>
                </w:tcPr>
                <w:p w14:paraId="0D63C3C4">
                  <w:pPr>
                    <w:jc w:val="center"/>
                    <w:rPr>
                      <w:rFonts w:hint="default" w:ascii="Times New Roman" w:hAnsi="Times New Roman" w:cs="Times New Roman" w:eastAsiaTheme="minorEastAsia"/>
                      <w:color w:val="auto"/>
                      <w:sz w:val="18"/>
                      <w:szCs w:val="18"/>
                    </w:rPr>
                  </w:pPr>
                </w:p>
              </w:tc>
              <w:tc>
                <w:tcPr>
                  <w:tcW w:w="278" w:type="pct"/>
                  <w:tcBorders>
                    <w:tl2br w:val="nil"/>
                    <w:tr2bl w:val="nil"/>
                  </w:tcBorders>
                  <w:vAlign w:val="center"/>
                </w:tcPr>
                <w:p w14:paraId="5BF51F37">
                  <w:pPr>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w:t>
                  </w:r>
                </w:p>
              </w:tc>
              <w:tc>
                <w:tcPr>
                  <w:tcW w:w="2269" w:type="pct"/>
                  <w:tcBorders>
                    <w:tl2br w:val="nil"/>
                    <w:tr2bl w:val="nil"/>
                  </w:tcBorders>
                  <w:vAlign w:val="center"/>
                </w:tcPr>
                <w:p w14:paraId="735E03BC">
                  <w:pPr>
                    <w:ind w:left="0" w:leftChars="0" w:right="0" w:rightChars="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在农田和经济作物区施工时，施工临时占地宜采取隔离保护措施，施工结束后应将混凝土余料和残渣及时清除，以免影响后期土地功能的恢复。</w:t>
                  </w:r>
                </w:p>
              </w:tc>
              <w:tc>
                <w:tcPr>
                  <w:tcW w:w="4056" w:type="dxa"/>
                  <w:gridSpan w:val="2"/>
                  <w:tcBorders>
                    <w:tl2br w:val="nil"/>
                    <w:tr2bl w:val="nil"/>
                  </w:tcBorders>
                  <w:vAlign w:val="center"/>
                </w:tcPr>
                <w:p w14:paraId="33E92BC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已要求建设单位在施工期间，施工临时占地宜采取隔离保护措施，施工结束后应将混凝土余料和残渣及时清除</w:t>
                  </w:r>
                  <w:r>
                    <w:rPr>
                      <w:rFonts w:hint="default" w:ascii="Times New Roman" w:hAnsi="Times New Roman" w:cs="Times New Roman" w:eastAsiaTheme="minorEastAsia"/>
                      <w:color w:val="auto"/>
                      <w:sz w:val="18"/>
                      <w:szCs w:val="18"/>
                      <w:lang w:eastAsia="zh-CN"/>
                    </w:rPr>
                    <w:t>，</w:t>
                  </w:r>
                  <w:r>
                    <w:rPr>
                      <w:rFonts w:hint="default" w:ascii="Times New Roman" w:hAnsi="Times New Roman" w:cs="Times New Roman" w:eastAsiaTheme="minorEastAsia"/>
                      <w:color w:val="auto"/>
                      <w:sz w:val="18"/>
                      <w:szCs w:val="18"/>
                    </w:rPr>
                    <w:t>以免影响后期土地功能的恢复</w:t>
                  </w:r>
                  <w:r>
                    <w:rPr>
                      <w:rFonts w:hint="eastAsia" w:cs="Times New Roman" w:eastAsiaTheme="minorEastAsia"/>
                      <w:color w:val="auto"/>
                      <w:sz w:val="18"/>
                      <w:szCs w:val="18"/>
                      <w:lang w:eastAsia="zh-CN"/>
                    </w:rPr>
                    <w:t>。</w:t>
                  </w:r>
                </w:p>
              </w:tc>
              <w:tc>
                <w:tcPr>
                  <w:tcW w:w="246" w:type="pct"/>
                  <w:tcBorders>
                    <w:tl2br w:val="nil"/>
                    <w:tr2bl w:val="nil"/>
                  </w:tcBorders>
                  <w:vAlign w:val="center"/>
                </w:tcPr>
                <w:p w14:paraId="4EF58D1F">
                  <w:pPr>
                    <w:ind w:left="0" w:right="0"/>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符合</w:t>
                  </w:r>
                </w:p>
              </w:tc>
            </w:tr>
          </w:tbl>
          <w:p w14:paraId="54A116EF">
            <w:pPr>
              <w:adjustRightInd w:val="0"/>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本项目在选址选线时已尽量避让了沿线集中居民区和环境敏感区域，</w:t>
            </w:r>
            <w:r>
              <w:rPr>
                <w:rFonts w:hint="default" w:ascii="Times New Roman" w:hAnsi="Times New Roman" w:cs="Times New Roman"/>
                <w:color w:val="auto"/>
                <w:szCs w:val="21"/>
                <w:highlight w:val="none"/>
                <w:lang w:val="en-US" w:eastAsia="zh-CN"/>
              </w:rPr>
              <w:t>不涉及</w:t>
            </w:r>
            <w:r>
              <w:rPr>
                <w:rFonts w:hint="default" w:ascii="Times New Roman" w:hAnsi="Times New Roman" w:cs="Times New Roman"/>
                <w:color w:val="auto"/>
                <w:szCs w:val="21"/>
                <w:highlight w:val="none"/>
              </w:rPr>
              <w:t>生态保护红线</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lang w:val="en-US" w:eastAsia="zh-CN"/>
              </w:rPr>
              <w:t>符合生态环境管控单元的要求</w:t>
            </w:r>
            <w:r>
              <w:rPr>
                <w:rFonts w:hint="default" w:ascii="Times New Roman" w:hAnsi="Times New Roman" w:cs="Times New Roman"/>
                <w:color w:val="auto"/>
                <w:szCs w:val="21"/>
              </w:rPr>
              <w:t>。项目设计文件中包含了相关环境保护内容，本次评价报告对其施工和运营期间提出</w:t>
            </w:r>
            <w:r>
              <w:rPr>
                <w:rFonts w:hint="default" w:ascii="Times New Roman" w:hAnsi="Times New Roman" w:cs="Times New Roman"/>
                <w:color w:val="auto"/>
                <w:szCs w:val="21"/>
                <w:lang w:eastAsia="zh-CN"/>
              </w:rPr>
              <w:t>了</w:t>
            </w:r>
            <w:r>
              <w:rPr>
                <w:rFonts w:hint="default" w:ascii="Times New Roman" w:hAnsi="Times New Roman" w:cs="Times New Roman"/>
                <w:color w:val="auto"/>
                <w:szCs w:val="21"/>
              </w:rPr>
              <w:t>相关的环保要求。项目建设符合《输变电建设项目环境保护技术要求》（HJ1113-2020）中相关规定。</w:t>
            </w:r>
          </w:p>
          <w:p w14:paraId="0EC0B3A0">
            <w:pPr>
              <w:numPr>
                <w:ilvl w:val="0"/>
                <w:numId w:val="0"/>
              </w:numPr>
              <w:tabs>
                <w:tab w:val="left" w:pos="840"/>
              </w:tabs>
              <w:spacing w:line="360" w:lineRule="auto"/>
              <w:rPr>
                <w:rFonts w:hint="default" w:ascii="Times New Roman" w:hAnsi="Times New Roman" w:eastAsia="黑体" w:cs="Times New Roman"/>
                <w:color w:val="auto"/>
                <w:lang w:val="en-US" w:eastAsia="zh-CN"/>
              </w:rPr>
            </w:pPr>
            <w:r>
              <w:rPr>
                <w:rFonts w:hint="eastAsia" w:ascii="Times New Roman" w:hAnsi="Times New Roman" w:eastAsia="黑体" w:cs="Times New Roman"/>
                <w:color w:val="auto"/>
                <w:lang w:val="en-US" w:eastAsia="zh-CN"/>
              </w:rPr>
              <w:t>五</w:t>
            </w:r>
            <w:r>
              <w:rPr>
                <w:rFonts w:hint="default" w:ascii="Times New Roman" w:hAnsi="Times New Roman" w:eastAsia="黑体" w:cs="Times New Roman"/>
                <w:color w:val="auto"/>
                <w:lang w:val="en-US" w:eastAsia="zh-CN"/>
              </w:rPr>
              <w:t>、</w:t>
            </w:r>
            <w:r>
              <w:rPr>
                <w:rFonts w:hint="default" w:ascii="Times New Roman" w:hAnsi="Times New Roman" w:eastAsia="黑体" w:cs="Times New Roman"/>
                <w:color w:val="auto"/>
              </w:rPr>
              <w:t>与</w:t>
            </w:r>
            <w:r>
              <w:rPr>
                <w:rFonts w:hint="default" w:ascii="Times New Roman" w:hAnsi="Times New Roman" w:eastAsia="黑体" w:cs="Times New Roman"/>
                <w:color w:val="auto"/>
                <w:lang w:eastAsia="zh-CN"/>
              </w:rPr>
              <w:t>《</w:t>
            </w:r>
            <w:r>
              <w:rPr>
                <w:rFonts w:hint="default" w:ascii="Times New Roman" w:hAnsi="Times New Roman" w:eastAsia="黑体" w:cs="Times New Roman"/>
                <w:color w:val="auto"/>
              </w:rPr>
              <w:t>四川省长江经济带发展负面清单实施细则（试行）</w:t>
            </w:r>
            <w:r>
              <w:rPr>
                <w:rFonts w:hint="default" w:ascii="Times New Roman" w:hAnsi="Times New Roman" w:eastAsia="黑体" w:cs="Times New Roman"/>
                <w:color w:val="auto"/>
                <w:lang w:eastAsia="zh-CN"/>
              </w:rPr>
              <w:t>》</w:t>
            </w:r>
            <w:r>
              <w:rPr>
                <w:rFonts w:hint="default" w:ascii="Times New Roman" w:hAnsi="Times New Roman" w:eastAsia="黑体" w:cs="Times New Roman"/>
                <w:color w:val="auto"/>
                <w:lang w:val="en-US" w:eastAsia="zh-CN"/>
              </w:rPr>
              <w:t>符合性分析</w:t>
            </w:r>
          </w:p>
          <w:p w14:paraId="4553FE9A">
            <w:pPr>
              <w:wordWrap w:val="0"/>
              <w:spacing w:line="360" w:lineRule="auto"/>
              <w:ind w:firstLine="420" w:firstLineChars="200"/>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项目与</w:t>
            </w:r>
            <w:r>
              <w:rPr>
                <w:rFonts w:hint="default" w:ascii="Times New Roman" w:hAnsi="Times New Roman" w:eastAsia="宋体" w:cs="Times New Roman"/>
                <w:color w:val="auto"/>
                <w:szCs w:val="21"/>
                <w:lang w:val="en-US" w:eastAsia="zh-CN"/>
              </w:rPr>
              <w:t>四川省推动长江经济带发展领导小组办公室发布的</w:t>
            </w:r>
            <w:r>
              <w:rPr>
                <w:rFonts w:hint="default" w:ascii="Times New Roman" w:hAnsi="Times New Roman" w:eastAsia="宋体" w:cs="Times New Roman"/>
                <w:b w:val="0"/>
                <w:bCs w:val="0"/>
                <w:color w:val="auto"/>
                <w:sz w:val="21"/>
                <w:szCs w:val="21"/>
                <w:lang w:val="en-US" w:eastAsia="zh-CN"/>
              </w:rPr>
              <w:t>《四川省长江经济带发展负面清单实施细则（试行）》符合性分析详见下表。</w:t>
            </w:r>
          </w:p>
          <w:p w14:paraId="29BC2F52">
            <w:pPr>
              <w:keepNext w:val="0"/>
              <w:keepLines w:val="0"/>
              <w:pageBreakBefore w:val="0"/>
              <w:widowControl w:val="0"/>
              <w:tabs>
                <w:tab w:val="left" w:pos="3240"/>
              </w:tabs>
              <w:kinsoku/>
              <w:wordWrap/>
              <w:overflowPunct/>
              <w:topLinePunct w:val="0"/>
              <w:autoSpaceDE/>
              <w:autoSpaceDN/>
              <w:bidi w:val="0"/>
              <w:adjustRightInd/>
              <w:snapToGrid/>
              <w:jc w:val="center"/>
              <w:textAlignment w:val="auto"/>
              <w:rPr>
                <w:rFonts w:hint="default" w:ascii="Times New Roman" w:hAnsi="Times New Roman" w:eastAsia="黑体" w:cs="Times New Roman"/>
                <w:color w:val="auto"/>
                <w:szCs w:val="21"/>
                <w:highlight w:val="none"/>
                <w:lang w:eastAsia="zh-CN"/>
              </w:rPr>
            </w:pPr>
            <w:r>
              <w:rPr>
                <w:rFonts w:hint="default" w:ascii="Times New Roman" w:hAnsi="Times New Roman" w:eastAsia="黑体" w:cs="Times New Roman"/>
                <w:color w:val="auto"/>
                <w:szCs w:val="21"/>
                <w:highlight w:val="none"/>
              </w:rPr>
              <w:t>表1-</w:t>
            </w:r>
            <w:r>
              <w:rPr>
                <w:rFonts w:hint="eastAsia" w:eastAsia="黑体" w:cs="Times New Roman"/>
                <w:color w:val="auto"/>
                <w:szCs w:val="21"/>
                <w:highlight w:val="none"/>
                <w:lang w:val="en-US" w:eastAsia="zh-CN"/>
              </w:rPr>
              <w:t>13</w:t>
            </w:r>
            <w:r>
              <w:rPr>
                <w:rFonts w:hint="default" w:ascii="Times New Roman" w:hAnsi="Times New Roman" w:eastAsia="黑体" w:cs="Times New Roman"/>
                <w:color w:val="auto"/>
                <w:szCs w:val="21"/>
                <w:highlight w:val="none"/>
              </w:rPr>
              <w:t xml:space="preserve">  与</w:t>
            </w:r>
            <w:r>
              <w:rPr>
                <w:rFonts w:hint="default" w:ascii="Times New Roman" w:hAnsi="Times New Roman" w:eastAsia="黑体" w:cs="Times New Roman"/>
                <w:color w:val="auto"/>
                <w:szCs w:val="21"/>
                <w:highlight w:val="none"/>
                <w:lang w:val="en-US" w:eastAsia="zh-CN"/>
              </w:rPr>
              <w:t>《四川省长江经济带发展负面清单实施细则（试行）》</w:t>
            </w:r>
            <w:r>
              <w:rPr>
                <w:rFonts w:hint="default" w:ascii="Times New Roman" w:hAnsi="Times New Roman" w:eastAsia="黑体" w:cs="Times New Roman"/>
                <w:color w:val="auto"/>
                <w:szCs w:val="21"/>
                <w:highlight w:val="none"/>
              </w:rPr>
              <w:t>符合性</w:t>
            </w:r>
            <w:r>
              <w:rPr>
                <w:rFonts w:hint="default" w:ascii="Times New Roman" w:hAnsi="Times New Roman" w:eastAsia="黑体" w:cs="Times New Roman"/>
                <w:color w:val="auto"/>
                <w:szCs w:val="21"/>
                <w:highlight w:val="none"/>
                <w:lang w:eastAsia="zh-CN"/>
              </w:rPr>
              <w:t>分析</w:t>
            </w:r>
          </w:p>
          <w:tbl>
            <w:tblPr>
              <w:tblStyle w:val="25"/>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5718"/>
              <w:gridCol w:w="4928"/>
              <w:gridCol w:w="810"/>
            </w:tblGrid>
            <w:tr w14:paraId="40D509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53" w:type="pct"/>
                  <w:gridSpan w:val="2"/>
                  <w:tcBorders>
                    <w:tl2br w:val="nil"/>
                    <w:tr2bl w:val="nil"/>
                  </w:tcBorders>
                  <w:noWrap w:val="0"/>
                  <w:vAlign w:val="center"/>
                </w:tcPr>
                <w:p w14:paraId="4F97B8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18"/>
                      <w:szCs w:val="18"/>
                      <w:lang w:bidi="ar"/>
                    </w:rPr>
                  </w:pPr>
                  <w:r>
                    <w:rPr>
                      <w:rFonts w:hint="default" w:ascii="Times New Roman" w:hAnsi="Times New Roman" w:cs="Times New Roman"/>
                      <w:bCs/>
                      <w:color w:val="auto"/>
                      <w:sz w:val="18"/>
                      <w:szCs w:val="18"/>
                      <w:lang w:bidi="ar"/>
                    </w:rPr>
                    <w:t>主要内容</w:t>
                  </w:r>
                </w:p>
              </w:tc>
              <w:tc>
                <w:tcPr>
                  <w:tcW w:w="2014" w:type="pct"/>
                  <w:tcBorders>
                    <w:tl2br w:val="nil"/>
                    <w:tr2bl w:val="nil"/>
                  </w:tcBorders>
                  <w:noWrap w:val="0"/>
                  <w:vAlign w:val="center"/>
                </w:tcPr>
                <w:p w14:paraId="099542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18"/>
                      <w:szCs w:val="18"/>
                      <w:lang w:bidi="ar"/>
                    </w:rPr>
                  </w:pPr>
                  <w:r>
                    <w:rPr>
                      <w:rFonts w:hint="default" w:ascii="Times New Roman" w:hAnsi="Times New Roman" w:cs="Times New Roman"/>
                      <w:bCs/>
                      <w:color w:val="auto"/>
                      <w:sz w:val="18"/>
                      <w:szCs w:val="18"/>
                      <w:lang w:bidi="ar"/>
                    </w:rPr>
                    <w:t>本项目情况</w:t>
                  </w:r>
                </w:p>
              </w:tc>
              <w:tc>
                <w:tcPr>
                  <w:tcW w:w="331" w:type="pct"/>
                  <w:tcBorders>
                    <w:tl2br w:val="nil"/>
                    <w:tr2bl w:val="nil"/>
                  </w:tcBorders>
                  <w:noWrap w:val="0"/>
                  <w:vAlign w:val="center"/>
                </w:tcPr>
                <w:p w14:paraId="454C945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Cs/>
                      <w:color w:val="auto"/>
                      <w:sz w:val="18"/>
                      <w:szCs w:val="18"/>
                      <w:lang w:bidi="ar"/>
                    </w:rPr>
                  </w:pPr>
                  <w:r>
                    <w:rPr>
                      <w:rFonts w:hint="default" w:ascii="Times New Roman" w:hAnsi="Times New Roman" w:cs="Times New Roman"/>
                      <w:bCs/>
                      <w:color w:val="auto"/>
                      <w:sz w:val="18"/>
                      <w:szCs w:val="18"/>
                      <w:lang w:bidi="ar"/>
                    </w:rPr>
                    <w:t>符合性</w:t>
                  </w:r>
                </w:p>
              </w:tc>
            </w:tr>
            <w:tr w14:paraId="058737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6" w:type="pct"/>
                  <w:tcBorders>
                    <w:tl2br w:val="nil"/>
                    <w:tr2bl w:val="nil"/>
                  </w:tcBorders>
                  <w:noWrap w:val="0"/>
                  <w:vAlign w:val="center"/>
                </w:tcPr>
                <w:p w14:paraId="53DBB98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bidi="ar"/>
                    </w:rPr>
                  </w:pPr>
                  <w:r>
                    <w:rPr>
                      <w:rFonts w:hint="default" w:ascii="Times New Roman" w:hAnsi="Times New Roman" w:eastAsia="宋体" w:cs="Times New Roman"/>
                      <w:color w:val="auto"/>
                      <w:sz w:val="18"/>
                      <w:szCs w:val="18"/>
                      <w:lang w:val="en-US" w:eastAsia="zh-CN" w:bidi="ar"/>
                    </w:rPr>
                    <w:t>第四条</w:t>
                  </w:r>
                </w:p>
              </w:tc>
              <w:tc>
                <w:tcPr>
                  <w:tcW w:w="2337" w:type="pct"/>
                  <w:tcBorders>
                    <w:tl2br w:val="nil"/>
                    <w:tr2bl w:val="nil"/>
                  </w:tcBorders>
                  <w:noWrap w:val="0"/>
                  <w:vAlign w:val="center"/>
                </w:tcPr>
                <w:p w14:paraId="44B7B36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lang w:bidi="ar"/>
                    </w:rPr>
                  </w:pPr>
                  <w:r>
                    <w:rPr>
                      <w:rFonts w:hint="default" w:ascii="Times New Roman" w:hAnsi="Times New Roman" w:cs="Times New Roman"/>
                      <w:color w:val="auto"/>
                      <w:sz w:val="18"/>
                      <w:szCs w:val="18"/>
                      <w:lang w:bidi="ar"/>
                    </w:rPr>
                    <w:t>管控重点为污染物排放量大、产能过剩严重、环境问题突出的产业，以及重点保护的岸线、河段、区域</w:t>
                  </w:r>
                  <w:r>
                    <w:rPr>
                      <w:rFonts w:hint="default" w:ascii="Times New Roman" w:hAnsi="Times New Roman" w:cs="Times New Roman"/>
                      <w:color w:val="auto"/>
                      <w:sz w:val="18"/>
                      <w:szCs w:val="18"/>
                      <w:lang w:eastAsia="zh-CN" w:bidi="ar"/>
                    </w:rPr>
                    <w:t>。</w:t>
                  </w:r>
                </w:p>
              </w:tc>
              <w:tc>
                <w:tcPr>
                  <w:tcW w:w="2014" w:type="pct"/>
                  <w:tcBorders>
                    <w:tl2br w:val="nil"/>
                    <w:tr2bl w:val="nil"/>
                  </w:tcBorders>
                  <w:noWrap w:val="0"/>
                  <w:vAlign w:val="center"/>
                </w:tcPr>
                <w:p w14:paraId="10616D78">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auto"/>
                      <w:sz w:val="18"/>
                      <w:szCs w:val="18"/>
                      <w:lang w:val="en-US" w:eastAsia="zh-CN" w:bidi="ar"/>
                    </w:rPr>
                  </w:pPr>
                  <w:r>
                    <w:rPr>
                      <w:rFonts w:hint="default" w:ascii="Times New Roman" w:hAnsi="Times New Roman" w:eastAsia="宋体" w:cs="Times New Roman"/>
                      <w:color w:val="auto"/>
                      <w:sz w:val="18"/>
                      <w:szCs w:val="18"/>
                      <w:lang w:val="en-US" w:eastAsia="zh-CN" w:bidi="ar"/>
                    </w:rPr>
                    <w:t>本项目为电网改造与建设工程，</w:t>
                  </w:r>
                  <w:r>
                    <w:rPr>
                      <w:rFonts w:hint="default" w:ascii="Times New Roman" w:hAnsi="Times New Roman" w:cs="Times New Roman"/>
                      <w:color w:val="auto"/>
                      <w:sz w:val="18"/>
                      <w:szCs w:val="18"/>
                      <w:lang w:val="en-US" w:eastAsia="zh-CN" w:bidi="ar"/>
                    </w:rPr>
                    <w:t>属于</w:t>
                  </w:r>
                  <w:r>
                    <w:rPr>
                      <w:rFonts w:hint="default" w:ascii="Times New Roman" w:hAnsi="Times New Roman" w:eastAsia="宋体" w:cs="Times New Roman"/>
                      <w:color w:val="auto"/>
                      <w:sz w:val="18"/>
                      <w:szCs w:val="18"/>
                      <w:lang w:val="en-US" w:eastAsia="zh-CN" w:bidi="ar"/>
                    </w:rPr>
                    <w:t>电力基础设施建设，不属于左述相关产业。</w:t>
                  </w:r>
                </w:p>
              </w:tc>
              <w:tc>
                <w:tcPr>
                  <w:tcW w:w="331" w:type="pct"/>
                  <w:tcBorders>
                    <w:tl2br w:val="nil"/>
                    <w:tr2bl w:val="nil"/>
                  </w:tcBorders>
                  <w:noWrap w:val="0"/>
                  <w:vAlign w:val="center"/>
                </w:tcPr>
                <w:p w14:paraId="77F5218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color w:val="auto"/>
                      <w:sz w:val="18"/>
                      <w:szCs w:val="18"/>
                      <w:lang w:bidi="ar"/>
                    </w:rPr>
                  </w:pPr>
                  <w:r>
                    <w:rPr>
                      <w:rFonts w:hint="default" w:ascii="Times New Roman" w:hAnsi="Times New Roman" w:cs="Times New Roman"/>
                      <w:b/>
                      <w:color w:val="auto"/>
                      <w:sz w:val="18"/>
                      <w:szCs w:val="18"/>
                      <w:lang w:bidi="ar"/>
                    </w:rPr>
                    <w:t>符合</w:t>
                  </w:r>
                </w:p>
              </w:tc>
            </w:tr>
            <w:tr w14:paraId="67EFD8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6" w:type="pct"/>
                  <w:tcBorders>
                    <w:tl2br w:val="nil"/>
                    <w:tr2bl w:val="nil"/>
                  </w:tcBorders>
                  <w:noWrap w:val="0"/>
                  <w:vAlign w:val="center"/>
                </w:tcPr>
                <w:p w14:paraId="0D311A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bidi="ar"/>
                    </w:rPr>
                  </w:pPr>
                  <w:r>
                    <w:rPr>
                      <w:rFonts w:hint="default" w:ascii="Times New Roman" w:hAnsi="Times New Roman" w:cs="Times New Roman"/>
                      <w:color w:val="auto"/>
                      <w:sz w:val="18"/>
                      <w:szCs w:val="18"/>
                      <w:lang w:val="en-US" w:eastAsia="zh-CN" w:bidi="ar"/>
                    </w:rPr>
                    <w:t>第五条</w:t>
                  </w:r>
                </w:p>
              </w:tc>
              <w:tc>
                <w:tcPr>
                  <w:tcW w:w="2337" w:type="pct"/>
                  <w:tcBorders>
                    <w:tl2br w:val="nil"/>
                    <w:tr2bl w:val="nil"/>
                  </w:tcBorders>
                  <w:noWrap w:val="0"/>
                  <w:vAlign w:val="center"/>
                </w:tcPr>
                <w:p w14:paraId="62CE32B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18"/>
                      <w:szCs w:val="18"/>
                      <w:lang w:eastAsia="zh-CN" w:bidi="ar"/>
                    </w:rPr>
                  </w:pPr>
                  <w:r>
                    <w:rPr>
                      <w:rFonts w:hint="default" w:ascii="Times New Roman" w:hAnsi="Times New Roman" w:cs="Times New Roman"/>
                      <w:color w:val="auto"/>
                      <w:sz w:val="18"/>
                      <w:szCs w:val="18"/>
                      <w:lang w:bidi="ar"/>
                    </w:rPr>
                    <w:t>管控方式为明确列出禁止投资建设的项目类别，依法管控，严格执行</w:t>
                  </w:r>
                  <w:r>
                    <w:rPr>
                      <w:rFonts w:hint="default" w:ascii="Times New Roman" w:hAnsi="Times New Roman" w:cs="Times New Roman"/>
                      <w:color w:val="auto"/>
                      <w:sz w:val="18"/>
                      <w:szCs w:val="18"/>
                      <w:lang w:eastAsia="zh-CN" w:bidi="ar"/>
                    </w:rPr>
                    <w:t>。</w:t>
                  </w:r>
                </w:p>
              </w:tc>
              <w:tc>
                <w:tcPr>
                  <w:tcW w:w="2014" w:type="pct"/>
                  <w:tcBorders>
                    <w:tl2br w:val="nil"/>
                    <w:tr2bl w:val="nil"/>
                  </w:tcBorders>
                  <w:noWrap w:val="0"/>
                  <w:vAlign w:val="center"/>
                </w:tcPr>
                <w:p w14:paraId="2DC079C0">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auto"/>
                      <w:sz w:val="18"/>
                      <w:szCs w:val="18"/>
                      <w:lang w:val="en-US" w:eastAsia="zh-CN" w:bidi="ar"/>
                    </w:rPr>
                  </w:pPr>
                  <w:r>
                    <w:rPr>
                      <w:rFonts w:hint="default" w:ascii="Times New Roman" w:hAnsi="Times New Roman" w:cs="Times New Roman"/>
                      <w:color w:val="auto"/>
                      <w:sz w:val="18"/>
                      <w:szCs w:val="18"/>
                      <w:lang w:val="en-US" w:eastAsia="zh-CN" w:bidi="ar"/>
                    </w:rPr>
                    <w:t>本项目为</w:t>
                  </w:r>
                  <w:r>
                    <w:rPr>
                      <w:rFonts w:hint="default" w:ascii="Times New Roman" w:hAnsi="Times New Roman" w:cs="Times New Roman"/>
                      <w:color w:val="auto"/>
                      <w:sz w:val="18"/>
                      <w:szCs w:val="18"/>
                      <w:lang w:bidi="ar"/>
                    </w:rPr>
                    <w:t>《产业结构调整指导目录（20</w:t>
                  </w:r>
                  <w:r>
                    <w:rPr>
                      <w:rFonts w:hint="default" w:ascii="Times New Roman" w:hAnsi="Times New Roman" w:cs="Times New Roman"/>
                      <w:color w:val="auto"/>
                      <w:sz w:val="18"/>
                      <w:szCs w:val="18"/>
                      <w:lang w:val="en-US" w:eastAsia="zh-CN" w:bidi="ar"/>
                    </w:rPr>
                    <w:t>24</w:t>
                  </w:r>
                  <w:r>
                    <w:rPr>
                      <w:rFonts w:hint="default" w:ascii="Times New Roman" w:hAnsi="Times New Roman" w:cs="Times New Roman"/>
                      <w:color w:val="auto"/>
                      <w:sz w:val="18"/>
                      <w:szCs w:val="18"/>
                      <w:lang w:bidi="ar"/>
                    </w:rPr>
                    <w:t>年本）》</w:t>
                  </w:r>
                  <w:r>
                    <w:rPr>
                      <w:rFonts w:hint="default" w:ascii="Times New Roman" w:hAnsi="Times New Roman" w:cs="Times New Roman"/>
                      <w:color w:val="auto"/>
                      <w:sz w:val="18"/>
                      <w:szCs w:val="18"/>
                      <w:lang w:val="en-US" w:eastAsia="zh-CN" w:bidi="ar"/>
                    </w:rPr>
                    <w:t>中鼓励类项目。</w:t>
                  </w:r>
                </w:p>
              </w:tc>
              <w:tc>
                <w:tcPr>
                  <w:tcW w:w="331" w:type="pct"/>
                  <w:tcBorders>
                    <w:tl2br w:val="nil"/>
                    <w:tr2bl w:val="nil"/>
                  </w:tcBorders>
                  <w:noWrap w:val="0"/>
                  <w:vAlign w:val="center"/>
                </w:tcPr>
                <w:p w14:paraId="067A057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color w:val="auto"/>
                      <w:sz w:val="18"/>
                      <w:szCs w:val="18"/>
                      <w:lang w:bidi="ar"/>
                    </w:rPr>
                  </w:pPr>
                  <w:r>
                    <w:rPr>
                      <w:rFonts w:hint="default" w:ascii="Times New Roman" w:hAnsi="Times New Roman" w:cs="Times New Roman"/>
                      <w:b/>
                      <w:color w:val="auto"/>
                      <w:sz w:val="18"/>
                      <w:szCs w:val="18"/>
                      <w:lang w:bidi="ar"/>
                    </w:rPr>
                    <w:t>符合</w:t>
                  </w:r>
                </w:p>
              </w:tc>
            </w:tr>
          </w:tbl>
          <w:p w14:paraId="319E2015">
            <w:pPr>
              <w:adjustRightInd w:val="0"/>
              <w:spacing w:line="360" w:lineRule="auto"/>
              <w:ind w:firstLine="420" w:firstLineChars="200"/>
              <w:rPr>
                <w:rFonts w:hint="eastAsia" w:ascii="Times New Roman" w:hAnsi="Times New Roman" w:cs="Times New Roman"/>
                <w:color w:val="auto"/>
                <w:szCs w:val="21"/>
                <w:lang w:eastAsia="zh-CN"/>
              </w:rPr>
            </w:pPr>
          </w:p>
        </w:tc>
      </w:tr>
    </w:tbl>
    <w:p w14:paraId="52189FEB">
      <w:pPr>
        <w:rPr>
          <w:color w:val="FF0000"/>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7BE49A1E">
      <w:pPr>
        <w:pStyle w:val="22"/>
        <w:spacing w:before="0" w:beforeAutospacing="0" w:after="0" w:afterAutospacing="0" w:line="360" w:lineRule="auto"/>
        <w:jc w:val="center"/>
        <w:outlineLvl w:val="0"/>
        <w:rPr>
          <w:rFonts w:ascii="Times New Roman" w:hAnsi="Times New Roman" w:eastAsia="黑体"/>
          <w:snapToGrid w:val="0"/>
          <w:color w:val="auto"/>
          <w:sz w:val="30"/>
          <w:szCs w:val="30"/>
        </w:rPr>
      </w:pPr>
      <w:bookmarkStart w:id="3" w:name="_Toc63026905"/>
      <w:r>
        <w:rPr>
          <w:rFonts w:ascii="Times New Roman" w:hAnsi="Times New Roman" w:eastAsia="黑体"/>
          <w:snapToGrid w:val="0"/>
          <w:color w:val="auto"/>
          <w:sz w:val="30"/>
          <w:szCs w:val="30"/>
        </w:rPr>
        <w:t>二、建设内容</w:t>
      </w:r>
      <w:bookmarkEnd w:id="3"/>
    </w:p>
    <w:tbl>
      <w:tblPr>
        <w:tblStyle w:val="25"/>
        <w:tblW w:w="946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8910"/>
        <w:gridCol w:w="7"/>
      </w:tblGrid>
      <w:tr w14:paraId="57E1AC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3" w:type="dxa"/>
            <w:vAlign w:val="center"/>
          </w:tcPr>
          <w:p w14:paraId="709F7166">
            <w:pPr>
              <w:jc w:val="center"/>
              <w:rPr>
                <w:color w:val="FF0000"/>
                <w:szCs w:val="21"/>
              </w:rPr>
            </w:pPr>
            <w:r>
              <w:rPr>
                <w:color w:val="auto"/>
                <w:szCs w:val="21"/>
              </w:rPr>
              <w:t>地理位置</w:t>
            </w:r>
          </w:p>
        </w:tc>
        <w:tc>
          <w:tcPr>
            <w:tcW w:w="8761" w:type="dxa"/>
            <w:gridSpan w:val="2"/>
            <w:vAlign w:val="center"/>
          </w:tcPr>
          <w:p w14:paraId="617D6A5E">
            <w:pPr>
              <w:spacing w:line="360" w:lineRule="auto"/>
              <w:ind w:firstLine="420" w:firstLineChars="200"/>
              <w:rPr>
                <w:rFonts w:hint="eastAsia"/>
                <w:color w:val="auto"/>
                <w:szCs w:val="21"/>
                <w:lang w:val="en-US" w:eastAsia="zh-CN"/>
              </w:rPr>
            </w:pPr>
            <w:r>
              <w:rPr>
                <w:color w:val="auto"/>
                <w:szCs w:val="21"/>
              </w:rPr>
              <w:t>本项目建设地点位于四川省</w:t>
            </w:r>
            <w:r>
              <w:rPr>
                <w:rFonts w:hint="eastAsia"/>
                <w:color w:val="auto"/>
                <w:szCs w:val="21"/>
                <w:lang w:val="en-US" w:eastAsia="zh-CN"/>
              </w:rPr>
              <w:t>巴中市恩阳区、巴州区和南江县境内。</w:t>
            </w:r>
          </w:p>
          <w:p w14:paraId="69084DCF">
            <w:pPr>
              <w:spacing w:line="360" w:lineRule="auto"/>
              <w:ind w:firstLine="420" w:firstLineChars="200"/>
              <w:rPr>
                <w:rFonts w:hint="eastAsia"/>
                <w:color w:val="auto"/>
                <w:szCs w:val="21"/>
                <w:lang w:val="en-US" w:eastAsia="zh-CN"/>
              </w:rPr>
            </w:pPr>
            <w:r>
              <w:rPr>
                <w:rFonts w:hint="eastAsia"/>
                <w:color w:val="auto"/>
                <w:szCs w:val="21"/>
                <w:lang w:val="en-US" w:eastAsia="zh-CN"/>
              </w:rPr>
              <w:t>1、</w:t>
            </w:r>
            <w:r>
              <w:rPr>
                <w:rFonts w:hint="eastAsia" w:cs="Times New Roman"/>
                <w:color w:val="auto"/>
                <w:szCs w:val="21"/>
                <w:lang w:val="en-US" w:eastAsia="zh-CN"/>
              </w:rPr>
              <w:t>司城</w:t>
            </w:r>
            <w:r>
              <w:rPr>
                <w:rFonts w:hint="default" w:ascii="Times New Roman" w:hAnsi="Times New Roman" w:eastAsia="宋体" w:cs="Times New Roman"/>
                <w:color w:val="auto"/>
                <w:szCs w:val="21"/>
              </w:rPr>
              <w:t>110</w:t>
            </w:r>
            <w:r>
              <w:rPr>
                <w:rFonts w:hint="eastAsia" w:cs="Times New Roman"/>
                <w:color w:val="auto"/>
                <w:szCs w:val="21"/>
                <w:lang w:val="en-US" w:eastAsia="zh-CN"/>
              </w:rPr>
              <w:t>kV</w:t>
            </w:r>
            <w:r>
              <w:rPr>
                <w:rFonts w:hint="default" w:ascii="Times New Roman" w:hAnsi="Times New Roman" w:eastAsia="宋体" w:cs="Times New Roman"/>
                <w:color w:val="auto"/>
                <w:szCs w:val="21"/>
              </w:rPr>
              <w:t>变电站新建工程</w:t>
            </w:r>
            <w:r>
              <w:rPr>
                <w:rFonts w:hint="eastAsia"/>
                <w:color w:val="auto"/>
                <w:szCs w:val="21"/>
                <w:lang w:val="en-US" w:eastAsia="zh-CN"/>
              </w:rPr>
              <w:t>：位于巴中市恩阳区登科街道石马社区5组。</w:t>
            </w:r>
          </w:p>
          <w:p w14:paraId="27CC5016">
            <w:pPr>
              <w:spacing w:line="360" w:lineRule="auto"/>
              <w:ind w:firstLine="420" w:firstLineChars="200"/>
              <w:rPr>
                <w:rFonts w:hint="eastAsia"/>
                <w:color w:val="auto"/>
                <w:szCs w:val="21"/>
                <w:lang w:val="en-US" w:eastAsia="zh-CN"/>
              </w:rPr>
            </w:pPr>
            <w:r>
              <w:rPr>
                <w:rFonts w:hint="eastAsia"/>
                <w:color w:val="auto"/>
                <w:szCs w:val="21"/>
                <w:lang w:val="en-US" w:eastAsia="zh-CN"/>
              </w:rPr>
              <w:t>2、印合110kV变电站110kV间隔扩建工程：</w:t>
            </w:r>
            <w:r>
              <w:rPr>
                <w:rFonts w:hint="default" w:ascii="Times New Roman" w:hAnsi="Times New Roman" w:eastAsia="宋体" w:cs="Times New Roman"/>
                <w:color w:val="auto"/>
                <w:szCs w:val="21"/>
                <w:u w:val="none"/>
                <w:lang w:val="en-US" w:eastAsia="zh-CN"/>
              </w:rPr>
              <w:t>位于巴中市南江县正直镇沿溪河村3社</w:t>
            </w:r>
            <w:r>
              <w:rPr>
                <w:rFonts w:hint="eastAsia"/>
                <w:color w:val="auto"/>
                <w:szCs w:val="21"/>
                <w:lang w:val="en-US" w:eastAsia="zh-CN"/>
              </w:rPr>
              <w:t>。</w:t>
            </w:r>
          </w:p>
          <w:p w14:paraId="61A98059">
            <w:pPr>
              <w:spacing w:line="360" w:lineRule="auto"/>
              <w:ind w:firstLine="420" w:firstLineChars="200"/>
              <w:rPr>
                <w:rFonts w:hint="default"/>
                <w:color w:val="auto"/>
                <w:szCs w:val="21"/>
                <w:lang w:val="en-US" w:eastAsia="zh-CN"/>
              </w:rPr>
            </w:pPr>
            <w:r>
              <w:rPr>
                <w:rFonts w:hint="eastAsia"/>
                <w:color w:val="auto"/>
                <w:szCs w:val="21"/>
                <w:lang w:val="en-US" w:eastAsia="zh-CN"/>
              </w:rPr>
              <w:t>3、</w:t>
            </w:r>
            <w:r>
              <w:rPr>
                <w:rFonts w:hint="eastAsia" w:cs="Times New Roman"/>
                <w:color w:val="auto"/>
                <w:szCs w:val="21"/>
                <w:u w:val="none"/>
                <w:lang w:val="en-US" w:eastAsia="zh-CN"/>
              </w:rPr>
              <w:t>盘兴220kV变电站二次完善工程</w:t>
            </w:r>
            <w:r>
              <w:rPr>
                <w:rFonts w:hint="default" w:ascii="Times New Roman" w:hAnsi="Times New Roman" w:eastAsia="宋体" w:cs="Times New Roman"/>
                <w:color w:val="auto"/>
                <w:szCs w:val="21"/>
                <w:u w:val="none"/>
                <w:lang w:val="en-US" w:eastAsia="zh-CN"/>
              </w:rPr>
              <w:t>：</w:t>
            </w:r>
            <w:r>
              <w:rPr>
                <w:rFonts w:hint="default" w:ascii="Times New Roman" w:hAnsi="Times New Roman" w:eastAsia="宋体" w:cs="Times New Roman"/>
                <w:color w:val="auto"/>
                <w:kern w:val="2"/>
                <w:sz w:val="21"/>
                <w:szCs w:val="21"/>
                <w:u w:val="none"/>
                <w:lang w:val="en-US" w:eastAsia="zh-CN" w:bidi="ar-SA"/>
              </w:rPr>
              <w:t>位于巴中市巴州区回风</w:t>
            </w:r>
            <w:r>
              <w:rPr>
                <w:rFonts w:hint="eastAsia" w:cs="Times New Roman"/>
                <w:color w:val="auto"/>
                <w:kern w:val="2"/>
                <w:sz w:val="21"/>
                <w:szCs w:val="21"/>
                <w:u w:val="none"/>
                <w:lang w:val="en-US" w:eastAsia="zh-CN" w:bidi="ar-SA"/>
              </w:rPr>
              <w:t>街道</w:t>
            </w:r>
            <w:r>
              <w:rPr>
                <w:rFonts w:hint="default" w:ascii="Times New Roman" w:hAnsi="Times New Roman" w:eastAsia="宋体" w:cs="Times New Roman"/>
                <w:color w:val="auto"/>
                <w:kern w:val="2"/>
                <w:sz w:val="21"/>
                <w:szCs w:val="21"/>
                <w:u w:val="none"/>
                <w:lang w:val="en-US" w:eastAsia="zh-CN" w:bidi="ar-SA"/>
              </w:rPr>
              <w:t>八王村3组已建盘兴220kV变电站内</w:t>
            </w:r>
            <w:r>
              <w:rPr>
                <w:rFonts w:hint="eastAsia"/>
                <w:color w:val="auto"/>
                <w:szCs w:val="21"/>
                <w:lang w:val="en-US" w:eastAsia="zh-CN"/>
              </w:rPr>
              <w:t>。</w:t>
            </w:r>
          </w:p>
          <w:p w14:paraId="2C7DF514">
            <w:pPr>
              <w:spacing w:line="360" w:lineRule="auto"/>
              <w:ind w:firstLine="420" w:firstLineChars="200"/>
              <w:rPr>
                <w:rFonts w:hint="default"/>
                <w:color w:val="auto"/>
                <w:szCs w:val="21"/>
                <w:lang w:val="en-US"/>
              </w:rPr>
            </w:pPr>
            <w:r>
              <w:rPr>
                <w:rFonts w:hint="eastAsia"/>
                <w:color w:val="auto"/>
                <w:szCs w:val="21"/>
                <w:lang w:val="en-US" w:eastAsia="zh-CN"/>
              </w:rPr>
              <w:t>4、</w:t>
            </w:r>
            <w:r>
              <w:rPr>
                <w:rFonts w:hint="eastAsia" w:cs="Times New Roman"/>
                <w:color w:val="auto"/>
                <w:szCs w:val="21"/>
                <w:u w:val="none"/>
                <w:lang w:val="en-US" w:eastAsia="zh-CN"/>
              </w:rPr>
              <w:t>盘兴</w:t>
            </w:r>
            <w:r>
              <w:rPr>
                <w:rFonts w:hint="default" w:ascii="Times New Roman" w:hAnsi="Times New Roman" w:eastAsia="宋体" w:cs="Times New Roman"/>
                <w:b w:val="0"/>
                <w:bCs/>
                <w:color w:val="auto"/>
                <w:szCs w:val="21"/>
                <w:u w:val="none"/>
                <w:lang w:eastAsia="zh-CN"/>
              </w:rPr>
              <w:t>～</w:t>
            </w:r>
            <w:r>
              <w:rPr>
                <w:rFonts w:hint="eastAsia" w:cs="Times New Roman"/>
                <w:color w:val="auto"/>
                <w:szCs w:val="21"/>
                <w:u w:val="none"/>
                <w:lang w:val="en-US" w:eastAsia="zh-CN"/>
              </w:rPr>
              <w:t>司城</w:t>
            </w:r>
            <w:r>
              <w:rPr>
                <w:rFonts w:hint="default" w:ascii="Times New Roman" w:hAnsi="Times New Roman" w:eastAsia="宋体" w:cs="Times New Roman"/>
                <w:color w:val="auto"/>
                <w:szCs w:val="21"/>
                <w:u w:val="none"/>
              </w:rPr>
              <w:t>110</w:t>
            </w:r>
            <w:r>
              <w:rPr>
                <w:rFonts w:hint="eastAsia" w:cs="Times New Roman"/>
                <w:color w:val="auto"/>
                <w:szCs w:val="21"/>
                <w:lang w:val="en-US" w:eastAsia="zh-CN"/>
              </w:rPr>
              <w:t>kV</w:t>
            </w:r>
            <w:r>
              <w:rPr>
                <w:rFonts w:hint="default" w:ascii="Times New Roman" w:hAnsi="Times New Roman" w:eastAsia="宋体" w:cs="Times New Roman"/>
                <w:color w:val="auto"/>
                <w:szCs w:val="21"/>
                <w:u w:val="none"/>
              </w:rPr>
              <w:t>线路工程：</w:t>
            </w:r>
            <w:r>
              <w:rPr>
                <w:rFonts w:hint="eastAsia"/>
                <w:color w:val="auto"/>
                <w:szCs w:val="21"/>
                <w:u w:val="none"/>
                <w:lang w:val="en-US" w:eastAsia="zh-CN"/>
              </w:rPr>
              <w:t>起于盘兴</w:t>
            </w:r>
            <w:r>
              <w:rPr>
                <w:rFonts w:hint="eastAsia" w:ascii="Times New Roman" w:hAnsi="Times New Roman" w:eastAsia="宋体" w:cs="Times New Roman"/>
                <w:color w:val="auto"/>
                <w:kern w:val="2"/>
                <w:sz w:val="21"/>
                <w:szCs w:val="21"/>
                <w:lang w:val="en-US" w:eastAsia="zh-CN" w:bidi="ar-SA"/>
              </w:rPr>
              <w:t>220kV</w:t>
            </w:r>
            <w:r>
              <w:rPr>
                <w:rFonts w:hint="eastAsia"/>
                <w:color w:val="auto"/>
                <w:szCs w:val="21"/>
                <w:u w:val="none"/>
                <w:lang w:val="en-US" w:eastAsia="zh-CN"/>
              </w:rPr>
              <w:t>变电站拟建</w:t>
            </w:r>
            <w:r>
              <w:rPr>
                <w:rFonts w:hint="eastAsia"/>
                <w:bCs/>
                <w:color w:val="auto"/>
                <w:szCs w:val="21"/>
                <w:lang w:val="en-US" w:eastAsia="zh-CN"/>
              </w:rPr>
              <w:t>11</w:t>
            </w:r>
            <w:r>
              <w:rPr>
                <w:rFonts w:hint="eastAsia"/>
                <w:bCs/>
                <w:color w:val="auto"/>
                <w:szCs w:val="21"/>
              </w:rPr>
              <w:t>0kV</w:t>
            </w:r>
            <w:r>
              <w:rPr>
                <w:rFonts w:hint="eastAsia"/>
                <w:bCs/>
                <w:color w:val="auto"/>
                <w:szCs w:val="21"/>
                <w:lang w:val="en-US" w:eastAsia="zh-CN"/>
              </w:rPr>
              <w:t>出线</w:t>
            </w:r>
            <w:r>
              <w:rPr>
                <w:rFonts w:hint="eastAsia"/>
                <w:color w:val="auto"/>
                <w:szCs w:val="21"/>
              </w:rPr>
              <w:t>间隔</w:t>
            </w:r>
            <w:r>
              <w:rPr>
                <w:rFonts w:hint="eastAsia"/>
                <w:bCs/>
                <w:color w:val="auto"/>
                <w:szCs w:val="21"/>
                <w:lang w:eastAsia="zh-CN"/>
              </w:rPr>
              <w:t>，</w:t>
            </w:r>
            <w:r>
              <w:rPr>
                <w:rFonts w:hint="eastAsia"/>
                <w:bCs/>
                <w:color w:val="auto"/>
                <w:szCs w:val="21"/>
              </w:rPr>
              <w:t>止于</w:t>
            </w:r>
            <w:r>
              <w:rPr>
                <w:rFonts w:hint="eastAsia"/>
                <w:bCs/>
                <w:color w:val="auto"/>
                <w:szCs w:val="21"/>
                <w:lang w:val="en-US" w:eastAsia="zh-CN"/>
              </w:rPr>
              <w:t>拟建司城11</w:t>
            </w:r>
            <w:r>
              <w:rPr>
                <w:rFonts w:hint="eastAsia"/>
                <w:bCs/>
                <w:color w:val="auto"/>
                <w:szCs w:val="21"/>
              </w:rPr>
              <w:t>0kV变电站</w:t>
            </w:r>
            <w:r>
              <w:rPr>
                <w:rFonts w:hint="eastAsia"/>
                <w:bCs/>
                <w:color w:val="auto"/>
                <w:szCs w:val="21"/>
                <w:lang w:val="en-US" w:eastAsia="zh-CN"/>
              </w:rPr>
              <w:t>11</w:t>
            </w:r>
            <w:r>
              <w:rPr>
                <w:rFonts w:hint="eastAsia"/>
                <w:bCs/>
                <w:color w:val="auto"/>
                <w:szCs w:val="21"/>
              </w:rPr>
              <w:t>0kV侧进线构架</w:t>
            </w:r>
            <w:r>
              <w:rPr>
                <w:rFonts w:hint="eastAsia"/>
                <w:bCs/>
                <w:color w:val="auto"/>
                <w:szCs w:val="21"/>
                <w:lang w:eastAsia="zh-CN"/>
              </w:rPr>
              <w:t>。</w:t>
            </w:r>
            <w:r>
              <w:rPr>
                <w:rFonts w:hint="eastAsia"/>
                <w:bCs/>
                <w:color w:val="auto"/>
                <w:szCs w:val="21"/>
                <w:lang w:val="en-US" w:eastAsia="zh-CN"/>
              </w:rPr>
              <w:t>全线位于巴中市恩阳区和巴州区境内。</w:t>
            </w:r>
          </w:p>
          <w:p w14:paraId="4C245009">
            <w:pPr>
              <w:spacing w:line="360" w:lineRule="auto"/>
              <w:ind w:firstLine="420" w:firstLineChars="200"/>
              <w:rPr>
                <w:rFonts w:hint="eastAsia"/>
                <w:color w:val="auto"/>
                <w:szCs w:val="21"/>
                <w:u w:val="none"/>
                <w:lang w:val="en-US" w:eastAsia="zh-CN"/>
              </w:rPr>
            </w:pPr>
            <w:r>
              <w:rPr>
                <w:rFonts w:hint="eastAsia"/>
                <w:color w:val="auto"/>
                <w:szCs w:val="21"/>
                <w:lang w:val="en-US" w:eastAsia="zh-CN"/>
              </w:rPr>
              <w:t>5、</w:t>
            </w:r>
            <w:r>
              <w:rPr>
                <w:rFonts w:hint="eastAsia" w:cs="Times New Roman"/>
                <w:color w:val="auto"/>
                <w:szCs w:val="21"/>
                <w:u w:val="none"/>
                <w:lang w:val="en-US" w:eastAsia="zh-CN"/>
              </w:rPr>
              <w:t>印合</w:t>
            </w:r>
            <w:r>
              <w:rPr>
                <w:rFonts w:hint="default" w:ascii="Times New Roman" w:hAnsi="Times New Roman" w:eastAsia="宋体" w:cs="Times New Roman"/>
                <w:b w:val="0"/>
                <w:bCs/>
                <w:color w:val="auto"/>
                <w:szCs w:val="21"/>
                <w:u w:val="none"/>
                <w:lang w:eastAsia="zh-CN"/>
              </w:rPr>
              <w:t>～</w:t>
            </w:r>
            <w:r>
              <w:rPr>
                <w:rFonts w:hint="eastAsia" w:cs="Times New Roman"/>
                <w:color w:val="auto"/>
                <w:szCs w:val="21"/>
                <w:u w:val="none"/>
                <w:lang w:val="en-US" w:eastAsia="zh-CN"/>
              </w:rPr>
              <w:t>司城</w:t>
            </w:r>
            <w:r>
              <w:rPr>
                <w:rFonts w:hint="default" w:ascii="Times New Roman" w:hAnsi="Times New Roman" w:eastAsia="宋体" w:cs="Times New Roman"/>
                <w:color w:val="auto"/>
                <w:szCs w:val="21"/>
                <w:u w:val="none"/>
                <w:lang w:val="en-US" w:eastAsia="zh-CN"/>
              </w:rPr>
              <w:t>110</w:t>
            </w:r>
            <w:r>
              <w:rPr>
                <w:rFonts w:hint="eastAsia" w:cs="Times New Roman"/>
                <w:color w:val="auto"/>
                <w:szCs w:val="21"/>
                <w:lang w:val="en-US" w:eastAsia="zh-CN"/>
              </w:rPr>
              <w:t>kV</w:t>
            </w:r>
            <w:r>
              <w:rPr>
                <w:rFonts w:hint="default" w:ascii="Times New Roman" w:hAnsi="Times New Roman" w:eastAsia="宋体" w:cs="Times New Roman"/>
                <w:color w:val="auto"/>
                <w:szCs w:val="21"/>
                <w:u w:val="none"/>
              </w:rPr>
              <w:t>线路工程：</w:t>
            </w:r>
            <w:r>
              <w:rPr>
                <w:rFonts w:hint="eastAsia"/>
                <w:color w:val="auto"/>
                <w:szCs w:val="21"/>
                <w:u w:val="none"/>
                <w:lang w:val="en-US" w:eastAsia="zh-CN"/>
              </w:rPr>
              <w:t>起于</w:t>
            </w:r>
            <w:r>
              <w:rPr>
                <w:rFonts w:hint="eastAsia"/>
                <w:color w:val="auto"/>
                <w:szCs w:val="21"/>
                <w:lang w:val="en-US" w:eastAsia="zh-CN"/>
              </w:rPr>
              <w:t>印合110kV</w:t>
            </w:r>
            <w:r>
              <w:rPr>
                <w:rFonts w:hint="eastAsia"/>
                <w:color w:val="auto"/>
                <w:szCs w:val="21"/>
                <w:u w:val="none"/>
                <w:lang w:val="en-US" w:eastAsia="zh-CN"/>
              </w:rPr>
              <w:t>变电站拟建</w:t>
            </w:r>
            <w:r>
              <w:rPr>
                <w:rFonts w:hint="eastAsia"/>
                <w:bCs/>
                <w:color w:val="auto"/>
                <w:szCs w:val="21"/>
                <w:lang w:val="en-US" w:eastAsia="zh-CN"/>
              </w:rPr>
              <w:t>11</w:t>
            </w:r>
            <w:r>
              <w:rPr>
                <w:rFonts w:hint="eastAsia"/>
                <w:bCs/>
                <w:color w:val="auto"/>
                <w:szCs w:val="21"/>
              </w:rPr>
              <w:t>0kV</w:t>
            </w:r>
            <w:r>
              <w:rPr>
                <w:rFonts w:hint="eastAsia"/>
                <w:bCs/>
                <w:color w:val="auto"/>
                <w:szCs w:val="21"/>
                <w:lang w:val="en-US" w:eastAsia="zh-CN"/>
              </w:rPr>
              <w:t>出线</w:t>
            </w:r>
            <w:r>
              <w:rPr>
                <w:rFonts w:hint="eastAsia"/>
                <w:color w:val="auto"/>
                <w:szCs w:val="21"/>
              </w:rPr>
              <w:t>间隔</w:t>
            </w:r>
            <w:r>
              <w:rPr>
                <w:rFonts w:hint="eastAsia"/>
                <w:bCs/>
                <w:color w:val="auto"/>
                <w:szCs w:val="21"/>
                <w:lang w:eastAsia="zh-CN"/>
              </w:rPr>
              <w:t>，</w:t>
            </w:r>
            <w:r>
              <w:rPr>
                <w:rFonts w:hint="eastAsia"/>
                <w:bCs/>
                <w:color w:val="auto"/>
                <w:szCs w:val="21"/>
              </w:rPr>
              <w:t>止于</w:t>
            </w:r>
            <w:r>
              <w:rPr>
                <w:rFonts w:hint="eastAsia"/>
                <w:bCs/>
                <w:color w:val="auto"/>
                <w:szCs w:val="21"/>
                <w:lang w:val="en-US" w:eastAsia="zh-CN"/>
              </w:rPr>
              <w:t>拟建司城11</w:t>
            </w:r>
            <w:r>
              <w:rPr>
                <w:rFonts w:hint="eastAsia"/>
                <w:bCs/>
                <w:color w:val="auto"/>
                <w:szCs w:val="21"/>
              </w:rPr>
              <w:t>0kV变电站</w:t>
            </w:r>
            <w:r>
              <w:rPr>
                <w:rFonts w:hint="eastAsia"/>
                <w:bCs/>
                <w:color w:val="auto"/>
                <w:szCs w:val="21"/>
                <w:lang w:val="en-US" w:eastAsia="zh-CN"/>
              </w:rPr>
              <w:t>11</w:t>
            </w:r>
            <w:r>
              <w:rPr>
                <w:rFonts w:hint="eastAsia"/>
                <w:bCs/>
                <w:color w:val="auto"/>
                <w:szCs w:val="21"/>
              </w:rPr>
              <w:t>0kV侧进线构架</w:t>
            </w:r>
            <w:r>
              <w:rPr>
                <w:rFonts w:hint="eastAsia"/>
                <w:bCs/>
                <w:color w:val="auto"/>
                <w:szCs w:val="21"/>
                <w:lang w:eastAsia="zh-CN"/>
              </w:rPr>
              <w:t>。</w:t>
            </w:r>
            <w:r>
              <w:rPr>
                <w:rFonts w:hint="eastAsia"/>
                <w:bCs/>
                <w:color w:val="auto"/>
                <w:szCs w:val="21"/>
                <w:lang w:val="en-US" w:eastAsia="zh-CN"/>
              </w:rPr>
              <w:t>全线</w:t>
            </w:r>
            <w:r>
              <w:rPr>
                <w:rFonts w:hint="eastAsia"/>
                <w:color w:val="auto"/>
                <w:szCs w:val="21"/>
              </w:rPr>
              <w:t>位于</w:t>
            </w:r>
            <w:r>
              <w:rPr>
                <w:rFonts w:hint="eastAsia"/>
                <w:color w:val="auto"/>
                <w:u w:val="none"/>
                <w:lang w:val="en-US" w:eastAsia="zh-CN"/>
              </w:rPr>
              <w:t>巴中市巴州区、恩阳区和南江县境内</w:t>
            </w:r>
            <w:r>
              <w:rPr>
                <w:rFonts w:hint="eastAsia"/>
                <w:color w:val="auto"/>
                <w:szCs w:val="21"/>
                <w:u w:val="none"/>
              </w:rPr>
              <w:t>。</w:t>
            </w:r>
          </w:p>
          <w:p w14:paraId="311E918D">
            <w:pPr>
              <w:spacing w:line="360" w:lineRule="auto"/>
              <w:ind w:firstLine="420" w:firstLineChars="200"/>
              <w:rPr>
                <w:color w:val="FF0000"/>
                <w:szCs w:val="21"/>
              </w:rPr>
            </w:pPr>
            <w:r>
              <w:rPr>
                <w:color w:val="auto"/>
                <w:szCs w:val="21"/>
              </w:rPr>
              <w:t>本项目地理</w:t>
            </w:r>
            <w:r>
              <w:rPr>
                <w:color w:val="auto"/>
                <w:szCs w:val="21"/>
                <w:highlight w:val="none"/>
              </w:rPr>
              <w:t>位置见附图1。</w:t>
            </w:r>
          </w:p>
        </w:tc>
      </w:tr>
      <w:tr w14:paraId="20C78B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703" w:type="dxa"/>
            <w:vAlign w:val="center"/>
          </w:tcPr>
          <w:p w14:paraId="45D5C6AA">
            <w:pPr>
              <w:jc w:val="center"/>
              <w:rPr>
                <w:color w:val="FF0000"/>
                <w:szCs w:val="21"/>
              </w:rPr>
            </w:pPr>
            <w:r>
              <w:rPr>
                <w:color w:val="auto"/>
                <w:szCs w:val="21"/>
              </w:rPr>
              <w:t>项目组成及规模</w:t>
            </w:r>
          </w:p>
        </w:tc>
        <w:tc>
          <w:tcPr>
            <w:tcW w:w="8761" w:type="dxa"/>
            <w:gridSpan w:val="2"/>
            <w:vAlign w:val="center"/>
          </w:tcPr>
          <w:p w14:paraId="43092BF5">
            <w:pPr>
              <w:tabs>
                <w:tab w:val="left" w:pos="3240"/>
              </w:tabs>
              <w:adjustRightInd w:val="0"/>
              <w:spacing w:line="360" w:lineRule="auto"/>
              <w:rPr>
                <w:rFonts w:hint="default" w:eastAsia="黑体"/>
                <w:color w:val="auto"/>
                <w:szCs w:val="21"/>
                <w:lang w:val="en-US" w:eastAsia="zh-CN"/>
              </w:rPr>
            </w:pPr>
            <w:r>
              <w:rPr>
                <w:rFonts w:hint="eastAsia" w:eastAsia="黑体"/>
                <w:color w:val="auto"/>
                <w:szCs w:val="21"/>
                <w:lang w:val="en-US" w:eastAsia="zh-CN"/>
              </w:rPr>
              <w:t>一</w:t>
            </w:r>
            <w:r>
              <w:rPr>
                <w:rFonts w:eastAsia="黑体"/>
                <w:color w:val="auto"/>
                <w:szCs w:val="21"/>
              </w:rPr>
              <w:t>、</w:t>
            </w:r>
            <w:r>
              <w:rPr>
                <w:rFonts w:hint="eastAsia" w:eastAsia="黑体"/>
                <w:color w:val="auto"/>
                <w:szCs w:val="21"/>
                <w:lang w:val="en-US" w:eastAsia="zh-CN"/>
              </w:rPr>
              <w:t>项目由来</w:t>
            </w:r>
          </w:p>
          <w:p w14:paraId="5D539AF2">
            <w:pPr>
              <w:widowControl/>
              <w:spacing w:line="360" w:lineRule="auto"/>
              <w:ind w:firstLine="420" w:firstLineChars="200"/>
              <w:rPr>
                <w:rFonts w:hint="default"/>
                <w:color w:val="FF0000"/>
                <w:kern w:val="0"/>
                <w:szCs w:val="21"/>
                <w:lang w:val="en-US" w:eastAsia="zh-CN"/>
              </w:rPr>
            </w:pPr>
            <w:r>
              <w:rPr>
                <w:rFonts w:hint="default"/>
                <w:color w:val="auto"/>
                <w:kern w:val="0"/>
                <w:szCs w:val="21"/>
                <w:lang w:val="en-US" w:eastAsia="zh-CN"/>
              </w:rPr>
              <w:t>恩阳片区包括恩阳城区及周边的雪山镇、渔溪镇等区域，目前由恩阳110kV变电站（50+40MVA）供电，最大供电能力72MW。2023年恩阳站最大负荷为72.49MW，负载率80.54%，已发生重载运行，恩阳片区近5年最大负荷年均增长率为3.3%。</w:t>
            </w:r>
          </w:p>
          <w:p w14:paraId="535221D9">
            <w:pPr>
              <w:widowControl/>
              <w:spacing w:line="360" w:lineRule="auto"/>
              <w:ind w:firstLine="420" w:firstLineChars="200"/>
              <w:rPr>
                <w:color w:val="auto"/>
                <w:kern w:val="0"/>
                <w:szCs w:val="21"/>
              </w:rPr>
            </w:pPr>
            <w:r>
              <w:rPr>
                <w:rFonts w:hint="default"/>
                <w:color w:val="auto"/>
                <w:kern w:val="0"/>
                <w:szCs w:val="21"/>
                <w:lang w:val="en-US" w:eastAsia="zh-CN"/>
              </w:rPr>
              <w:t>根据恩阳片区规划建设情况，随着博瑞观澜府二期、川旅世纪外滩、临港产业园、恩阳古镇新场街片区旅游基础设施等用户项目相继建成，预计恩阳片区未来7年最大负荷年均增长率将保持在8.95%左右，2027年、2030年最大负荷分别为107.2MW、132.13MW，现有110kV变电站难以满足负荷发展的需要，2027年、2030年供电负荷受限分别为35.2MW、60.13MW。因此，为满足片区负荷增长需求，提升供电可靠性，结合巴中电网发展规划，建设巴中</w:t>
            </w:r>
            <w:r>
              <w:rPr>
                <w:rFonts w:hint="eastAsia"/>
                <w:color w:val="auto"/>
                <w:kern w:val="0"/>
                <w:szCs w:val="21"/>
                <w:lang w:val="en-US" w:eastAsia="zh-CN"/>
              </w:rPr>
              <w:t>恩阳司城</w:t>
            </w:r>
            <w:r>
              <w:rPr>
                <w:rFonts w:hint="default"/>
                <w:color w:val="auto"/>
                <w:kern w:val="0"/>
                <w:szCs w:val="21"/>
                <w:lang w:val="en-US" w:eastAsia="zh-CN"/>
              </w:rPr>
              <w:t>110</w:t>
            </w:r>
            <w:r>
              <w:rPr>
                <w:rFonts w:hint="eastAsia"/>
                <w:color w:val="auto"/>
                <w:kern w:val="0"/>
                <w:szCs w:val="21"/>
                <w:lang w:val="en-US" w:eastAsia="zh-CN"/>
              </w:rPr>
              <w:t>千伏</w:t>
            </w:r>
            <w:r>
              <w:rPr>
                <w:rFonts w:hint="default"/>
                <w:color w:val="auto"/>
                <w:kern w:val="0"/>
                <w:szCs w:val="21"/>
                <w:lang w:val="en-US" w:eastAsia="zh-CN"/>
              </w:rPr>
              <w:t>输变电工程是必要的。</w:t>
            </w:r>
          </w:p>
          <w:p w14:paraId="3BB382CC">
            <w:pPr>
              <w:tabs>
                <w:tab w:val="left" w:pos="3240"/>
              </w:tabs>
              <w:spacing w:line="360" w:lineRule="auto"/>
              <w:ind w:firstLine="420" w:firstLineChars="200"/>
              <w:rPr>
                <w:rFonts w:hint="eastAsia"/>
                <w:color w:val="FF0000"/>
                <w:szCs w:val="22"/>
                <w:lang w:eastAsia="zh-CN"/>
              </w:rPr>
            </w:pPr>
            <w:r>
              <w:rPr>
                <w:rFonts w:hint="eastAsia"/>
                <w:color w:val="auto"/>
                <w:szCs w:val="22"/>
              </w:rPr>
              <w:t>根据《中华人民共和国环境保护法》、《中华人民共和国环境影响评价法》及《建设项目环境保护管理条例》相关内容，为了加强建设项目的环境保护管理，严格控制新的污染，保护和改善环境，项目建设前应该开展环境影响评价工作。根据《建设项目环境影响评价分类管理名录》（2021年版）</w:t>
            </w:r>
            <w:r>
              <w:rPr>
                <w:rFonts w:hint="eastAsia"/>
                <w:color w:val="auto"/>
                <w:szCs w:val="22"/>
                <w:lang w:eastAsia="zh-CN"/>
              </w:rPr>
              <w:t>，</w:t>
            </w:r>
            <w:r>
              <w:rPr>
                <w:rFonts w:hint="eastAsia"/>
                <w:color w:val="auto"/>
                <w:szCs w:val="22"/>
                <w:lang w:val="en-US" w:eastAsia="zh-CN"/>
              </w:rPr>
              <w:t>本项目</w:t>
            </w:r>
            <w:r>
              <w:rPr>
                <w:rFonts w:hint="eastAsia" w:ascii="Times New Roman" w:hAnsi="Times New Roman" w:eastAsia="宋体" w:cs="Times New Roman"/>
                <w:color w:val="auto"/>
                <w:szCs w:val="21"/>
                <w:highlight w:val="none"/>
                <w:lang w:val="en-US" w:eastAsia="zh-CN"/>
              </w:rPr>
              <w:t>属于第“五十五 核与辐射”中“161 输变电工程—其他（100</w:t>
            </w:r>
            <w:r>
              <w:rPr>
                <w:rFonts w:hint="eastAsia" w:cs="Times New Roman"/>
                <w:color w:val="auto"/>
                <w:szCs w:val="21"/>
                <w:highlight w:val="none"/>
                <w:lang w:val="en-US" w:eastAsia="zh-CN"/>
              </w:rPr>
              <w:t>kV</w:t>
            </w:r>
            <w:r>
              <w:rPr>
                <w:rFonts w:hint="eastAsia" w:ascii="Times New Roman" w:hAnsi="Times New Roman" w:eastAsia="宋体" w:cs="Times New Roman"/>
                <w:color w:val="auto"/>
                <w:szCs w:val="21"/>
                <w:highlight w:val="none"/>
                <w:lang w:val="en-US" w:eastAsia="zh-CN"/>
              </w:rPr>
              <w:t>以下除外）”类建设项目，应编制环境影响报告表。又根据四川省生态环境厅</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关于</w:t>
            </w:r>
            <w:r>
              <w:rPr>
                <w:rFonts w:hint="eastAsia" w:cs="Times New Roman"/>
                <w:color w:val="auto"/>
                <w:szCs w:val="21"/>
                <w:highlight w:val="none"/>
                <w:lang w:val="en-US" w:eastAsia="zh-CN"/>
              </w:rPr>
              <w:t>印发＜四川省生态环境厅审批环境影响评价文件的建设项目目录（2025年本）＞</w:t>
            </w:r>
            <w:r>
              <w:rPr>
                <w:rFonts w:hint="eastAsia" w:ascii="Times New Roman" w:hAnsi="Times New Roman" w:eastAsia="宋体" w:cs="Times New Roman"/>
                <w:color w:val="auto"/>
                <w:szCs w:val="21"/>
                <w:highlight w:val="none"/>
                <w:lang w:val="en-US" w:eastAsia="zh-CN"/>
              </w:rPr>
              <w:t>的</w:t>
            </w:r>
            <w:r>
              <w:rPr>
                <w:rFonts w:hint="eastAsia" w:cs="Times New Roman"/>
                <w:color w:val="auto"/>
                <w:szCs w:val="21"/>
                <w:highlight w:val="none"/>
                <w:lang w:val="en-US" w:eastAsia="zh-CN"/>
              </w:rPr>
              <w:t>通知》</w:t>
            </w:r>
            <w:r>
              <w:rPr>
                <w:rFonts w:hint="eastAsia" w:ascii="Times New Roman" w:hAnsi="Times New Roman" w:eastAsia="宋体" w:cs="Times New Roman"/>
                <w:color w:val="auto"/>
                <w:szCs w:val="21"/>
                <w:highlight w:val="none"/>
                <w:lang w:val="en-US" w:eastAsia="zh-CN"/>
              </w:rPr>
              <w:t>（</w:t>
            </w:r>
            <w:r>
              <w:rPr>
                <w:rFonts w:hint="eastAsia" w:cs="Times New Roman"/>
                <w:color w:val="auto"/>
                <w:szCs w:val="21"/>
                <w:highlight w:val="none"/>
                <w:lang w:val="en-US" w:eastAsia="zh-CN"/>
              </w:rPr>
              <w:t>川环规〔2025〕1号</w:t>
            </w:r>
            <w:r>
              <w:rPr>
                <w:rFonts w:hint="eastAsia" w:ascii="Times New Roman" w:hAnsi="Times New Roman" w:eastAsia="宋体" w:cs="Times New Roman"/>
                <w:color w:val="auto"/>
                <w:szCs w:val="21"/>
                <w:highlight w:val="none"/>
                <w:lang w:val="en-US" w:eastAsia="zh-CN"/>
              </w:rPr>
              <w:t>），本项目为110kV输变电工程，属于下放审批权限的内容，应报</w:t>
            </w:r>
            <w:r>
              <w:rPr>
                <w:rFonts w:hint="eastAsia" w:cs="Times New Roman"/>
                <w:color w:val="auto"/>
                <w:szCs w:val="21"/>
                <w:highlight w:val="none"/>
                <w:lang w:val="en-US" w:eastAsia="zh-CN"/>
              </w:rPr>
              <w:t>巴中市</w:t>
            </w:r>
            <w:r>
              <w:rPr>
                <w:rFonts w:hint="eastAsia" w:ascii="Times New Roman" w:hAnsi="Times New Roman" w:eastAsia="宋体" w:cs="Times New Roman"/>
                <w:color w:val="auto"/>
                <w:szCs w:val="21"/>
                <w:highlight w:val="none"/>
                <w:lang w:val="en-US" w:eastAsia="zh-CN"/>
              </w:rPr>
              <w:t>生态环境局审批。</w:t>
            </w:r>
            <w:r>
              <w:rPr>
                <w:rFonts w:hint="eastAsia" w:cs="Times New Roman"/>
                <w:color w:val="auto"/>
                <w:szCs w:val="21"/>
                <w:highlight w:val="none"/>
                <w:lang w:val="en-US" w:eastAsia="zh-CN"/>
              </w:rPr>
              <w:t>国网四川省电力公司巴中供电公司</w:t>
            </w:r>
            <w:r>
              <w:rPr>
                <w:rFonts w:hint="eastAsia" w:ascii="Times New Roman" w:hAnsi="Times New Roman" w:eastAsia="宋体" w:cs="Times New Roman"/>
                <w:color w:val="auto"/>
                <w:szCs w:val="21"/>
                <w:highlight w:val="none"/>
                <w:lang w:val="en-US" w:eastAsia="zh-CN"/>
              </w:rPr>
              <w:t>委托</w:t>
            </w:r>
            <w:r>
              <w:rPr>
                <w:rFonts w:hint="eastAsia" w:cs="Times New Roman"/>
                <w:color w:val="auto"/>
                <w:szCs w:val="21"/>
                <w:highlight w:val="none"/>
                <w:lang w:val="en-US" w:eastAsia="zh-CN"/>
              </w:rPr>
              <w:t>我单位</w:t>
            </w:r>
            <w:r>
              <w:rPr>
                <w:rFonts w:hint="eastAsia" w:ascii="Times New Roman" w:hAnsi="Times New Roman" w:eastAsia="宋体" w:cs="Times New Roman"/>
                <w:color w:val="auto"/>
                <w:szCs w:val="21"/>
                <w:highlight w:val="none"/>
                <w:lang w:val="en-US" w:eastAsia="zh-CN"/>
              </w:rPr>
              <w:t>对</w:t>
            </w:r>
            <w:r>
              <w:rPr>
                <w:rFonts w:hint="eastAsia" w:cs="Times New Roman"/>
                <w:color w:val="auto"/>
                <w:szCs w:val="21"/>
                <w:highlight w:val="none"/>
                <w:lang w:val="en-US" w:eastAsia="zh-CN"/>
              </w:rPr>
              <w:t>本项目</w:t>
            </w:r>
            <w:r>
              <w:rPr>
                <w:rFonts w:hint="eastAsia" w:ascii="Times New Roman" w:hAnsi="Times New Roman" w:eastAsia="宋体" w:cs="Times New Roman"/>
                <w:color w:val="auto"/>
                <w:szCs w:val="21"/>
                <w:highlight w:val="none"/>
                <w:lang w:val="en-US" w:eastAsia="zh-CN"/>
              </w:rPr>
              <w:t>进行环境影响评价工作。</w:t>
            </w:r>
            <w:r>
              <w:rPr>
                <w:rFonts w:hint="eastAsia"/>
                <w:color w:val="auto"/>
                <w:szCs w:val="22"/>
              </w:rPr>
              <w:t>我</w:t>
            </w:r>
            <w:r>
              <w:rPr>
                <w:rFonts w:hint="eastAsia"/>
                <w:color w:val="auto"/>
                <w:szCs w:val="22"/>
                <w:lang w:val="en-US" w:eastAsia="zh-CN"/>
              </w:rPr>
              <w:t>单位</w:t>
            </w:r>
            <w:r>
              <w:rPr>
                <w:rFonts w:hint="eastAsia"/>
                <w:color w:val="auto"/>
                <w:szCs w:val="22"/>
              </w:rPr>
              <w:t>接受委托后，立即组织技术力量、安排人员，进行了资料收集、分析和现场踏勘，在掌握了充分的资料数据基础上，对有关环境现状和可能产生的环境影响进行分析后，编制了</w:t>
            </w:r>
            <w:r>
              <w:rPr>
                <w:rFonts w:hint="eastAsia"/>
                <w:color w:val="auto"/>
                <w:szCs w:val="22"/>
                <w:lang w:eastAsia="zh-CN"/>
              </w:rPr>
              <w:t>本项目</w:t>
            </w:r>
            <w:r>
              <w:rPr>
                <w:rFonts w:hint="eastAsia"/>
                <w:color w:val="auto"/>
                <w:szCs w:val="22"/>
              </w:rPr>
              <w:t>环境影响报告表</w:t>
            </w:r>
            <w:r>
              <w:rPr>
                <w:rFonts w:hint="eastAsia"/>
                <w:color w:val="auto"/>
                <w:szCs w:val="22"/>
                <w:lang w:eastAsia="zh-CN"/>
              </w:rPr>
              <w:t>。</w:t>
            </w:r>
          </w:p>
          <w:p w14:paraId="139DA334">
            <w:pPr>
              <w:tabs>
                <w:tab w:val="left" w:pos="3240"/>
              </w:tabs>
              <w:spacing w:line="360" w:lineRule="auto"/>
              <w:ind w:firstLine="420" w:firstLineChars="200"/>
              <w:rPr>
                <w:rFonts w:hint="eastAsia"/>
                <w:color w:val="FF0000"/>
                <w:szCs w:val="22"/>
                <w:lang w:eastAsia="zh-CN"/>
              </w:rPr>
            </w:pPr>
            <w:r>
              <w:rPr>
                <w:rFonts w:hint="eastAsia"/>
                <w:bCs/>
                <w:color w:val="auto"/>
                <w:szCs w:val="21"/>
                <w:lang w:val="en-US" w:eastAsia="zh-CN"/>
              </w:rPr>
              <w:t>2025</w:t>
            </w:r>
            <w:r>
              <w:rPr>
                <w:rFonts w:hint="eastAsia"/>
                <w:bCs/>
                <w:color w:val="auto"/>
                <w:szCs w:val="21"/>
              </w:rPr>
              <w:t>年</w:t>
            </w:r>
            <w:r>
              <w:rPr>
                <w:rFonts w:hint="eastAsia"/>
                <w:bCs/>
                <w:color w:val="auto"/>
                <w:szCs w:val="21"/>
                <w:lang w:val="en-US" w:eastAsia="zh-CN"/>
              </w:rPr>
              <w:t>9</w:t>
            </w:r>
            <w:r>
              <w:rPr>
                <w:rFonts w:hint="eastAsia"/>
                <w:bCs/>
                <w:color w:val="auto"/>
                <w:szCs w:val="21"/>
              </w:rPr>
              <w:t>月</w:t>
            </w:r>
            <w:r>
              <w:rPr>
                <w:rFonts w:hint="eastAsia"/>
                <w:bCs/>
                <w:color w:val="auto"/>
              </w:rPr>
              <w:t>，</w:t>
            </w:r>
            <w:r>
              <w:rPr>
                <w:rFonts w:hint="default" w:ascii="Times New Roman" w:hAnsi="Times New Roman" w:cs="Times New Roman"/>
                <w:color w:val="auto"/>
                <w:szCs w:val="21"/>
              </w:rPr>
              <w:t>巴中市发展和改革委员会《关于巴中恩阳司城110千伏输变电工程项目核准的批复》（巴发改审〔2025〕37号）</w:t>
            </w:r>
            <w:r>
              <w:rPr>
                <w:rFonts w:hint="eastAsia"/>
                <w:color w:val="auto"/>
                <w:szCs w:val="21"/>
              </w:rPr>
              <w:t>对本项目进行了核准。</w:t>
            </w:r>
            <w:r>
              <w:rPr>
                <w:rFonts w:hint="eastAsia"/>
                <w:bCs/>
                <w:color w:val="auto"/>
                <w:szCs w:val="21"/>
                <w:lang w:val="en-US" w:eastAsia="zh-CN"/>
              </w:rPr>
              <w:t>2026</w:t>
            </w:r>
            <w:r>
              <w:rPr>
                <w:rFonts w:hint="eastAsia"/>
                <w:bCs/>
                <w:color w:val="auto"/>
                <w:szCs w:val="21"/>
              </w:rPr>
              <w:t>年</w:t>
            </w:r>
            <w:r>
              <w:rPr>
                <w:rFonts w:hint="eastAsia"/>
                <w:bCs/>
                <w:color w:val="auto"/>
                <w:szCs w:val="21"/>
                <w:lang w:val="en-US" w:eastAsia="zh-CN"/>
              </w:rPr>
              <w:t>4</w:t>
            </w:r>
            <w:r>
              <w:rPr>
                <w:rFonts w:hint="eastAsia"/>
                <w:bCs/>
                <w:color w:val="auto"/>
                <w:szCs w:val="21"/>
              </w:rPr>
              <w:t>月，四川南充电力设计有限公司</w:t>
            </w:r>
            <w:r>
              <w:rPr>
                <w:rFonts w:hint="eastAsia"/>
                <w:bCs/>
                <w:color w:val="auto"/>
              </w:rPr>
              <w:t>完成了</w:t>
            </w:r>
            <w:r>
              <w:rPr>
                <w:bCs/>
                <w:color w:val="auto"/>
              </w:rPr>
              <w:t>《</w:t>
            </w:r>
            <w:r>
              <w:rPr>
                <w:rFonts w:hint="eastAsia"/>
                <w:bCs/>
                <w:color w:val="auto"/>
              </w:rPr>
              <w:t>巴中恩阳司城110</w:t>
            </w:r>
            <w:r>
              <w:rPr>
                <w:rFonts w:hint="eastAsia"/>
                <w:bCs/>
                <w:color w:val="auto"/>
                <w:lang w:val="en-US" w:eastAsia="zh-CN"/>
              </w:rPr>
              <w:t>千伏</w:t>
            </w:r>
            <w:r>
              <w:rPr>
                <w:rFonts w:hint="eastAsia"/>
                <w:bCs/>
                <w:color w:val="auto"/>
              </w:rPr>
              <w:t>输变电工程</w:t>
            </w:r>
            <w:r>
              <w:rPr>
                <w:rFonts w:hint="eastAsia"/>
                <w:bCs/>
                <w:color w:val="auto"/>
                <w:lang w:val="en-US" w:eastAsia="zh-CN"/>
              </w:rPr>
              <w:t>初步设计说明书</w:t>
            </w:r>
            <w:r>
              <w:rPr>
                <w:bCs/>
                <w:color w:val="auto"/>
              </w:rPr>
              <w:t>》</w:t>
            </w:r>
            <w:r>
              <w:rPr>
                <w:rFonts w:hint="eastAsia"/>
                <w:bCs/>
                <w:color w:val="auto"/>
              </w:rPr>
              <w:t>的编制。</w:t>
            </w:r>
            <w:r>
              <w:rPr>
                <w:rFonts w:hint="eastAsia"/>
                <w:bCs/>
                <w:color w:val="auto"/>
                <w:szCs w:val="21"/>
                <w:lang w:val="en-US" w:eastAsia="zh-CN"/>
              </w:rPr>
              <w:t>同月</w:t>
            </w:r>
            <w:r>
              <w:rPr>
                <w:rFonts w:hint="eastAsia"/>
                <w:bCs/>
                <w:color w:val="auto"/>
                <w:szCs w:val="21"/>
              </w:rPr>
              <w:t>，</w:t>
            </w:r>
            <w:r>
              <w:rPr>
                <w:rFonts w:hint="default" w:ascii="Times New Roman" w:hAnsi="Times New Roman" w:cs="Times New Roman"/>
                <w:color w:val="auto"/>
                <w:szCs w:val="21"/>
                <w:lang w:eastAsia="zh-CN"/>
              </w:rPr>
              <w:t>国网四川省电力公司《关于巴中恩阳司城110千伏输变电工程初步设计的批复》（川电</w:t>
            </w:r>
            <w:r>
              <w:rPr>
                <w:rFonts w:hint="eastAsia" w:ascii="Times New Roman" w:hAnsi="Times New Roman" w:cs="Times New Roman"/>
                <w:color w:val="auto"/>
                <w:szCs w:val="21"/>
                <w:lang w:val="en-US" w:eastAsia="zh-CN"/>
              </w:rPr>
              <w:t>建设</w:t>
            </w:r>
            <w:r>
              <w:rPr>
                <w:rFonts w:hint="default" w:ascii="Times New Roman" w:hAnsi="Times New Roman" w:cs="Times New Roman"/>
                <w:color w:val="auto"/>
                <w:szCs w:val="21"/>
                <w:lang w:eastAsia="zh-CN"/>
              </w:rPr>
              <w:t>〔202</w:t>
            </w:r>
            <w:r>
              <w:rPr>
                <w:rFonts w:hint="eastAsia" w:cs="Times New Roman"/>
                <w:color w:val="auto"/>
                <w:szCs w:val="21"/>
                <w:lang w:val="en-US" w:eastAsia="zh-CN"/>
              </w:rPr>
              <w:t>6</w:t>
            </w:r>
            <w:r>
              <w:rPr>
                <w:rFonts w:hint="default" w:ascii="Times New Roman" w:hAnsi="Times New Roman" w:cs="Times New Roman"/>
                <w:color w:val="auto"/>
                <w:szCs w:val="21"/>
                <w:lang w:eastAsia="zh-CN"/>
              </w:rPr>
              <w:t>〕</w:t>
            </w:r>
            <w:r>
              <w:rPr>
                <w:rFonts w:hint="eastAsia" w:cs="Times New Roman"/>
                <w:color w:val="auto"/>
                <w:szCs w:val="21"/>
                <w:lang w:val="en-US" w:eastAsia="zh-CN"/>
              </w:rPr>
              <w:t>74</w:t>
            </w:r>
            <w:r>
              <w:rPr>
                <w:rFonts w:hint="default" w:ascii="Times New Roman" w:hAnsi="Times New Roman" w:cs="Times New Roman"/>
                <w:color w:val="auto"/>
                <w:szCs w:val="21"/>
                <w:lang w:eastAsia="zh-CN"/>
              </w:rPr>
              <w:t>号）</w:t>
            </w:r>
            <w:r>
              <w:rPr>
                <w:rFonts w:hint="eastAsia"/>
                <w:bCs/>
                <w:color w:val="auto"/>
                <w:lang w:val="en-US" w:eastAsia="zh-CN"/>
              </w:rPr>
              <w:t>对本项目初设进行了批复。</w:t>
            </w:r>
          </w:p>
          <w:p w14:paraId="7B42D898">
            <w:pPr>
              <w:tabs>
                <w:tab w:val="left" w:pos="3240"/>
              </w:tabs>
              <w:spacing w:line="360" w:lineRule="auto"/>
              <w:rPr>
                <w:rFonts w:eastAsia="黑体"/>
                <w:color w:val="auto"/>
                <w:szCs w:val="21"/>
              </w:rPr>
            </w:pPr>
            <w:r>
              <w:rPr>
                <w:rFonts w:hint="eastAsia" w:eastAsia="黑体"/>
                <w:color w:val="auto"/>
                <w:szCs w:val="21"/>
                <w:lang w:val="en-US" w:eastAsia="zh-CN"/>
              </w:rPr>
              <w:t>二</w:t>
            </w:r>
            <w:r>
              <w:rPr>
                <w:rFonts w:eastAsia="黑体"/>
                <w:color w:val="auto"/>
                <w:szCs w:val="21"/>
              </w:rPr>
              <w:t>、主要建设内容</w:t>
            </w:r>
          </w:p>
          <w:p w14:paraId="4E025990">
            <w:pPr>
              <w:spacing w:line="360" w:lineRule="auto"/>
              <w:ind w:firstLine="420" w:firstLineChars="200"/>
              <w:rPr>
                <w:rFonts w:hint="default" w:ascii="Times New Roman" w:hAnsi="Times New Roman" w:eastAsia="黑体" w:cs="Times New Roman"/>
                <w:color w:val="FF0000"/>
                <w:szCs w:val="21"/>
              </w:rPr>
            </w:pPr>
            <w:bookmarkStart w:id="4" w:name="_Hlk66050975"/>
            <w:r>
              <w:rPr>
                <w:rFonts w:hint="default" w:ascii="Times New Roman" w:hAnsi="Times New Roman" w:cs="Times New Roman"/>
                <w:bCs/>
                <w:color w:val="auto"/>
              </w:rPr>
              <w:t>根据</w:t>
            </w:r>
            <w:r>
              <w:rPr>
                <w:rFonts w:hint="default" w:ascii="Times New Roman" w:hAnsi="Times New Roman" w:cs="Times New Roman"/>
                <w:bCs/>
                <w:color w:val="auto"/>
                <w:lang w:eastAsia="zh-CN"/>
              </w:rPr>
              <w:t>四川南充电力设计有限公司</w:t>
            </w:r>
            <w:r>
              <w:rPr>
                <w:rFonts w:hint="default" w:ascii="Times New Roman" w:hAnsi="Times New Roman" w:cs="Times New Roman"/>
                <w:bCs/>
                <w:color w:val="auto"/>
              </w:rPr>
              <w:t>编制</w:t>
            </w:r>
            <w:r>
              <w:rPr>
                <w:rFonts w:hint="default" w:ascii="Times New Roman" w:hAnsi="Times New Roman" w:cs="Times New Roman"/>
                <w:bCs/>
                <w:color w:val="auto"/>
                <w:lang w:val="en-US" w:eastAsia="zh-CN"/>
              </w:rPr>
              <w:t>的</w:t>
            </w:r>
            <w:r>
              <w:rPr>
                <w:rFonts w:hint="default" w:ascii="Times New Roman" w:hAnsi="Times New Roman" w:cs="Times New Roman"/>
                <w:bCs/>
                <w:color w:val="auto"/>
                <w:sz w:val="22"/>
                <w:szCs w:val="28"/>
                <w:lang w:val="en-US" w:eastAsia="zh-CN"/>
              </w:rPr>
              <w:t>《</w:t>
            </w:r>
            <w:r>
              <w:rPr>
                <w:rFonts w:hint="eastAsia"/>
                <w:bCs/>
                <w:color w:val="auto"/>
              </w:rPr>
              <w:t>巴中恩阳司城110</w:t>
            </w:r>
            <w:r>
              <w:rPr>
                <w:rFonts w:hint="eastAsia"/>
                <w:bCs/>
                <w:color w:val="auto"/>
                <w:lang w:val="en-US" w:eastAsia="zh-CN"/>
              </w:rPr>
              <w:t>千伏</w:t>
            </w:r>
            <w:r>
              <w:rPr>
                <w:rFonts w:hint="eastAsia"/>
                <w:bCs/>
                <w:color w:val="auto"/>
              </w:rPr>
              <w:t>输变电工程</w:t>
            </w:r>
            <w:r>
              <w:rPr>
                <w:rFonts w:hint="eastAsia"/>
                <w:bCs/>
                <w:color w:val="auto"/>
                <w:lang w:val="en-US" w:eastAsia="zh-CN"/>
              </w:rPr>
              <w:t>初步设计说明书</w:t>
            </w:r>
            <w:r>
              <w:rPr>
                <w:rFonts w:hint="default" w:ascii="Times New Roman" w:hAnsi="Times New Roman" w:cs="Times New Roman"/>
                <w:bCs/>
                <w:color w:val="auto"/>
                <w:lang w:eastAsia="zh-CN"/>
              </w:rPr>
              <w:t>》</w:t>
            </w:r>
            <w:r>
              <w:rPr>
                <w:rFonts w:hint="default" w:ascii="Times New Roman" w:hAnsi="Times New Roman" w:cs="Times New Roman"/>
                <w:color w:val="auto"/>
                <w:szCs w:val="21"/>
              </w:rPr>
              <w:t>可知，项目主要建设内容如下：</w:t>
            </w:r>
          </w:p>
          <w:p w14:paraId="58A7D8BC">
            <w:pPr>
              <w:spacing w:line="360" w:lineRule="auto"/>
              <w:ind w:firstLine="422" w:firstLineChars="200"/>
              <w:rPr>
                <w:rFonts w:hint="default" w:ascii="Times New Roman" w:hAnsi="Times New Roman" w:eastAsia="宋体" w:cs="Times New Roman"/>
                <w:b/>
                <w:bCs/>
                <w:color w:val="auto"/>
                <w:szCs w:val="21"/>
                <w:lang w:eastAsia="zh-CN"/>
              </w:rPr>
            </w:pPr>
            <w:r>
              <w:rPr>
                <w:rFonts w:hint="default" w:ascii="Times New Roman" w:hAnsi="Times New Roman" w:cs="Times New Roman"/>
                <w:b/>
                <w:color w:val="auto"/>
                <w:szCs w:val="21"/>
              </w:rPr>
              <w:t>1、</w:t>
            </w:r>
            <w:r>
              <w:rPr>
                <w:rFonts w:hint="eastAsia" w:cs="Times New Roman"/>
                <w:b/>
                <w:color w:val="auto"/>
                <w:szCs w:val="21"/>
                <w:lang w:val="en-US" w:eastAsia="zh-CN"/>
              </w:rPr>
              <w:t>司城</w:t>
            </w:r>
            <w:r>
              <w:rPr>
                <w:rFonts w:hint="default" w:ascii="Times New Roman" w:hAnsi="Times New Roman" w:cs="Times New Roman"/>
                <w:b/>
                <w:color w:val="auto"/>
                <w:szCs w:val="21"/>
              </w:rPr>
              <w:t>110</w:t>
            </w:r>
            <w:r>
              <w:rPr>
                <w:rFonts w:hint="default" w:ascii="Times New Roman" w:hAnsi="Times New Roman" w:cs="Times New Roman"/>
                <w:b/>
                <w:color w:val="auto"/>
                <w:szCs w:val="21"/>
                <w:lang w:val="en-US" w:eastAsia="zh-CN"/>
              </w:rPr>
              <w:t>kV</w:t>
            </w:r>
            <w:r>
              <w:rPr>
                <w:rFonts w:hint="default" w:ascii="Times New Roman" w:hAnsi="Times New Roman" w:cs="Times New Roman"/>
                <w:b/>
                <w:color w:val="auto"/>
                <w:szCs w:val="21"/>
              </w:rPr>
              <w:t>变电站新建工程</w:t>
            </w:r>
          </w:p>
          <w:p w14:paraId="51E1E783">
            <w:pPr>
              <w:tabs>
                <w:tab w:val="left" w:pos="3240"/>
              </w:tabs>
              <w:spacing w:line="360" w:lineRule="auto"/>
              <w:ind w:firstLine="420" w:firstLineChars="200"/>
              <w:rPr>
                <w:rFonts w:hint="default" w:ascii="Times New Roman" w:hAnsi="Times New Roman" w:eastAsia="宋体" w:cs="Times New Roman"/>
                <w:color w:val="auto"/>
                <w:kern w:val="0"/>
                <w:szCs w:val="21"/>
                <w:highlight w:val="yellow"/>
                <w:lang w:val="en-US" w:eastAsia="zh-CN"/>
              </w:rPr>
            </w:pPr>
            <w:r>
              <w:rPr>
                <w:rFonts w:hint="eastAsia" w:cs="Times New Roman"/>
                <w:color w:val="auto"/>
                <w:szCs w:val="21"/>
                <w:lang w:val="en-US" w:eastAsia="zh-CN"/>
              </w:rPr>
              <w:t>司城</w:t>
            </w:r>
            <w:r>
              <w:rPr>
                <w:rFonts w:hint="default" w:ascii="Times New Roman" w:hAnsi="Times New Roman" w:cs="Times New Roman"/>
                <w:color w:val="auto"/>
                <w:szCs w:val="21"/>
              </w:rPr>
              <w:t>110</w:t>
            </w:r>
            <w:r>
              <w:rPr>
                <w:rFonts w:hint="default" w:ascii="Times New Roman" w:hAnsi="Times New Roman" w:cs="Times New Roman"/>
                <w:color w:val="auto"/>
                <w:kern w:val="2"/>
                <w:sz w:val="21"/>
                <w:szCs w:val="21"/>
                <w:lang w:val="en-US" w:eastAsia="zh-CN" w:bidi="ar-SA"/>
              </w:rPr>
              <w:t>kV</w:t>
            </w:r>
            <w:r>
              <w:rPr>
                <w:rFonts w:hint="default" w:ascii="Times New Roman" w:hAnsi="Times New Roman" w:cs="Times New Roman"/>
                <w:color w:val="auto"/>
                <w:szCs w:val="21"/>
              </w:rPr>
              <w:t>变电站</w:t>
            </w:r>
            <w:r>
              <w:rPr>
                <w:rFonts w:hint="default" w:ascii="Times New Roman" w:hAnsi="Times New Roman" w:eastAsia="宋体" w:cs="Times New Roman"/>
                <w:color w:val="auto"/>
                <w:szCs w:val="21"/>
                <w:u w:val="none"/>
              </w:rPr>
              <w:t>位于</w:t>
            </w:r>
            <w:r>
              <w:rPr>
                <w:rFonts w:hint="eastAsia" w:cs="Times New Roman"/>
                <w:color w:val="auto"/>
                <w:szCs w:val="21"/>
                <w:u w:val="none"/>
                <w:lang w:val="en-US" w:eastAsia="zh-CN"/>
              </w:rPr>
              <w:t>巴中市恩阳区登科街道石马社区5组</w:t>
            </w:r>
            <w:r>
              <w:rPr>
                <w:rFonts w:hint="default" w:ascii="Times New Roman" w:hAnsi="Times New Roman" w:cs="Times New Roman"/>
                <w:color w:val="auto"/>
                <w:szCs w:val="21"/>
                <w:highlight w:val="none"/>
              </w:rPr>
              <w:t>，变电站</w:t>
            </w:r>
            <w:r>
              <w:rPr>
                <w:rFonts w:hint="default" w:ascii="Times New Roman" w:hAnsi="Times New Roman" w:cs="Times New Roman"/>
                <w:color w:val="auto"/>
                <w:szCs w:val="21"/>
                <w:highlight w:val="none"/>
                <w:lang w:val="en-US" w:eastAsia="zh-CN"/>
              </w:rPr>
              <w:t>永久</w:t>
            </w:r>
            <w:r>
              <w:rPr>
                <w:rFonts w:hint="default" w:ascii="Times New Roman" w:hAnsi="Times New Roman" w:cs="Times New Roman"/>
                <w:color w:val="auto"/>
                <w:szCs w:val="21"/>
                <w:highlight w:val="none"/>
              </w:rPr>
              <w:t>占地面积为</w:t>
            </w:r>
            <w:r>
              <w:rPr>
                <w:rFonts w:hint="eastAsia" w:cs="Times New Roman"/>
                <w:color w:val="auto"/>
                <w:szCs w:val="21"/>
                <w:highlight w:val="none"/>
                <w:lang w:val="en-US" w:eastAsia="zh-CN"/>
              </w:rPr>
              <w:t>8141</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，站区围墙内占地面积为</w:t>
            </w:r>
            <w:r>
              <w:rPr>
                <w:rFonts w:hint="eastAsia" w:cs="Times New Roman"/>
                <w:color w:val="auto"/>
                <w:szCs w:val="21"/>
                <w:highlight w:val="none"/>
                <w:lang w:val="en-US" w:eastAsia="zh-CN"/>
              </w:rPr>
              <w:t>4717</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，变电站为</w:t>
            </w:r>
            <w:r>
              <w:rPr>
                <w:rFonts w:hint="default" w:ascii="Times New Roman" w:hAnsi="Times New Roman" w:cs="Times New Roman"/>
                <w:color w:val="auto"/>
                <w:szCs w:val="21"/>
                <w:highlight w:val="none"/>
                <w:lang w:val="en-US" w:eastAsia="zh-CN"/>
              </w:rPr>
              <w:t>户外</w:t>
            </w:r>
            <w:r>
              <w:rPr>
                <w:rFonts w:hint="default" w:ascii="Times New Roman" w:hAnsi="Times New Roman" w:cs="Times New Roman"/>
                <w:color w:val="auto"/>
                <w:szCs w:val="21"/>
                <w:highlight w:val="none"/>
              </w:rPr>
              <w:t>布置，主变户外布置，110kV配电装置采用户外</w:t>
            </w:r>
            <w:r>
              <w:rPr>
                <w:rFonts w:hint="default" w:ascii="Times New Roman" w:hAnsi="Times New Roman" w:cs="Times New Roman"/>
                <w:color w:val="auto"/>
                <w:szCs w:val="21"/>
                <w:highlight w:val="none"/>
                <w:lang w:val="en-US" w:eastAsia="zh-CN"/>
              </w:rPr>
              <w:t>H</w:t>
            </w:r>
            <w:r>
              <w:rPr>
                <w:rFonts w:hint="default" w:ascii="Times New Roman" w:hAnsi="Times New Roman" w:cs="Times New Roman"/>
                <w:color w:val="auto"/>
                <w:szCs w:val="21"/>
                <w:highlight w:val="none"/>
              </w:rPr>
              <w:t>GIS布置，110kV出线采用架空出线，</w:t>
            </w:r>
            <w:r>
              <w:rPr>
                <w:rFonts w:hint="default" w:ascii="Times New Roman" w:hAnsi="Times New Roman" w:cs="Times New Roman"/>
                <w:color w:val="auto"/>
                <w:szCs w:val="21"/>
                <w:highlight w:val="none"/>
                <w:lang w:val="en-US" w:eastAsia="zh-CN"/>
              </w:rPr>
              <w:t>35kV和</w:t>
            </w:r>
            <w:r>
              <w:rPr>
                <w:rFonts w:hint="default" w:ascii="Times New Roman" w:hAnsi="Times New Roman" w:cs="Times New Roman"/>
                <w:color w:val="auto"/>
                <w:szCs w:val="21"/>
                <w:highlight w:val="none"/>
              </w:rPr>
              <w:t>10kV出线采用电缆出线，</w:t>
            </w:r>
            <w:r>
              <w:rPr>
                <w:rFonts w:hint="default" w:ascii="Times New Roman" w:hAnsi="Times New Roman" w:cs="Times New Roman"/>
                <w:bCs/>
                <w:color w:val="auto"/>
                <w:szCs w:val="21"/>
                <w:highlight w:val="none"/>
              </w:rPr>
              <w:t>建设规模为：①主变容量：本期</w:t>
            </w:r>
            <w:r>
              <w:rPr>
                <w:rFonts w:hint="default" w:ascii="Times New Roman" w:hAnsi="Times New Roman" w:cs="Times New Roman"/>
                <w:bCs/>
                <w:color w:val="auto"/>
                <w:szCs w:val="21"/>
                <w:highlight w:val="none"/>
                <w:lang w:val="en-US" w:eastAsia="zh-CN"/>
              </w:rPr>
              <w:t>2</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63</w:t>
            </w:r>
            <w:r>
              <w:rPr>
                <w:rFonts w:hint="default" w:ascii="Times New Roman" w:hAnsi="Times New Roman" w:cs="Times New Roman"/>
                <w:bCs/>
                <w:color w:val="auto"/>
                <w:szCs w:val="21"/>
                <w:highlight w:val="none"/>
              </w:rPr>
              <w:t>MVA，终期3×</w:t>
            </w:r>
            <w:r>
              <w:rPr>
                <w:rFonts w:hint="default" w:ascii="Times New Roman" w:hAnsi="Times New Roman" w:cs="Times New Roman"/>
                <w:bCs/>
                <w:color w:val="auto"/>
                <w:szCs w:val="21"/>
                <w:highlight w:val="none"/>
                <w:lang w:val="en-US" w:eastAsia="zh-CN"/>
              </w:rPr>
              <w:t>63</w:t>
            </w:r>
            <w:r>
              <w:rPr>
                <w:rFonts w:hint="default" w:ascii="Times New Roman" w:hAnsi="Times New Roman" w:cs="Times New Roman"/>
                <w:bCs/>
                <w:color w:val="auto"/>
                <w:szCs w:val="21"/>
                <w:highlight w:val="none"/>
              </w:rPr>
              <w:t>MVA；②110kV出线间隔：本期</w:t>
            </w:r>
            <w:r>
              <w:rPr>
                <w:rFonts w:hint="default" w:ascii="Times New Roman" w:hAnsi="Times New Roman" w:cs="Times New Roman"/>
                <w:bCs/>
                <w:color w:val="auto"/>
                <w:szCs w:val="21"/>
                <w:highlight w:val="none"/>
                <w:lang w:val="en-US" w:eastAsia="zh-CN"/>
              </w:rPr>
              <w:t>2</w:t>
            </w:r>
            <w:r>
              <w:rPr>
                <w:rFonts w:hint="default" w:ascii="Times New Roman" w:hAnsi="Times New Roman" w:cs="Times New Roman"/>
                <w:bCs/>
                <w:color w:val="auto"/>
                <w:szCs w:val="21"/>
                <w:highlight w:val="none"/>
              </w:rPr>
              <w:t>回，终期4回；</w:t>
            </w:r>
            <w:r>
              <w:rPr>
                <w:rFonts w:hint="default" w:ascii="Times New Roman" w:hAnsi="Times New Roman" w:cs="Times New Roman"/>
                <w:bCs/>
                <w:color w:val="auto"/>
                <w:szCs w:val="21"/>
                <w:highlight w:val="none"/>
              </w:rPr>
              <w:fldChar w:fldCharType="begin"/>
            </w:r>
            <w:r>
              <w:rPr>
                <w:rFonts w:hint="default" w:ascii="Times New Roman" w:hAnsi="Times New Roman" w:cs="Times New Roman"/>
                <w:bCs/>
                <w:color w:val="auto"/>
                <w:szCs w:val="21"/>
                <w:highlight w:val="none"/>
              </w:rPr>
              <w:instrText xml:space="preserve"> = 3 \* GB3 </w:instrText>
            </w:r>
            <w:r>
              <w:rPr>
                <w:rFonts w:hint="default" w:ascii="Times New Roman" w:hAnsi="Times New Roman" w:cs="Times New Roman"/>
                <w:bCs/>
                <w:color w:val="auto"/>
                <w:szCs w:val="21"/>
                <w:highlight w:val="none"/>
              </w:rPr>
              <w:fldChar w:fldCharType="separate"/>
            </w:r>
            <w:r>
              <w:rPr>
                <w:rFonts w:hint="default" w:ascii="Times New Roman" w:hAnsi="Times New Roman" w:cs="Times New Roman"/>
                <w:bCs/>
                <w:color w:val="auto"/>
                <w:szCs w:val="21"/>
                <w:highlight w:val="none"/>
              </w:rPr>
              <w:t>③</w:t>
            </w:r>
            <w:r>
              <w:rPr>
                <w:rFonts w:hint="default" w:ascii="Times New Roman" w:hAnsi="Times New Roman" w:cs="Times New Roman"/>
                <w:bCs/>
                <w:color w:val="auto"/>
                <w:szCs w:val="21"/>
                <w:highlight w:val="none"/>
              </w:rPr>
              <w:fldChar w:fldCharType="end"/>
            </w:r>
            <w:r>
              <w:rPr>
                <w:rFonts w:hint="default" w:ascii="Times New Roman" w:hAnsi="Times New Roman" w:cs="Times New Roman"/>
                <w:bCs/>
                <w:color w:val="auto"/>
                <w:szCs w:val="21"/>
                <w:highlight w:val="none"/>
                <w:lang w:val="en-US" w:eastAsia="zh-CN"/>
              </w:rPr>
              <w:t>35</w:t>
            </w:r>
            <w:r>
              <w:rPr>
                <w:rFonts w:hint="default" w:ascii="Times New Roman" w:hAnsi="Times New Roman" w:cs="Times New Roman"/>
                <w:bCs/>
                <w:color w:val="auto"/>
                <w:szCs w:val="21"/>
                <w:highlight w:val="none"/>
              </w:rPr>
              <w:t>kV出线间隔：本期</w:t>
            </w:r>
            <w:r>
              <w:rPr>
                <w:rFonts w:hint="default" w:ascii="Times New Roman" w:hAnsi="Times New Roman" w:cs="Times New Roman"/>
                <w:bCs/>
                <w:color w:val="auto"/>
                <w:szCs w:val="21"/>
                <w:highlight w:val="none"/>
                <w:lang w:val="en-US" w:eastAsia="zh-CN"/>
              </w:rPr>
              <w:t>6</w:t>
            </w:r>
            <w:r>
              <w:rPr>
                <w:rFonts w:hint="default" w:ascii="Times New Roman" w:hAnsi="Times New Roman" w:cs="Times New Roman"/>
                <w:bCs/>
                <w:color w:val="auto"/>
                <w:szCs w:val="21"/>
                <w:highlight w:val="none"/>
              </w:rPr>
              <w:t>回，终期</w:t>
            </w:r>
            <w:r>
              <w:rPr>
                <w:rFonts w:hint="default" w:ascii="Times New Roman" w:hAnsi="Times New Roman" w:cs="Times New Roman"/>
                <w:bCs/>
                <w:color w:val="auto"/>
                <w:szCs w:val="21"/>
                <w:highlight w:val="none"/>
                <w:lang w:val="en-US" w:eastAsia="zh-CN"/>
              </w:rPr>
              <w:t>6</w:t>
            </w:r>
            <w:r>
              <w:rPr>
                <w:rFonts w:hint="default" w:ascii="Times New Roman" w:hAnsi="Times New Roman" w:cs="Times New Roman"/>
                <w:bCs/>
                <w:color w:val="auto"/>
                <w:szCs w:val="21"/>
                <w:highlight w:val="none"/>
              </w:rPr>
              <w:t>回；④10kV出线间隔：本期</w:t>
            </w:r>
            <w:r>
              <w:rPr>
                <w:rFonts w:hint="default" w:ascii="Times New Roman" w:hAnsi="Times New Roman" w:cs="Times New Roman"/>
                <w:bCs/>
                <w:color w:val="auto"/>
                <w:szCs w:val="21"/>
                <w:highlight w:val="none"/>
                <w:lang w:val="en-US" w:eastAsia="zh-CN"/>
              </w:rPr>
              <w:t>16</w:t>
            </w:r>
            <w:r>
              <w:rPr>
                <w:rFonts w:hint="default" w:ascii="Times New Roman" w:hAnsi="Times New Roman" w:cs="Times New Roman"/>
                <w:bCs/>
                <w:color w:val="auto"/>
                <w:szCs w:val="21"/>
                <w:highlight w:val="none"/>
              </w:rPr>
              <w:t>回，终期</w:t>
            </w:r>
            <w:r>
              <w:rPr>
                <w:rFonts w:hint="eastAsia" w:cs="Times New Roman"/>
                <w:bCs/>
                <w:color w:val="auto"/>
                <w:szCs w:val="21"/>
                <w:highlight w:val="none"/>
                <w:lang w:val="en-US" w:eastAsia="zh-CN"/>
              </w:rPr>
              <w:t>30</w:t>
            </w:r>
            <w:r>
              <w:rPr>
                <w:rFonts w:hint="default" w:ascii="Times New Roman" w:hAnsi="Times New Roman" w:cs="Times New Roman"/>
                <w:bCs/>
                <w:color w:val="auto"/>
                <w:szCs w:val="21"/>
                <w:highlight w:val="none"/>
              </w:rPr>
              <w:t>回；⑤10kV无功补偿：本期</w:t>
            </w:r>
            <w:r>
              <w:rPr>
                <w:rFonts w:hint="default" w:ascii="Times New Roman" w:hAnsi="Times New Roman" w:cs="Times New Roman"/>
                <w:bCs/>
                <w:color w:val="auto"/>
                <w:szCs w:val="21"/>
                <w:highlight w:val="none"/>
                <w:lang w:val="en-US" w:eastAsia="zh-CN"/>
              </w:rPr>
              <w:t>2</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2</w:t>
            </w:r>
            <w:r>
              <w:rPr>
                <w:rFonts w:hint="default" w:ascii="Times New Roman" w:hAnsi="Times New Roman" w:cs="Times New Roman"/>
                <w:bCs/>
                <w:color w:val="auto"/>
                <w:szCs w:val="21"/>
                <w:highlight w:val="none"/>
              </w:rPr>
              <w:t>×</w:t>
            </w:r>
            <w:r>
              <w:rPr>
                <w:rFonts w:hint="eastAsia" w:cs="Times New Roman"/>
                <w:bCs/>
                <w:color w:val="auto"/>
                <w:szCs w:val="21"/>
                <w:highlight w:val="none"/>
                <w:lang w:val="en-US" w:eastAsia="zh-CN"/>
              </w:rPr>
              <w:t>5</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Mvar，终期</w:t>
            </w:r>
            <w:r>
              <w:rPr>
                <w:rFonts w:hint="default" w:ascii="Times New Roman" w:hAnsi="Times New Roman" w:cs="Times New Roman"/>
                <w:bCs/>
                <w:color w:val="auto"/>
                <w:szCs w:val="21"/>
                <w:highlight w:val="none"/>
                <w:lang w:val="en-US" w:eastAsia="zh-CN"/>
              </w:rPr>
              <w:t>3</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2</w:t>
            </w:r>
            <w:r>
              <w:rPr>
                <w:rFonts w:hint="default" w:ascii="Times New Roman" w:hAnsi="Times New Roman" w:cs="Times New Roman"/>
                <w:bCs/>
                <w:color w:val="auto"/>
                <w:szCs w:val="21"/>
                <w:highlight w:val="none"/>
              </w:rPr>
              <w:t>×</w:t>
            </w:r>
            <w:r>
              <w:rPr>
                <w:rFonts w:hint="eastAsia" w:cs="Times New Roman"/>
                <w:bCs/>
                <w:color w:val="auto"/>
                <w:szCs w:val="21"/>
                <w:highlight w:val="none"/>
                <w:lang w:val="en-US" w:eastAsia="zh-CN"/>
              </w:rPr>
              <w:t>5</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Mvar；⑥</w:t>
            </w:r>
            <w:r>
              <w:rPr>
                <w:rFonts w:hint="default" w:ascii="Times New Roman" w:hAnsi="Times New Roman" w:cs="Times New Roman"/>
                <w:bCs/>
                <w:color w:val="auto"/>
                <w:szCs w:val="21"/>
                <w:highlight w:val="none"/>
                <w:lang w:val="en-US" w:eastAsia="zh-CN"/>
              </w:rPr>
              <w:t>35</w:t>
            </w:r>
            <w:r>
              <w:rPr>
                <w:rFonts w:hint="default" w:ascii="Times New Roman" w:hAnsi="Times New Roman" w:cs="Times New Roman"/>
                <w:bCs/>
                <w:color w:val="auto"/>
                <w:szCs w:val="21"/>
                <w:highlight w:val="none"/>
              </w:rPr>
              <w:t>kV消弧线圈：本期</w:t>
            </w:r>
            <w:r>
              <w:rPr>
                <w:rFonts w:hint="default" w:ascii="Times New Roman" w:hAnsi="Times New Roman" w:cs="Times New Roman"/>
                <w:bCs/>
                <w:color w:val="auto"/>
                <w:szCs w:val="21"/>
                <w:highlight w:val="none"/>
                <w:lang w:val="en-US" w:eastAsia="zh-CN"/>
              </w:rPr>
              <w:t>无</w:t>
            </w:r>
            <w:r>
              <w:rPr>
                <w:rFonts w:hint="default" w:ascii="Times New Roman" w:hAnsi="Times New Roman" w:cs="Times New Roman"/>
                <w:bCs/>
                <w:color w:val="auto"/>
                <w:szCs w:val="21"/>
                <w:highlight w:val="none"/>
              </w:rPr>
              <w:t>，终期</w:t>
            </w:r>
            <w:r>
              <w:rPr>
                <w:rFonts w:hint="default" w:ascii="Times New Roman" w:hAnsi="Times New Roman" w:cs="Times New Roman"/>
                <w:bCs/>
                <w:color w:val="auto"/>
                <w:szCs w:val="21"/>
                <w:highlight w:val="none"/>
                <w:lang w:val="en-US" w:eastAsia="zh-CN"/>
              </w:rPr>
              <w:t>1</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63</w:t>
            </w:r>
            <w:r>
              <w:rPr>
                <w:rFonts w:hint="default" w:ascii="Times New Roman" w:hAnsi="Times New Roman" w:cs="Times New Roman"/>
                <w:bCs/>
                <w:color w:val="auto"/>
                <w:szCs w:val="21"/>
                <w:highlight w:val="none"/>
              </w:rPr>
              <w:t>0kVA；</w:t>
            </w:r>
            <w:r>
              <w:rPr>
                <w:rFonts w:hint="default" w:ascii="Times New Roman" w:hAnsi="Times New Roman" w:eastAsia="宋体" w:cs="Times New Roman"/>
                <w:bCs/>
                <w:color w:val="auto"/>
                <w:szCs w:val="21"/>
                <w:highlight w:val="none"/>
              </w:rPr>
              <w:t>⑦</w:t>
            </w:r>
            <w:r>
              <w:rPr>
                <w:rFonts w:hint="default" w:ascii="Times New Roman" w:hAnsi="Times New Roman" w:cs="Times New Roman"/>
                <w:bCs/>
                <w:color w:val="auto"/>
                <w:szCs w:val="21"/>
                <w:highlight w:val="none"/>
              </w:rPr>
              <w:t>10kV消弧线圈：本期</w:t>
            </w:r>
            <w:r>
              <w:rPr>
                <w:rFonts w:hint="default" w:ascii="Times New Roman" w:hAnsi="Times New Roman" w:cs="Times New Roman"/>
                <w:bCs/>
                <w:color w:val="auto"/>
                <w:szCs w:val="21"/>
                <w:highlight w:val="none"/>
                <w:lang w:val="en-US" w:eastAsia="zh-CN"/>
              </w:rPr>
              <w:t>2</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63</w:t>
            </w:r>
            <w:r>
              <w:rPr>
                <w:rFonts w:hint="default" w:ascii="Times New Roman" w:hAnsi="Times New Roman" w:cs="Times New Roman"/>
                <w:bCs/>
                <w:color w:val="auto"/>
                <w:szCs w:val="21"/>
                <w:highlight w:val="none"/>
              </w:rPr>
              <w:t>0kVA，终期3×</w:t>
            </w:r>
            <w:r>
              <w:rPr>
                <w:rFonts w:hint="default" w:ascii="Times New Roman" w:hAnsi="Times New Roman" w:cs="Times New Roman"/>
                <w:bCs/>
                <w:color w:val="auto"/>
                <w:szCs w:val="21"/>
                <w:highlight w:val="none"/>
                <w:lang w:val="en-US" w:eastAsia="zh-CN"/>
              </w:rPr>
              <w:t>63</w:t>
            </w:r>
            <w:r>
              <w:rPr>
                <w:rFonts w:hint="default" w:ascii="Times New Roman" w:hAnsi="Times New Roman" w:cs="Times New Roman"/>
                <w:bCs/>
                <w:color w:val="auto"/>
                <w:szCs w:val="21"/>
                <w:highlight w:val="none"/>
              </w:rPr>
              <w:t>0kVA；</w:t>
            </w:r>
            <w:r>
              <w:rPr>
                <w:rFonts w:hint="default" w:ascii="Times New Roman" w:hAnsi="Times New Roman" w:eastAsia="宋体" w:cs="Times New Roman"/>
                <w:bCs/>
                <w:color w:val="auto"/>
                <w:szCs w:val="21"/>
                <w:highlight w:val="none"/>
              </w:rPr>
              <w:t>⑧</w:t>
            </w:r>
            <w:r>
              <w:rPr>
                <w:rFonts w:hint="default" w:ascii="Times New Roman" w:hAnsi="Times New Roman" w:cs="Times New Roman"/>
                <w:bCs/>
                <w:color w:val="auto"/>
                <w:szCs w:val="21"/>
                <w:highlight w:val="none"/>
              </w:rPr>
              <w:t>建设配电</w:t>
            </w:r>
            <w:r>
              <w:rPr>
                <w:rFonts w:hint="default" w:ascii="Times New Roman" w:hAnsi="Times New Roman" w:cs="Times New Roman"/>
                <w:bCs/>
                <w:color w:val="auto"/>
                <w:szCs w:val="21"/>
                <w:highlight w:val="none"/>
                <w:lang w:val="en-US" w:eastAsia="zh-CN"/>
              </w:rPr>
              <w:t>装置室</w:t>
            </w:r>
            <w:r>
              <w:rPr>
                <w:rFonts w:hint="default" w:ascii="Times New Roman" w:hAnsi="Times New Roman" w:cs="Times New Roman"/>
                <w:bCs/>
                <w:color w:val="auto"/>
                <w:szCs w:val="21"/>
                <w:highlight w:val="none"/>
              </w:rPr>
              <w:t>、</w:t>
            </w:r>
            <w:r>
              <w:rPr>
                <w:rFonts w:hint="eastAsia" w:cs="Times New Roman"/>
                <w:bCs/>
                <w:color w:val="auto"/>
                <w:szCs w:val="21"/>
                <w:highlight w:val="none"/>
                <w:lang w:val="en-US" w:eastAsia="zh-CN"/>
              </w:rPr>
              <w:t>辅助用房</w:t>
            </w:r>
            <w:r>
              <w:rPr>
                <w:rFonts w:hint="default" w:ascii="Times New Roman" w:hAnsi="Times New Roman" w:cs="Times New Roman"/>
                <w:bCs/>
                <w:color w:val="auto"/>
                <w:szCs w:val="21"/>
                <w:highlight w:val="none"/>
                <w:lang w:val="en-US" w:eastAsia="zh-CN"/>
              </w:rPr>
              <w:t>、消防</w:t>
            </w:r>
            <w:r>
              <w:rPr>
                <w:rFonts w:hint="eastAsia" w:cs="Times New Roman"/>
                <w:bCs/>
                <w:color w:val="auto"/>
                <w:szCs w:val="21"/>
                <w:highlight w:val="none"/>
                <w:lang w:val="en-US" w:eastAsia="zh-CN"/>
              </w:rPr>
              <w:t>小室</w:t>
            </w:r>
            <w:r>
              <w:rPr>
                <w:rFonts w:hint="default" w:ascii="Times New Roman" w:hAnsi="Times New Roman" w:cs="Times New Roman"/>
                <w:bCs/>
                <w:color w:val="auto"/>
                <w:szCs w:val="21"/>
                <w:highlight w:val="none"/>
                <w:lang w:val="en-US" w:eastAsia="zh-CN"/>
              </w:rPr>
              <w:t>、</w:t>
            </w:r>
            <w:r>
              <w:rPr>
                <w:rFonts w:hint="default" w:ascii="Times New Roman" w:hAnsi="Times New Roman" w:cs="Times New Roman"/>
                <w:bCs/>
                <w:color w:val="auto"/>
                <w:szCs w:val="21"/>
                <w:highlight w:val="none"/>
              </w:rPr>
              <w:t>事故油池（</w:t>
            </w:r>
            <w:r>
              <w:rPr>
                <w:rFonts w:hint="default" w:ascii="Times New Roman" w:hAnsi="Times New Roman" w:cs="Times New Roman"/>
                <w:bCs/>
                <w:color w:val="auto"/>
                <w:szCs w:val="21"/>
                <w:highlight w:val="none"/>
                <w:lang w:val="en-US" w:eastAsia="zh-CN"/>
              </w:rPr>
              <w:t>有效容积</w:t>
            </w:r>
            <w:r>
              <w:rPr>
                <w:rFonts w:hint="default" w:ascii="Times New Roman" w:hAnsi="Times New Roman" w:cs="Times New Roman"/>
                <w:bCs/>
                <w:color w:val="auto"/>
                <w:szCs w:val="21"/>
                <w:highlight w:val="none"/>
              </w:rPr>
              <w:t>30m</w:t>
            </w:r>
            <w:r>
              <w:rPr>
                <w:rFonts w:hint="default" w:ascii="Times New Roman" w:hAnsi="Times New Roman" w:cs="Times New Roman"/>
                <w:bCs/>
                <w:color w:val="auto"/>
                <w:szCs w:val="21"/>
                <w:highlight w:val="none"/>
                <w:vertAlign w:val="superscript"/>
              </w:rPr>
              <w:t>3</w:t>
            </w:r>
            <w:r>
              <w:rPr>
                <w:rFonts w:hint="default" w:ascii="Times New Roman" w:hAnsi="Times New Roman" w:cs="Times New Roman"/>
                <w:bCs/>
                <w:color w:val="auto"/>
                <w:szCs w:val="21"/>
                <w:highlight w:val="none"/>
              </w:rPr>
              <w:t>）、化粪池（</w:t>
            </w:r>
            <w:r>
              <w:rPr>
                <w:rFonts w:hint="default" w:ascii="Times New Roman" w:hAnsi="Times New Roman" w:cs="Times New Roman"/>
                <w:bCs/>
                <w:color w:val="auto"/>
                <w:szCs w:val="21"/>
                <w:highlight w:val="none"/>
                <w:lang w:val="en-US" w:eastAsia="zh-CN"/>
              </w:rPr>
              <w:t>容积</w:t>
            </w:r>
            <w:r>
              <w:rPr>
                <w:rFonts w:hint="default" w:ascii="Times New Roman" w:hAnsi="Times New Roman" w:cs="Times New Roman"/>
                <w:bCs/>
                <w:color w:val="auto"/>
                <w:szCs w:val="21"/>
                <w:highlight w:val="none"/>
              </w:rPr>
              <w:t>2m</w:t>
            </w:r>
            <w:r>
              <w:rPr>
                <w:rFonts w:hint="default" w:ascii="Times New Roman" w:hAnsi="Times New Roman" w:cs="Times New Roman"/>
                <w:bCs/>
                <w:color w:val="auto"/>
                <w:szCs w:val="21"/>
                <w:highlight w:val="none"/>
                <w:vertAlign w:val="superscript"/>
              </w:rPr>
              <w:t>3</w:t>
            </w:r>
            <w:r>
              <w:rPr>
                <w:rFonts w:hint="default" w:ascii="Times New Roman" w:hAnsi="Times New Roman" w:cs="Times New Roman"/>
                <w:bCs/>
                <w:color w:val="auto"/>
                <w:szCs w:val="21"/>
                <w:highlight w:val="none"/>
              </w:rPr>
              <w:t>）等配套设施。</w:t>
            </w:r>
          </w:p>
          <w:p w14:paraId="69DE0A78">
            <w:pPr>
              <w:spacing w:line="360" w:lineRule="auto"/>
              <w:ind w:firstLine="422" w:firstLineChars="200"/>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rPr>
              <w:t>2、</w:t>
            </w:r>
            <w:r>
              <w:rPr>
                <w:rFonts w:hint="eastAsia" w:cs="Times New Roman"/>
                <w:b/>
                <w:bCs/>
                <w:color w:val="auto"/>
                <w:szCs w:val="21"/>
                <w:lang w:val="en-US" w:eastAsia="zh-CN"/>
              </w:rPr>
              <w:t>印合110kV变电站110kV间隔扩建工程</w:t>
            </w:r>
          </w:p>
          <w:p w14:paraId="78FBB90A">
            <w:pPr>
              <w:tabs>
                <w:tab w:val="left" w:pos="3240"/>
              </w:tabs>
              <w:spacing w:line="360" w:lineRule="auto"/>
              <w:ind w:firstLine="420" w:firstLineChars="200"/>
              <w:rPr>
                <w:rFonts w:hint="default" w:ascii="Times New Roman" w:hAnsi="Times New Roman" w:cs="Times New Roman"/>
                <w:color w:val="auto"/>
                <w:szCs w:val="21"/>
                <w:lang w:val="en-US" w:eastAsia="zh-CN"/>
              </w:rPr>
            </w:pPr>
            <w:r>
              <w:rPr>
                <w:rFonts w:hint="eastAsia" w:cs="Times New Roman"/>
                <w:color w:val="auto"/>
                <w:szCs w:val="21"/>
                <w:lang w:val="en-US" w:eastAsia="zh-CN"/>
              </w:rPr>
              <w:t>印合</w:t>
            </w:r>
            <w:r>
              <w:rPr>
                <w:rFonts w:hint="default" w:ascii="Times New Roman" w:hAnsi="Times New Roman" w:cs="Times New Roman"/>
                <w:color w:val="auto"/>
                <w:szCs w:val="21"/>
                <w:lang w:val="en-US" w:eastAsia="zh-CN"/>
              </w:rPr>
              <w:t>110</w:t>
            </w:r>
            <w:r>
              <w:rPr>
                <w:rFonts w:hint="default" w:ascii="Times New Roman" w:hAnsi="Times New Roman" w:cs="Times New Roman"/>
                <w:color w:val="auto"/>
                <w:kern w:val="2"/>
                <w:sz w:val="21"/>
                <w:szCs w:val="21"/>
                <w:lang w:val="en-US" w:eastAsia="zh-CN" w:bidi="ar-SA"/>
              </w:rPr>
              <w:t>kV</w:t>
            </w:r>
            <w:r>
              <w:rPr>
                <w:rFonts w:hint="default" w:ascii="Times New Roman" w:hAnsi="Times New Roman" w:cs="Times New Roman"/>
                <w:color w:val="auto"/>
                <w:szCs w:val="21"/>
                <w:lang w:val="en-US" w:eastAsia="zh-CN"/>
              </w:rPr>
              <w:t>变电站</w:t>
            </w:r>
            <w:r>
              <w:rPr>
                <w:rFonts w:hint="default" w:ascii="Times New Roman" w:hAnsi="Times New Roman" w:eastAsia="宋体" w:cs="Times New Roman"/>
                <w:color w:val="auto"/>
                <w:kern w:val="2"/>
                <w:sz w:val="21"/>
                <w:szCs w:val="21"/>
                <w:u w:val="none"/>
                <w:lang w:val="en-US" w:eastAsia="zh-CN" w:bidi="ar-SA"/>
              </w:rPr>
              <w:t>位于</w:t>
            </w:r>
            <w:r>
              <w:rPr>
                <w:rFonts w:hint="default" w:ascii="Times New Roman" w:hAnsi="Times New Roman" w:eastAsia="宋体" w:cs="Times New Roman"/>
                <w:color w:val="auto"/>
                <w:szCs w:val="21"/>
                <w:u w:val="none"/>
                <w:lang w:val="en-US" w:eastAsia="zh-CN"/>
              </w:rPr>
              <w:t>巴中市南江县正直镇沿溪河村3组</w:t>
            </w:r>
            <w:r>
              <w:rPr>
                <w:rFonts w:hint="default" w:ascii="Times New Roman" w:hAnsi="Times New Roman" w:cs="Times New Roman"/>
                <w:color w:val="auto"/>
                <w:kern w:val="2"/>
                <w:sz w:val="21"/>
                <w:szCs w:val="21"/>
                <w:u w:val="none"/>
                <w:lang w:val="en-US" w:eastAsia="zh-CN" w:bidi="ar-SA"/>
              </w:rPr>
              <w:t>，</w:t>
            </w:r>
            <w:r>
              <w:rPr>
                <w:rFonts w:hint="eastAsia" w:ascii="Times New Roman" w:hAnsi="Times New Roman" w:cs="Times New Roman"/>
                <w:color w:val="auto"/>
                <w:kern w:val="2"/>
                <w:sz w:val="21"/>
                <w:szCs w:val="21"/>
                <w:u w:val="none"/>
                <w:lang w:val="en-US" w:eastAsia="zh-CN" w:bidi="ar-SA"/>
              </w:rPr>
              <w:t>目前</w:t>
            </w:r>
            <w:r>
              <w:rPr>
                <w:rFonts w:hint="eastAsia" w:cs="Times New Roman"/>
                <w:color w:val="auto"/>
                <w:kern w:val="2"/>
                <w:sz w:val="21"/>
                <w:szCs w:val="21"/>
                <w:u w:val="none"/>
                <w:lang w:val="en-US" w:eastAsia="zh-CN" w:bidi="ar-SA"/>
              </w:rPr>
              <w:t>处于施工图阶段</w:t>
            </w:r>
            <w:r>
              <w:rPr>
                <w:rFonts w:hint="eastAsia" w:ascii="Times New Roman" w:hAnsi="Times New Roman" w:cs="Times New Roman"/>
                <w:color w:val="auto"/>
                <w:kern w:val="2"/>
                <w:sz w:val="21"/>
                <w:szCs w:val="21"/>
                <w:u w:val="none"/>
                <w:lang w:val="en-US" w:eastAsia="zh-CN" w:bidi="ar-SA"/>
              </w:rPr>
              <w:t>，</w:t>
            </w:r>
            <w:r>
              <w:rPr>
                <w:rFonts w:hint="default" w:ascii="Times New Roman" w:hAnsi="Times New Roman" w:cs="Times New Roman"/>
                <w:bCs/>
                <w:color w:val="auto"/>
                <w:szCs w:val="21"/>
                <w:lang w:val="en-US" w:eastAsia="zh-CN"/>
              </w:rPr>
              <w:t>本次需在</w:t>
            </w:r>
            <w:r>
              <w:rPr>
                <w:rFonts w:hint="eastAsia" w:cs="Times New Roman"/>
                <w:bCs/>
                <w:color w:val="auto"/>
                <w:szCs w:val="21"/>
                <w:lang w:val="en-US" w:eastAsia="zh-CN"/>
              </w:rPr>
              <w:t>印合</w:t>
            </w:r>
            <w:r>
              <w:rPr>
                <w:rFonts w:hint="eastAsia" w:ascii="Times New Roman" w:hAnsi="Times New Roman" w:cs="Times New Roman"/>
                <w:bCs/>
                <w:color w:val="auto"/>
                <w:szCs w:val="21"/>
                <w:lang w:val="en-US" w:eastAsia="zh-CN"/>
              </w:rPr>
              <w:t>11</w:t>
            </w:r>
            <w:r>
              <w:rPr>
                <w:rFonts w:hint="default" w:ascii="Times New Roman" w:hAnsi="Times New Roman" w:cs="Times New Roman"/>
                <w:bCs/>
                <w:color w:val="auto"/>
                <w:szCs w:val="21"/>
                <w:lang w:val="en-US" w:eastAsia="zh-CN"/>
              </w:rPr>
              <w:t>0</w:t>
            </w:r>
            <w:r>
              <w:rPr>
                <w:rFonts w:hint="default" w:ascii="Times New Roman" w:hAnsi="Times New Roman" w:cs="Times New Roman"/>
                <w:color w:val="auto"/>
                <w:kern w:val="2"/>
                <w:sz w:val="21"/>
                <w:szCs w:val="21"/>
                <w:lang w:val="en-US" w:eastAsia="zh-CN" w:bidi="ar-SA"/>
              </w:rPr>
              <w:t>kV</w:t>
            </w:r>
            <w:r>
              <w:rPr>
                <w:rFonts w:hint="default" w:ascii="Times New Roman" w:hAnsi="Times New Roman" w:cs="Times New Roman"/>
                <w:bCs/>
                <w:color w:val="auto"/>
                <w:szCs w:val="21"/>
                <w:lang w:val="en-US" w:eastAsia="zh-CN"/>
              </w:rPr>
              <w:t>变电站内扩建</w:t>
            </w:r>
            <w:r>
              <w:rPr>
                <w:rFonts w:hint="default" w:ascii="Times New Roman" w:hAnsi="Times New Roman" w:cs="Times New Roman"/>
                <w:color w:val="auto"/>
                <w:shd w:val="clear" w:color="auto" w:fill="FFFFFF"/>
                <w:lang w:val="en-US" w:eastAsia="zh-CN"/>
              </w:rPr>
              <w:t>1</w:t>
            </w:r>
            <w:r>
              <w:rPr>
                <w:rFonts w:hint="default" w:ascii="Times New Roman" w:hAnsi="Times New Roman" w:cs="Times New Roman"/>
                <w:color w:val="auto"/>
                <w:shd w:val="clear" w:color="auto" w:fill="FFFFFF"/>
              </w:rPr>
              <w:t>个</w:t>
            </w:r>
            <w:r>
              <w:rPr>
                <w:rFonts w:hint="default" w:ascii="Times New Roman" w:hAnsi="Times New Roman" w:cs="Times New Roman"/>
                <w:color w:val="auto"/>
                <w:shd w:val="clear" w:color="auto" w:fill="FFFFFF"/>
                <w:lang w:val="en-US" w:eastAsia="zh-CN"/>
              </w:rPr>
              <w:t>11</w:t>
            </w:r>
            <w:r>
              <w:rPr>
                <w:rFonts w:hint="default" w:ascii="Times New Roman" w:hAnsi="Times New Roman" w:cs="Times New Roman"/>
                <w:color w:val="auto"/>
                <w:shd w:val="clear" w:color="auto" w:fill="FFFFFF"/>
              </w:rPr>
              <w:t>0</w:t>
            </w:r>
            <w:r>
              <w:rPr>
                <w:rFonts w:hint="default" w:ascii="Times New Roman" w:hAnsi="Times New Roman" w:cs="Times New Roman"/>
                <w:color w:val="auto"/>
                <w:kern w:val="2"/>
                <w:sz w:val="21"/>
                <w:szCs w:val="21"/>
                <w:lang w:val="en-US" w:eastAsia="zh-CN" w:bidi="ar-SA"/>
              </w:rPr>
              <w:t>kV</w:t>
            </w:r>
            <w:r>
              <w:rPr>
                <w:rFonts w:hint="default" w:ascii="Times New Roman" w:hAnsi="Times New Roman" w:cs="Times New Roman"/>
                <w:color w:val="auto"/>
                <w:shd w:val="clear" w:color="auto" w:fill="FFFFFF"/>
              </w:rPr>
              <w:t>出线间隔</w:t>
            </w:r>
            <w:r>
              <w:rPr>
                <w:rFonts w:hint="default" w:ascii="Times New Roman" w:hAnsi="Times New Roman" w:cs="Times New Roman"/>
                <w:bCs/>
                <w:color w:val="auto"/>
                <w:szCs w:val="21"/>
              </w:rPr>
              <w:t>至</w:t>
            </w:r>
            <w:r>
              <w:rPr>
                <w:rFonts w:hint="eastAsia" w:cs="Times New Roman"/>
                <w:bCs/>
                <w:color w:val="auto"/>
                <w:szCs w:val="21"/>
                <w:lang w:val="en-US" w:eastAsia="zh-CN"/>
              </w:rPr>
              <w:t>司城</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w:t>
            </w:r>
            <w:r>
              <w:rPr>
                <w:rFonts w:hint="default" w:ascii="Times New Roman" w:hAnsi="Times New Roman" w:cs="Times New Roman"/>
                <w:color w:val="auto"/>
                <w:kern w:val="2"/>
                <w:sz w:val="21"/>
                <w:szCs w:val="21"/>
                <w:lang w:val="en-US" w:eastAsia="zh-CN" w:bidi="ar-SA"/>
              </w:rPr>
              <w:t>kV</w:t>
            </w:r>
            <w:r>
              <w:rPr>
                <w:rFonts w:hint="default" w:ascii="Times New Roman" w:hAnsi="Times New Roman" w:cs="Times New Roman"/>
                <w:bCs/>
                <w:color w:val="auto"/>
                <w:szCs w:val="21"/>
              </w:rPr>
              <w:t>变电站</w:t>
            </w:r>
            <w:r>
              <w:rPr>
                <w:rFonts w:hint="default" w:ascii="Times New Roman" w:hAnsi="Times New Roman" w:cs="Times New Roman"/>
                <w:color w:val="auto"/>
                <w:szCs w:val="21"/>
                <w:lang w:val="en-US" w:eastAsia="zh-CN"/>
              </w:rPr>
              <w:t>。</w:t>
            </w:r>
            <w:r>
              <w:rPr>
                <w:rFonts w:hint="default" w:ascii="Times New Roman" w:hAnsi="Times New Roman" w:cs="Times New Roman"/>
                <w:bCs/>
                <w:color w:val="auto"/>
                <w:szCs w:val="21"/>
              </w:rPr>
              <w:t>本次间隔扩建主要为对间隔基础和相应的电气设备进行建设，扩建场地和出线间隔均为前期已预留，无需新征占地，也不改变</w:t>
            </w:r>
            <w:r>
              <w:rPr>
                <w:rFonts w:hint="default" w:ascii="Times New Roman" w:hAnsi="Times New Roman" w:cs="Times New Roman"/>
                <w:bCs/>
                <w:color w:val="auto"/>
                <w:szCs w:val="21"/>
                <w:lang w:val="en-US" w:eastAsia="zh-CN"/>
              </w:rPr>
              <w:t>变电站</w:t>
            </w:r>
            <w:r>
              <w:rPr>
                <w:rFonts w:hint="default" w:ascii="Times New Roman" w:hAnsi="Times New Roman" w:cs="Times New Roman"/>
                <w:bCs/>
                <w:color w:val="auto"/>
                <w:szCs w:val="21"/>
              </w:rPr>
              <w:t>原来的总平面及竖向布置</w:t>
            </w:r>
            <w:r>
              <w:rPr>
                <w:rFonts w:hint="default" w:ascii="Times New Roman" w:hAnsi="Times New Roman" w:cs="Times New Roman"/>
                <w:bCs/>
                <w:color w:val="auto"/>
                <w:szCs w:val="21"/>
                <w:lang w:eastAsia="zh-CN"/>
              </w:rPr>
              <w:t>。</w:t>
            </w:r>
          </w:p>
          <w:p w14:paraId="4996DA28">
            <w:pPr>
              <w:spacing w:line="360" w:lineRule="auto"/>
              <w:ind w:firstLine="420" w:firstLineChars="200"/>
              <w:jc w:val="both"/>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rPr>
              <w:t>20</w:t>
            </w:r>
            <w:r>
              <w:rPr>
                <w:rFonts w:hint="eastAsia" w:cs="Times New Roman"/>
                <w:bCs/>
                <w:color w:val="auto"/>
                <w:szCs w:val="21"/>
                <w:lang w:val="en-US" w:eastAsia="zh-CN"/>
              </w:rPr>
              <w:t>24</w:t>
            </w:r>
            <w:r>
              <w:rPr>
                <w:rFonts w:hint="default" w:ascii="Times New Roman" w:hAnsi="Times New Roman" w:cs="Times New Roman"/>
                <w:bCs/>
                <w:color w:val="auto"/>
                <w:szCs w:val="21"/>
              </w:rPr>
              <w:t>年，</w:t>
            </w:r>
            <w:r>
              <w:rPr>
                <w:rFonts w:hint="default" w:ascii="Times New Roman" w:hAnsi="Times New Roman" w:cs="Times New Roman"/>
                <w:bCs/>
                <w:color w:val="auto"/>
                <w:szCs w:val="21"/>
                <w:lang w:val="en-US" w:eastAsia="zh-CN"/>
              </w:rPr>
              <w:t>巴中市生态环境局</w:t>
            </w:r>
            <w:r>
              <w:rPr>
                <w:rFonts w:hint="eastAsia" w:cs="Times New Roman"/>
                <w:bCs/>
                <w:color w:val="auto"/>
                <w:szCs w:val="21"/>
                <w:lang w:val="en-US" w:eastAsia="zh-CN"/>
              </w:rPr>
              <w:t>以“巴环境审</w:t>
            </w:r>
            <w:r>
              <w:rPr>
                <w:rFonts w:hint="default" w:ascii="Times New Roman" w:hAnsi="Times New Roman" w:cs="Times New Roman"/>
                <w:bCs/>
                <w:color w:val="auto"/>
                <w:szCs w:val="21"/>
                <w:lang w:val="en-US" w:eastAsia="zh-CN"/>
              </w:rPr>
              <w:t>〔20</w:t>
            </w:r>
            <w:r>
              <w:rPr>
                <w:rFonts w:hint="eastAsia" w:cs="Times New Roman"/>
                <w:bCs/>
                <w:color w:val="auto"/>
                <w:szCs w:val="21"/>
                <w:lang w:val="en-US" w:eastAsia="zh-CN"/>
              </w:rPr>
              <w:t>24</w:t>
            </w:r>
            <w:r>
              <w:rPr>
                <w:rFonts w:hint="default" w:ascii="Times New Roman" w:hAnsi="Times New Roman" w:cs="Times New Roman"/>
                <w:bCs/>
                <w:color w:val="auto"/>
                <w:szCs w:val="21"/>
                <w:lang w:val="en-US" w:eastAsia="zh-CN"/>
              </w:rPr>
              <w:t>〕</w:t>
            </w:r>
            <w:r>
              <w:rPr>
                <w:rFonts w:hint="eastAsia" w:cs="Times New Roman"/>
                <w:bCs/>
                <w:color w:val="auto"/>
                <w:szCs w:val="21"/>
                <w:lang w:val="en-US" w:eastAsia="zh-CN"/>
              </w:rPr>
              <w:t>30</w:t>
            </w:r>
            <w:r>
              <w:rPr>
                <w:rFonts w:hint="default" w:ascii="Times New Roman" w:hAnsi="Times New Roman" w:cs="Times New Roman"/>
                <w:bCs/>
                <w:color w:val="auto"/>
                <w:szCs w:val="21"/>
                <w:lang w:val="en-US" w:eastAsia="zh-CN"/>
              </w:rPr>
              <w:t>号</w:t>
            </w:r>
            <w:r>
              <w:rPr>
                <w:rFonts w:hint="eastAsia" w:cs="Times New Roman"/>
                <w:bCs/>
                <w:color w:val="auto"/>
                <w:szCs w:val="21"/>
                <w:lang w:val="en-US" w:eastAsia="zh-CN"/>
              </w:rPr>
              <w:t>”文对印合110kV变电站按终期规模进行了批复</w:t>
            </w:r>
            <w:r>
              <w:rPr>
                <w:rFonts w:hint="default" w:ascii="Times New Roman" w:hAnsi="Times New Roman" w:cs="Times New Roman"/>
                <w:bCs/>
                <w:color w:val="auto"/>
                <w:szCs w:val="21"/>
                <w:lang w:val="en-US" w:eastAsia="zh-CN"/>
              </w:rPr>
              <w:t>，批复规模为：</w:t>
            </w:r>
            <w:r>
              <w:rPr>
                <w:rFonts w:hint="default" w:ascii="Times New Roman" w:hAnsi="Times New Roman" w:cs="Times New Roman"/>
                <w:bCs/>
                <w:color w:val="auto"/>
                <w:szCs w:val="21"/>
              </w:rPr>
              <w:t>主变</w:t>
            </w:r>
            <w:r>
              <w:rPr>
                <w:rFonts w:hint="eastAsia" w:cs="Times New Roman"/>
                <w:bCs/>
                <w:color w:val="auto"/>
                <w:szCs w:val="21"/>
                <w:lang w:val="en-US" w:eastAsia="zh-CN"/>
              </w:rPr>
              <w:t>3</w:t>
            </w:r>
            <w:r>
              <w:rPr>
                <w:rFonts w:hint="default" w:ascii="Times New Roman" w:hAnsi="Times New Roman" w:cs="Times New Roman"/>
                <w:bCs/>
                <w:color w:val="auto"/>
                <w:szCs w:val="21"/>
              </w:rPr>
              <w:t>×</w:t>
            </w:r>
            <w:r>
              <w:rPr>
                <w:rFonts w:hint="default" w:ascii="Times New Roman" w:hAnsi="Times New Roman" w:cs="Times New Roman"/>
                <w:bCs/>
                <w:color w:val="auto"/>
                <w:szCs w:val="21"/>
                <w:lang w:val="en-US" w:eastAsia="zh-CN"/>
              </w:rPr>
              <w:t>50</w:t>
            </w:r>
            <w:r>
              <w:rPr>
                <w:rFonts w:hint="default" w:ascii="Times New Roman" w:hAnsi="Times New Roman" w:cs="Times New Roman"/>
                <w:bCs/>
                <w:color w:val="auto"/>
                <w:szCs w:val="21"/>
              </w:rPr>
              <w:t>MVA，110kV出线</w:t>
            </w:r>
            <w:r>
              <w:rPr>
                <w:rFonts w:hint="eastAsia" w:cs="Times New Roman"/>
                <w:bCs/>
                <w:color w:val="auto"/>
                <w:szCs w:val="21"/>
                <w:lang w:val="en-US" w:eastAsia="zh-CN"/>
              </w:rPr>
              <w:t>4</w:t>
            </w:r>
            <w:r>
              <w:rPr>
                <w:rFonts w:hint="default" w:ascii="Times New Roman" w:hAnsi="Times New Roman" w:cs="Times New Roman"/>
                <w:bCs/>
                <w:color w:val="auto"/>
                <w:szCs w:val="21"/>
              </w:rPr>
              <w:t>回</w:t>
            </w:r>
            <w:r>
              <w:rPr>
                <w:rFonts w:hint="default" w:ascii="Times New Roman" w:hAnsi="Times New Roman" w:cs="Times New Roman"/>
                <w:bCs/>
                <w:color w:val="auto"/>
                <w:szCs w:val="21"/>
                <w:lang w:eastAsia="zh-CN"/>
              </w:rPr>
              <w:t>。</w:t>
            </w:r>
            <w:r>
              <w:rPr>
                <w:rFonts w:hint="eastAsia" w:cs="Times New Roman"/>
                <w:bCs/>
                <w:color w:val="auto"/>
                <w:szCs w:val="21"/>
                <w:lang w:val="en-US" w:eastAsia="zh-CN"/>
              </w:rPr>
              <w:t>目前该变电站暂未开工建设。</w:t>
            </w:r>
          </w:p>
          <w:p w14:paraId="42AA579D">
            <w:pPr>
              <w:tabs>
                <w:tab w:val="left" w:pos="3240"/>
              </w:tabs>
              <w:spacing w:line="360" w:lineRule="auto"/>
              <w:ind w:firstLine="420" w:firstLineChars="200"/>
              <w:rPr>
                <w:rFonts w:hint="eastAsia" w:cs="Times New Roman"/>
                <w:color w:val="auto"/>
                <w:szCs w:val="21"/>
                <w:lang w:val="en-US" w:eastAsia="zh-CN"/>
              </w:rPr>
            </w:pPr>
            <w:r>
              <w:rPr>
                <w:rFonts w:hint="default" w:ascii="Times New Roman" w:hAnsi="Times New Roman" w:cs="Times New Roman"/>
                <w:color w:val="auto"/>
                <w:u w:val="single"/>
              </w:rPr>
              <w:t>本次间隔扩建工程在</w:t>
            </w:r>
            <w:r>
              <w:rPr>
                <w:rFonts w:hint="eastAsia" w:cs="Times New Roman"/>
                <w:color w:val="auto"/>
                <w:u w:val="single"/>
                <w:lang w:val="en-US" w:eastAsia="zh-CN"/>
              </w:rPr>
              <w:t>印合11</w:t>
            </w:r>
            <w:r>
              <w:rPr>
                <w:rFonts w:hint="default" w:ascii="Times New Roman" w:hAnsi="Times New Roman" w:cs="Times New Roman"/>
                <w:color w:val="auto"/>
                <w:u w:val="single"/>
                <w:lang w:val="en-US" w:eastAsia="zh-CN"/>
              </w:rPr>
              <w:t>0kV变电站</w:t>
            </w:r>
            <w:r>
              <w:rPr>
                <w:rFonts w:hint="default" w:ascii="Times New Roman" w:hAnsi="Times New Roman" w:cs="Times New Roman"/>
                <w:color w:val="auto"/>
                <w:u w:val="single"/>
              </w:rPr>
              <w:t>内进行，本次</w:t>
            </w:r>
            <w:r>
              <w:rPr>
                <w:rFonts w:hint="eastAsia" w:cs="Times New Roman"/>
                <w:color w:val="auto"/>
                <w:u w:val="single"/>
                <w:lang w:val="en-US" w:eastAsia="zh-CN"/>
              </w:rPr>
              <w:t>扩建的</w:t>
            </w:r>
            <w:r>
              <w:rPr>
                <w:rFonts w:hint="default" w:ascii="Times New Roman" w:hAnsi="Times New Roman" w:cs="Times New Roman"/>
                <w:color w:val="auto"/>
                <w:u w:val="single"/>
              </w:rPr>
              <w:t>间隔已包含在</w:t>
            </w:r>
            <w:r>
              <w:rPr>
                <w:rFonts w:hint="eastAsia" w:cs="Times New Roman"/>
                <w:color w:val="auto"/>
                <w:u w:val="single"/>
                <w:lang w:eastAsia="zh-CN"/>
              </w:rPr>
              <w:t>“</w:t>
            </w:r>
            <w:r>
              <w:rPr>
                <w:rFonts w:hint="eastAsia"/>
                <w:color w:val="auto"/>
                <w:u w:val="single"/>
              </w:rPr>
              <w:t>巴中南江印合110千伏输变电工程</w:t>
            </w:r>
            <w:r>
              <w:rPr>
                <w:rFonts w:hint="eastAsia" w:cs="Times New Roman"/>
                <w:color w:val="auto"/>
                <w:u w:val="single"/>
                <w:lang w:eastAsia="zh-CN"/>
              </w:rPr>
              <w:t>”</w:t>
            </w:r>
            <w:r>
              <w:rPr>
                <w:rFonts w:hint="default" w:ascii="Times New Roman" w:hAnsi="Times New Roman" w:cs="Times New Roman"/>
                <w:color w:val="auto"/>
                <w:u w:val="single"/>
              </w:rPr>
              <w:t>环评报告评价规模内，因此，本次不再对</w:t>
            </w:r>
            <w:r>
              <w:rPr>
                <w:rFonts w:hint="eastAsia" w:cs="Times New Roman"/>
                <w:color w:val="auto"/>
                <w:u w:val="single"/>
                <w:lang w:val="en-US" w:eastAsia="zh-CN"/>
              </w:rPr>
              <w:t>印合11</w:t>
            </w:r>
            <w:r>
              <w:rPr>
                <w:rFonts w:hint="default" w:ascii="Times New Roman" w:hAnsi="Times New Roman" w:cs="Times New Roman"/>
                <w:color w:val="auto"/>
                <w:u w:val="single"/>
                <w:lang w:val="en-US" w:eastAsia="zh-CN"/>
              </w:rPr>
              <w:t>0kV变电站</w:t>
            </w:r>
            <w:r>
              <w:rPr>
                <w:rFonts w:hint="default" w:ascii="Times New Roman" w:hAnsi="Times New Roman" w:cs="Times New Roman"/>
                <w:color w:val="auto"/>
                <w:u w:val="single"/>
              </w:rPr>
              <w:t>进行重复评价</w:t>
            </w:r>
            <w:r>
              <w:rPr>
                <w:rFonts w:hint="default" w:ascii="Times New Roman" w:hAnsi="Times New Roman" w:cs="Times New Roman"/>
                <w:color w:val="auto"/>
                <w:highlight w:val="none"/>
                <w:u w:val="single"/>
              </w:rPr>
              <w:t>。</w:t>
            </w:r>
          </w:p>
          <w:p w14:paraId="6CE64DC2">
            <w:pPr>
              <w:numPr>
                <w:ilvl w:val="0"/>
                <w:numId w:val="0"/>
              </w:numPr>
              <w:spacing w:line="360" w:lineRule="auto"/>
              <w:ind w:firstLine="422" w:firstLineChars="200"/>
              <w:rPr>
                <w:rFonts w:hint="default" w:ascii="Times New Roman" w:hAnsi="Times New Roman" w:cs="Times New Roman"/>
                <w:b/>
                <w:color w:val="auto"/>
                <w:szCs w:val="21"/>
                <w:lang w:eastAsia="zh-CN"/>
              </w:rPr>
            </w:pPr>
            <w:r>
              <w:rPr>
                <w:rFonts w:hint="default" w:ascii="Times New Roman" w:hAnsi="Times New Roman" w:cs="Times New Roman"/>
                <w:b/>
                <w:color w:val="auto"/>
                <w:szCs w:val="21"/>
              </w:rPr>
              <w:t>3、</w:t>
            </w:r>
            <w:r>
              <w:rPr>
                <w:rFonts w:hint="eastAsia" w:cs="Times New Roman"/>
                <w:b/>
                <w:color w:val="auto"/>
                <w:szCs w:val="21"/>
                <w:lang w:val="en-US" w:eastAsia="zh-CN"/>
              </w:rPr>
              <w:t>盘兴220kV变电站二次完善工程</w:t>
            </w:r>
          </w:p>
          <w:p w14:paraId="52E5D6FA">
            <w:pPr>
              <w:spacing w:line="360" w:lineRule="auto"/>
              <w:ind w:firstLine="420" w:firstLineChars="200"/>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盘兴</w:t>
            </w:r>
            <w:r>
              <w:rPr>
                <w:rFonts w:hint="default" w:ascii="Times New Roman" w:hAnsi="Times New Roman" w:eastAsia="宋体" w:cs="Times New Roman"/>
                <w:color w:val="auto"/>
                <w:kern w:val="2"/>
                <w:sz w:val="21"/>
                <w:szCs w:val="21"/>
                <w:lang w:val="en-US" w:eastAsia="zh-CN" w:bidi="ar-SA"/>
              </w:rPr>
              <w:t>220</w:t>
            </w:r>
            <w:r>
              <w:rPr>
                <w:rFonts w:hint="default" w:ascii="Times New Roman" w:hAnsi="Times New Roman" w:cs="Times New Roman"/>
                <w:color w:val="auto"/>
                <w:kern w:val="2"/>
                <w:sz w:val="21"/>
                <w:szCs w:val="21"/>
                <w:lang w:val="en-US" w:eastAsia="zh-CN" w:bidi="ar-SA"/>
              </w:rPr>
              <w:t>kV</w:t>
            </w:r>
            <w:r>
              <w:rPr>
                <w:rFonts w:hint="default" w:ascii="Times New Roman" w:hAnsi="Times New Roman" w:eastAsia="宋体" w:cs="Times New Roman"/>
                <w:color w:val="auto"/>
                <w:kern w:val="2"/>
                <w:sz w:val="21"/>
                <w:szCs w:val="21"/>
                <w:lang w:val="en-US" w:eastAsia="zh-CN" w:bidi="ar-SA"/>
              </w:rPr>
              <w:t>变电站</w:t>
            </w:r>
            <w:r>
              <w:rPr>
                <w:rFonts w:hint="default" w:ascii="Times New Roman" w:hAnsi="Times New Roman" w:eastAsia="宋体" w:cs="Times New Roman"/>
                <w:color w:val="auto"/>
                <w:kern w:val="2"/>
                <w:sz w:val="21"/>
                <w:szCs w:val="21"/>
                <w:u w:val="none"/>
                <w:lang w:val="en-US" w:eastAsia="zh-CN" w:bidi="ar-SA"/>
              </w:rPr>
              <w:t>位于巴中市巴州区回风街道</w:t>
            </w:r>
            <w:r>
              <w:rPr>
                <w:rFonts w:hint="eastAsia" w:cs="Times New Roman"/>
                <w:color w:val="auto"/>
                <w:kern w:val="2"/>
                <w:sz w:val="21"/>
                <w:szCs w:val="21"/>
                <w:u w:val="none"/>
                <w:lang w:val="en-US" w:eastAsia="zh-CN" w:bidi="ar-SA"/>
              </w:rPr>
              <w:t>八王</w:t>
            </w:r>
            <w:r>
              <w:rPr>
                <w:rFonts w:hint="default" w:ascii="Times New Roman" w:hAnsi="Times New Roman" w:eastAsia="宋体" w:cs="Times New Roman"/>
                <w:color w:val="auto"/>
                <w:kern w:val="2"/>
                <w:sz w:val="21"/>
                <w:szCs w:val="21"/>
                <w:u w:val="none"/>
                <w:lang w:val="en-US" w:eastAsia="zh-CN" w:bidi="ar-SA"/>
              </w:rPr>
              <w:t>村</w:t>
            </w:r>
            <w:r>
              <w:rPr>
                <w:rFonts w:hint="eastAsia" w:ascii="Times New Roman" w:hAnsi="Times New Roman" w:eastAsia="宋体" w:cs="Times New Roman"/>
                <w:color w:val="auto"/>
                <w:kern w:val="2"/>
                <w:sz w:val="21"/>
                <w:szCs w:val="21"/>
                <w:u w:val="none"/>
                <w:lang w:val="en-US" w:eastAsia="zh-CN" w:bidi="ar-SA"/>
              </w:rPr>
              <w:t>3组</w:t>
            </w:r>
            <w:r>
              <w:rPr>
                <w:rFonts w:hint="default" w:ascii="Times New Roman" w:hAnsi="Times New Roman" w:eastAsia="宋体" w:cs="Times New Roman"/>
                <w:color w:val="auto"/>
                <w:kern w:val="2"/>
                <w:sz w:val="21"/>
                <w:szCs w:val="21"/>
                <w:u w:val="none"/>
                <w:lang w:val="en-US" w:eastAsia="zh-CN" w:bidi="ar-SA"/>
              </w:rPr>
              <w:t>已建盘兴220kV变电站内</w:t>
            </w:r>
            <w:r>
              <w:rPr>
                <w:rFonts w:hint="default" w:ascii="Times New Roman" w:hAnsi="Times New Roman" w:cs="Times New Roman"/>
                <w:bCs/>
                <w:color w:val="auto"/>
                <w:szCs w:val="21"/>
              </w:rPr>
              <w:t>，</w:t>
            </w:r>
            <w:r>
              <w:rPr>
                <w:rFonts w:hint="default" w:ascii="Times New Roman" w:hAnsi="Times New Roman" w:cs="Times New Roman"/>
                <w:bCs/>
                <w:color w:val="auto"/>
                <w:szCs w:val="21"/>
                <w:lang w:val="en-US" w:eastAsia="zh-CN"/>
              </w:rPr>
              <w:t>本次利用</w:t>
            </w:r>
            <w:r>
              <w:rPr>
                <w:rFonts w:hint="eastAsia" w:cs="Times New Roman"/>
                <w:bCs/>
                <w:color w:val="auto"/>
                <w:szCs w:val="21"/>
                <w:lang w:val="en-US" w:eastAsia="zh-CN"/>
              </w:rPr>
              <w:t>盘兴</w:t>
            </w:r>
            <w:r>
              <w:rPr>
                <w:rFonts w:hint="default" w:ascii="Times New Roman" w:hAnsi="Times New Roman" w:cs="Times New Roman"/>
                <w:bCs/>
                <w:color w:val="auto"/>
                <w:szCs w:val="21"/>
                <w:lang w:val="en-US" w:eastAsia="zh-CN"/>
              </w:rPr>
              <w:t>220</w:t>
            </w:r>
            <w:r>
              <w:rPr>
                <w:rFonts w:hint="default" w:ascii="Times New Roman" w:hAnsi="Times New Roman" w:cs="Times New Roman"/>
                <w:color w:val="auto"/>
                <w:kern w:val="2"/>
                <w:sz w:val="21"/>
                <w:szCs w:val="21"/>
                <w:lang w:val="en-US" w:eastAsia="zh-CN" w:bidi="ar-SA"/>
              </w:rPr>
              <w:t>kV</w:t>
            </w:r>
            <w:r>
              <w:rPr>
                <w:rFonts w:hint="default" w:ascii="Times New Roman" w:hAnsi="Times New Roman" w:cs="Times New Roman"/>
                <w:bCs/>
                <w:color w:val="auto"/>
                <w:szCs w:val="21"/>
                <w:lang w:val="en-US" w:eastAsia="zh-CN"/>
              </w:rPr>
              <w:t>变电站110</w:t>
            </w:r>
            <w:r>
              <w:rPr>
                <w:rFonts w:hint="default" w:ascii="Times New Roman" w:hAnsi="Times New Roman" w:cs="Times New Roman"/>
                <w:color w:val="auto"/>
                <w:kern w:val="2"/>
                <w:sz w:val="21"/>
                <w:szCs w:val="21"/>
                <w:lang w:val="en-US" w:eastAsia="zh-CN" w:bidi="ar-SA"/>
              </w:rPr>
              <w:t>kV备用出线间隔，仅完善间隔内出线侧引下线。</w:t>
            </w:r>
          </w:p>
          <w:p w14:paraId="7A4BAF11">
            <w:pPr>
              <w:spacing w:line="360" w:lineRule="auto"/>
              <w:ind w:firstLine="420" w:firstLineChars="200"/>
              <w:rPr>
                <w:rFonts w:hint="default" w:ascii="Times New Roman" w:hAnsi="Times New Roman" w:cs="Times New Roman"/>
                <w:color w:val="FF0000"/>
                <w:kern w:val="2"/>
                <w:sz w:val="21"/>
                <w:szCs w:val="21"/>
                <w:lang w:val="en-US" w:eastAsia="zh-CN" w:bidi="ar-SA"/>
              </w:rPr>
            </w:pPr>
            <w:r>
              <w:rPr>
                <w:rFonts w:hint="eastAsia" w:cs="Times New Roman"/>
                <w:bCs/>
                <w:color w:val="auto"/>
                <w:szCs w:val="21"/>
                <w:lang w:val="en-US" w:eastAsia="zh-CN"/>
              </w:rPr>
              <w:t>2025年9月，巴中市生态环境局以“巴环境审〔2025〕41号”文对巴中城西（盘兴）220千伏变电站主变扩建工程进行了批复，批复规模为扩建1×240MVA主变、扩建2个220kV出线间隔、扩建1个110kV出线间隔。目前巴中盘兴220千伏变电站主变扩建工程暂未开工建设</w:t>
            </w:r>
            <w:r>
              <w:rPr>
                <w:rFonts w:hint="default" w:ascii="Times New Roman" w:hAnsi="Times New Roman" w:cs="Times New Roman"/>
                <w:bCs/>
                <w:color w:val="auto"/>
                <w:szCs w:val="21"/>
                <w:lang w:val="en-US" w:eastAsia="zh-CN"/>
              </w:rPr>
              <w:t>。</w:t>
            </w:r>
          </w:p>
          <w:p w14:paraId="7CF882B8">
            <w:pPr>
              <w:tabs>
                <w:tab w:val="left" w:pos="3240"/>
              </w:tabs>
              <w:spacing w:line="360" w:lineRule="auto"/>
              <w:ind w:firstLine="420" w:firstLineChars="200"/>
              <w:rPr>
                <w:rFonts w:hint="default" w:ascii="Times New Roman" w:hAnsi="Times New Roman" w:cs="Times New Roman"/>
                <w:color w:val="auto"/>
                <w:szCs w:val="21"/>
                <w:u w:val="single"/>
                <w:lang w:val="en-US" w:eastAsia="zh-CN"/>
              </w:rPr>
            </w:pPr>
            <w:r>
              <w:rPr>
                <w:rFonts w:hint="default" w:ascii="Times New Roman" w:hAnsi="Times New Roman" w:cs="Times New Roman"/>
                <w:color w:val="auto"/>
                <w:highlight w:val="none"/>
                <w:u w:val="single"/>
              </w:rPr>
              <w:t>本次</w:t>
            </w:r>
            <w:r>
              <w:rPr>
                <w:rFonts w:hint="eastAsia" w:cs="Times New Roman"/>
                <w:color w:val="auto"/>
                <w:highlight w:val="none"/>
                <w:u w:val="single"/>
                <w:lang w:val="en-US" w:eastAsia="zh-CN"/>
              </w:rPr>
              <w:t>二次完善</w:t>
            </w:r>
            <w:r>
              <w:rPr>
                <w:rFonts w:hint="default" w:ascii="Times New Roman" w:hAnsi="Times New Roman" w:cs="Times New Roman"/>
                <w:color w:val="auto"/>
                <w:highlight w:val="none"/>
                <w:u w:val="single"/>
              </w:rPr>
              <w:t>工程在</w:t>
            </w:r>
            <w:r>
              <w:rPr>
                <w:rFonts w:hint="eastAsia" w:cs="Times New Roman"/>
                <w:color w:val="auto"/>
                <w:highlight w:val="none"/>
                <w:u w:val="single"/>
                <w:lang w:val="en-US" w:eastAsia="zh-CN"/>
              </w:rPr>
              <w:t>已建盘兴</w:t>
            </w:r>
            <w:r>
              <w:rPr>
                <w:rFonts w:hint="default" w:ascii="Times New Roman" w:hAnsi="Times New Roman" w:cs="Times New Roman"/>
                <w:color w:val="auto"/>
                <w:highlight w:val="none"/>
                <w:u w:val="single"/>
                <w:lang w:val="en-US" w:eastAsia="zh-CN"/>
              </w:rPr>
              <w:t>22</w:t>
            </w:r>
            <w:r>
              <w:rPr>
                <w:rFonts w:hint="default" w:ascii="Times New Roman" w:hAnsi="Times New Roman" w:cs="Times New Roman"/>
                <w:color w:val="auto"/>
                <w:szCs w:val="21"/>
                <w:u w:val="single"/>
                <w:lang w:val="en-US" w:eastAsia="zh-CN"/>
              </w:rPr>
              <w:t>0</w:t>
            </w:r>
            <w:r>
              <w:rPr>
                <w:rFonts w:hint="default" w:ascii="Times New Roman" w:hAnsi="Times New Roman" w:cs="Times New Roman"/>
                <w:color w:val="auto"/>
                <w:kern w:val="2"/>
                <w:sz w:val="21"/>
                <w:szCs w:val="21"/>
                <w:u w:val="single"/>
                <w:lang w:val="en-US" w:eastAsia="zh-CN" w:bidi="ar-SA"/>
              </w:rPr>
              <w:t>kV</w:t>
            </w:r>
            <w:r>
              <w:rPr>
                <w:rFonts w:hint="default" w:ascii="Times New Roman" w:hAnsi="Times New Roman" w:cs="Times New Roman"/>
                <w:color w:val="auto"/>
                <w:highlight w:val="none"/>
                <w:u w:val="single"/>
              </w:rPr>
              <w:t>变电站内进行</w:t>
            </w:r>
            <w:r>
              <w:rPr>
                <w:rFonts w:hint="default" w:ascii="Times New Roman" w:hAnsi="Times New Roman" w:cs="Times New Roman"/>
                <w:color w:val="auto"/>
                <w:highlight w:val="none"/>
                <w:u w:val="single"/>
                <w:lang w:eastAsia="zh-CN"/>
              </w:rPr>
              <w:t>，</w:t>
            </w:r>
            <w:r>
              <w:rPr>
                <w:rFonts w:hint="default" w:ascii="Times New Roman" w:hAnsi="Times New Roman" w:cs="Times New Roman"/>
                <w:bCs/>
                <w:color w:val="auto"/>
                <w:szCs w:val="21"/>
                <w:highlight w:val="none"/>
                <w:u w:val="single"/>
              </w:rPr>
              <w:t>本次</w:t>
            </w:r>
            <w:r>
              <w:rPr>
                <w:rFonts w:hint="eastAsia" w:cs="Times New Roman"/>
                <w:bCs/>
                <w:color w:val="auto"/>
                <w:szCs w:val="21"/>
                <w:highlight w:val="none"/>
                <w:u w:val="single"/>
                <w:lang w:val="en-US" w:eastAsia="zh-CN"/>
              </w:rPr>
              <w:t>完善的</w:t>
            </w:r>
            <w:r>
              <w:rPr>
                <w:rFonts w:hint="default" w:ascii="Times New Roman" w:hAnsi="Times New Roman" w:cs="Times New Roman"/>
                <w:bCs/>
                <w:color w:val="auto"/>
                <w:szCs w:val="21"/>
                <w:highlight w:val="none"/>
                <w:u w:val="single"/>
              </w:rPr>
              <w:t>间隔已包含在</w:t>
            </w:r>
            <w:r>
              <w:rPr>
                <w:rFonts w:hint="eastAsia" w:cs="Times New Roman"/>
                <w:bCs/>
                <w:color w:val="auto"/>
                <w:szCs w:val="21"/>
                <w:highlight w:val="none"/>
                <w:u w:val="single"/>
                <w:lang w:eastAsia="zh-CN"/>
              </w:rPr>
              <w:t>“</w:t>
            </w:r>
            <w:r>
              <w:rPr>
                <w:rFonts w:hint="eastAsia" w:cs="Times New Roman"/>
                <w:bCs/>
                <w:color w:val="auto"/>
                <w:szCs w:val="21"/>
                <w:lang w:val="en-US" w:eastAsia="zh-CN"/>
              </w:rPr>
              <w:t>巴中城西（盘兴）220千伏变电站主变扩建工程”</w:t>
            </w:r>
            <w:r>
              <w:rPr>
                <w:rFonts w:hint="default" w:ascii="Times New Roman" w:hAnsi="Times New Roman" w:cs="Times New Roman"/>
                <w:bCs/>
                <w:color w:val="auto"/>
                <w:szCs w:val="21"/>
                <w:highlight w:val="none"/>
                <w:u w:val="single"/>
              </w:rPr>
              <w:t>环评报告评价规模内，</w:t>
            </w:r>
            <w:r>
              <w:rPr>
                <w:rFonts w:hint="default" w:ascii="Times New Roman" w:hAnsi="Times New Roman" w:cs="Times New Roman"/>
                <w:color w:val="auto"/>
                <w:u w:val="single"/>
              </w:rPr>
              <w:t>因此，本次不再对</w:t>
            </w:r>
            <w:r>
              <w:rPr>
                <w:rFonts w:hint="eastAsia" w:cs="Times New Roman"/>
                <w:color w:val="auto"/>
                <w:u w:val="single"/>
                <w:lang w:val="en-US" w:eastAsia="zh-CN"/>
              </w:rPr>
              <w:t>盘兴</w:t>
            </w:r>
            <w:r>
              <w:rPr>
                <w:rFonts w:hint="default" w:ascii="Times New Roman" w:hAnsi="Times New Roman" w:cs="Times New Roman"/>
                <w:color w:val="auto"/>
                <w:u w:val="single"/>
                <w:lang w:val="en-US" w:eastAsia="zh-CN"/>
              </w:rPr>
              <w:t>220kV变电站</w:t>
            </w:r>
            <w:r>
              <w:rPr>
                <w:rFonts w:hint="default" w:ascii="Times New Roman" w:hAnsi="Times New Roman" w:cs="Times New Roman"/>
                <w:color w:val="auto"/>
                <w:u w:val="single"/>
              </w:rPr>
              <w:t>进行重复评价。</w:t>
            </w:r>
          </w:p>
          <w:p w14:paraId="1AFD1747">
            <w:pPr>
              <w:spacing w:line="360" w:lineRule="auto"/>
              <w:ind w:firstLine="422" w:firstLineChars="200"/>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lang w:val="en-US" w:eastAsia="zh-CN"/>
              </w:rPr>
              <w:t>4</w:t>
            </w:r>
            <w:r>
              <w:rPr>
                <w:rFonts w:hint="default" w:ascii="Times New Roman" w:hAnsi="Times New Roman" w:cs="Times New Roman"/>
                <w:b/>
                <w:color w:val="auto"/>
                <w:szCs w:val="21"/>
              </w:rPr>
              <w:t>、</w:t>
            </w:r>
            <w:r>
              <w:rPr>
                <w:rFonts w:hint="eastAsia" w:cs="Times New Roman"/>
                <w:b/>
                <w:color w:val="auto"/>
                <w:szCs w:val="21"/>
                <w:lang w:val="en-US" w:eastAsia="zh-CN"/>
              </w:rPr>
              <w:t>盘兴</w:t>
            </w:r>
            <w:r>
              <w:rPr>
                <w:rFonts w:hint="default" w:ascii="Times New Roman" w:hAnsi="Times New Roman" w:cs="Times New Roman"/>
                <w:b/>
                <w:color w:val="auto"/>
                <w:szCs w:val="21"/>
                <w:lang w:eastAsia="zh-CN"/>
              </w:rPr>
              <w:t>～</w:t>
            </w:r>
            <w:r>
              <w:rPr>
                <w:rFonts w:hint="eastAsia" w:cs="Times New Roman"/>
                <w:b/>
                <w:color w:val="auto"/>
                <w:szCs w:val="21"/>
                <w:lang w:val="en-US" w:eastAsia="zh-CN"/>
              </w:rPr>
              <w:t>司城</w:t>
            </w:r>
            <w:r>
              <w:rPr>
                <w:rFonts w:hint="default" w:ascii="Times New Roman" w:hAnsi="Times New Roman" w:cs="Times New Roman"/>
                <w:b/>
                <w:color w:val="auto"/>
                <w:szCs w:val="21"/>
                <w:lang w:eastAsia="zh-CN"/>
              </w:rPr>
              <w:t>110</w:t>
            </w:r>
            <w:r>
              <w:rPr>
                <w:rFonts w:hint="default" w:ascii="Times New Roman" w:hAnsi="Times New Roman" w:cs="Times New Roman"/>
                <w:b/>
                <w:color w:val="auto"/>
                <w:szCs w:val="21"/>
                <w:lang w:val="en-US" w:eastAsia="zh-CN"/>
              </w:rPr>
              <w:t>kV</w:t>
            </w:r>
            <w:r>
              <w:rPr>
                <w:rFonts w:hint="default" w:ascii="Times New Roman" w:hAnsi="Times New Roman" w:cs="Times New Roman"/>
                <w:b/>
                <w:color w:val="auto"/>
                <w:szCs w:val="21"/>
                <w:lang w:eastAsia="zh-CN"/>
              </w:rPr>
              <w:t>线路工程（线路Ⅰ）</w:t>
            </w:r>
          </w:p>
          <w:p w14:paraId="48AE8A0C">
            <w:pPr>
              <w:spacing w:line="360" w:lineRule="auto"/>
              <w:ind w:firstLine="420" w:firstLineChars="200"/>
              <w:rPr>
                <w:rFonts w:hint="default" w:ascii="Times New Roman" w:hAnsi="Times New Roman" w:cs="Times New Roman"/>
                <w:bCs/>
                <w:color w:val="auto"/>
                <w:szCs w:val="21"/>
              </w:rPr>
            </w:pPr>
            <w:r>
              <w:rPr>
                <w:rFonts w:hint="default" w:ascii="Times New Roman" w:hAnsi="Times New Roman" w:cs="Times New Roman"/>
                <w:bCs/>
                <w:color w:val="auto"/>
                <w:szCs w:val="21"/>
              </w:rPr>
              <w:t>（1）线路工程</w:t>
            </w:r>
          </w:p>
          <w:p w14:paraId="307ABE03">
            <w:pPr>
              <w:spacing w:line="360" w:lineRule="auto"/>
              <w:ind w:firstLine="420" w:firstLineChars="200"/>
              <w:rPr>
                <w:rFonts w:hint="eastAsia"/>
                <w:bCs/>
                <w:color w:val="auto"/>
                <w:szCs w:val="21"/>
              </w:rPr>
            </w:pPr>
            <w:r>
              <w:rPr>
                <w:rFonts w:hint="default" w:ascii="Times New Roman" w:hAnsi="Times New Roman" w:cs="Times New Roman"/>
                <w:bCs/>
                <w:color w:val="auto"/>
                <w:szCs w:val="21"/>
                <w:lang w:val="en-US" w:eastAsia="zh-CN"/>
              </w:rPr>
              <w:t>全线起于</w:t>
            </w:r>
            <w:r>
              <w:rPr>
                <w:rFonts w:hint="eastAsia" w:cs="Times New Roman"/>
                <w:bCs/>
                <w:color w:val="auto"/>
                <w:szCs w:val="21"/>
                <w:lang w:val="en-US" w:eastAsia="zh-CN"/>
              </w:rPr>
              <w:t>盘兴</w:t>
            </w:r>
            <w:r>
              <w:rPr>
                <w:rFonts w:hint="default" w:ascii="Times New Roman" w:hAnsi="Times New Roman" w:cs="Times New Roman"/>
                <w:bCs/>
                <w:color w:val="auto"/>
                <w:szCs w:val="21"/>
                <w:lang w:val="en-US" w:eastAsia="zh-CN"/>
              </w:rPr>
              <w:t>220kV变电站</w:t>
            </w:r>
            <w:r>
              <w:rPr>
                <w:rFonts w:hint="default" w:ascii="Times New Roman" w:hAnsi="Times New Roman" w:cs="Times New Roman"/>
                <w:color w:val="auto"/>
                <w:szCs w:val="21"/>
              </w:rPr>
              <w:t>拟建</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w:t>
            </w:r>
            <w:r>
              <w:rPr>
                <w:rFonts w:hint="default" w:ascii="Times New Roman" w:hAnsi="Times New Roman" w:cs="Times New Roman"/>
                <w:bCs/>
                <w:color w:val="auto"/>
                <w:szCs w:val="21"/>
                <w:lang w:val="en-US" w:eastAsia="zh-CN"/>
              </w:rPr>
              <w:t>出线</w:t>
            </w:r>
            <w:r>
              <w:rPr>
                <w:rFonts w:hint="default" w:ascii="Times New Roman" w:hAnsi="Times New Roman" w:cs="Times New Roman"/>
                <w:color w:val="auto"/>
                <w:szCs w:val="21"/>
              </w:rPr>
              <w:t>间隔</w:t>
            </w:r>
            <w:r>
              <w:rPr>
                <w:rFonts w:hint="default" w:ascii="Times New Roman" w:hAnsi="Times New Roman" w:cs="Times New Roman"/>
                <w:bCs/>
                <w:color w:val="auto"/>
                <w:szCs w:val="21"/>
                <w:lang w:eastAsia="zh-CN"/>
              </w:rPr>
              <w:t>，</w:t>
            </w:r>
            <w:r>
              <w:rPr>
                <w:rFonts w:hint="default" w:ascii="Times New Roman" w:hAnsi="Times New Roman" w:cs="Times New Roman"/>
                <w:bCs/>
                <w:color w:val="auto"/>
                <w:szCs w:val="21"/>
              </w:rPr>
              <w:t>止于</w:t>
            </w:r>
            <w:r>
              <w:rPr>
                <w:rFonts w:hint="default" w:ascii="Times New Roman" w:hAnsi="Times New Roman" w:cs="Times New Roman"/>
                <w:bCs/>
                <w:color w:val="auto"/>
                <w:szCs w:val="21"/>
                <w:lang w:val="en-US" w:eastAsia="zh-CN"/>
              </w:rPr>
              <w:t>拟建</w:t>
            </w:r>
            <w:r>
              <w:rPr>
                <w:rFonts w:hint="eastAsia" w:cs="Times New Roman"/>
                <w:bCs/>
                <w:color w:val="auto"/>
                <w:szCs w:val="21"/>
                <w:lang w:val="en-US" w:eastAsia="zh-CN"/>
              </w:rPr>
              <w:t>司城</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0kV变电站</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0kV侧进线构架，</w:t>
            </w:r>
            <w:r>
              <w:rPr>
                <w:rFonts w:hint="default" w:ascii="Times New Roman" w:hAnsi="Times New Roman" w:cs="Times New Roman"/>
                <w:bCs/>
                <w:color w:val="auto"/>
                <w:szCs w:val="21"/>
                <w:lang w:eastAsia="zh-CN"/>
              </w:rPr>
              <w:t>线路长度约</w:t>
            </w:r>
            <w:r>
              <w:rPr>
                <w:rFonts w:hint="eastAsia" w:cs="Times New Roman"/>
                <w:bCs/>
                <w:color w:val="auto"/>
                <w:szCs w:val="21"/>
                <w:lang w:val="en-US" w:eastAsia="zh-CN"/>
              </w:rPr>
              <w:t>15</w:t>
            </w:r>
            <w:r>
              <w:rPr>
                <w:rFonts w:hint="default" w:ascii="Times New Roman" w:hAnsi="Times New Roman" w:cs="Times New Roman"/>
                <w:bCs/>
                <w:color w:val="auto"/>
                <w:szCs w:val="21"/>
                <w:lang w:val="en-US" w:eastAsia="zh-CN"/>
              </w:rPr>
              <w:t>km</w:t>
            </w:r>
            <w:r>
              <w:rPr>
                <w:rFonts w:hint="eastAsia" w:cs="Times New Roman"/>
                <w:bCs/>
                <w:color w:val="auto"/>
                <w:szCs w:val="21"/>
                <w:lang w:val="en-US" w:eastAsia="zh-CN"/>
              </w:rPr>
              <w:t>（0.3km+10km+4.7km）</w:t>
            </w:r>
            <w:r>
              <w:rPr>
                <w:rFonts w:hint="default" w:ascii="Times New Roman" w:hAnsi="Times New Roman" w:cs="Times New Roman"/>
                <w:bCs/>
                <w:color w:val="auto"/>
                <w:szCs w:val="21"/>
                <w:lang w:val="en-US" w:eastAsia="zh-CN"/>
              </w:rPr>
              <w:t>，</w:t>
            </w:r>
            <w:r>
              <w:rPr>
                <w:rFonts w:hint="eastAsia"/>
                <w:bCs/>
                <w:color w:val="auto"/>
                <w:szCs w:val="21"/>
                <w:lang w:val="en-US" w:eastAsia="zh-CN"/>
              </w:rPr>
              <w:t>其中新建双回塔单边挂线段约0.3km，新建三角排列段线路约10km，利旧段（利旧已建杆塔挂线）线路约4.7km</w:t>
            </w:r>
            <w:r>
              <w:rPr>
                <w:rFonts w:hint="eastAsia"/>
                <w:bCs/>
                <w:color w:val="auto"/>
                <w:szCs w:val="21"/>
              </w:rPr>
              <w:t>。</w:t>
            </w:r>
            <w:r>
              <w:rPr>
                <w:rFonts w:hint="eastAsia"/>
                <w:bCs/>
                <w:color w:val="auto"/>
                <w:szCs w:val="21"/>
                <w:lang w:val="en-US" w:eastAsia="zh-CN"/>
              </w:rPr>
              <w:t>导线采用</w:t>
            </w:r>
            <w:r>
              <w:rPr>
                <w:rFonts w:hint="default" w:ascii="Times New Roman" w:hAnsi="Times New Roman" w:cs="Times New Roman"/>
                <w:bCs/>
                <w:color w:val="auto"/>
                <w:szCs w:val="21"/>
                <w:lang w:val="en-US" w:eastAsia="zh-CN"/>
              </w:rPr>
              <w:t>2×JL3/G1A-240/30型钢芯高导电率铝绞线</w:t>
            </w:r>
            <w:r>
              <w:rPr>
                <w:rFonts w:hint="default" w:ascii="Times New Roman" w:hAnsi="Times New Roman" w:cs="Times New Roman"/>
                <w:bCs/>
                <w:color w:val="auto"/>
                <w:szCs w:val="21"/>
                <w:lang w:eastAsia="zh-CN"/>
              </w:rPr>
              <w:t>，</w:t>
            </w:r>
            <w:r>
              <w:rPr>
                <w:rFonts w:hint="default" w:ascii="Times New Roman" w:hAnsi="Times New Roman" w:cs="Times New Roman"/>
                <w:bCs/>
                <w:color w:val="auto"/>
                <w:szCs w:val="21"/>
                <w:lang w:val="en-US" w:eastAsia="zh-CN"/>
              </w:rPr>
              <w:t>双</w:t>
            </w:r>
            <w:r>
              <w:rPr>
                <w:rFonts w:hint="default" w:ascii="Times New Roman" w:hAnsi="Times New Roman" w:cs="Times New Roman"/>
                <w:bCs/>
                <w:color w:val="auto"/>
                <w:szCs w:val="21"/>
              </w:rPr>
              <w:t>分裂</w:t>
            </w:r>
            <w:r>
              <w:rPr>
                <w:rFonts w:hint="default" w:ascii="Times New Roman" w:hAnsi="Times New Roman" w:cs="Times New Roman"/>
                <w:bCs/>
                <w:color w:val="auto"/>
                <w:szCs w:val="21"/>
                <w:lang w:eastAsia="zh-CN"/>
              </w:rPr>
              <w:t>，</w:t>
            </w:r>
            <w:r>
              <w:rPr>
                <w:rFonts w:hint="default" w:ascii="Times New Roman" w:hAnsi="Times New Roman" w:cs="Times New Roman"/>
                <w:bCs/>
                <w:color w:val="auto"/>
                <w:szCs w:val="21"/>
                <w:lang w:val="en-US" w:eastAsia="zh-CN"/>
              </w:rPr>
              <w:t>分裂间距400mm，</w:t>
            </w:r>
            <w:r>
              <w:rPr>
                <w:rFonts w:hint="default" w:ascii="Times New Roman" w:hAnsi="Times New Roman" w:cs="Times New Roman"/>
                <w:bCs/>
                <w:color w:val="auto"/>
                <w:szCs w:val="21"/>
                <w:lang w:eastAsia="zh-CN"/>
              </w:rPr>
              <w:t>设计输送</w:t>
            </w:r>
            <w:r>
              <w:rPr>
                <w:rFonts w:hint="default" w:ascii="Times New Roman" w:hAnsi="Times New Roman" w:cs="Times New Roman"/>
                <w:bCs/>
                <w:color w:val="auto"/>
                <w:szCs w:val="21"/>
                <w:highlight w:val="none"/>
                <w:lang w:eastAsia="zh-CN"/>
              </w:rPr>
              <w:t>电流</w:t>
            </w:r>
            <w:r>
              <w:rPr>
                <w:rFonts w:hint="default" w:ascii="Times New Roman" w:hAnsi="Times New Roman" w:cs="Times New Roman"/>
                <w:bCs/>
                <w:color w:val="auto"/>
                <w:szCs w:val="21"/>
                <w:highlight w:val="none"/>
                <w:lang w:val="en-US" w:eastAsia="zh-CN"/>
              </w:rPr>
              <w:t>均为</w:t>
            </w:r>
            <w:r>
              <w:rPr>
                <w:rFonts w:hint="eastAsia" w:cs="Times New Roman"/>
                <w:bCs/>
                <w:color w:val="auto"/>
                <w:szCs w:val="21"/>
                <w:highlight w:val="none"/>
                <w:lang w:val="en-US" w:eastAsia="zh-CN"/>
              </w:rPr>
              <w:t>1160A</w:t>
            </w:r>
            <w:r>
              <w:rPr>
                <w:rFonts w:hint="default" w:ascii="Times New Roman" w:hAnsi="Times New Roman" w:cs="Times New Roman"/>
                <w:bCs/>
                <w:color w:val="auto"/>
                <w:szCs w:val="21"/>
                <w:highlight w:val="none"/>
                <w:lang w:val="en-US" w:eastAsia="zh-CN"/>
              </w:rPr>
              <w:t>。</w:t>
            </w:r>
            <w:r>
              <w:rPr>
                <w:rFonts w:hint="default" w:ascii="Times New Roman" w:hAnsi="Times New Roman" w:cs="Times New Roman"/>
                <w:bCs/>
                <w:color w:val="auto"/>
                <w:szCs w:val="21"/>
                <w:lang w:val="en-US" w:eastAsia="zh-CN"/>
              </w:rPr>
              <w:t>具体情况如下：</w:t>
            </w:r>
          </w:p>
          <w:p w14:paraId="1659D438">
            <w:pPr>
              <w:spacing w:line="360" w:lineRule="auto"/>
              <w:ind w:firstLine="420" w:firstLineChars="200"/>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①</w:t>
            </w:r>
            <w:r>
              <w:rPr>
                <w:rFonts w:hint="default" w:ascii="Times New Roman" w:hAnsi="Times New Roman" w:cs="Times New Roman"/>
                <w:bCs/>
                <w:color w:val="auto"/>
                <w:szCs w:val="21"/>
                <w:lang w:val="en-US" w:eastAsia="zh-CN"/>
              </w:rPr>
              <w:t>线路Ⅰ双回塔单边挂线段：</w:t>
            </w:r>
            <w:r>
              <w:rPr>
                <w:rFonts w:hint="eastAsia"/>
                <w:bCs/>
                <w:color w:val="auto"/>
                <w:szCs w:val="21"/>
                <w:lang w:val="en-US" w:eastAsia="zh-CN"/>
              </w:rPr>
              <w:t>起于新建</w:t>
            </w:r>
            <w:r>
              <w:rPr>
                <w:rFonts w:hint="eastAsia" w:cs="Times New Roman"/>
                <w:bCs/>
                <w:color w:val="auto"/>
                <w:szCs w:val="21"/>
                <w:highlight w:val="none"/>
                <w:vertAlign w:val="baseline"/>
                <w:lang w:val="en-US" w:eastAsia="zh-CN"/>
              </w:rPr>
              <w:t>NA30#塔，止于</w:t>
            </w:r>
            <w:r>
              <w:rPr>
                <w:rFonts w:hint="eastAsia" w:cs="Times New Roman"/>
                <w:bCs/>
                <w:color w:val="auto"/>
                <w:szCs w:val="21"/>
                <w:lang w:val="en-US" w:eastAsia="zh-CN"/>
              </w:rPr>
              <w:t>司城</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0kV变电站</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0kV侧进线构架</w:t>
            </w:r>
            <w:r>
              <w:rPr>
                <w:rFonts w:hint="eastAsia" w:cs="Times New Roman"/>
                <w:bCs/>
                <w:color w:val="auto"/>
                <w:szCs w:val="21"/>
                <w:lang w:eastAsia="zh-CN"/>
              </w:rPr>
              <w:t>。</w:t>
            </w:r>
            <w:r>
              <w:rPr>
                <w:rFonts w:hint="eastAsia" w:cs="Times New Roman"/>
                <w:bCs/>
                <w:color w:val="auto"/>
                <w:szCs w:val="21"/>
                <w:lang w:val="en-US" w:eastAsia="zh-CN"/>
              </w:rPr>
              <w:t>线路路径</w:t>
            </w:r>
            <w:r>
              <w:rPr>
                <w:rFonts w:hint="default" w:ascii="Times New Roman" w:hAnsi="Times New Roman" w:cs="Times New Roman"/>
                <w:bCs/>
                <w:color w:val="auto"/>
                <w:szCs w:val="21"/>
                <w:lang w:val="en-US" w:eastAsia="zh-CN"/>
              </w:rPr>
              <w:t>长约</w:t>
            </w:r>
            <w:r>
              <w:rPr>
                <w:rFonts w:hint="eastAsia" w:cs="Times New Roman"/>
                <w:bCs/>
                <w:color w:val="auto"/>
                <w:szCs w:val="21"/>
                <w:lang w:val="en-US" w:eastAsia="zh-CN"/>
              </w:rPr>
              <w:t>0.3</w:t>
            </w:r>
            <w:r>
              <w:rPr>
                <w:rFonts w:hint="default" w:ascii="Times New Roman" w:hAnsi="Times New Roman" w:cs="Times New Roman"/>
                <w:bCs/>
                <w:color w:val="auto"/>
                <w:szCs w:val="21"/>
                <w:lang w:val="en-US" w:eastAsia="zh-CN"/>
              </w:rPr>
              <w:t>km，</w:t>
            </w:r>
            <w:r>
              <w:rPr>
                <w:rFonts w:hint="default" w:ascii="Times New Roman" w:hAnsi="Times New Roman" w:cs="Times New Roman"/>
                <w:bCs/>
                <w:color w:val="auto"/>
                <w:szCs w:val="21"/>
                <w:highlight w:val="none"/>
              </w:rPr>
              <w:t>双回塔单边</w:t>
            </w:r>
            <w:r>
              <w:rPr>
                <w:rFonts w:hint="eastAsia" w:cs="Times New Roman"/>
                <w:bCs/>
                <w:color w:val="auto"/>
                <w:szCs w:val="21"/>
                <w:highlight w:val="none"/>
                <w:lang w:val="en-US" w:eastAsia="zh-CN"/>
              </w:rPr>
              <w:t>右侧</w:t>
            </w:r>
            <w:r>
              <w:rPr>
                <w:rFonts w:hint="default" w:ascii="Times New Roman" w:hAnsi="Times New Roman" w:cs="Times New Roman"/>
                <w:bCs/>
                <w:color w:val="auto"/>
                <w:szCs w:val="21"/>
                <w:highlight w:val="none"/>
              </w:rPr>
              <w:t>挂线</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沿线路前进方向</w:t>
            </w:r>
            <w:r>
              <w:rPr>
                <w:rFonts w:hint="eastAsia" w:cs="Times New Roman"/>
                <w:bCs/>
                <w:color w:val="auto"/>
                <w:szCs w:val="21"/>
                <w:highlight w:val="none"/>
                <w:lang w:val="en-US" w:eastAsia="zh-CN"/>
              </w:rPr>
              <w:t>右侧挂线</w:t>
            </w:r>
            <w:r>
              <w:rPr>
                <w:rFonts w:hint="eastAsia"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另一侧预留</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lang w:val="en-US" w:eastAsia="zh-CN"/>
              </w:rPr>
              <w:t>。新建双回塔</w:t>
            </w:r>
            <w:r>
              <w:rPr>
                <w:rFonts w:hint="eastAsia" w:cs="Times New Roman"/>
                <w:bCs/>
                <w:color w:val="auto"/>
                <w:szCs w:val="21"/>
                <w:lang w:val="en-US" w:eastAsia="zh-CN"/>
              </w:rPr>
              <w:t>3</w:t>
            </w:r>
            <w:r>
              <w:rPr>
                <w:rFonts w:hint="default" w:ascii="Times New Roman" w:hAnsi="Times New Roman" w:cs="Times New Roman"/>
                <w:bCs/>
                <w:color w:val="auto"/>
                <w:szCs w:val="21"/>
                <w:lang w:val="en-US" w:eastAsia="zh-CN"/>
              </w:rPr>
              <w:t>基，</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单个塔基占地面积</w:t>
            </w:r>
            <w:r>
              <w:rPr>
                <w:rFonts w:hint="eastAsia" w:cs="Times New Roman"/>
                <w:bCs/>
                <w:color w:val="000000" w:themeColor="text1"/>
                <w:szCs w:val="21"/>
                <w:highlight w:val="none"/>
                <w:lang w:val="en-US" w:eastAsia="zh-CN"/>
                <w14:textFill>
                  <w14:solidFill>
                    <w14:schemeClr w14:val="tx1"/>
                  </w14:solidFill>
                </w14:textFill>
              </w:rPr>
              <w:t>约120</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m</w:t>
            </w:r>
            <w:r>
              <w:rPr>
                <w:rFonts w:hint="default" w:ascii="Times New Roman" w:hAnsi="Times New Roman" w:cs="Times New Roman"/>
                <w:bCs/>
                <w:color w:val="000000" w:themeColor="text1"/>
                <w:szCs w:val="21"/>
                <w:highlight w:val="none"/>
                <w:vertAlign w:val="superscript"/>
                <w:lang w:val="en-US" w:eastAsia="zh-CN"/>
                <w14:textFill>
                  <w14:solidFill>
                    <w14:schemeClr w14:val="tx1"/>
                  </w14:solidFill>
                </w14:textFill>
              </w:rPr>
              <w:t>2</w:t>
            </w:r>
            <w:r>
              <w:rPr>
                <w:rFonts w:hint="eastAsia" w:cs="Times New Roman"/>
                <w:bCs/>
                <w:color w:val="000000" w:themeColor="text1"/>
                <w:szCs w:val="21"/>
                <w:highlight w:val="none"/>
                <w:vertAlign w:val="baseline"/>
                <w:lang w:val="en-US" w:eastAsia="zh-CN"/>
                <w14:textFill>
                  <w14:solidFill>
                    <w14:schemeClr w14:val="tx1"/>
                  </w14:solidFill>
                </w14:textFill>
              </w:rPr>
              <w:t>，</w:t>
            </w:r>
            <w:r>
              <w:rPr>
                <w:rFonts w:hint="default" w:ascii="Times New Roman" w:hAnsi="Times New Roman" w:cs="Times New Roman"/>
                <w:bCs/>
                <w:color w:val="auto"/>
                <w:szCs w:val="21"/>
                <w:lang w:val="en-US" w:eastAsia="zh-CN"/>
              </w:rPr>
              <w:t>塔基</w:t>
            </w:r>
            <w:r>
              <w:rPr>
                <w:rFonts w:hint="default" w:ascii="Times New Roman" w:hAnsi="Times New Roman" w:cs="Times New Roman"/>
                <w:bCs/>
                <w:color w:val="auto"/>
                <w:szCs w:val="21"/>
                <w:highlight w:val="none"/>
                <w:lang w:val="en-US" w:eastAsia="zh-CN"/>
              </w:rPr>
              <w:t>总</w:t>
            </w:r>
            <w:r>
              <w:rPr>
                <w:rFonts w:hint="default" w:ascii="Times New Roman" w:hAnsi="Times New Roman" w:cs="Times New Roman"/>
                <w:bCs/>
                <w:color w:val="auto"/>
                <w:szCs w:val="21"/>
                <w:lang w:val="en-US" w:eastAsia="zh-CN"/>
              </w:rPr>
              <w:t>占地面积约</w:t>
            </w:r>
            <w:r>
              <w:rPr>
                <w:rFonts w:hint="eastAsia" w:cs="Times New Roman"/>
                <w:bCs/>
                <w:color w:val="auto"/>
                <w:szCs w:val="21"/>
                <w:lang w:val="en-US" w:eastAsia="zh-CN"/>
              </w:rPr>
              <w:t>360</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2</w:t>
            </w:r>
            <w:r>
              <w:rPr>
                <w:rFonts w:hint="default" w:ascii="Times New Roman" w:hAnsi="Times New Roman" w:cs="Times New Roman"/>
                <w:bCs/>
                <w:color w:val="auto"/>
                <w:szCs w:val="21"/>
              </w:rPr>
              <w:t>。</w:t>
            </w:r>
            <w:r>
              <w:rPr>
                <w:rFonts w:hint="default" w:ascii="Times New Roman" w:hAnsi="Times New Roman" w:cs="Times New Roman"/>
                <w:color w:val="auto"/>
                <w:szCs w:val="21"/>
                <w:highlight w:val="none"/>
              </w:rPr>
              <w:t>导线</w:t>
            </w:r>
            <w:r>
              <w:rPr>
                <w:rFonts w:hint="default" w:ascii="Times New Roman" w:hAnsi="Times New Roman" w:cs="Times New Roman"/>
                <w:color w:val="auto"/>
                <w:szCs w:val="21"/>
                <w:highlight w:val="none"/>
                <w:lang w:eastAsia="zh-CN"/>
              </w:rPr>
              <w:t>排列方式为垂直排列</w:t>
            </w:r>
            <w:r>
              <w:rPr>
                <w:rFonts w:hint="default" w:ascii="Times New Roman" w:hAnsi="Times New Roman" w:cs="Times New Roman"/>
                <w:bCs/>
                <w:color w:val="auto"/>
                <w:szCs w:val="21"/>
                <w:lang w:val="en-US" w:eastAsia="zh-CN"/>
              </w:rPr>
              <w:t>。</w:t>
            </w:r>
            <w:r>
              <w:rPr>
                <w:rFonts w:hint="default" w:ascii="Times New Roman" w:hAnsi="Times New Roman" w:cs="Times New Roman"/>
                <w:bCs/>
                <w:color w:val="auto"/>
                <w:szCs w:val="21"/>
                <w:highlight w:val="none"/>
                <w:lang w:val="en-US" w:eastAsia="zh-CN"/>
              </w:rPr>
              <w:t>该段线路评价范围内不涉及敏感目标</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lang w:val="en-US" w:eastAsia="zh-CN"/>
              </w:rPr>
              <w:t>根据设计规程要求，线路经过非居民区时导线</w:t>
            </w:r>
            <w:r>
              <w:rPr>
                <w:rFonts w:hint="default" w:ascii="Times New Roman" w:hAnsi="Times New Roman" w:cs="Times New Roman"/>
                <w:bCs/>
                <w:color w:val="auto"/>
                <w:szCs w:val="21"/>
                <w:highlight w:val="none"/>
                <w:lang w:eastAsia="zh-CN"/>
              </w:rPr>
              <w:t>允许</w:t>
            </w:r>
            <w:r>
              <w:rPr>
                <w:rFonts w:hint="default" w:ascii="Times New Roman" w:hAnsi="Times New Roman" w:cs="Times New Roman"/>
                <w:bCs/>
                <w:color w:val="auto"/>
                <w:szCs w:val="21"/>
                <w:lang w:val="en-US" w:eastAsia="zh-CN"/>
              </w:rPr>
              <w:t>架设最低高度不低于6m。</w:t>
            </w:r>
          </w:p>
          <w:p w14:paraId="028C80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auto"/>
                <w:szCs w:val="21"/>
                <w:lang w:val="en-US" w:eastAsia="zh-CN"/>
              </w:rPr>
            </w:pPr>
            <w:r>
              <w:rPr>
                <w:rFonts w:hint="eastAsia" w:cs="Times New Roman"/>
                <w:color w:val="auto"/>
                <w:lang w:val="en-US" w:eastAsia="zh-CN"/>
              </w:rPr>
              <w:t>②</w:t>
            </w:r>
            <w:r>
              <w:rPr>
                <w:rFonts w:hint="default" w:ascii="Times New Roman" w:hAnsi="Times New Roman" w:cs="Times New Roman"/>
                <w:color w:val="auto"/>
                <w:lang w:val="en-US" w:eastAsia="zh-CN"/>
              </w:rPr>
              <w:t>线路Ⅰ</w:t>
            </w:r>
            <w:r>
              <w:rPr>
                <w:rFonts w:hint="default" w:ascii="Times New Roman" w:hAnsi="Times New Roman" w:cs="Times New Roman"/>
                <w:bCs/>
                <w:color w:val="auto"/>
                <w:szCs w:val="21"/>
                <w:lang w:val="en-US" w:eastAsia="zh-CN"/>
              </w:rPr>
              <w:t>三角排列段：</w:t>
            </w:r>
            <w:r>
              <w:rPr>
                <w:rFonts w:hint="eastAsia" w:cs="Times New Roman"/>
                <w:color w:val="000000" w:themeColor="text1"/>
                <w:szCs w:val="21"/>
                <w:highlight w:val="none"/>
                <w:lang w:val="en-US" w:eastAsia="zh-CN"/>
                <w14:textFill>
                  <w14:solidFill>
                    <w14:schemeClr w14:val="tx1"/>
                  </w14:solidFill>
                </w14:textFill>
              </w:rPr>
              <w:t>起于盘兴~印合110kV线路拟建N15#塔，止于新建NA30#塔。</w:t>
            </w:r>
            <w:r>
              <w:rPr>
                <w:rFonts w:hint="default" w:ascii="Times New Roman" w:hAnsi="Times New Roman" w:cs="Times New Roman"/>
                <w:bCs/>
                <w:color w:val="auto"/>
                <w:szCs w:val="21"/>
                <w:lang w:val="en-US" w:eastAsia="zh-CN"/>
              </w:rPr>
              <w:t>路径长约</w:t>
            </w:r>
            <w:r>
              <w:rPr>
                <w:rFonts w:hint="eastAsia" w:cs="Times New Roman"/>
                <w:bCs/>
                <w:color w:val="auto"/>
                <w:szCs w:val="21"/>
                <w:lang w:val="en-US" w:eastAsia="zh-CN"/>
              </w:rPr>
              <w:t>10</w:t>
            </w:r>
            <w:r>
              <w:rPr>
                <w:rFonts w:hint="default" w:ascii="Times New Roman" w:hAnsi="Times New Roman" w:cs="Times New Roman"/>
                <w:bCs/>
                <w:color w:val="auto"/>
                <w:szCs w:val="21"/>
                <w:lang w:val="en-US" w:eastAsia="zh-CN"/>
              </w:rPr>
              <w:t>km，新建单回塔</w:t>
            </w:r>
            <w:r>
              <w:rPr>
                <w:rFonts w:hint="eastAsia" w:cs="Times New Roman"/>
                <w:bCs/>
                <w:color w:val="auto"/>
                <w:szCs w:val="21"/>
                <w:lang w:val="en-US" w:eastAsia="zh-CN"/>
              </w:rPr>
              <w:t>29</w:t>
            </w:r>
            <w:r>
              <w:rPr>
                <w:rFonts w:hint="default" w:ascii="Times New Roman" w:hAnsi="Times New Roman" w:cs="Times New Roman"/>
                <w:bCs/>
                <w:color w:val="auto"/>
                <w:szCs w:val="21"/>
                <w:lang w:val="en-US" w:eastAsia="zh-CN"/>
              </w:rPr>
              <w:t>基，</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单个塔基占地面积</w:t>
            </w:r>
            <w:r>
              <w:rPr>
                <w:rFonts w:hint="eastAsia" w:cs="Times New Roman"/>
                <w:bCs/>
                <w:color w:val="000000" w:themeColor="text1"/>
                <w:szCs w:val="21"/>
                <w:highlight w:val="none"/>
                <w:lang w:val="en-US" w:eastAsia="zh-CN"/>
                <w14:textFill>
                  <w14:solidFill>
                    <w14:schemeClr w14:val="tx1"/>
                  </w14:solidFill>
                </w14:textFill>
              </w:rPr>
              <w:t>约100</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m</w:t>
            </w:r>
            <w:r>
              <w:rPr>
                <w:rFonts w:hint="default" w:ascii="Times New Roman" w:hAnsi="Times New Roman" w:cs="Times New Roman"/>
                <w:bCs/>
                <w:color w:val="000000" w:themeColor="text1"/>
                <w:szCs w:val="21"/>
                <w:highlight w:val="none"/>
                <w:vertAlign w:val="superscript"/>
                <w:lang w:val="en-US" w:eastAsia="zh-CN"/>
                <w14:textFill>
                  <w14:solidFill>
                    <w14:schemeClr w14:val="tx1"/>
                  </w14:solidFill>
                </w14:textFill>
              </w:rPr>
              <w:t>2</w:t>
            </w:r>
            <w:r>
              <w:rPr>
                <w:rFonts w:hint="eastAsia" w:cs="Times New Roman"/>
                <w:bCs/>
                <w:color w:val="000000" w:themeColor="text1"/>
                <w:szCs w:val="21"/>
                <w:highlight w:val="none"/>
                <w:vertAlign w:val="baseline"/>
                <w:lang w:val="en-US" w:eastAsia="zh-CN"/>
                <w14:textFill>
                  <w14:solidFill>
                    <w14:schemeClr w14:val="tx1"/>
                  </w14:solidFill>
                </w14:textFill>
              </w:rPr>
              <w:t>，</w:t>
            </w:r>
            <w:r>
              <w:rPr>
                <w:rFonts w:hint="default" w:ascii="Times New Roman" w:hAnsi="Times New Roman" w:cs="Times New Roman"/>
                <w:bCs/>
                <w:color w:val="auto"/>
                <w:szCs w:val="21"/>
                <w:lang w:val="en-US" w:eastAsia="zh-CN"/>
              </w:rPr>
              <w:t>塔基永久占地面积约</w:t>
            </w:r>
            <w:r>
              <w:rPr>
                <w:rFonts w:hint="eastAsia" w:cs="Times New Roman"/>
                <w:bCs/>
                <w:color w:val="auto"/>
                <w:szCs w:val="21"/>
                <w:lang w:val="en-US" w:eastAsia="zh-CN"/>
              </w:rPr>
              <w:t>2900</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2</w:t>
            </w:r>
            <w:r>
              <w:rPr>
                <w:rFonts w:hint="default" w:ascii="Times New Roman" w:hAnsi="Times New Roman" w:cs="Times New Roman"/>
                <w:bCs/>
                <w:color w:val="auto"/>
                <w:szCs w:val="21"/>
              </w:rPr>
              <w:t>。</w:t>
            </w:r>
            <w:r>
              <w:rPr>
                <w:rFonts w:hint="default" w:ascii="Times New Roman" w:hAnsi="Times New Roman" w:cs="Times New Roman"/>
                <w:color w:val="auto"/>
                <w:szCs w:val="21"/>
                <w:highlight w:val="none"/>
              </w:rPr>
              <w:t>导线</w:t>
            </w:r>
            <w:r>
              <w:rPr>
                <w:rFonts w:hint="default" w:ascii="Times New Roman" w:hAnsi="Times New Roman" w:cs="Times New Roman"/>
                <w:color w:val="auto"/>
                <w:szCs w:val="21"/>
                <w:highlight w:val="none"/>
                <w:lang w:eastAsia="zh-CN"/>
              </w:rPr>
              <w:t>排列方式为</w:t>
            </w:r>
            <w:r>
              <w:rPr>
                <w:rFonts w:hint="default" w:ascii="Times New Roman" w:hAnsi="Times New Roman" w:cs="Times New Roman"/>
                <w:color w:val="auto"/>
                <w:szCs w:val="21"/>
                <w:highlight w:val="none"/>
                <w:lang w:val="en-US" w:eastAsia="zh-CN"/>
              </w:rPr>
              <w:t>三角</w:t>
            </w:r>
            <w:r>
              <w:rPr>
                <w:rFonts w:hint="default" w:ascii="Times New Roman" w:hAnsi="Times New Roman" w:cs="Times New Roman"/>
                <w:color w:val="auto"/>
                <w:szCs w:val="21"/>
                <w:highlight w:val="none"/>
                <w:lang w:eastAsia="zh-CN"/>
              </w:rPr>
              <w:t>排列</w:t>
            </w:r>
            <w:r>
              <w:rPr>
                <w:rFonts w:hint="default" w:ascii="Times New Roman" w:hAnsi="Times New Roman" w:cs="Times New Roman"/>
                <w:bCs/>
                <w:color w:val="auto"/>
                <w:szCs w:val="21"/>
                <w:lang w:val="en-US" w:eastAsia="zh-CN"/>
              </w:rPr>
              <w:t>。根据设计规程要求，线路经过非居民区时导线</w:t>
            </w:r>
            <w:r>
              <w:rPr>
                <w:rFonts w:hint="default" w:ascii="Times New Roman" w:hAnsi="Times New Roman" w:cs="Times New Roman"/>
                <w:bCs/>
                <w:color w:val="auto"/>
                <w:szCs w:val="21"/>
                <w:highlight w:val="none"/>
                <w:lang w:eastAsia="zh-CN"/>
              </w:rPr>
              <w:t>允许</w:t>
            </w:r>
            <w:r>
              <w:rPr>
                <w:rFonts w:hint="default" w:ascii="Times New Roman" w:hAnsi="Times New Roman" w:cs="Times New Roman"/>
                <w:bCs/>
                <w:color w:val="auto"/>
                <w:szCs w:val="21"/>
                <w:lang w:val="en-US" w:eastAsia="zh-CN"/>
              </w:rPr>
              <w:t>架设最低高度不低于6m，经过居民区时导线</w:t>
            </w:r>
            <w:r>
              <w:rPr>
                <w:rFonts w:hint="default" w:ascii="Times New Roman" w:hAnsi="Times New Roman" w:cs="Times New Roman"/>
                <w:bCs/>
                <w:color w:val="auto"/>
                <w:szCs w:val="21"/>
                <w:highlight w:val="none"/>
                <w:lang w:eastAsia="zh-CN"/>
              </w:rPr>
              <w:t>允许</w:t>
            </w:r>
            <w:r>
              <w:rPr>
                <w:rFonts w:hint="default" w:ascii="Times New Roman" w:hAnsi="Times New Roman" w:cs="Times New Roman"/>
                <w:bCs/>
                <w:color w:val="auto"/>
                <w:szCs w:val="21"/>
                <w:lang w:val="en-US" w:eastAsia="zh-CN"/>
              </w:rPr>
              <w:t>架设最低高度不低于7m。</w:t>
            </w:r>
          </w:p>
          <w:p w14:paraId="7B3F4DA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bCs/>
                <w:color w:val="auto"/>
                <w:szCs w:val="21"/>
                <w:lang w:val="en-US" w:eastAsia="zh-CN"/>
              </w:rPr>
            </w:pPr>
            <w:r>
              <w:rPr>
                <w:rFonts w:hint="eastAsia" w:ascii="Times New Roman" w:hAnsi="Times New Roman" w:cs="Times New Roman"/>
                <w:bCs/>
                <w:color w:val="auto"/>
                <w:szCs w:val="21"/>
                <w:lang w:val="en-US" w:eastAsia="zh-CN"/>
              </w:rPr>
              <w:t>③</w:t>
            </w:r>
            <w:r>
              <w:rPr>
                <w:rFonts w:hint="default" w:ascii="Times New Roman" w:hAnsi="Times New Roman" w:cs="Times New Roman"/>
                <w:bCs/>
                <w:color w:val="auto"/>
                <w:szCs w:val="21"/>
                <w:lang w:val="en-US" w:eastAsia="zh-CN"/>
              </w:rPr>
              <w:t>线路Ⅰ</w:t>
            </w:r>
            <w:r>
              <w:rPr>
                <w:rFonts w:hint="eastAsia" w:cs="Times New Roman"/>
                <w:bCs/>
                <w:color w:val="auto"/>
                <w:szCs w:val="21"/>
                <w:lang w:val="en-US" w:eastAsia="zh-CN"/>
              </w:rPr>
              <w:t>利旧段</w:t>
            </w:r>
            <w:r>
              <w:rPr>
                <w:rFonts w:hint="default" w:ascii="Times New Roman" w:hAnsi="Times New Roman" w:cs="Times New Roman"/>
                <w:bCs/>
                <w:color w:val="auto"/>
                <w:szCs w:val="21"/>
                <w:lang w:val="en-US" w:eastAsia="zh-CN"/>
              </w:rPr>
              <w:t>：</w:t>
            </w:r>
            <w:r>
              <w:rPr>
                <w:rFonts w:hint="eastAsia" w:cs="Times New Roman"/>
                <w:color w:val="000000" w:themeColor="text1"/>
                <w:szCs w:val="21"/>
                <w:highlight w:val="none"/>
                <w:lang w:val="en-US" w:eastAsia="zh-CN"/>
                <w14:textFill>
                  <w14:solidFill>
                    <w14:schemeClr w14:val="tx1"/>
                  </w14:solidFill>
                </w14:textFill>
              </w:rPr>
              <w:t>起于</w:t>
            </w:r>
            <w:r>
              <w:rPr>
                <w:rFonts w:hint="eastAsia" w:cs="Times New Roman"/>
                <w:bCs/>
                <w:color w:val="auto"/>
                <w:szCs w:val="21"/>
                <w:lang w:val="en-US" w:eastAsia="zh-CN"/>
              </w:rPr>
              <w:t>盘兴</w:t>
            </w:r>
            <w:r>
              <w:rPr>
                <w:rFonts w:hint="default" w:ascii="Times New Roman" w:hAnsi="Times New Roman" w:cs="Times New Roman"/>
                <w:bCs/>
                <w:color w:val="auto"/>
                <w:szCs w:val="21"/>
                <w:lang w:val="en-US" w:eastAsia="zh-CN"/>
              </w:rPr>
              <w:t>220kV变电站</w:t>
            </w:r>
            <w:r>
              <w:rPr>
                <w:rFonts w:hint="default" w:ascii="Times New Roman" w:hAnsi="Times New Roman" w:cs="Times New Roman"/>
                <w:color w:val="auto"/>
                <w:szCs w:val="21"/>
              </w:rPr>
              <w:t>拟建</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w:t>
            </w:r>
            <w:r>
              <w:rPr>
                <w:rFonts w:hint="default" w:ascii="Times New Roman" w:hAnsi="Times New Roman" w:cs="Times New Roman"/>
                <w:bCs/>
                <w:color w:val="auto"/>
                <w:szCs w:val="21"/>
                <w:lang w:val="en-US" w:eastAsia="zh-CN"/>
              </w:rPr>
              <w:t>出线</w:t>
            </w:r>
            <w:r>
              <w:rPr>
                <w:rFonts w:hint="default" w:ascii="Times New Roman" w:hAnsi="Times New Roman" w:cs="Times New Roman"/>
                <w:color w:val="auto"/>
                <w:szCs w:val="21"/>
              </w:rPr>
              <w:t>间隔</w:t>
            </w:r>
            <w:r>
              <w:rPr>
                <w:rFonts w:hint="eastAsia" w:cs="Times New Roman"/>
                <w:color w:val="000000" w:themeColor="text1"/>
                <w:szCs w:val="21"/>
                <w:highlight w:val="none"/>
                <w:lang w:val="en-US" w:eastAsia="zh-CN"/>
                <w14:textFill>
                  <w14:solidFill>
                    <w14:schemeClr w14:val="tx1"/>
                  </w14:solidFill>
                </w14:textFill>
              </w:rPr>
              <w:t>，止于盘兴~印合110kV线路拟建N15#塔，</w:t>
            </w:r>
            <w:r>
              <w:rPr>
                <w:rFonts w:hint="default" w:ascii="Times New Roman" w:hAnsi="Times New Roman" w:cs="Times New Roman"/>
                <w:bCs/>
                <w:color w:val="auto"/>
                <w:szCs w:val="21"/>
                <w:lang w:val="en-US" w:eastAsia="zh-CN"/>
              </w:rPr>
              <w:t>路径长约</w:t>
            </w:r>
            <w:r>
              <w:rPr>
                <w:rFonts w:hint="eastAsia" w:cs="Times New Roman"/>
                <w:bCs/>
                <w:color w:val="auto"/>
                <w:szCs w:val="21"/>
                <w:lang w:val="en-US" w:eastAsia="zh-CN"/>
              </w:rPr>
              <w:t>4.7</w:t>
            </w:r>
            <w:r>
              <w:rPr>
                <w:rFonts w:hint="default" w:ascii="Times New Roman" w:hAnsi="Times New Roman" w:cs="Times New Roman"/>
                <w:bCs/>
                <w:color w:val="auto"/>
                <w:szCs w:val="21"/>
                <w:lang w:val="en-US" w:eastAsia="zh-CN"/>
              </w:rPr>
              <w:t>km</w:t>
            </w:r>
            <w:r>
              <w:rPr>
                <w:rFonts w:hint="eastAsia" w:ascii="Times New Roman" w:hAnsi="Times New Roman" w:cs="Times New Roman"/>
                <w:bCs/>
                <w:color w:val="auto"/>
                <w:szCs w:val="21"/>
                <w:lang w:val="en-US" w:eastAsia="zh-CN"/>
              </w:rPr>
              <w:t>。</w:t>
            </w:r>
            <w:r>
              <w:rPr>
                <w:rFonts w:hint="eastAsia"/>
                <w:color w:val="000000" w:themeColor="text1"/>
                <w:szCs w:val="21"/>
                <w:highlight w:val="none"/>
                <w14:textFill>
                  <w14:solidFill>
                    <w14:schemeClr w14:val="tx1"/>
                  </w14:solidFill>
                </w14:textFill>
              </w:rPr>
              <w:t>本项目（</w:t>
            </w:r>
            <w:r>
              <w:rPr>
                <w:rFonts w:hint="eastAsia"/>
                <w:color w:val="000000" w:themeColor="text1"/>
                <w:szCs w:val="21"/>
                <w:highlight w:val="none"/>
                <w:lang w:val="en-US" w:eastAsia="zh-CN"/>
                <w14:textFill>
                  <w14:solidFill>
                    <w14:schemeClr w14:val="tx1"/>
                  </w14:solidFill>
                </w14:textFill>
              </w:rPr>
              <w:t>左</w:t>
            </w:r>
            <w:r>
              <w:rPr>
                <w:rFonts w:hint="eastAsia"/>
                <w:color w:val="000000" w:themeColor="text1"/>
                <w:szCs w:val="21"/>
                <w:highlight w:val="none"/>
                <w14:textFill>
                  <w14:solidFill>
                    <w14:schemeClr w14:val="tx1"/>
                  </w14:solidFill>
                </w14:textFill>
              </w:rPr>
              <w:t>侧挂线）与</w:t>
            </w:r>
            <w:r>
              <w:rPr>
                <w:rFonts w:hint="eastAsia" w:cs="Times New Roman"/>
                <w:color w:val="000000" w:themeColor="text1"/>
                <w:szCs w:val="21"/>
                <w:highlight w:val="none"/>
                <w:lang w:val="en-US" w:eastAsia="zh-CN"/>
                <w14:textFill>
                  <w14:solidFill>
                    <w14:schemeClr w14:val="tx1"/>
                  </w14:solidFill>
                </w14:textFill>
              </w:rPr>
              <w:t>盘兴~印合110kV线路</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右</w:t>
            </w:r>
            <w:r>
              <w:rPr>
                <w:rFonts w:hint="eastAsia"/>
                <w:color w:val="000000" w:themeColor="text1"/>
                <w:szCs w:val="21"/>
                <w:highlight w:val="none"/>
                <w14:textFill>
                  <w14:solidFill>
                    <w14:schemeClr w14:val="tx1"/>
                  </w14:solidFill>
                </w14:textFill>
              </w:rPr>
              <w:t>侧挂线）同塔架设</w:t>
            </w:r>
            <w:r>
              <w:rPr>
                <w:rFonts w:hint="eastAsia"/>
                <w:bCs/>
                <w:color w:val="000000" w:themeColor="text1"/>
                <w:szCs w:val="21"/>
                <w:highlight w:val="none"/>
                <w:lang w:val="en-US" w:eastAsia="zh-CN"/>
                <w14:textFill>
                  <w14:solidFill>
                    <w14:schemeClr w14:val="tx1"/>
                  </w14:solidFill>
                </w14:textFill>
              </w:rPr>
              <w:t>（本段杆塔利用“巴中南江印合110千伏输变电工程”中</w:t>
            </w:r>
            <w:r>
              <w:rPr>
                <w:rFonts w:hint="eastAsia" w:cs="Times New Roman"/>
                <w:color w:val="000000" w:themeColor="text1"/>
                <w:szCs w:val="21"/>
                <w:highlight w:val="none"/>
                <w:lang w:val="en-US" w:eastAsia="zh-CN"/>
                <w14:textFill>
                  <w14:solidFill>
                    <w14:schemeClr w14:val="tx1"/>
                  </w14:solidFill>
                </w14:textFill>
              </w:rPr>
              <w:t>盘兴~印合110kV线路N1</w:t>
            </w:r>
            <w:r>
              <w:rPr>
                <w:rFonts w:hint="eastAsia"/>
                <w:bCs/>
                <w:color w:val="000000" w:themeColor="text1"/>
                <w:szCs w:val="21"/>
                <w:highlight w:val="none"/>
                <w:lang w:val="en-US" w:eastAsia="zh-CN"/>
                <w14:textFill>
                  <w14:solidFill>
                    <w14:schemeClr w14:val="tx1"/>
                  </w14:solidFill>
                </w14:textFill>
              </w:rPr>
              <w:t>#-15#双回塔左侧预留侧挂线，该项目目前处于施工图阶段）</w:t>
            </w:r>
            <w:r>
              <w:rPr>
                <w:rFonts w:hint="eastAsia" w:cs="Times New Roman"/>
                <w:color w:val="000000" w:themeColor="text1"/>
                <w:szCs w:val="21"/>
                <w:highlight w:val="none"/>
                <w:lang w:val="en-US" w:eastAsia="zh-CN"/>
                <w14:textFill>
                  <w14:solidFill>
                    <w14:schemeClr w14:val="tx1"/>
                  </w14:solidFill>
                </w14:textFill>
              </w:rPr>
              <w:t>。导线排列方式为垂直逆相序排列。根据设计资料，</w:t>
            </w:r>
            <w:r>
              <w:rPr>
                <w:rFonts w:hint="default" w:ascii="Times New Roman" w:hAnsi="Times New Roman" w:cs="Times New Roman"/>
                <w:bCs/>
                <w:color w:val="auto"/>
                <w:szCs w:val="21"/>
                <w:lang w:val="en-US" w:eastAsia="zh-CN"/>
              </w:rPr>
              <w:t>导线</w:t>
            </w:r>
            <w:r>
              <w:rPr>
                <w:rFonts w:hint="eastAsia" w:cs="Times New Roman"/>
                <w:bCs/>
                <w:color w:val="auto"/>
                <w:szCs w:val="21"/>
                <w:lang w:val="en-US" w:eastAsia="zh-CN"/>
              </w:rPr>
              <w:t>设计</w:t>
            </w:r>
            <w:r>
              <w:rPr>
                <w:rFonts w:hint="default" w:ascii="Times New Roman" w:hAnsi="Times New Roman" w:cs="Times New Roman"/>
                <w:bCs/>
                <w:color w:val="auto"/>
                <w:szCs w:val="21"/>
                <w:lang w:val="en-US" w:eastAsia="zh-CN"/>
              </w:rPr>
              <w:t>架设最低高度为</w:t>
            </w:r>
            <w:r>
              <w:rPr>
                <w:rFonts w:hint="eastAsia" w:cs="Times New Roman"/>
                <w:color w:val="000000" w:themeColor="text1"/>
                <w:szCs w:val="21"/>
                <w:highlight w:val="none"/>
                <w:lang w:val="en-US" w:eastAsia="zh-CN"/>
                <w14:textFill>
                  <w14:solidFill>
                    <w14:schemeClr w14:val="tx1"/>
                  </w14:solidFill>
                </w14:textFill>
              </w:rPr>
              <w:t>9m。</w:t>
            </w:r>
          </w:p>
          <w:p w14:paraId="4F5F6FFB">
            <w:pPr>
              <w:spacing w:line="360" w:lineRule="auto"/>
              <w:ind w:firstLine="420" w:firstLineChars="200"/>
              <w:rPr>
                <w:rFonts w:hint="default" w:ascii="Times New Roman" w:hAnsi="Times New Roman" w:cs="Times New Roman"/>
                <w:b/>
                <w:color w:val="auto"/>
                <w:szCs w:val="21"/>
              </w:rPr>
            </w:pPr>
            <w:r>
              <w:rPr>
                <w:rFonts w:hint="default" w:ascii="Times New Roman" w:hAnsi="Times New Roman" w:cs="Times New Roman"/>
                <w:color w:val="auto"/>
                <w:szCs w:val="21"/>
              </w:rPr>
              <w:t>（2）通信工程</w:t>
            </w:r>
          </w:p>
          <w:p w14:paraId="471CF9F1">
            <w:pPr>
              <w:spacing w:line="360" w:lineRule="auto"/>
              <w:ind w:firstLine="420" w:firstLineChars="200"/>
              <w:rPr>
                <w:rFonts w:hint="default" w:ascii="Times New Roman" w:hAnsi="Times New Roman" w:cs="Times New Roman"/>
                <w:color w:val="FF0000"/>
              </w:rPr>
            </w:pPr>
            <w:r>
              <w:rPr>
                <w:rFonts w:hint="default" w:ascii="Times New Roman" w:hAnsi="Times New Roman" w:cs="Times New Roman"/>
                <w:color w:val="auto"/>
                <w:szCs w:val="21"/>
                <w:highlight w:val="none"/>
                <w:lang w:val="en-US" w:eastAsia="zh-CN"/>
              </w:rPr>
              <w:t>根据系统通信要求，盘兴—司城110kV线路利用盘兴—印合</w:t>
            </w:r>
            <w:r>
              <w:rPr>
                <w:rFonts w:hint="eastAsia" w:cs="Times New Roman"/>
                <w:color w:val="auto"/>
                <w:szCs w:val="21"/>
                <w:highlight w:val="none"/>
                <w:lang w:val="en-US" w:eastAsia="zh-CN"/>
              </w:rPr>
              <w:t>利旧段</w:t>
            </w:r>
            <w:r>
              <w:rPr>
                <w:rFonts w:hint="default" w:ascii="Times New Roman" w:hAnsi="Times New Roman" w:cs="Times New Roman"/>
                <w:color w:val="auto"/>
                <w:szCs w:val="21"/>
                <w:highlight w:val="none"/>
                <w:lang w:val="en-US" w:eastAsia="zh-CN"/>
              </w:rPr>
              <w:t>采用1根48芯ADSS光缆，新建</w:t>
            </w:r>
            <w:r>
              <w:rPr>
                <w:rFonts w:hint="eastAsia" w:cs="Times New Roman"/>
                <w:color w:val="auto"/>
                <w:szCs w:val="21"/>
                <w:highlight w:val="none"/>
                <w:lang w:val="en-US" w:eastAsia="zh-CN"/>
              </w:rPr>
              <w:t>双回塔单边挂线段</w:t>
            </w:r>
            <w:r>
              <w:rPr>
                <w:rFonts w:hint="default" w:ascii="Times New Roman" w:hAnsi="Times New Roman" w:cs="Times New Roman"/>
                <w:color w:val="auto"/>
                <w:szCs w:val="21"/>
                <w:highlight w:val="none"/>
                <w:lang w:val="en-US" w:eastAsia="zh-CN"/>
              </w:rPr>
              <w:t>采用2根48芯OPGW复合光缆，单回线路段</w:t>
            </w:r>
            <w:r>
              <w:rPr>
                <w:rFonts w:hint="eastAsia" w:cs="Times New Roman"/>
                <w:color w:val="auto"/>
                <w:szCs w:val="21"/>
                <w:highlight w:val="none"/>
                <w:lang w:val="en-US" w:eastAsia="zh-CN"/>
              </w:rPr>
              <w:t>采用</w:t>
            </w:r>
            <w:r>
              <w:rPr>
                <w:rFonts w:hint="default" w:ascii="Times New Roman" w:hAnsi="Times New Roman" w:cs="Times New Roman"/>
                <w:color w:val="auto"/>
                <w:szCs w:val="21"/>
                <w:highlight w:val="none"/>
                <w:lang w:val="en-US" w:eastAsia="zh-CN"/>
              </w:rPr>
              <w:t>1根48芯OPGW复合光缆（其中三跨位于单回段，架设两根72芯OPGW复合光缆）。</w:t>
            </w:r>
          </w:p>
          <w:p w14:paraId="36CD3730">
            <w:pPr>
              <w:spacing w:line="360" w:lineRule="auto"/>
              <w:ind w:firstLine="420" w:firstLineChars="200"/>
              <w:rPr>
                <w:rFonts w:hint="default" w:ascii="Times New Roman" w:hAnsi="Times New Roman" w:cs="Times New Roman"/>
                <w:color w:val="auto"/>
                <w:szCs w:val="28"/>
              </w:rPr>
            </w:pPr>
            <w:r>
              <w:rPr>
                <w:rFonts w:hint="default" w:ascii="Times New Roman" w:hAnsi="Times New Roman" w:cs="Times New Roman"/>
                <w:color w:val="auto"/>
                <w:szCs w:val="21"/>
                <w:u w:val="single"/>
              </w:rPr>
              <w:t>鉴于光纤通信工程对环境的影响较小，本次环境影响评价对其不再进行专门评价。</w:t>
            </w:r>
          </w:p>
          <w:p w14:paraId="4BBD2400">
            <w:pPr>
              <w:spacing w:line="360" w:lineRule="auto"/>
              <w:ind w:firstLine="422" w:firstLineChars="200"/>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lang w:val="en-US" w:eastAsia="zh-CN"/>
              </w:rPr>
              <w:t>5</w:t>
            </w:r>
            <w:r>
              <w:rPr>
                <w:rFonts w:hint="default" w:ascii="Times New Roman" w:hAnsi="Times New Roman" w:cs="Times New Roman"/>
                <w:b/>
                <w:color w:val="auto"/>
                <w:szCs w:val="21"/>
              </w:rPr>
              <w:t>、</w:t>
            </w:r>
            <w:r>
              <w:rPr>
                <w:rFonts w:hint="eastAsia" w:cs="Times New Roman"/>
                <w:b/>
                <w:color w:val="auto"/>
                <w:szCs w:val="21"/>
                <w:lang w:val="en-US" w:eastAsia="zh-CN"/>
              </w:rPr>
              <w:t>印合</w:t>
            </w:r>
            <w:r>
              <w:rPr>
                <w:rFonts w:hint="default" w:ascii="Times New Roman" w:hAnsi="Times New Roman" w:cs="Times New Roman"/>
                <w:b/>
                <w:color w:val="auto"/>
                <w:szCs w:val="21"/>
                <w:lang w:eastAsia="zh-CN"/>
              </w:rPr>
              <w:t>～</w:t>
            </w:r>
            <w:r>
              <w:rPr>
                <w:rFonts w:hint="eastAsia" w:cs="Times New Roman"/>
                <w:b/>
                <w:color w:val="auto"/>
                <w:szCs w:val="21"/>
                <w:lang w:val="en-US" w:eastAsia="zh-CN"/>
              </w:rPr>
              <w:t>司城</w:t>
            </w:r>
            <w:r>
              <w:rPr>
                <w:rFonts w:hint="default" w:ascii="Times New Roman" w:hAnsi="Times New Roman" w:cs="Times New Roman"/>
                <w:b/>
                <w:color w:val="auto"/>
                <w:szCs w:val="21"/>
                <w:lang w:eastAsia="zh-CN"/>
              </w:rPr>
              <w:t>110</w:t>
            </w:r>
            <w:r>
              <w:rPr>
                <w:rFonts w:hint="default" w:ascii="Times New Roman" w:hAnsi="Times New Roman" w:cs="Times New Roman"/>
                <w:b/>
                <w:color w:val="auto"/>
                <w:szCs w:val="21"/>
                <w:lang w:val="en-US" w:eastAsia="zh-CN"/>
              </w:rPr>
              <w:t>kV</w:t>
            </w:r>
            <w:r>
              <w:rPr>
                <w:rFonts w:hint="default" w:ascii="Times New Roman" w:hAnsi="Times New Roman" w:cs="Times New Roman"/>
                <w:b/>
                <w:color w:val="auto"/>
                <w:szCs w:val="21"/>
                <w:lang w:eastAsia="zh-CN"/>
              </w:rPr>
              <w:t>线路工程（线路Ⅱ）</w:t>
            </w:r>
          </w:p>
          <w:p w14:paraId="3139F761">
            <w:pPr>
              <w:spacing w:line="360" w:lineRule="auto"/>
              <w:ind w:firstLine="420" w:firstLineChars="200"/>
              <w:rPr>
                <w:rFonts w:hint="default" w:ascii="Times New Roman" w:hAnsi="Times New Roman" w:cs="Times New Roman"/>
                <w:bCs/>
                <w:color w:val="auto"/>
                <w:szCs w:val="21"/>
              </w:rPr>
            </w:pPr>
            <w:r>
              <w:rPr>
                <w:rFonts w:hint="default" w:ascii="Times New Roman" w:hAnsi="Times New Roman" w:cs="Times New Roman"/>
                <w:bCs/>
                <w:color w:val="auto"/>
                <w:szCs w:val="21"/>
              </w:rPr>
              <w:t>（1）线路工程</w:t>
            </w:r>
          </w:p>
          <w:p w14:paraId="57BD06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FF0000"/>
                <w:szCs w:val="21"/>
                <w:lang w:val="en-US" w:eastAsia="zh-CN"/>
              </w:rPr>
            </w:pPr>
            <w:r>
              <w:rPr>
                <w:rFonts w:hint="default" w:ascii="Times New Roman" w:hAnsi="Times New Roman" w:cs="Times New Roman"/>
                <w:bCs/>
                <w:color w:val="auto"/>
                <w:szCs w:val="21"/>
                <w:lang w:val="en-US" w:eastAsia="zh-CN"/>
              </w:rPr>
              <w:t>全线起于</w:t>
            </w:r>
            <w:r>
              <w:rPr>
                <w:rFonts w:hint="eastAsia" w:cs="Times New Roman"/>
                <w:color w:val="auto"/>
                <w:szCs w:val="21"/>
                <w:lang w:val="en-US" w:eastAsia="zh-CN"/>
              </w:rPr>
              <w:t>印合</w:t>
            </w:r>
            <w:r>
              <w:rPr>
                <w:rFonts w:hint="default" w:ascii="Times New Roman" w:hAnsi="Times New Roman" w:cs="Times New Roman"/>
                <w:color w:val="auto"/>
                <w:szCs w:val="21"/>
                <w:lang w:val="en-US" w:eastAsia="zh-CN"/>
              </w:rPr>
              <w:t>变电站</w:t>
            </w:r>
            <w:r>
              <w:rPr>
                <w:rFonts w:hint="default" w:ascii="Times New Roman" w:hAnsi="Times New Roman" w:cs="Times New Roman"/>
                <w:color w:val="auto"/>
                <w:szCs w:val="21"/>
              </w:rPr>
              <w:t>拟建</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w:t>
            </w:r>
            <w:r>
              <w:rPr>
                <w:rFonts w:hint="default" w:ascii="Times New Roman" w:hAnsi="Times New Roman" w:cs="Times New Roman"/>
                <w:bCs/>
                <w:color w:val="auto"/>
                <w:szCs w:val="21"/>
                <w:lang w:val="en-US" w:eastAsia="zh-CN"/>
              </w:rPr>
              <w:t>出线</w:t>
            </w:r>
            <w:r>
              <w:rPr>
                <w:rFonts w:hint="default" w:ascii="Times New Roman" w:hAnsi="Times New Roman" w:cs="Times New Roman"/>
                <w:color w:val="auto"/>
                <w:szCs w:val="21"/>
              </w:rPr>
              <w:t>间隔</w:t>
            </w:r>
            <w:r>
              <w:rPr>
                <w:rFonts w:hint="default" w:ascii="Times New Roman" w:hAnsi="Times New Roman" w:cs="Times New Roman"/>
                <w:bCs/>
                <w:color w:val="auto"/>
                <w:szCs w:val="21"/>
                <w:lang w:eastAsia="zh-CN"/>
              </w:rPr>
              <w:t>，</w:t>
            </w:r>
            <w:r>
              <w:rPr>
                <w:rFonts w:hint="default" w:ascii="Times New Roman" w:hAnsi="Times New Roman" w:cs="Times New Roman"/>
                <w:bCs/>
                <w:color w:val="auto"/>
                <w:szCs w:val="21"/>
              </w:rPr>
              <w:t>止于</w:t>
            </w:r>
            <w:r>
              <w:rPr>
                <w:rFonts w:hint="default" w:ascii="Times New Roman" w:hAnsi="Times New Roman" w:cs="Times New Roman"/>
                <w:bCs/>
                <w:color w:val="auto"/>
                <w:szCs w:val="21"/>
                <w:lang w:val="en-US" w:eastAsia="zh-CN"/>
              </w:rPr>
              <w:t>拟建</w:t>
            </w:r>
            <w:r>
              <w:rPr>
                <w:rFonts w:hint="eastAsia" w:cs="Times New Roman"/>
                <w:bCs/>
                <w:color w:val="auto"/>
                <w:szCs w:val="21"/>
                <w:lang w:val="en-US" w:eastAsia="zh-CN"/>
              </w:rPr>
              <w:t>司城</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0kV变电站</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0kV侧进线构架，</w:t>
            </w:r>
            <w:r>
              <w:rPr>
                <w:rFonts w:hint="eastAsia"/>
                <w:bCs/>
                <w:color w:val="auto"/>
                <w:szCs w:val="21"/>
                <w:lang w:eastAsia="zh-CN"/>
              </w:rPr>
              <w:t>新建线路长度约</w:t>
            </w:r>
            <w:r>
              <w:rPr>
                <w:rFonts w:hint="eastAsia"/>
                <w:bCs/>
                <w:color w:val="auto"/>
                <w:szCs w:val="21"/>
                <w:lang w:val="en-US" w:eastAsia="zh-CN"/>
              </w:rPr>
              <w:t>25.58km（6km+19.58km），其中新建双回塔单边挂线段线路路径长约6km，新建三角排列段线路路径长约19.58km</w:t>
            </w:r>
            <w:r>
              <w:rPr>
                <w:rFonts w:hint="eastAsia"/>
                <w:bCs/>
                <w:color w:val="auto"/>
                <w:szCs w:val="21"/>
              </w:rPr>
              <w:t>。</w:t>
            </w:r>
            <w:r>
              <w:rPr>
                <w:rFonts w:hint="eastAsia"/>
                <w:bCs/>
                <w:color w:val="auto"/>
                <w:szCs w:val="21"/>
                <w:lang w:val="en-US" w:eastAsia="zh-CN"/>
              </w:rPr>
              <w:t>导线采用</w:t>
            </w:r>
            <w:r>
              <w:rPr>
                <w:rFonts w:hint="default" w:ascii="Times New Roman" w:hAnsi="Times New Roman" w:cs="Times New Roman"/>
                <w:bCs/>
                <w:color w:val="auto"/>
                <w:szCs w:val="21"/>
                <w:lang w:val="en-US" w:eastAsia="zh-CN"/>
              </w:rPr>
              <w:t>JL3/G1A-</w:t>
            </w:r>
            <w:r>
              <w:rPr>
                <w:rFonts w:hint="eastAsia" w:ascii="Times New Roman" w:hAnsi="Times New Roman" w:cs="Times New Roman"/>
                <w:bCs/>
                <w:color w:val="auto"/>
                <w:szCs w:val="21"/>
                <w:lang w:val="en-US" w:eastAsia="zh-CN"/>
              </w:rPr>
              <w:t>300</w:t>
            </w:r>
            <w:r>
              <w:rPr>
                <w:rFonts w:hint="default" w:ascii="Times New Roman" w:hAnsi="Times New Roman" w:cs="Times New Roman"/>
                <w:bCs/>
                <w:color w:val="auto"/>
                <w:szCs w:val="21"/>
                <w:lang w:val="en-US" w:eastAsia="zh-CN"/>
              </w:rPr>
              <w:t>/</w:t>
            </w:r>
            <w:r>
              <w:rPr>
                <w:rFonts w:hint="eastAsia" w:ascii="Times New Roman" w:hAnsi="Times New Roman" w:cs="Times New Roman"/>
                <w:bCs/>
                <w:color w:val="auto"/>
                <w:szCs w:val="21"/>
                <w:lang w:val="en-US" w:eastAsia="zh-CN"/>
              </w:rPr>
              <w:t>4</w:t>
            </w:r>
            <w:r>
              <w:rPr>
                <w:rFonts w:hint="default" w:ascii="Times New Roman" w:hAnsi="Times New Roman" w:cs="Times New Roman"/>
                <w:bCs/>
                <w:color w:val="auto"/>
                <w:szCs w:val="21"/>
                <w:lang w:val="en-US" w:eastAsia="zh-CN"/>
              </w:rPr>
              <w:t>0型钢芯高导电率铝绞线</w:t>
            </w:r>
            <w:r>
              <w:rPr>
                <w:rFonts w:hint="default" w:ascii="Times New Roman" w:hAnsi="Times New Roman" w:cs="Times New Roman"/>
                <w:bCs/>
                <w:color w:val="auto"/>
                <w:szCs w:val="21"/>
                <w:lang w:eastAsia="zh-CN"/>
              </w:rPr>
              <w:t>，</w:t>
            </w:r>
            <w:r>
              <w:rPr>
                <w:rFonts w:hint="eastAsia" w:ascii="Times New Roman" w:hAnsi="Times New Roman" w:cs="Times New Roman"/>
                <w:bCs/>
                <w:color w:val="auto"/>
                <w:szCs w:val="21"/>
                <w:lang w:val="en-US" w:eastAsia="zh-CN"/>
              </w:rPr>
              <w:t>单</w:t>
            </w:r>
            <w:r>
              <w:rPr>
                <w:rFonts w:hint="default" w:ascii="Times New Roman" w:hAnsi="Times New Roman" w:cs="Times New Roman"/>
                <w:bCs/>
                <w:color w:val="auto"/>
                <w:szCs w:val="21"/>
              </w:rPr>
              <w:t>分裂</w:t>
            </w:r>
            <w:r>
              <w:rPr>
                <w:rFonts w:hint="eastAsia" w:ascii="Times New Roman" w:hAnsi="Times New Roman" w:cs="Times New Roman"/>
                <w:bCs/>
                <w:color w:val="auto"/>
                <w:szCs w:val="21"/>
                <w:lang w:eastAsia="zh-CN"/>
              </w:rPr>
              <w:t>，</w:t>
            </w:r>
            <w:r>
              <w:rPr>
                <w:rFonts w:hint="default" w:ascii="Times New Roman" w:hAnsi="Times New Roman" w:cs="Times New Roman"/>
                <w:bCs/>
                <w:color w:val="auto"/>
                <w:szCs w:val="21"/>
                <w:lang w:eastAsia="zh-CN"/>
              </w:rPr>
              <w:t>设计输送电流</w:t>
            </w:r>
            <w:r>
              <w:rPr>
                <w:rFonts w:hint="default" w:ascii="Times New Roman" w:hAnsi="Times New Roman" w:cs="Times New Roman"/>
                <w:bCs/>
                <w:color w:val="auto"/>
                <w:szCs w:val="21"/>
                <w:lang w:val="en-US" w:eastAsia="zh-CN"/>
              </w:rPr>
              <w:t>均</w:t>
            </w:r>
            <w:r>
              <w:rPr>
                <w:rFonts w:hint="default" w:ascii="Times New Roman" w:hAnsi="Times New Roman" w:cs="Times New Roman"/>
                <w:bCs/>
                <w:color w:val="auto"/>
                <w:szCs w:val="21"/>
                <w:highlight w:val="none"/>
                <w:lang w:val="en-US" w:eastAsia="zh-CN"/>
              </w:rPr>
              <w:t>为</w:t>
            </w:r>
            <w:r>
              <w:rPr>
                <w:rFonts w:hint="eastAsia" w:cs="Times New Roman"/>
                <w:bCs/>
                <w:color w:val="auto"/>
                <w:szCs w:val="21"/>
                <w:highlight w:val="none"/>
                <w:lang w:val="en-US" w:eastAsia="zh-CN"/>
              </w:rPr>
              <w:t>636A</w:t>
            </w:r>
            <w:r>
              <w:rPr>
                <w:rFonts w:hint="default" w:ascii="Times New Roman" w:hAnsi="Times New Roman" w:cs="Times New Roman"/>
                <w:bCs/>
                <w:color w:val="auto"/>
                <w:szCs w:val="21"/>
                <w:highlight w:val="none"/>
                <w:lang w:val="en-US" w:eastAsia="zh-CN"/>
              </w:rPr>
              <w:t>。具体情</w:t>
            </w:r>
            <w:r>
              <w:rPr>
                <w:rFonts w:hint="default" w:ascii="Times New Roman" w:hAnsi="Times New Roman" w:cs="Times New Roman"/>
                <w:bCs/>
                <w:color w:val="auto"/>
                <w:szCs w:val="21"/>
                <w:lang w:val="en-US" w:eastAsia="zh-CN"/>
              </w:rPr>
              <w:t>况如下：</w:t>
            </w:r>
          </w:p>
          <w:p w14:paraId="7D05A19F">
            <w:pPr>
              <w:spacing w:line="360" w:lineRule="auto"/>
              <w:ind w:firstLine="420" w:firstLineChars="200"/>
              <w:rPr>
                <w:rFonts w:hint="default" w:ascii="Times New Roman" w:hAnsi="Times New Roman" w:cs="Times New Roman"/>
                <w:bCs/>
                <w:color w:val="auto"/>
                <w:szCs w:val="21"/>
                <w:lang w:val="en-US" w:eastAsia="zh-CN"/>
              </w:rPr>
            </w:pPr>
            <w:r>
              <w:rPr>
                <w:rFonts w:hint="default" w:ascii="Times New Roman" w:hAnsi="Times New Roman" w:cs="Times New Roman"/>
                <w:bCs/>
                <w:color w:val="auto"/>
                <w:szCs w:val="21"/>
              </w:rPr>
              <w:t>①</w:t>
            </w:r>
            <w:r>
              <w:rPr>
                <w:rFonts w:hint="default" w:ascii="Times New Roman" w:hAnsi="Times New Roman" w:cs="Times New Roman"/>
                <w:bCs/>
                <w:color w:val="auto"/>
                <w:szCs w:val="21"/>
                <w:lang w:val="en-US" w:eastAsia="zh-CN"/>
              </w:rPr>
              <w:t>线路Ⅱ</w:t>
            </w:r>
            <w:r>
              <w:rPr>
                <w:rFonts w:hint="eastAsia" w:cs="Times New Roman"/>
                <w:bCs/>
                <w:color w:val="auto"/>
                <w:szCs w:val="21"/>
                <w:lang w:val="en-US" w:eastAsia="zh-CN"/>
              </w:rPr>
              <w:t>双回塔单边挂线段</w:t>
            </w:r>
            <w:r>
              <w:rPr>
                <w:rFonts w:hint="default" w:ascii="Times New Roman" w:hAnsi="Times New Roman" w:cs="Times New Roman"/>
                <w:bCs/>
                <w:color w:val="auto"/>
                <w:szCs w:val="21"/>
                <w:lang w:val="en-US" w:eastAsia="zh-CN"/>
              </w:rPr>
              <w:t>：</w:t>
            </w:r>
            <w:r>
              <w:rPr>
                <w:rFonts w:hint="eastAsia"/>
                <w:bCs/>
                <w:color w:val="auto"/>
                <w:szCs w:val="21"/>
                <w:lang w:val="en-US" w:eastAsia="zh-CN"/>
              </w:rPr>
              <w:t>起于新建</w:t>
            </w:r>
            <w:r>
              <w:rPr>
                <w:rFonts w:hint="eastAsia" w:cs="Times New Roman"/>
                <w:bCs/>
                <w:color w:val="auto"/>
                <w:szCs w:val="21"/>
                <w:highlight w:val="none"/>
                <w:vertAlign w:val="baseline"/>
                <w:lang w:val="en-US" w:eastAsia="zh-CN"/>
              </w:rPr>
              <w:t>NB68#塔，止于</w:t>
            </w:r>
            <w:r>
              <w:rPr>
                <w:rFonts w:hint="eastAsia" w:cs="Times New Roman"/>
                <w:bCs/>
                <w:color w:val="auto"/>
                <w:szCs w:val="21"/>
                <w:lang w:val="en-US" w:eastAsia="zh-CN"/>
              </w:rPr>
              <w:t>司城</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0kV变电站</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0kV侧进线构架</w:t>
            </w:r>
            <w:r>
              <w:rPr>
                <w:rFonts w:hint="eastAsia" w:cs="Times New Roman"/>
                <w:bCs/>
                <w:color w:val="auto"/>
                <w:szCs w:val="21"/>
                <w:lang w:eastAsia="zh-CN"/>
              </w:rPr>
              <w:t>。</w:t>
            </w:r>
            <w:r>
              <w:rPr>
                <w:rFonts w:hint="eastAsia" w:cs="Times New Roman"/>
                <w:bCs/>
                <w:color w:val="auto"/>
                <w:szCs w:val="21"/>
                <w:lang w:val="en-US" w:eastAsia="zh-CN"/>
              </w:rPr>
              <w:t>线路路径</w:t>
            </w:r>
            <w:r>
              <w:rPr>
                <w:rFonts w:hint="default" w:ascii="Times New Roman" w:hAnsi="Times New Roman" w:cs="Times New Roman"/>
                <w:bCs/>
                <w:color w:val="auto"/>
                <w:szCs w:val="21"/>
                <w:lang w:val="en-US" w:eastAsia="zh-CN"/>
              </w:rPr>
              <w:t>长约</w:t>
            </w:r>
            <w:r>
              <w:rPr>
                <w:rFonts w:hint="eastAsia" w:cs="Times New Roman"/>
                <w:bCs/>
                <w:color w:val="auto"/>
                <w:szCs w:val="21"/>
                <w:lang w:val="en-US" w:eastAsia="zh-CN"/>
              </w:rPr>
              <w:t>6</w:t>
            </w:r>
            <w:r>
              <w:rPr>
                <w:rFonts w:hint="default" w:ascii="Times New Roman" w:hAnsi="Times New Roman" w:cs="Times New Roman"/>
                <w:bCs/>
                <w:color w:val="auto"/>
                <w:szCs w:val="21"/>
                <w:lang w:val="en-US" w:eastAsia="zh-CN"/>
              </w:rPr>
              <w:t>km，</w:t>
            </w:r>
            <w:r>
              <w:rPr>
                <w:rFonts w:hint="default" w:ascii="Times New Roman" w:hAnsi="Times New Roman" w:cs="Times New Roman"/>
                <w:bCs/>
                <w:color w:val="auto"/>
                <w:szCs w:val="21"/>
                <w:highlight w:val="none"/>
              </w:rPr>
              <w:t>双回塔单边</w:t>
            </w:r>
            <w:r>
              <w:rPr>
                <w:rFonts w:hint="eastAsia" w:cs="Times New Roman"/>
                <w:bCs/>
                <w:color w:val="auto"/>
                <w:szCs w:val="21"/>
                <w:highlight w:val="none"/>
                <w:lang w:val="en-US" w:eastAsia="zh-CN"/>
              </w:rPr>
              <w:t>右侧</w:t>
            </w:r>
            <w:r>
              <w:rPr>
                <w:rFonts w:hint="default" w:ascii="Times New Roman" w:hAnsi="Times New Roman" w:cs="Times New Roman"/>
                <w:bCs/>
                <w:color w:val="auto"/>
                <w:szCs w:val="21"/>
                <w:highlight w:val="none"/>
              </w:rPr>
              <w:t>挂线</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另一侧预留</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lang w:val="en-US" w:eastAsia="zh-CN"/>
              </w:rPr>
              <w:t>。新建双回塔</w:t>
            </w:r>
            <w:r>
              <w:rPr>
                <w:rFonts w:hint="eastAsia" w:cs="Times New Roman"/>
                <w:bCs/>
                <w:color w:val="auto"/>
                <w:szCs w:val="21"/>
                <w:lang w:val="en-US" w:eastAsia="zh-CN"/>
              </w:rPr>
              <w:t>15</w:t>
            </w:r>
            <w:r>
              <w:rPr>
                <w:rFonts w:hint="default" w:ascii="Times New Roman" w:hAnsi="Times New Roman" w:cs="Times New Roman"/>
                <w:bCs/>
                <w:color w:val="auto"/>
                <w:szCs w:val="21"/>
                <w:lang w:val="en-US" w:eastAsia="zh-CN"/>
              </w:rPr>
              <w:t>基，</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单个塔基占地面积</w:t>
            </w:r>
            <w:r>
              <w:rPr>
                <w:rFonts w:hint="eastAsia" w:cs="Times New Roman"/>
                <w:bCs/>
                <w:color w:val="000000" w:themeColor="text1"/>
                <w:szCs w:val="21"/>
                <w:highlight w:val="none"/>
                <w:lang w:val="en-US" w:eastAsia="zh-CN"/>
                <w14:textFill>
                  <w14:solidFill>
                    <w14:schemeClr w14:val="tx1"/>
                  </w14:solidFill>
                </w14:textFill>
              </w:rPr>
              <w:t>约120</w:t>
            </w:r>
            <w:r>
              <w:rPr>
                <w:rFonts w:hint="default" w:ascii="Times New Roman" w:hAnsi="Times New Roman" w:cs="Times New Roman"/>
                <w:bCs/>
                <w:color w:val="000000" w:themeColor="text1"/>
                <w:szCs w:val="21"/>
                <w:highlight w:val="none"/>
                <w:lang w:val="en-US" w:eastAsia="zh-CN"/>
                <w14:textFill>
                  <w14:solidFill>
                    <w14:schemeClr w14:val="tx1"/>
                  </w14:solidFill>
                </w14:textFill>
              </w:rPr>
              <w:t>m</w:t>
            </w:r>
            <w:r>
              <w:rPr>
                <w:rFonts w:hint="default" w:ascii="Times New Roman" w:hAnsi="Times New Roman" w:cs="Times New Roman"/>
                <w:bCs/>
                <w:color w:val="000000" w:themeColor="text1"/>
                <w:szCs w:val="21"/>
                <w:highlight w:val="none"/>
                <w:vertAlign w:val="superscript"/>
                <w:lang w:val="en-US" w:eastAsia="zh-CN"/>
                <w14:textFill>
                  <w14:solidFill>
                    <w14:schemeClr w14:val="tx1"/>
                  </w14:solidFill>
                </w14:textFill>
              </w:rPr>
              <w:t>2</w:t>
            </w:r>
            <w:r>
              <w:rPr>
                <w:rFonts w:hint="eastAsia" w:cs="Times New Roman"/>
                <w:bCs/>
                <w:color w:val="000000" w:themeColor="text1"/>
                <w:szCs w:val="21"/>
                <w:highlight w:val="none"/>
                <w:vertAlign w:val="baseline"/>
                <w:lang w:val="en-US" w:eastAsia="zh-CN"/>
                <w14:textFill>
                  <w14:solidFill>
                    <w14:schemeClr w14:val="tx1"/>
                  </w14:solidFill>
                </w14:textFill>
              </w:rPr>
              <w:t>，</w:t>
            </w:r>
            <w:r>
              <w:rPr>
                <w:rFonts w:hint="default" w:ascii="Times New Roman" w:hAnsi="Times New Roman" w:cs="Times New Roman"/>
                <w:bCs/>
                <w:color w:val="auto"/>
                <w:szCs w:val="21"/>
                <w:lang w:val="en-US" w:eastAsia="zh-CN"/>
              </w:rPr>
              <w:t>塔基</w:t>
            </w:r>
            <w:r>
              <w:rPr>
                <w:rFonts w:hint="default" w:ascii="Times New Roman" w:hAnsi="Times New Roman" w:cs="Times New Roman"/>
                <w:bCs/>
                <w:color w:val="auto"/>
                <w:szCs w:val="21"/>
                <w:highlight w:val="none"/>
                <w:lang w:val="en-US" w:eastAsia="zh-CN"/>
              </w:rPr>
              <w:t>总</w:t>
            </w:r>
            <w:r>
              <w:rPr>
                <w:rFonts w:hint="default" w:ascii="Times New Roman" w:hAnsi="Times New Roman" w:cs="Times New Roman"/>
                <w:bCs/>
                <w:color w:val="auto"/>
                <w:szCs w:val="21"/>
                <w:lang w:val="en-US" w:eastAsia="zh-CN"/>
              </w:rPr>
              <w:t>占地面积约</w:t>
            </w:r>
            <w:r>
              <w:rPr>
                <w:rFonts w:hint="eastAsia" w:cs="Times New Roman"/>
                <w:bCs/>
                <w:color w:val="auto"/>
                <w:szCs w:val="21"/>
                <w:lang w:val="en-US" w:eastAsia="zh-CN"/>
              </w:rPr>
              <w:t>1800</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2</w:t>
            </w:r>
            <w:r>
              <w:rPr>
                <w:rFonts w:hint="default" w:ascii="Times New Roman" w:hAnsi="Times New Roman" w:cs="Times New Roman"/>
                <w:bCs/>
                <w:color w:val="auto"/>
                <w:szCs w:val="21"/>
              </w:rPr>
              <w:t>。</w:t>
            </w:r>
            <w:r>
              <w:rPr>
                <w:rFonts w:hint="default" w:ascii="Times New Roman" w:hAnsi="Times New Roman" w:cs="Times New Roman"/>
                <w:color w:val="auto"/>
                <w:szCs w:val="21"/>
                <w:highlight w:val="none"/>
              </w:rPr>
              <w:t>导线</w:t>
            </w:r>
            <w:r>
              <w:rPr>
                <w:rFonts w:hint="default" w:ascii="Times New Roman" w:hAnsi="Times New Roman" w:cs="Times New Roman"/>
                <w:color w:val="auto"/>
                <w:szCs w:val="21"/>
                <w:highlight w:val="none"/>
                <w:lang w:eastAsia="zh-CN"/>
              </w:rPr>
              <w:t>排列方式为垂直排列</w:t>
            </w:r>
            <w:r>
              <w:rPr>
                <w:rFonts w:hint="default" w:ascii="Times New Roman" w:hAnsi="Times New Roman" w:cs="Times New Roman"/>
                <w:bCs/>
                <w:color w:val="auto"/>
                <w:szCs w:val="21"/>
                <w:lang w:val="en-US" w:eastAsia="zh-CN"/>
              </w:rPr>
              <w:t>。根据设计规程要求，线路经过非居民区时导线</w:t>
            </w:r>
            <w:r>
              <w:rPr>
                <w:rFonts w:hint="default" w:ascii="Times New Roman" w:hAnsi="Times New Roman" w:cs="Times New Roman"/>
                <w:bCs/>
                <w:color w:val="auto"/>
                <w:szCs w:val="21"/>
                <w:highlight w:val="none"/>
                <w:lang w:eastAsia="zh-CN"/>
              </w:rPr>
              <w:t>允许</w:t>
            </w:r>
            <w:r>
              <w:rPr>
                <w:rFonts w:hint="default" w:ascii="Times New Roman" w:hAnsi="Times New Roman" w:cs="Times New Roman"/>
                <w:bCs/>
                <w:color w:val="auto"/>
                <w:szCs w:val="21"/>
                <w:lang w:val="en-US" w:eastAsia="zh-CN"/>
              </w:rPr>
              <w:t>架设最低高度不低于6m，经过居民区时导线</w:t>
            </w:r>
            <w:r>
              <w:rPr>
                <w:rFonts w:hint="default" w:ascii="Times New Roman" w:hAnsi="Times New Roman" w:cs="Times New Roman"/>
                <w:bCs/>
                <w:color w:val="auto"/>
                <w:szCs w:val="21"/>
                <w:highlight w:val="none"/>
                <w:lang w:eastAsia="zh-CN"/>
              </w:rPr>
              <w:t>允许</w:t>
            </w:r>
            <w:r>
              <w:rPr>
                <w:rFonts w:hint="default" w:ascii="Times New Roman" w:hAnsi="Times New Roman" w:cs="Times New Roman"/>
                <w:bCs/>
                <w:color w:val="auto"/>
                <w:szCs w:val="21"/>
                <w:lang w:val="en-US" w:eastAsia="zh-CN"/>
              </w:rPr>
              <w:t>架设最低高度不低于7m。</w:t>
            </w:r>
          </w:p>
          <w:p w14:paraId="278996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rPr>
            </w:pPr>
            <w:r>
              <w:rPr>
                <w:rFonts w:hint="default" w:ascii="Times New Roman" w:hAnsi="Times New Roman" w:cs="Times New Roman"/>
                <w:bCs/>
                <w:color w:val="auto"/>
                <w:szCs w:val="21"/>
                <w:lang w:val="en-US" w:eastAsia="zh-CN"/>
              </w:rPr>
              <w:t>②线路Ⅱ三角排列段：</w:t>
            </w:r>
            <w:r>
              <w:rPr>
                <w:rFonts w:hint="eastAsia"/>
                <w:bCs/>
                <w:color w:val="auto"/>
                <w:szCs w:val="21"/>
                <w:lang w:val="en-US" w:eastAsia="zh-CN"/>
              </w:rPr>
              <w:t>起于</w:t>
            </w:r>
            <w:r>
              <w:rPr>
                <w:rFonts w:hint="eastAsia" w:cs="Times New Roman"/>
                <w:color w:val="auto"/>
                <w:szCs w:val="21"/>
                <w:lang w:val="en-US" w:eastAsia="zh-CN"/>
              </w:rPr>
              <w:t>印合</w:t>
            </w:r>
            <w:r>
              <w:rPr>
                <w:rFonts w:hint="default" w:ascii="Times New Roman" w:hAnsi="Times New Roman" w:cs="Times New Roman"/>
                <w:color w:val="auto"/>
                <w:szCs w:val="21"/>
                <w:lang w:val="en-US" w:eastAsia="zh-CN"/>
              </w:rPr>
              <w:t>变电站</w:t>
            </w:r>
            <w:r>
              <w:rPr>
                <w:rFonts w:hint="default" w:ascii="Times New Roman" w:hAnsi="Times New Roman" w:cs="Times New Roman"/>
                <w:color w:val="auto"/>
                <w:szCs w:val="21"/>
              </w:rPr>
              <w:t>拟建</w:t>
            </w:r>
            <w:r>
              <w:rPr>
                <w:rFonts w:hint="default" w:ascii="Times New Roman" w:hAnsi="Times New Roman" w:cs="Times New Roman"/>
                <w:bCs/>
                <w:color w:val="auto"/>
                <w:szCs w:val="21"/>
                <w:lang w:val="en-US" w:eastAsia="zh-CN"/>
              </w:rPr>
              <w:t>11</w:t>
            </w:r>
            <w:r>
              <w:rPr>
                <w:rFonts w:hint="default" w:ascii="Times New Roman" w:hAnsi="Times New Roman" w:cs="Times New Roman"/>
                <w:bCs/>
                <w:color w:val="auto"/>
                <w:szCs w:val="21"/>
              </w:rPr>
              <w:t>0kV</w:t>
            </w:r>
            <w:r>
              <w:rPr>
                <w:rFonts w:hint="default" w:ascii="Times New Roman" w:hAnsi="Times New Roman" w:cs="Times New Roman"/>
                <w:bCs/>
                <w:color w:val="auto"/>
                <w:szCs w:val="21"/>
                <w:lang w:val="en-US" w:eastAsia="zh-CN"/>
              </w:rPr>
              <w:t>出线</w:t>
            </w:r>
            <w:r>
              <w:rPr>
                <w:rFonts w:hint="default" w:ascii="Times New Roman" w:hAnsi="Times New Roman" w:cs="Times New Roman"/>
                <w:color w:val="auto"/>
                <w:szCs w:val="21"/>
              </w:rPr>
              <w:t>间隔</w:t>
            </w:r>
            <w:r>
              <w:rPr>
                <w:rFonts w:hint="eastAsia" w:cs="Times New Roman"/>
                <w:bCs/>
                <w:color w:val="auto"/>
                <w:szCs w:val="21"/>
                <w:highlight w:val="none"/>
                <w:vertAlign w:val="baseline"/>
                <w:lang w:val="en-US" w:eastAsia="zh-CN"/>
              </w:rPr>
              <w:t>，止于</w:t>
            </w:r>
            <w:r>
              <w:rPr>
                <w:rFonts w:hint="eastAsia"/>
                <w:bCs/>
                <w:color w:val="auto"/>
                <w:szCs w:val="21"/>
                <w:lang w:val="en-US" w:eastAsia="zh-CN"/>
              </w:rPr>
              <w:t>新建</w:t>
            </w:r>
            <w:r>
              <w:rPr>
                <w:rFonts w:hint="eastAsia" w:cs="Times New Roman"/>
                <w:bCs/>
                <w:color w:val="auto"/>
                <w:szCs w:val="21"/>
                <w:highlight w:val="none"/>
                <w:vertAlign w:val="baseline"/>
                <w:lang w:val="en-US" w:eastAsia="zh-CN"/>
              </w:rPr>
              <w:t>NB68#塔</w:t>
            </w:r>
            <w:r>
              <w:rPr>
                <w:rFonts w:hint="eastAsia" w:ascii="Times New Roman" w:hAnsi="Times New Roman" w:cs="Times New Roman"/>
                <w:bCs/>
                <w:color w:val="auto"/>
                <w:szCs w:val="21"/>
                <w:lang w:eastAsia="zh-CN"/>
              </w:rPr>
              <w:t>。</w:t>
            </w:r>
            <w:r>
              <w:rPr>
                <w:rFonts w:hint="default" w:ascii="Times New Roman" w:hAnsi="Times New Roman" w:cs="Times New Roman"/>
                <w:bCs/>
                <w:color w:val="auto"/>
                <w:szCs w:val="21"/>
                <w:lang w:val="en-US" w:eastAsia="zh-CN"/>
              </w:rPr>
              <w:t>路径长约</w:t>
            </w:r>
            <w:r>
              <w:rPr>
                <w:rFonts w:hint="eastAsia" w:cs="Times New Roman"/>
                <w:bCs/>
                <w:color w:val="auto"/>
                <w:szCs w:val="21"/>
                <w:lang w:val="en-US" w:eastAsia="zh-CN"/>
              </w:rPr>
              <w:t>19.58</w:t>
            </w:r>
            <w:r>
              <w:rPr>
                <w:rFonts w:hint="default" w:ascii="Times New Roman" w:hAnsi="Times New Roman" w:cs="Times New Roman"/>
                <w:bCs/>
                <w:color w:val="auto"/>
                <w:szCs w:val="21"/>
                <w:lang w:val="en-US" w:eastAsia="zh-CN"/>
              </w:rPr>
              <w:t>km，新建单回塔</w:t>
            </w:r>
            <w:r>
              <w:rPr>
                <w:rFonts w:hint="eastAsia" w:cs="Times New Roman"/>
                <w:bCs/>
                <w:color w:val="auto"/>
                <w:szCs w:val="21"/>
                <w:lang w:val="en-US" w:eastAsia="zh-CN"/>
              </w:rPr>
              <w:t>67</w:t>
            </w:r>
            <w:r>
              <w:rPr>
                <w:rFonts w:hint="default" w:ascii="Times New Roman" w:hAnsi="Times New Roman" w:cs="Times New Roman"/>
                <w:bCs/>
                <w:color w:val="auto"/>
                <w:szCs w:val="21"/>
                <w:lang w:val="en-US" w:eastAsia="zh-CN"/>
              </w:rPr>
              <w:t>基，塔基永久占地面积约</w:t>
            </w:r>
            <w:r>
              <w:rPr>
                <w:rFonts w:hint="eastAsia" w:cs="Times New Roman"/>
                <w:bCs/>
                <w:color w:val="auto"/>
                <w:szCs w:val="21"/>
                <w:lang w:val="en-US" w:eastAsia="zh-CN"/>
              </w:rPr>
              <w:t>6700</w:t>
            </w:r>
            <w:r>
              <w:rPr>
                <w:rFonts w:hint="default" w:ascii="Times New Roman" w:hAnsi="Times New Roman" w:cs="Times New Roman"/>
                <w:bCs/>
                <w:color w:val="auto"/>
                <w:szCs w:val="21"/>
              </w:rPr>
              <w:t>m</w:t>
            </w:r>
            <w:r>
              <w:rPr>
                <w:rFonts w:hint="default" w:ascii="Times New Roman" w:hAnsi="Times New Roman" w:cs="Times New Roman"/>
                <w:bCs/>
                <w:color w:val="auto"/>
                <w:szCs w:val="21"/>
                <w:vertAlign w:val="superscript"/>
              </w:rPr>
              <w:t>2</w:t>
            </w:r>
            <w:r>
              <w:rPr>
                <w:rFonts w:hint="default" w:ascii="Times New Roman" w:hAnsi="Times New Roman" w:cs="Times New Roman"/>
                <w:bCs/>
                <w:color w:val="auto"/>
                <w:szCs w:val="21"/>
              </w:rPr>
              <w:t>。</w:t>
            </w:r>
            <w:r>
              <w:rPr>
                <w:rFonts w:hint="default" w:ascii="Times New Roman" w:hAnsi="Times New Roman" w:cs="Times New Roman"/>
                <w:color w:val="auto"/>
                <w:szCs w:val="21"/>
                <w:highlight w:val="none"/>
              </w:rPr>
              <w:t>导线</w:t>
            </w:r>
            <w:r>
              <w:rPr>
                <w:rFonts w:hint="default" w:ascii="Times New Roman" w:hAnsi="Times New Roman" w:cs="Times New Roman"/>
                <w:color w:val="auto"/>
                <w:szCs w:val="21"/>
                <w:highlight w:val="none"/>
                <w:lang w:eastAsia="zh-CN"/>
              </w:rPr>
              <w:t>排列方式为</w:t>
            </w:r>
            <w:r>
              <w:rPr>
                <w:rFonts w:hint="default" w:ascii="Times New Roman" w:hAnsi="Times New Roman" w:cs="Times New Roman"/>
                <w:color w:val="auto"/>
                <w:szCs w:val="21"/>
                <w:highlight w:val="none"/>
                <w:lang w:val="en-US" w:eastAsia="zh-CN"/>
              </w:rPr>
              <w:t>三角</w:t>
            </w:r>
            <w:r>
              <w:rPr>
                <w:rFonts w:hint="default" w:ascii="Times New Roman" w:hAnsi="Times New Roman" w:cs="Times New Roman"/>
                <w:color w:val="auto"/>
                <w:szCs w:val="21"/>
                <w:highlight w:val="none"/>
                <w:lang w:eastAsia="zh-CN"/>
              </w:rPr>
              <w:t>排列</w:t>
            </w:r>
            <w:r>
              <w:rPr>
                <w:rFonts w:hint="default" w:ascii="Times New Roman" w:hAnsi="Times New Roman" w:cs="Times New Roman"/>
                <w:bCs/>
                <w:color w:val="auto"/>
                <w:szCs w:val="21"/>
                <w:lang w:val="en-US" w:eastAsia="zh-CN"/>
              </w:rPr>
              <w:t>。根据设计规程要求，线路经过非居民区时导线</w:t>
            </w:r>
            <w:r>
              <w:rPr>
                <w:rFonts w:hint="default" w:ascii="Times New Roman" w:hAnsi="Times New Roman" w:cs="Times New Roman"/>
                <w:bCs/>
                <w:color w:val="auto"/>
                <w:szCs w:val="21"/>
                <w:highlight w:val="none"/>
                <w:lang w:eastAsia="zh-CN"/>
              </w:rPr>
              <w:t>允许</w:t>
            </w:r>
            <w:r>
              <w:rPr>
                <w:rFonts w:hint="default" w:ascii="Times New Roman" w:hAnsi="Times New Roman" w:cs="Times New Roman"/>
                <w:bCs/>
                <w:color w:val="auto"/>
                <w:szCs w:val="21"/>
                <w:lang w:val="en-US" w:eastAsia="zh-CN"/>
              </w:rPr>
              <w:t>架设最低高度不低于6m，经过居民区时导线</w:t>
            </w:r>
            <w:r>
              <w:rPr>
                <w:rFonts w:hint="default" w:ascii="Times New Roman" w:hAnsi="Times New Roman" w:cs="Times New Roman"/>
                <w:bCs/>
                <w:color w:val="auto"/>
                <w:szCs w:val="21"/>
                <w:highlight w:val="none"/>
                <w:lang w:eastAsia="zh-CN"/>
              </w:rPr>
              <w:t>允许</w:t>
            </w:r>
            <w:r>
              <w:rPr>
                <w:rFonts w:hint="default" w:ascii="Times New Roman" w:hAnsi="Times New Roman" w:cs="Times New Roman"/>
                <w:bCs/>
                <w:color w:val="auto"/>
                <w:szCs w:val="21"/>
                <w:lang w:val="en-US" w:eastAsia="zh-CN"/>
              </w:rPr>
              <w:t>架设最低高度不低于7m。</w:t>
            </w:r>
          </w:p>
          <w:p w14:paraId="54DCDBE1">
            <w:pPr>
              <w:spacing w:line="360" w:lineRule="auto"/>
              <w:ind w:firstLine="420" w:firstLineChars="200"/>
              <w:rPr>
                <w:rFonts w:hint="default" w:ascii="Times New Roman" w:hAnsi="Times New Roman" w:cs="Times New Roman"/>
                <w:b/>
                <w:color w:val="auto"/>
                <w:szCs w:val="21"/>
              </w:rPr>
            </w:pPr>
            <w:r>
              <w:rPr>
                <w:rFonts w:hint="default" w:ascii="Times New Roman" w:hAnsi="Times New Roman" w:cs="Times New Roman"/>
                <w:color w:val="auto"/>
                <w:szCs w:val="21"/>
              </w:rPr>
              <w:t>（2）通信工程</w:t>
            </w:r>
          </w:p>
          <w:p w14:paraId="04C996A0">
            <w:pPr>
              <w:spacing w:line="360" w:lineRule="auto"/>
              <w:ind w:firstLine="420" w:firstLineChars="200"/>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根据系统通信要求，新建</w:t>
            </w:r>
            <w:r>
              <w:rPr>
                <w:rFonts w:hint="eastAsia" w:cs="Times New Roman"/>
                <w:color w:val="auto"/>
                <w:szCs w:val="21"/>
                <w:highlight w:val="none"/>
                <w:lang w:val="en-US" w:eastAsia="zh-CN"/>
              </w:rPr>
              <w:t>双回塔单边挂线段</w:t>
            </w:r>
            <w:r>
              <w:rPr>
                <w:rFonts w:hint="default" w:ascii="Times New Roman" w:hAnsi="Times New Roman" w:cs="Times New Roman"/>
                <w:color w:val="auto"/>
                <w:szCs w:val="21"/>
                <w:highlight w:val="none"/>
                <w:lang w:val="en-US" w:eastAsia="zh-CN"/>
              </w:rPr>
              <w:t>采用2根48芯OPGW复合光缆，单回线路段</w:t>
            </w:r>
            <w:r>
              <w:rPr>
                <w:rFonts w:hint="eastAsia" w:cs="Times New Roman"/>
                <w:color w:val="auto"/>
                <w:szCs w:val="21"/>
                <w:highlight w:val="none"/>
                <w:lang w:val="en-US" w:eastAsia="zh-CN"/>
              </w:rPr>
              <w:t>采用</w:t>
            </w:r>
            <w:r>
              <w:rPr>
                <w:rFonts w:hint="default" w:ascii="Times New Roman" w:hAnsi="Times New Roman" w:cs="Times New Roman"/>
                <w:color w:val="auto"/>
                <w:szCs w:val="21"/>
                <w:highlight w:val="none"/>
                <w:lang w:val="en-US" w:eastAsia="zh-CN"/>
              </w:rPr>
              <w:t>1根48芯OPGW复合光缆（其中三跨位于</w:t>
            </w:r>
            <w:r>
              <w:rPr>
                <w:rFonts w:hint="eastAsia" w:cs="Times New Roman"/>
                <w:color w:val="auto"/>
                <w:szCs w:val="21"/>
                <w:highlight w:val="none"/>
                <w:lang w:val="en-US" w:eastAsia="zh-CN"/>
              </w:rPr>
              <w:t>利旧段</w:t>
            </w:r>
            <w:r>
              <w:rPr>
                <w:rFonts w:hint="default" w:ascii="Times New Roman" w:hAnsi="Times New Roman" w:cs="Times New Roman"/>
                <w:color w:val="auto"/>
                <w:szCs w:val="21"/>
                <w:highlight w:val="none"/>
                <w:lang w:val="en-US" w:eastAsia="zh-CN"/>
              </w:rPr>
              <w:t>，架设两根72芯OPGW复合光缆）。</w:t>
            </w:r>
          </w:p>
          <w:p w14:paraId="20EEC6E2">
            <w:pPr>
              <w:spacing w:line="360" w:lineRule="auto"/>
              <w:ind w:firstLine="420" w:firstLineChars="200"/>
              <w:rPr>
                <w:rFonts w:hint="default" w:ascii="Times New Roman" w:hAnsi="Times New Roman" w:cs="Times New Roman"/>
                <w:color w:val="auto"/>
                <w:szCs w:val="28"/>
              </w:rPr>
            </w:pPr>
            <w:r>
              <w:rPr>
                <w:rFonts w:hint="default" w:ascii="Times New Roman" w:hAnsi="Times New Roman" w:cs="Times New Roman"/>
                <w:color w:val="auto"/>
                <w:szCs w:val="21"/>
                <w:u w:val="single"/>
              </w:rPr>
              <w:t>鉴于光纤通信工程对环境的影响较小，本次环境影响评价对其不再进行专门评价。</w:t>
            </w:r>
          </w:p>
          <w:bookmarkEnd w:id="4"/>
          <w:p w14:paraId="46629952">
            <w:pPr>
              <w:spacing w:line="360" w:lineRule="auto"/>
              <w:rPr>
                <w:rFonts w:eastAsia="黑体"/>
                <w:color w:val="auto"/>
                <w:szCs w:val="21"/>
              </w:rPr>
            </w:pPr>
            <w:r>
              <w:rPr>
                <w:rFonts w:hint="eastAsia" w:eastAsia="黑体"/>
                <w:color w:val="auto"/>
                <w:szCs w:val="21"/>
                <w:lang w:val="en-US" w:eastAsia="zh-CN"/>
              </w:rPr>
              <w:t>三</w:t>
            </w:r>
            <w:r>
              <w:rPr>
                <w:rFonts w:eastAsia="黑体"/>
                <w:color w:val="auto"/>
                <w:szCs w:val="21"/>
              </w:rPr>
              <w:t>、项目组成</w:t>
            </w:r>
          </w:p>
          <w:p w14:paraId="36038B34">
            <w:pPr>
              <w:spacing w:line="360" w:lineRule="auto"/>
              <w:ind w:firstLine="420" w:firstLineChars="200"/>
              <w:rPr>
                <w:rFonts w:eastAsia="黑体"/>
                <w:color w:val="auto"/>
                <w:szCs w:val="21"/>
              </w:rPr>
            </w:pPr>
            <w:r>
              <w:rPr>
                <w:bCs/>
                <w:color w:val="auto"/>
                <w:szCs w:val="21"/>
              </w:rPr>
              <w:t>项目组成及可能产生的环境问题详见</w:t>
            </w:r>
            <w:r>
              <w:rPr>
                <w:rFonts w:hint="eastAsia"/>
                <w:bCs/>
                <w:color w:val="auto"/>
                <w:szCs w:val="21"/>
              </w:rPr>
              <w:t>下</w:t>
            </w:r>
            <w:r>
              <w:rPr>
                <w:bCs/>
                <w:color w:val="auto"/>
                <w:szCs w:val="21"/>
              </w:rPr>
              <w:t>表。</w:t>
            </w:r>
          </w:p>
          <w:p w14:paraId="71EB5BE9">
            <w:pPr>
              <w:jc w:val="center"/>
              <w:rPr>
                <w:rFonts w:eastAsia="黑体"/>
                <w:color w:val="auto"/>
                <w:szCs w:val="21"/>
              </w:rPr>
            </w:pPr>
            <w:r>
              <w:rPr>
                <w:rFonts w:eastAsia="黑体"/>
                <w:color w:val="auto"/>
                <w:szCs w:val="21"/>
              </w:rPr>
              <w:t>表2-</w:t>
            </w:r>
            <w:r>
              <w:rPr>
                <w:rFonts w:hint="eastAsia" w:eastAsia="黑体"/>
                <w:color w:val="auto"/>
                <w:szCs w:val="21"/>
                <w:lang w:val="en-US" w:eastAsia="zh-CN"/>
              </w:rPr>
              <w:t>1</w:t>
            </w:r>
            <w:r>
              <w:rPr>
                <w:rFonts w:hint="eastAsia" w:eastAsia="黑体"/>
                <w:color w:val="auto"/>
                <w:szCs w:val="21"/>
              </w:rPr>
              <w:t xml:space="preserve"> </w:t>
            </w:r>
            <w:r>
              <w:rPr>
                <w:rFonts w:eastAsia="黑体"/>
                <w:color w:val="auto"/>
                <w:szCs w:val="21"/>
              </w:rPr>
              <w:t xml:space="preserve"> </w:t>
            </w:r>
            <w:r>
              <w:rPr>
                <w:rFonts w:hint="default" w:ascii="Times New Roman" w:hAnsi="Times New Roman" w:eastAsia="黑体" w:cs="Times New Roman"/>
                <w:color w:val="000000" w:themeColor="text1"/>
                <w:szCs w:val="21"/>
                <w:highlight w:val="none"/>
                <w14:textFill>
                  <w14:solidFill>
                    <w14:schemeClr w14:val="tx1"/>
                  </w14:solidFill>
                </w14:textFill>
              </w:rPr>
              <w:t>建设项目组成及可能产生的环境</w:t>
            </w:r>
            <w:r>
              <w:rPr>
                <w:rFonts w:hint="eastAsia" w:eastAsia="黑体" w:cs="Times New Roman"/>
                <w:color w:val="000000" w:themeColor="text1"/>
                <w:szCs w:val="21"/>
                <w:highlight w:val="none"/>
                <w:lang w:val="en-US" w:eastAsia="zh-CN"/>
                <w14:textFill>
                  <w14:solidFill>
                    <w14:schemeClr w14:val="tx1"/>
                  </w14:solidFill>
                </w14:textFill>
              </w:rPr>
              <w:t>影响</w:t>
            </w:r>
            <w:r>
              <w:rPr>
                <w:rFonts w:hint="default" w:ascii="Times New Roman" w:hAnsi="Times New Roman" w:eastAsia="黑体" w:cs="Times New Roman"/>
                <w:color w:val="000000" w:themeColor="text1"/>
                <w:szCs w:val="21"/>
                <w:highlight w:val="none"/>
                <w14:textFill>
                  <w14:solidFill>
                    <w14:schemeClr w14:val="tx1"/>
                  </w14:solidFill>
                </w14:textFill>
              </w:rPr>
              <w:t>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1001"/>
              <w:gridCol w:w="1718"/>
              <w:gridCol w:w="1438"/>
              <w:gridCol w:w="1407"/>
              <w:gridCol w:w="1050"/>
              <w:gridCol w:w="57"/>
              <w:gridCol w:w="1110"/>
            </w:tblGrid>
            <w:tr w14:paraId="2F5A06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1" w:type="dxa"/>
                  <w:gridSpan w:val="2"/>
                  <w:vMerge w:val="restart"/>
                  <w:tcBorders>
                    <w:tl2br w:val="nil"/>
                    <w:tr2bl w:val="nil"/>
                  </w:tcBorders>
                  <w:vAlign w:val="center"/>
                </w:tcPr>
                <w:p w14:paraId="3735BE2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名称</w:t>
                  </w:r>
                </w:p>
              </w:tc>
              <w:tc>
                <w:tcPr>
                  <w:tcW w:w="4563" w:type="dxa"/>
                  <w:gridSpan w:val="3"/>
                  <w:vMerge w:val="restart"/>
                  <w:tcBorders>
                    <w:tl2br w:val="nil"/>
                    <w:tr2bl w:val="nil"/>
                  </w:tcBorders>
                  <w:vAlign w:val="center"/>
                </w:tcPr>
                <w:p w14:paraId="18462E3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建设内容及规模</w:t>
                  </w:r>
                </w:p>
              </w:tc>
              <w:tc>
                <w:tcPr>
                  <w:tcW w:w="2217" w:type="dxa"/>
                  <w:gridSpan w:val="3"/>
                  <w:tcBorders>
                    <w:tl2br w:val="nil"/>
                    <w:tr2bl w:val="nil"/>
                  </w:tcBorders>
                  <w:vAlign w:val="center"/>
                </w:tcPr>
                <w:p w14:paraId="76D58EF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可能产生的环境问题</w:t>
                  </w:r>
                </w:p>
              </w:tc>
            </w:tr>
            <w:tr w14:paraId="7EF023C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1" w:type="dxa"/>
                  <w:gridSpan w:val="2"/>
                  <w:vMerge w:val="continue"/>
                  <w:tcBorders>
                    <w:tl2br w:val="nil"/>
                    <w:tr2bl w:val="nil"/>
                  </w:tcBorders>
                  <w:vAlign w:val="center"/>
                </w:tcPr>
                <w:p w14:paraId="3E5A1823">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4563" w:type="dxa"/>
                  <w:gridSpan w:val="3"/>
                  <w:vMerge w:val="continue"/>
                  <w:tcBorders>
                    <w:tl2br w:val="nil"/>
                    <w:tr2bl w:val="nil"/>
                  </w:tcBorders>
                  <w:vAlign w:val="center"/>
                </w:tcPr>
                <w:p w14:paraId="58C54FF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50" w:type="dxa"/>
                  <w:tcBorders>
                    <w:tl2br w:val="nil"/>
                    <w:tr2bl w:val="nil"/>
                  </w:tcBorders>
                  <w:vAlign w:val="center"/>
                </w:tcPr>
                <w:p w14:paraId="755A8BF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施工期</w:t>
                  </w:r>
                </w:p>
              </w:tc>
              <w:tc>
                <w:tcPr>
                  <w:tcW w:w="1167" w:type="dxa"/>
                  <w:gridSpan w:val="2"/>
                  <w:tcBorders>
                    <w:tl2br w:val="nil"/>
                    <w:tr2bl w:val="nil"/>
                  </w:tcBorders>
                  <w:vAlign w:val="center"/>
                </w:tcPr>
                <w:p w14:paraId="21D7DDC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营运期</w:t>
                  </w:r>
                </w:p>
              </w:tc>
            </w:tr>
            <w:tr w14:paraId="57674C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restart"/>
                  <w:tcBorders>
                    <w:tl2br w:val="nil"/>
                    <w:tr2bl w:val="nil"/>
                  </w:tcBorders>
                  <w:vAlign w:val="center"/>
                </w:tcPr>
                <w:p w14:paraId="105D365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eastAsia="zh-CN"/>
                    </w:rPr>
                  </w:pPr>
                  <w:r>
                    <w:rPr>
                      <w:rFonts w:hint="eastAsia" w:cs="Times New Roman"/>
                      <w:color w:val="auto"/>
                      <w:sz w:val="18"/>
                      <w:szCs w:val="18"/>
                      <w:lang w:val="en-US" w:eastAsia="zh-CN"/>
                    </w:rPr>
                    <w:t>司城</w:t>
                  </w:r>
                  <w:r>
                    <w:rPr>
                      <w:rFonts w:hint="default" w:ascii="Times New Roman" w:hAnsi="Times New Roman" w:cs="Times New Roman"/>
                      <w:color w:val="auto"/>
                      <w:sz w:val="18"/>
                      <w:szCs w:val="18"/>
                      <w:lang w:eastAsia="zh-CN"/>
                    </w:rPr>
                    <w:t>110</w:t>
                  </w:r>
                  <w:r>
                    <w:rPr>
                      <w:rFonts w:hint="default" w:ascii="Times New Roman" w:hAnsi="Times New Roman" w:cs="Times New Roman"/>
                      <w:color w:val="auto"/>
                      <w:sz w:val="18"/>
                      <w:szCs w:val="18"/>
                      <w:lang w:val="en-US" w:eastAsia="zh-CN"/>
                    </w:rPr>
                    <w:t>kV</w:t>
                  </w:r>
                  <w:r>
                    <w:rPr>
                      <w:rFonts w:hint="default" w:ascii="Times New Roman" w:hAnsi="Times New Roman" w:cs="Times New Roman"/>
                      <w:color w:val="auto"/>
                      <w:sz w:val="18"/>
                      <w:szCs w:val="18"/>
                      <w:lang w:eastAsia="zh-CN"/>
                    </w:rPr>
                    <w:t>变电站新建工程</w:t>
                  </w:r>
                </w:p>
              </w:tc>
              <w:tc>
                <w:tcPr>
                  <w:tcW w:w="1001" w:type="dxa"/>
                  <w:vMerge w:val="restart"/>
                  <w:tcBorders>
                    <w:tl2br w:val="nil"/>
                    <w:tr2bl w:val="nil"/>
                  </w:tcBorders>
                  <w:vAlign w:val="center"/>
                </w:tcPr>
                <w:p w14:paraId="64DA5A9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主体工程</w:t>
                  </w:r>
                </w:p>
              </w:tc>
              <w:tc>
                <w:tcPr>
                  <w:tcW w:w="4563" w:type="dxa"/>
                  <w:gridSpan w:val="3"/>
                  <w:tcBorders>
                    <w:tl2br w:val="nil"/>
                    <w:tr2bl w:val="nil"/>
                  </w:tcBorders>
                  <w:vAlign w:val="center"/>
                </w:tcPr>
                <w:p w14:paraId="679455A1">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highlight w:val="none"/>
                      <w:lang w:val="en-US" w:eastAsia="zh-CN"/>
                    </w:rPr>
                    <w:t>户外</w:t>
                  </w:r>
                  <w:r>
                    <w:rPr>
                      <w:rFonts w:hint="default" w:ascii="Times New Roman" w:hAnsi="Times New Roman" w:cs="Times New Roman"/>
                      <w:color w:val="auto"/>
                      <w:sz w:val="18"/>
                      <w:szCs w:val="18"/>
                      <w:highlight w:val="none"/>
                    </w:rPr>
                    <w:t>变电站，</w:t>
                  </w:r>
                  <w:r>
                    <w:rPr>
                      <w:rFonts w:hint="default" w:ascii="Times New Roman" w:hAnsi="Times New Roman" w:cs="Times New Roman"/>
                      <w:color w:val="auto"/>
                      <w:sz w:val="18"/>
                      <w:szCs w:val="18"/>
                    </w:rPr>
                    <w:t>主变户外布置，110kV配电装置采用户外</w:t>
                  </w:r>
                  <w:r>
                    <w:rPr>
                      <w:rFonts w:hint="default" w:ascii="Times New Roman" w:hAnsi="Times New Roman" w:cs="Times New Roman"/>
                      <w:color w:val="auto"/>
                      <w:sz w:val="18"/>
                      <w:szCs w:val="18"/>
                      <w:lang w:val="en-US" w:eastAsia="zh-CN"/>
                    </w:rPr>
                    <w:t>H</w:t>
                  </w:r>
                  <w:r>
                    <w:rPr>
                      <w:rFonts w:hint="default" w:ascii="Times New Roman" w:hAnsi="Times New Roman" w:cs="Times New Roman"/>
                      <w:color w:val="auto"/>
                      <w:sz w:val="18"/>
                      <w:szCs w:val="18"/>
                    </w:rPr>
                    <w:t>GIS布置，110kV出线采用架空出线，</w:t>
                  </w:r>
                  <w:r>
                    <w:rPr>
                      <w:rFonts w:hint="default" w:ascii="Times New Roman" w:hAnsi="Times New Roman" w:cs="Times New Roman"/>
                      <w:color w:val="auto"/>
                      <w:sz w:val="18"/>
                      <w:szCs w:val="18"/>
                      <w:lang w:val="en-US" w:eastAsia="zh-CN"/>
                    </w:rPr>
                    <w:t>35kV和</w:t>
                  </w:r>
                  <w:r>
                    <w:rPr>
                      <w:rFonts w:hint="default" w:ascii="Times New Roman" w:hAnsi="Times New Roman" w:cs="Times New Roman"/>
                      <w:color w:val="auto"/>
                      <w:sz w:val="18"/>
                      <w:szCs w:val="18"/>
                    </w:rPr>
                    <w:t>10kV出线采用电缆出线。</w:t>
                  </w:r>
                </w:p>
              </w:tc>
              <w:tc>
                <w:tcPr>
                  <w:tcW w:w="1050" w:type="dxa"/>
                  <w:vMerge w:val="restart"/>
                  <w:tcBorders>
                    <w:tl2br w:val="nil"/>
                    <w:tr2bl w:val="nil"/>
                  </w:tcBorders>
                  <w:vAlign w:val="center"/>
                </w:tcPr>
                <w:p w14:paraId="1CFF161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噪声、生活污水、施工废水、扬尘、固体废物、植被破坏、水土流失</w:t>
                  </w:r>
                </w:p>
              </w:tc>
              <w:tc>
                <w:tcPr>
                  <w:tcW w:w="1167" w:type="dxa"/>
                  <w:gridSpan w:val="2"/>
                  <w:vMerge w:val="restart"/>
                  <w:tcBorders>
                    <w:tl2br w:val="nil"/>
                    <w:tr2bl w:val="nil"/>
                  </w:tcBorders>
                  <w:vAlign w:val="center"/>
                </w:tcPr>
                <w:p w14:paraId="1B1924A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工频电场、工频磁场、噪声、废事故油</w:t>
                  </w:r>
                </w:p>
              </w:tc>
            </w:tr>
            <w:tr w14:paraId="02C16C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180BE0AF">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79D03F9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2A28A7A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项目</w:t>
                  </w:r>
                </w:p>
              </w:tc>
              <w:tc>
                <w:tcPr>
                  <w:tcW w:w="1438" w:type="dxa"/>
                  <w:tcBorders>
                    <w:tl2br w:val="nil"/>
                    <w:tr2bl w:val="nil"/>
                  </w:tcBorders>
                  <w:vAlign w:val="center"/>
                </w:tcPr>
                <w:p w14:paraId="1E7E0A8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本期</w:t>
                  </w:r>
                </w:p>
              </w:tc>
              <w:tc>
                <w:tcPr>
                  <w:tcW w:w="1407" w:type="dxa"/>
                  <w:tcBorders>
                    <w:tl2br w:val="nil"/>
                    <w:tr2bl w:val="nil"/>
                  </w:tcBorders>
                  <w:vAlign w:val="center"/>
                </w:tcPr>
                <w:p w14:paraId="583065D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终期</w:t>
                  </w:r>
                </w:p>
              </w:tc>
              <w:tc>
                <w:tcPr>
                  <w:tcW w:w="1050" w:type="dxa"/>
                  <w:vMerge w:val="continue"/>
                  <w:tcBorders>
                    <w:tl2br w:val="nil"/>
                    <w:tr2bl w:val="nil"/>
                  </w:tcBorders>
                  <w:vAlign w:val="center"/>
                </w:tcPr>
                <w:p w14:paraId="13F22A8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0B6778A9">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76BF7C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4643EF1E">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2494B229">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75C3140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主变（MVA）</w:t>
                  </w:r>
                </w:p>
              </w:tc>
              <w:tc>
                <w:tcPr>
                  <w:tcW w:w="1438" w:type="dxa"/>
                  <w:tcBorders>
                    <w:tl2br w:val="nil"/>
                    <w:tr2bl w:val="nil"/>
                  </w:tcBorders>
                  <w:vAlign w:val="center"/>
                </w:tcPr>
                <w:p w14:paraId="13A0F9E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w:t>
                  </w: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val="en-US" w:eastAsia="zh-CN"/>
                    </w:rPr>
                    <w:t>63</w:t>
                  </w:r>
                </w:p>
              </w:tc>
              <w:tc>
                <w:tcPr>
                  <w:tcW w:w="1407" w:type="dxa"/>
                  <w:tcBorders>
                    <w:tl2br w:val="nil"/>
                    <w:tr2bl w:val="nil"/>
                  </w:tcBorders>
                  <w:vAlign w:val="center"/>
                </w:tcPr>
                <w:p w14:paraId="310C701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rPr>
                    <w:t>3×</w:t>
                  </w:r>
                  <w:r>
                    <w:rPr>
                      <w:rFonts w:hint="default" w:ascii="Times New Roman" w:hAnsi="Times New Roman" w:cs="Times New Roman"/>
                      <w:color w:val="auto"/>
                      <w:sz w:val="18"/>
                      <w:szCs w:val="18"/>
                      <w:lang w:val="en-US" w:eastAsia="zh-CN"/>
                    </w:rPr>
                    <w:t>63</w:t>
                  </w:r>
                </w:p>
              </w:tc>
              <w:tc>
                <w:tcPr>
                  <w:tcW w:w="1050" w:type="dxa"/>
                  <w:vMerge w:val="continue"/>
                  <w:tcBorders>
                    <w:tl2br w:val="nil"/>
                    <w:tr2bl w:val="nil"/>
                  </w:tcBorders>
                  <w:vAlign w:val="center"/>
                </w:tcPr>
                <w:p w14:paraId="2E0ACBD9">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1A6C3F1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59DA74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5C03C8D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18FCC809">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3426A22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110kV出线（回）</w:t>
                  </w:r>
                </w:p>
              </w:tc>
              <w:tc>
                <w:tcPr>
                  <w:tcW w:w="1438" w:type="dxa"/>
                  <w:tcBorders>
                    <w:tl2br w:val="nil"/>
                    <w:tr2bl w:val="nil"/>
                  </w:tcBorders>
                  <w:vAlign w:val="center"/>
                </w:tcPr>
                <w:p w14:paraId="7909D15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lang w:val="en-US" w:eastAsia="zh-CN"/>
                    </w:rPr>
                    <w:t>2</w:t>
                  </w:r>
                </w:p>
              </w:tc>
              <w:tc>
                <w:tcPr>
                  <w:tcW w:w="1407" w:type="dxa"/>
                  <w:tcBorders>
                    <w:tl2br w:val="nil"/>
                    <w:tr2bl w:val="nil"/>
                  </w:tcBorders>
                  <w:vAlign w:val="center"/>
                </w:tcPr>
                <w:p w14:paraId="01DA36C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4</w:t>
                  </w:r>
                </w:p>
              </w:tc>
              <w:tc>
                <w:tcPr>
                  <w:tcW w:w="1050" w:type="dxa"/>
                  <w:vMerge w:val="continue"/>
                  <w:tcBorders>
                    <w:tl2br w:val="nil"/>
                    <w:tr2bl w:val="nil"/>
                  </w:tcBorders>
                  <w:vAlign w:val="center"/>
                </w:tcPr>
                <w:p w14:paraId="34073721">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5576998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236E2D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0F9F7A0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1E174CE9">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6CBEB70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35</w:t>
                  </w:r>
                  <w:r>
                    <w:rPr>
                      <w:rFonts w:hint="default" w:ascii="Times New Roman" w:hAnsi="Times New Roman" w:cs="Times New Roman"/>
                      <w:color w:val="auto"/>
                      <w:sz w:val="18"/>
                      <w:szCs w:val="18"/>
                    </w:rPr>
                    <w:t>kV出线（回）</w:t>
                  </w:r>
                </w:p>
              </w:tc>
              <w:tc>
                <w:tcPr>
                  <w:tcW w:w="1438" w:type="dxa"/>
                  <w:tcBorders>
                    <w:tl2br w:val="nil"/>
                    <w:tr2bl w:val="nil"/>
                  </w:tcBorders>
                  <w:vAlign w:val="center"/>
                </w:tcPr>
                <w:p w14:paraId="1A37AF9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6</w:t>
                  </w:r>
                </w:p>
              </w:tc>
              <w:tc>
                <w:tcPr>
                  <w:tcW w:w="1407" w:type="dxa"/>
                  <w:tcBorders>
                    <w:tl2br w:val="nil"/>
                    <w:tr2bl w:val="nil"/>
                  </w:tcBorders>
                  <w:vAlign w:val="center"/>
                </w:tcPr>
                <w:p w14:paraId="6D73D69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6</w:t>
                  </w:r>
                </w:p>
              </w:tc>
              <w:tc>
                <w:tcPr>
                  <w:tcW w:w="1050" w:type="dxa"/>
                  <w:vMerge w:val="continue"/>
                  <w:tcBorders>
                    <w:tl2br w:val="nil"/>
                    <w:tr2bl w:val="nil"/>
                  </w:tcBorders>
                  <w:vAlign w:val="center"/>
                </w:tcPr>
                <w:p w14:paraId="58A5C96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4912F2F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6D9CEE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4C63D83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341BFF6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42460E5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10kV出线（回）</w:t>
                  </w:r>
                </w:p>
              </w:tc>
              <w:tc>
                <w:tcPr>
                  <w:tcW w:w="1438" w:type="dxa"/>
                  <w:tcBorders>
                    <w:tl2br w:val="nil"/>
                    <w:tr2bl w:val="nil"/>
                  </w:tcBorders>
                  <w:vAlign w:val="center"/>
                </w:tcPr>
                <w:p w14:paraId="4530FEF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16</w:t>
                  </w:r>
                </w:p>
              </w:tc>
              <w:tc>
                <w:tcPr>
                  <w:tcW w:w="1407" w:type="dxa"/>
                  <w:tcBorders>
                    <w:tl2br w:val="nil"/>
                    <w:tr2bl w:val="nil"/>
                  </w:tcBorders>
                  <w:vAlign w:val="center"/>
                </w:tcPr>
                <w:p w14:paraId="4907FD65">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30</w:t>
                  </w:r>
                </w:p>
              </w:tc>
              <w:tc>
                <w:tcPr>
                  <w:tcW w:w="1050" w:type="dxa"/>
                  <w:vMerge w:val="continue"/>
                  <w:tcBorders>
                    <w:tl2br w:val="nil"/>
                    <w:tr2bl w:val="nil"/>
                  </w:tcBorders>
                  <w:vAlign w:val="center"/>
                </w:tcPr>
                <w:p w14:paraId="381108BF">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383401A1">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5D1800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90" w:type="dxa"/>
                  <w:vMerge w:val="continue"/>
                  <w:tcBorders>
                    <w:tl2br w:val="nil"/>
                    <w:tr2bl w:val="nil"/>
                  </w:tcBorders>
                  <w:vAlign w:val="center"/>
                </w:tcPr>
                <w:p w14:paraId="650A0AE1">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69D1F0F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74BC05E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10kV无功补偿（Mvar）</w:t>
                  </w:r>
                </w:p>
              </w:tc>
              <w:tc>
                <w:tcPr>
                  <w:tcW w:w="1438" w:type="dxa"/>
                  <w:tcBorders>
                    <w:tl2br w:val="nil"/>
                    <w:tr2bl w:val="nil"/>
                  </w:tcBorders>
                  <w:vAlign w:val="center"/>
                </w:tcPr>
                <w:p w14:paraId="32F2056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2</w:t>
                  </w: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2</w:t>
                  </w:r>
                  <w:r>
                    <w:rPr>
                      <w:rFonts w:hint="default" w:ascii="Times New Roman" w:hAnsi="Times New Roman" w:cs="Times New Roman"/>
                      <w:color w:val="auto"/>
                      <w:sz w:val="18"/>
                      <w:szCs w:val="18"/>
                    </w:rPr>
                    <w:t>×</w:t>
                  </w:r>
                  <w:r>
                    <w:rPr>
                      <w:rFonts w:hint="eastAsia" w:cs="Times New Roman"/>
                      <w:color w:val="auto"/>
                      <w:sz w:val="18"/>
                      <w:szCs w:val="18"/>
                      <w:lang w:val="en-US" w:eastAsia="zh-CN"/>
                    </w:rPr>
                    <w:t>5</w:t>
                  </w:r>
                  <w:r>
                    <w:rPr>
                      <w:rFonts w:hint="default" w:ascii="Times New Roman" w:hAnsi="Times New Roman" w:cs="Times New Roman"/>
                      <w:color w:val="auto"/>
                      <w:sz w:val="18"/>
                      <w:szCs w:val="18"/>
                      <w:lang w:val="en-US" w:eastAsia="zh-CN"/>
                    </w:rPr>
                    <w:t>)</w:t>
                  </w:r>
                </w:p>
              </w:tc>
              <w:tc>
                <w:tcPr>
                  <w:tcW w:w="1407" w:type="dxa"/>
                  <w:tcBorders>
                    <w:tl2br w:val="nil"/>
                    <w:tr2bl w:val="nil"/>
                  </w:tcBorders>
                  <w:vAlign w:val="center"/>
                </w:tcPr>
                <w:p w14:paraId="428F988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3</w:t>
                  </w: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2</w:t>
                  </w:r>
                  <w:r>
                    <w:rPr>
                      <w:rFonts w:hint="default" w:ascii="Times New Roman" w:hAnsi="Times New Roman" w:cs="Times New Roman"/>
                      <w:color w:val="auto"/>
                      <w:sz w:val="18"/>
                      <w:szCs w:val="18"/>
                    </w:rPr>
                    <w:t>×</w:t>
                  </w:r>
                  <w:r>
                    <w:rPr>
                      <w:rFonts w:hint="eastAsia" w:cs="Times New Roman"/>
                      <w:color w:val="auto"/>
                      <w:sz w:val="18"/>
                      <w:szCs w:val="18"/>
                      <w:lang w:val="en-US" w:eastAsia="zh-CN"/>
                    </w:rPr>
                    <w:t>5</w:t>
                  </w:r>
                  <w:r>
                    <w:rPr>
                      <w:rFonts w:hint="default" w:ascii="Times New Roman" w:hAnsi="Times New Roman" w:cs="Times New Roman"/>
                      <w:color w:val="auto"/>
                      <w:sz w:val="18"/>
                      <w:szCs w:val="18"/>
                      <w:lang w:val="en-US" w:eastAsia="zh-CN"/>
                    </w:rPr>
                    <w:t>)</w:t>
                  </w:r>
                </w:p>
              </w:tc>
              <w:tc>
                <w:tcPr>
                  <w:tcW w:w="1050" w:type="dxa"/>
                  <w:vMerge w:val="continue"/>
                  <w:tcBorders>
                    <w:tl2br w:val="nil"/>
                    <w:tr2bl w:val="nil"/>
                  </w:tcBorders>
                  <w:vAlign w:val="center"/>
                </w:tcPr>
                <w:p w14:paraId="4F0A903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44B51F5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591F1F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90" w:type="dxa"/>
                  <w:vMerge w:val="continue"/>
                  <w:tcBorders>
                    <w:tl2br w:val="nil"/>
                    <w:tr2bl w:val="nil"/>
                  </w:tcBorders>
                  <w:vAlign w:val="center"/>
                </w:tcPr>
                <w:p w14:paraId="3A1F1FBE">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5CF52DF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0DF4454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eastAsia" w:ascii="Times New Roman" w:hAnsi="Times New Roman" w:cs="Times New Roman"/>
                      <w:color w:val="auto"/>
                      <w:sz w:val="18"/>
                      <w:szCs w:val="18"/>
                      <w:lang w:val="en-US" w:eastAsia="zh-CN"/>
                    </w:rPr>
                    <w:t>35</w:t>
                  </w:r>
                  <w:r>
                    <w:rPr>
                      <w:rFonts w:hint="default" w:ascii="Times New Roman" w:hAnsi="Times New Roman" w:cs="Times New Roman"/>
                      <w:color w:val="auto"/>
                      <w:sz w:val="18"/>
                      <w:szCs w:val="18"/>
                    </w:rPr>
                    <w:t>kV消弧线圈（kVA）</w:t>
                  </w:r>
                </w:p>
              </w:tc>
              <w:tc>
                <w:tcPr>
                  <w:tcW w:w="1438" w:type="dxa"/>
                  <w:tcBorders>
                    <w:tl2br w:val="nil"/>
                    <w:tr2bl w:val="nil"/>
                  </w:tcBorders>
                  <w:vAlign w:val="center"/>
                </w:tcPr>
                <w:p w14:paraId="03CA693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cs="Times New Roman"/>
                      <w:color w:val="auto"/>
                      <w:sz w:val="18"/>
                      <w:szCs w:val="18"/>
                      <w:lang w:val="en-US" w:eastAsia="zh-CN"/>
                    </w:rPr>
                    <w:t>无</w:t>
                  </w:r>
                </w:p>
              </w:tc>
              <w:tc>
                <w:tcPr>
                  <w:tcW w:w="1407" w:type="dxa"/>
                  <w:tcBorders>
                    <w:tl2br w:val="nil"/>
                    <w:tr2bl w:val="nil"/>
                  </w:tcBorders>
                  <w:vAlign w:val="center"/>
                </w:tcPr>
                <w:p w14:paraId="5B3531A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1×630</w:t>
                  </w:r>
                </w:p>
              </w:tc>
              <w:tc>
                <w:tcPr>
                  <w:tcW w:w="1050" w:type="dxa"/>
                  <w:vMerge w:val="continue"/>
                  <w:tcBorders>
                    <w:tl2br w:val="nil"/>
                    <w:tr2bl w:val="nil"/>
                  </w:tcBorders>
                  <w:vAlign w:val="center"/>
                </w:tcPr>
                <w:p w14:paraId="48DA795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7483935E">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0E3C0A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90" w:type="dxa"/>
                  <w:vMerge w:val="continue"/>
                  <w:tcBorders>
                    <w:tl2br w:val="nil"/>
                    <w:tr2bl w:val="nil"/>
                  </w:tcBorders>
                  <w:vAlign w:val="center"/>
                </w:tcPr>
                <w:p w14:paraId="3C72247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001" w:type="dxa"/>
                  <w:vMerge w:val="continue"/>
                  <w:tcBorders>
                    <w:tl2br w:val="nil"/>
                    <w:tr2bl w:val="nil"/>
                  </w:tcBorders>
                  <w:vAlign w:val="center"/>
                </w:tcPr>
                <w:p w14:paraId="51A9273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718" w:type="dxa"/>
                  <w:tcBorders>
                    <w:tl2br w:val="nil"/>
                    <w:tr2bl w:val="nil"/>
                  </w:tcBorders>
                  <w:vAlign w:val="center"/>
                </w:tcPr>
                <w:p w14:paraId="1B21D63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10kV消弧线圈（kVA）</w:t>
                  </w:r>
                </w:p>
              </w:tc>
              <w:tc>
                <w:tcPr>
                  <w:tcW w:w="1438" w:type="dxa"/>
                  <w:tcBorders>
                    <w:tl2br w:val="nil"/>
                    <w:tr2bl w:val="nil"/>
                  </w:tcBorders>
                  <w:vAlign w:val="center"/>
                </w:tcPr>
                <w:p w14:paraId="3CACF33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w:t>
                  </w: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val="en-US" w:eastAsia="zh-CN"/>
                    </w:rPr>
                    <w:t>630</w:t>
                  </w:r>
                </w:p>
              </w:tc>
              <w:tc>
                <w:tcPr>
                  <w:tcW w:w="1407" w:type="dxa"/>
                  <w:tcBorders>
                    <w:tl2br w:val="nil"/>
                    <w:tr2bl w:val="nil"/>
                  </w:tcBorders>
                  <w:vAlign w:val="center"/>
                </w:tcPr>
                <w:p w14:paraId="26DB5F61">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3×</w:t>
                  </w:r>
                  <w:r>
                    <w:rPr>
                      <w:rFonts w:hint="default" w:ascii="Times New Roman" w:hAnsi="Times New Roman" w:cs="Times New Roman"/>
                      <w:color w:val="auto"/>
                      <w:sz w:val="18"/>
                      <w:szCs w:val="18"/>
                      <w:lang w:val="en-US" w:eastAsia="zh-CN"/>
                    </w:rPr>
                    <w:t>63</w:t>
                  </w:r>
                  <w:r>
                    <w:rPr>
                      <w:rFonts w:hint="default" w:ascii="Times New Roman" w:hAnsi="Times New Roman" w:cs="Times New Roman"/>
                      <w:color w:val="auto"/>
                      <w:sz w:val="18"/>
                      <w:szCs w:val="18"/>
                    </w:rPr>
                    <w:t>0</w:t>
                  </w:r>
                </w:p>
              </w:tc>
              <w:tc>
                <w:tcPr>
                  <w:tcW w:w="1050" w:type="dxa"/>
                  <w:vMerge w:val="continue"/>
                  <w:tcBorders>
                    <w:tl2br w:val="nil"/>
                    <w:tr2bl w:val="nil"/>
                  </w:tcBorders>
                  <w:vAlign w:val="center"/>
                </w:tcPr>
                <w:p w14:paraId="7D8179E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167" w:type="dxa"/>
                  <w:gridSpan w:val="2"/>
                  <w:vMerge w:val="continue"/>
                  <w:tcBorders>
                    <w:tl2br w:val="nil"/>
                    <w:tr2bl w:val="nil"/>
                  </w:tcBorders>
                  <w:vAlign w:val="center"/>
                </w:tcPr>
                <w:p w14:paraId="31B90A3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r>
            <w:tr w14:paraId="380A8F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890" w:type="dxa"/>
                  <w:vMerge w:val="continue"/>
                  <w:tcBorders>
                    <w:tl2br w:val="nil"/>
                    <w:tr2bl w:val="nil"/>
                  </w:tcBorders>
                  <w:vAlign w:val="center"/>
                </w:tcPr>
                <w:p w14:paraId="380C6B24">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001" w:type="dxa"/>
                  <w:tcBorders>
                    <w:tl2br w:val="nil"/>
                    <w:tr2bl w:val="nil"/>
                  </w:tcBorders>
                  <w:vAlign w:val="center"/>
                </w:tcPr>
                <w:p w14:paraId="4FCEC85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辅助工程</w:t>
                  </w:r>
                </w:p>
              </w:tc>
              <w:tc>
                <w:tcPr>
                  <w:tcW w:w="4563" w:type="dxa"/>
                  <w:gridSpan w:val="3"/>
                  <w:tcBorders>
                    <w:tl2br w:val="nil"/>
                    <w:tr2bl w:val="nil"/>
                  </w:tcBorders>
                  <w:vAlign w:val="center"/>
                </w:tcPr>
                <w:p w14:paraId="5302FCD3">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vertAlign w:val="baseline"/>
                      <w:lang w:eastAsia="zh-CN"/>
                    </w:rPr>
                  </w:pPr>
                  <w:r>
                    <w:rPr>
                      <w:rFonts w:hint="default" w:ascii="Times New Roman" w:hAnsi="Times New Roman" w:cs="Times New Roman"/>
                      <w:color w:val="auto"/>
                      <w:sz w:val="18"/>
                      <w:szCs w:val="18"/>
                    </w:rPr>
                    <w:t>配电</w:t>
                  </w:r>
                  <w:r>
                    <w:rPr>
                      <w:rFonts w:hint="default" w:ascii="Times New Roman" w:hAnsi="Times New Roman" w:cs="Times New Roman"/>
                      <w:color w:val="auto"/>
                      <w:sz w:val="18"/>
                      <w:szCs w:val="18"/>
                      <w:lang w:val="en-US" w:eastAsia="zh-CN"/>
                    </w:rPr>
                    <w:t>装置室</w:t>
                  </w:r>
                  <w:r>
                    <w:rPr>
                      <w:rFonts w:hint="default" w:ascii="Times New Roman" w:hAnsi="Times New Roman" w:cs="Times New Roman"/>
                      <w:color w:val="auto"/>
                      <w:sz w:val="18"/>
                      <w:szCs w:val="18"/>
                    </w:rPr>
                    <w:t>：1栋1层，</w:t>
                  </w:r>
                  <w:r>
                    <w:rPr>
                      <w:rFonts w:hint="default" w:ascii="Times New Roman" w:hAnsi="Times New Roman" w:cs="Times New Roman"/>
                      <w:color w:val="auto"/>
                      <w:sz w:val="18"/>
                      <w:szCs w:val="18"/>
                      <w:lang w:val="en-US" w:eastAsia="zh-CN"/>
                    </w:rPr>
                    <w:t>层</w:t>
                  </w:r>
                  <w:r>
                    <w:rPr>
                      <w:rFonts w:hint="default" w:ascii="Times New Roman" w:hAnsi="Times New Roman" w:cs="Times New Roman"/>
                      <w:color w:val="auto"/>
                      <w:sz w:val="18"/>
                      <w:szCs w:val="18"/>
                    </w:rPr>
                    <w:t>高</w:t>
                  </w:r>
                  <w:r>
                    <w:rPr>
                      <w:rFonts w:hint="default" w:ascii="Times New Roman" w:hAnsi="Times New Roman" w:cs="Times New Roman"/>
                      <w:color w:val="auto"/>
                      <w:sz w:val="18"/>
                      <w:szCs w:val="18"/>
                      <w:lang w:val="en-US" w:eastAsia="zh-CN"/>
                    </w:rPr>
                    <w:t>4.</w:t>
                  </w:r>
                  <w:r>
                    <w:rPr>
                      <w:rFonts w:hint="eastAsia" w:cs="Times New Roman"/>
                      <w:color w:val="auto"/>
                      <w:sz w:val="18"/>
                      <w:szCs w:val="18"/>
                      <w:lang w:val="en-US" w:eastAsia="zh-CN"/>
                    </w:rPr>
                    <w:t>95</w:t>
                  </w:r>
                  <w:r>
                    <w:rPr>
                      <w:rFonts w:hint="default" w:ascii="Times New Roman" w:hAnsi="Times New Roman" w:cs="Times New Roman"/>
                      <w:color w:val="auto"/>
                      <w:sz w:val="18"/>
                      <w:szCs w:val="18"/>
                    </w:rPr>
                    <w:t>m，建筑面积约</w:t>
                  </w:r>
                  <w:r>
                    <w:rPr>
                      <w:rFonts w:hint="eastAsia" w:cs="Times New Roman"/>
                      <w:color w:val="auto"/>
                      <w:sz w:val="18"/>
                      <w:szCs w:val="18"/>
                      <w:lang w:val="en-US" w:eastAsia="zh-CN"/>
                    </w:rPr>
                    <w:t>665</w:t>
                  </w:r>
                  <w:r>
                    <w:rPr>
                      <w:rFonts w:hint="default" w:ascii="Times New Roman" w:hAnsi="Times New Roman" w:cs="Times New Roman"/>
                      <w:color w:val="auto"/>
                      <w:sz w:val="18"/>
                      <w:szCs w:val="18"/>
                    </w:rPr>
                    <w:t>m</w:t>
                  </w:r>
                  <w:r>
                    <w:rPr>
                      <w:rFonts w:hint="default" w:ascii="Times New Roman" w:hAnsi="Times New Roman" w:cs="Times New Roman"/>
                      <w:color w:val="auto"/>
                      <w:sz w:val="18"/>
                      <w:szCs w:val="18"/>
                      <w:vertAlign w:val="superscript"/>
                    </w:rPr>
                    <w:t>2</w:t>
                  </w:r>
                  <w:r>
                    <w:rPr>
                      <w:rFonts w:hint="default" w:ascii="Times New Roman" w:hAnsi="Times New Roman" w:cs="Times New Roman"/>
                      <w:color w:val="auto"/>
                      <w:sz w:val="18"/>
                      <w:szCs w:val="18"/>
                      <w:vertAlign w:val="baseline"/>
                      <w:lang w:eastAsia="zh-CN"/>
                    </w:rPr>
                    <w:t>。</w:t>
                  </w:r>
                </w:p>
                <w:p w14:paraId="0F998865">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vertAlign w:val="baseline"/>
                      <w:lang w:val="en-US" w:eastAsia="zh-CN"/>
                    </w:rPr>
                  </w:pPr>
                  <w:r>
                    <w:rPr>
                      <w:rFonts w:hint="eastAsia" w:cs="Times New Roman"/>
                      <w:color w:val="auto"/>
                      <w:sz w:val="18"/>
                      <w:szCs w:val="18"/>
                      <w:vertAlign w:val="baseline"/>
                      <w:lang w:val="en-US" w:eastAsia="zh-CN"/>
                    </w:rPr>
                    <w:t>辅助用房：</w:t>
                  </w:r>
                  <w:r>
                    <w:rPr>
                      <w:rFonts w:hint="default" w:ascii="Times New Roman" w:hAnsi="Times New Roman" w:cs="Times New Roman"/>
                      <w:color w:val="auto"/>
                      <w:sz w:val="18"/>
                      <w:szCs w:val="18"/>
                    </w:rPr>
                    <w:t>1栋1层，</w:t>
                  </w:r>
                  <w:r>
                    <w:rPr>
                      <w:rFonts w:hint="default" w:ascii="Times New Roman" w:hAnsi="Times New Roman" w:cs="Times New Roman"/>
                      <w:color w:val="auto"/>
                      <w:sz w:val="18"/>
                      <w:szCs w:val="18"/>
                      <w:lang w:val="en-US" w:eastAsia="zh-CN"/>
                    </w:rPr>
                    <w:t>层</w:t>
                  </w:r>
                  <w:r>
                    <w:rPr>
                      <w:rFonts w:hint="default" w:ascii="Times New Roman" w:hAnsi="Times New Roman" w:cs="Times New Roman"/>
                      <w:color w:val="auto"/>
                      <w:sz w:val="18"/>
                      <w:szCs w:val="18"/>
                    </w:rPr>
                    <w:t>高</w:t>
                  </w:r>
                  <w:r>
                    <w:rPr>
                      <w:rFonts w:hint="eastAsia" w:ascii="Times New Roman" w:hAnsi="Times New Roman" w:cs="Times New Roman"/>
                      <w:color w:val="auto"/>
                      <w:sz w:val="18"/>
                      <w:szCs w:val="18"/>
                      <w:lang w:val="en-US" w:eastAsia="zh-CN"/>
                    </w:rPr>
                    <w:t>3.3</w:t>
                  </w:r>
                  <w:r>
                    <w:rPr>
                      <w:rFonts w:hint="default" w:ascii="Times New Roman" w:hAnsi="Times New Roman" w:cs="Times New Roman"/>
                      <w:color w:val="auto"/>
                      <w:sz w:val="18"/>
                      <w:szCs w:val="18"/>
                    </w:rPr>
                    <w:t>m，建筑面积约</w:t>
                  </w:r>
                  <w:r>
                    <w:rPr>
                      <w:rFonts w:hint="eastAsia" w:cs="Times New Roman"/>
                      <w:color w:val="auto"/>
                      <w:sz w:val="18"/>
                      <w:szCs w:val="18"/>
                      <w:lang w:val="en-US" w:eastAsia="zh-CN"/>
                    </w:rPr>
                    <w:t>48</w:t>
                  </w:r>
                  <w:r>
                    <w:rPr>
                      <w:rFonts w:hint="default" w:ascii="Times New Roman" w:hAnsi="Times New Roman" w:cs="Times New Roman"/>
                      <w:color w:val="auto"/>
                      <w:sz w:val="18"/>
                      <w:szCs w:val="18"/>
                    </w:rPr>
                    <w:t>m</w:t>
                  </w:r>
                  <w:r>
                    <w:rPr>
                      <w:rFonts w:hint="default" w:ascii="Times New Roman" w:hAnsi="Times New Roman" w:cs="Times New Roman"/>
                      <w:color w:val="auto"/>
                      <w:sz w:val="18"/>
                      <w:szCs w:val="18"/>
                      <w:vertAlign w:val="superscript"/>
                    </w:rPr>
                    <w:t>2</w:t>
                  </w:r>
                  <w:r>
                    <w:rPr>
                      <w:rFonts w:hint="default" w:ascii="Times New Roman" w:hAnsi="Times New Roman" w:cs="Times New Roman"/>
                      <w:color w:val="auto"/>
                      <w:sz w:val="18"/>
                      <w:szCs w:val="18"/>
                      <w:vertAlign w:val="baseline"/>
                      <w:lang w:eastAsia="zh-CN"/>
                    </w:rPr>
                    <w:t>。</w:t>
                  </w:r>
                </w:p>
              </w:tc>
              <w:tc>
                <w:tcPr>
                  <w:tcW w:w="1050" w:type="dxa"/>
                  <w:vMerge w:val="continue"/>
                  <w:tcBorders>
                    <w:tl2br w:val="nil"/>
                    <w:tr2bl w:val="nil"/>
                  </w:tcBorders>
                  <w:vAlign w:val="center"/>
                </w:tcPr>
                <w:p w14:paraId="3790739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c>
                <w:tcPr>
                  <w:tcW w:w="1167" w:type="dxa"/>
                  <w:gridSpan w:val="2"/>
                  <w:tcBorders>
                    <w:tl2br w:val="nil"/>
                    <w:tr2bl w:val="nil"/>
                  </w:tcBorders>
                  <w:vAlign w:val="center"/>
                </w:tcPr>
                <w:p w14:paraId="13A7AD6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lang w:eastAsia="zh-CN"/>
                    </w:rPr>
                    <w:t>废铅蓄电池</w:t>
                  </w:r>
                </w:p>
              </w:tc>
            </w:tr>
            <w:tr w14:paraId="73FE70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1C4B4212">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restart"/>
                  <w:tcBorders>
                    <w:tl2br w:val="nil"/>
                    <w:tr2bl w:val="nil"/>
                  </w:tcBorders>
                  <w:vAlign w:val="center"/>
                </w:tcPr>
                <w:p w14:paraId="4E00CEF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公用工程</w:t>
                  </w:r>
                </w:p>
              </w:tc>
              <w:tc>
                <w:tcPr>
                  <w:tcW w:w="4563" w:type="dxa"/>
                  <w:gridSpan w:val="3"/>
                  <w:tcBorders>
                    <w:tl2br w:val="nil"/>
                    <w:tr2bl w:val="nil"/>
                  </w:tcBorders>
                  <w:vAlign w:val="center"/>
                </w:tcPr>
                <w:p w14:paraId="56ACDEC7">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站内道路：4.0m宽</w:t>
                  </w:r>
                  <w:r>
                    <w:rPr>
                      <w:rFonts w:hint="eastAsia" w:cs="Times New Roman"/>
                      <w:color w:val="auto"/>
                      <w:sz w:val="18"/>
                      <w:szCs w:val="18"/>
                      <w:lang w:val="en-US" w:eastAsia="zh-CN"/>
                    </w:rPr>
                    <w:t>郊区</w:t>
                  </w:r>
                  <w:r>
                    <w:rPr>
                      <w:rFonts w:hint="default" w:ascii="Times New Roman" w:hAnsi="Times New Roman" w:cs="Times New Roman"/>
                      <w:color w:val="auto"/>
                      <w:sz w:val="18"/>
                      <w:szCs w:val="18"/>
                    </w:rPr>
                    <w:t>型沥青混凝土路面。</w:t>
                  </w:r>
                </w:p>
              </w:tc>
              <w:tc>
                <w:tcPr>
                  <w:tcW w:w="1050" w:type="dxa"/>
                  <w:vMerge w:val="continue"/>
                  <w:tcBorders>
                    <w:tl2br w:val="nil"/>
                    <w:tr2bl w:val="nil"/>
                  </w:tcBorders>
                  <w:vAlign w:val="center"/>
                </w:tcPr>
                <w:p w14:paraId="51922C72">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14DAB2D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w:t>
                  </w:r>
                </w:p>
              </w:tc>
            </w:tr>
            <w:tr w14:paraId="645F08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1CE88A91">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continue"/>
                  <w:tcBorders>
                    <w:tl2br w:val="nil"/>
                    <w:tr2bl w:val="nil"/>
                  </w:tcBorders>
                  <w:vAlign w:val="center"/>
                </w:tcPr>
                <w:p w14:paraId="22AE4B7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4563" w:type="dxa"/>
                  <w:gridSpan w:val="3"/>
                  <w:tcBorders>
                    <w:tl2br w:val="nil"/>
                    <w:tr2bl w:val="nil"/>
                  </w:tcBorders>
                  <w:vAlign w:val="center"/>
                </w:tcPr>
                <w:p w14:paraId="754CEBF6">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highlight w:val="none"/>
                    </w:rPr>
                    <w:t>进站道路：自</w:t>
                  </w:r>
                  <w:r>
                    <w:rPr>
                      <w:rFonts w:hint="default" w:ascii="Times New Roman" w:hAnsi="Times New Roman" w:cs="Times New Roman"/>
                      <w:color w:val="auto"/>
                      <w:sz w:val="18"/>
                      <w:szCs w:val="18"/>
                      <w:highlight w:val="none"/>
                      <w:lang w:val="en-US" w:eastAsia="zh-CN"/>
                    </w:rPr>
                    <w:t>站址站区</w:t>
                  </w:r>
                  <w:r>
                    <w:rPr>
                      <w:rFonts w:hint="eastAsia" w:cs="Times New Roman"/>
                      <w:color w:val="auto"/>
                      <w:sz w:val="18"/>
                      <w:szCs w:val="18"/>
                      <w:highlight w:val="none"/>
                      <w:lang w:val="en-US" w:eastAsia="zh-CN"/>
                    </w:rPr>
                    <w:t>西北</w:t>
                  </w:r>
                  <w:r>
                    <w:rPr>
                      <w:rFonts w:hint="default" w:ascii="Times New Roman" w:hAnsi="Times New Roman" w:cs="Times New Roman"/>
                      <w:color w:val="auto"/>
                      <w:sz w:val="18"/>
                      <w:szCs w:val="18"/>
                      <w:highlight w:val="none"/>
                      <w:lang w:val="en-US" w:eastAsia="zh-CN"/>
                    </w:rPr>
                    <w:t>侧乡道</w:t>
                  </w:r>
                  <w:r>
                    <w:rPr>
                      <w:rFonts w:hint="default" w:ascii="Times New Roman" w:hAnsi="Times New Roman" w:cs="Times New Roman"/>
                      <w:color w:val="auto"/>
                      <w:sz w:val="18"/>
                      <w:szCs w:val="18"/>
                      <w:highlight w:val="none"/>
                    </w:rPr>
                    <w:t>引接，</w:t>
                  </w:r>
                  <w:r>
                    <w:rPr>
                      <w:rFonts w:hint="default" w:ascii="Times New Roman" w:hAnsi="Times New Roman" w:cs="Times New Roman"/>
                      <w:color w:val="auto"/>
                      <w:sz w:val="18"/>
                      <w:szCs w:val="18"/>
                      <w:highlight w:val="none"/>
                      <w:lang w:val="en-US" w:eastAsia="zh-CN"/>
                    </w:rPr>
                    <w:t>引接</w:t>
                  </w:r>
                  <w:r>
                    <w:rPr>
                      <w:rFonts w:hint="default" w:ascii="Times New Roman" w:hAnsi="Times New Roman" w:cs="Times New Roman"/>
                      <w:color w:val="auto"/>
                      <w:sz w:val="18"/>
                      <w:szCs w:val="18"/>
                      <w:highlight w:val="none"/>
                    </w:rPr>
                    <w:t>长</w:t>
                  </w:r>
                  <w:r>
                    <w:rPr>
                      <w:rFonts w:hint="default" w:ascii="Times New Roman" w:hAnsi="Times New Roman" w:cs="Times New Roman"/>
                      <w:color w:val="auto"/>
                      <w:sz w:val="18"/>
                      <w:szCs w:val="18"/>
                      <w:highlight w:val="none"/>
                      <w:lang w:val="en-US" w:eastAsia="zh-CN"/>
                    </w:rPr>
                    <w:t>度</w:t>
                  </w:r>
                  <w:r>
                    <w:rPr>
                      <w:rFonts w:hint="default" w:ascii="Times New Roman" w:hAnsi="Times New Roman" w:cs="Times New Roman"/>
                      <w:color w:val="auto"/>
                      <w:sz w:val="18"/>
                      <w:szCs w:val="18"/>
                      <w:highlight w:val="none"/>
                    </w:rPr>
                    <w:t>约</w:t>
                  </w:r>
                  <w:r>
                    <w:rPr>
                      <w:rFonts w:hint="eastAsia" w:cs="Times New Roman"/>
                      <w:color w:val="auto"/>
                      <w:sz w:val="18"/>
                      <w:szCs w:val="18"/>
                      <w:highlight w:val="none"/>
                      <w:lang w:val="en-US" w:eastAsia="zh-CN"/>
                    </w:rPr>
                    <w:t>98</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rPr>
                    <w:t>道路采用</w:t>
                  </w:r>
                  <w:r>
                    <w:rPr>
                      <w:rFonts w:hint="eastAsia" w:cs="Times New Roman"/>
                      <w:color w:val="auto"/>
                      <w:sz w:val="18"/>
                      <w:szCs w:val="18"/>
                      <w:lang w:val="en-US" w:eastAsia="zh-CN"/>
                    </w:rPr>
                    <w:t>郊区</w:t>
                  </w:r>
                  <w:r>
                    <w:rPr>
                      <w:rFonts w:hint="default" w:ascii="Times New Roman" w:hAnsi="Times New Roman" w:cs="Times New Roman"/>
                      <w:color w:val="auto"/>
                      <w:sz w:val="18"/>
                      <w:szCs w:val="18"/>
                    </w:rPr>
                    <w:t>型沥青混凝土路面，路面设计宽度4m。</w:t>
                  </w:r>
                </w:p>
              </w:tc>
              <w:tc>
                <w:tcPr>
                  <w:tcW w:w="1050" w:type="dxa"/>
                  <w:vMerge w:val="continue"/>
                  <w:tcBorders>
                    <w:tl2br w:val="nil"/>
                    <w:tr2bl w:val="nil"/>
                  </w:tcBorders>
                  <w:vAlign w:val="center"/>
                </w:tcPr>
                <w:p w14:paraId="7A7744D4">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43A2972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2DE3D6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1A0A844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continue"/>
                  <w:tcBorders>
                    <w:tl2br w:val="nil"/>
                    <w:tr2bl w:val="nil"/>
                  </w:tcBorders>
                  <w:vAlign w:val="center"/>
                </w:tcPr>
                <w:p w14:paraId="249B2344">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4563" w:type="dxa"/>
                  <w:gridSpan w:val="3"/>
                  <w:tcBorders>
                    <w:tl2br w:val="nil"/>
                    <w:tr2bl w:val="nil"/>
                  </w:tcBorders>
                  <w:vAlign w:val="center"/>
                </w:tcPr>
                <w:p w14:paraId="25D937A7">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给水系统：</w:t>
                  </w:r>
                  <w:r>
                    <w:rPr>
                      <w:rFonts w:hint="default" w:ascii="Times New Roman" w:hAnsi="Times New Roman" w:cs="Times New Roman"/>
                      <w:color w:val="auto"/>
                      <w:sz w:val="18"/>
                      <w:szCs w:val="18"/>
                      <w:lang w:val="en-US" w:eastAsia="zh-CN"/>
                    </w:rPr>
                    <w:t>生活用水、</w:t>
                  </w:r>
                  <w:r>
                    <w:rPr>
                      <w:rFonts w:hint="default" w:ascii="Times New Roman" w:hAnsi="Times New Roman" w:cs="Times New Roman"/>
                      <w:color w:val="auto"/>
                      <w:sz w:val="18"/>
                      <w:szCs w:val="18"/>
                    </w:rPr>
                    <w:t>消防用水由自来水管网供给。</w:t>
                  </w:r>
                </w:p>
              </w:tc>
              <w:tc>
                <w:tcPr>
                  <w:tcW w:w="1050" w:type="dxa"/>
                  <w:vMerge w:val="continue"/>
                  <w:tcBorders>
                    <w:tl2br w:val="nil"/>
                    <w:tr2bl w:val="nil"/>
                  </w:tcBorders>
                  <w:vAlign w:val="center"/>
                </w:tcPr>
                <w:p w14:paraId="7D86EEFA">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5D75AB6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3E6274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182B64A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continue"/>
                  <w:tcBorders>
                    <w:tl2br w:val="nil"/>
                    <w:tr2bl w:val="nil"/>
                  </w:tcBorders>
                  <w:vAlign w:val="center"/>
                </w:tcPr>
                <w:p w14:paraId="1F1CF318">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4563" w:type="dxa"/>
                  <w:gridSpan w:val="3"/>
                  <w:tcBorders>
                    <w:tl2br w:val="nil"/>
                    <w:tr2bl w:val="nil"/>
                  </w:tcBorders>
                  <w:vAlign w:val="center"/>
                </w:tcPr>
                <w:p w14:paraId="4F720B50">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FF0000"/>
                      <w:sz w:val="18"/>
                      <w:szCs w:val="18"/>
                      <w:lang w:val="en-US" w:eastAsia="zh-CN"/>
                    </w:rPr>
                  </w:pPr>
                  <w:r>
                    <w:rPr>
                      <w:rFonts w:hint="default" w:ascii="Times New Roman" w:hAnsi="Times New Roman" w:cs="Times New Roman"/>
                      <w:color w:val="auto"/>
                      <w:sz w:val="18"/>
                      <w:szCs w:val="18"/>
                    </w:rPr>
                    <w:t>排水系统：采用雨污分流制，雨水就近排入站外雨水沟；</w:t>
                  </w:r>
                  <w:r>
                    <w:rPr>
                      <w:rFonts w:hint="default" w:ascii="Times New Roman" w:hAnsi="Times New Roman" w:cs="Times New Roman"/>
                      <w:bCs/>
                      <w:color w:val="auto"/>
                      <w:sz w:val="18"/>
                      <w:szCs w:val="18"/>
                    </w:rPr>
                    <w:t>生活污水经化粪池处理后</w:t>
                  </w:r>
                  <w:r>
                    <w:rPr>
                      <w:rFonts w:hint="eastAsia" w:cs="Times New Roman"/>
                      <w:bCs/>
                      <w:color w:val="auto"/>
                      <w:sz w:val="18"/>
                      <w:szCs w:val="18"/>
                      <w:lang w:val="en-US" w:eastAsia="zh-CN"/>
                    </w:rPr>
                    <w:t>由运维单位定期清掏</w:t>
                  </w:r>
                  <w:r>
                    <w:rPr>
                      <w:rFonts w:hint="default" w:ascii="Times New Roman" w:hAnsi="Times New Roman" w:cs="Times New Roman"/>
                      <w:bCs/>
                      <w:color w:val="auto"/>
                      <w:sz w:val="18"/>
                      <w:szCs w:val="18"/>
                    </w:rPr>
                    <w:t>，不外排</w:t>
                  </w:r>
                  <w:r>
                    <w:rPr>
                      <w:rFonts w:hint="default" w:ascii="Times New Roman" w:hAnsi="Times New Roman" w:cs="Times New Roman"/>
                      <w:bCs/>
                      <w:color w:val="auto"/>
                      <w:sz w:val="18"/>
                      <w:szCs w:val="18"/>
                      <w:lang w:eastAsia="zh-CN"/>
                    </w:rPr>
                    <w:t>。</w:t>
                  </w:r>
                </w:p>
              </w:tc>
              <w:tc>
                <w:tcPr>
                  <w:tcW w:w="1050" w:type="dxa"/>
                  <w:vMerge w:val="continue"/>
                  <w:tcBorders>
                    <w:tl2br w:val="nil"/>
                    <w:tr2bl w:val="nil"/>
                  </w:tcBorders>
                  <w:vAlign w:val="center"/>
                </w:tcPr>
                <w:p w14:paraId="3D3CE69F">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72E8262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2C2CED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350AE80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continue"/>
                  <w:tcBorders>
                    <w:tl2br w:val="nil"/>
                    <w:tr2bl w:val="nil"/>
                  </w:tcBorders>
                  <w:vAlign w:val="center"/>
                </w:tcPr>
                <w:p w14:paraId="7C948423">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4563" w:type="dxa"/>
                  <w:gridSpan w:val="3"/>
                  <w:tcBorders>
                    <w:tl2br w:val="nil"/>
                    <w:tr2bl w:val="nil"/>
                  </w:tcBorders>
                  <w:vAlign w:val="center"/>
                </w:tcPr>
                <w:p w14:paraId="0924673C">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消防工程：</w:t>
                  </w:r>
                  <w:r>
                    <w:rPr>
                      <w:rFonts w:hint="default" w:ascii="Times New Roman" w:hAnsi="Times New Roman" w:cs="Times New Roman"/>
                      <w:color w:val="auto"/>
                      <w:sz w:val="18"/>
                      <w:szCs w:val="18"/>
                      <w:highlight w:val="none"/>
                    </w:rPr>
                    <w:t>当发生火灾时，利用</w:t>
                  </w:r>
                  <w:r>
                    <w:rPr>
                      <w:rFonts w:hint="eastAsia" w:cs="Times New Roman"/>
                      <w:color w:val="auto"/>
                      <w:sz w:val="18"/>
                      <w:szCs w:val="18"/>
                      <w:highlight w:val="none"/>
                      <w:lang w:val="en-US" w:eastAsia="zh-CN"/>
                    </w:rPr>
                    <w:t>室外消防系统</w:t>
                  </w:r>
                  <w:r>
                    <w:rPr>
                      <w:rFonts w:hint="default" w:ascii="Times New Roman" w:hAnsi="Times New Roman" w:cs="Times New Roman"/>
                      <w:color w:val="auto"/>
                      <w:sz w:val="18"/>
                      <w:szCs w:val="18"/>
                      <w:highlight w:val="none"/>
                    </w:rPr>
                    <w:t>进行灭火，同时还配置推车式化学灭火器和消防水池。</w:t>
                  </w:r>
                  <w:r>
                    <w:rPr>
                      <w:rFonts w:hint="default" w:ascii="Times New Roman" w:hAnsi="Times New Roman" w:cs="Times New Roman"/>
                      <w:color w:val="auto"/>
                      <w:sz w:val="18"/>
                      <w:szCs w:val="18"/>
                    </w:rPr>
                    <w:t>主变压器的灭火系统为独立系统，主变压器发生火灾时使用干粉灭火器和消防砂进行灭火，火灾期间事故油排入事故油池内暂存，不产生含油消防废水。</w:t>
                  </w:r>
                </w:p>
              </w:tc>
              <w:tc>
                <w:tcPr>
                  <w:tcW w:w="1050" w:type="dxa"/>
                  <w:vMerge w:val="continue"/>
                  <w:tcBorders>
                    <w:tl2br w:val="nil"/>
                    <w:tr2bl w:val="nil"/>
                  </w:tcBorders>
                  <w:vAlign w:val="center"/>
                </w:tcPr>
                <w:p w14:paraId="469DB38B">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123A05C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21C1C8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5EA1607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restart"/>
                  <w:tcBorders>
                    <w:tl2br w:val="nil"/>
                    <w:tr2bl w:val="nil"/>
                  </w:tcBorders>
                  <w:vAlign w:val="center"/>
                </w:tcPr>
                <w:p w14:paraId="6E47BDD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环保工程</w:t>
                  </w:r>
                </w:p>
              </w:tc>
              <w:tc>
                <w:tcPr>
                  <w:tcW w:w="4563" w:type="dxa"/>
                  <w:gridSpan w:val="3"/>
                  <w:tcBorders>
                    <w:tl2br w:val="nil"/>
                    <w:tr2bl w:val="nil"/>
                  </w:tcBorders>
                  <w:vAlign w:val="center"/>
                </w:tcPr>
                <w:p w14:paraId="10C6EE57">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事故油池：1座事故油池（具有油水分离功能），</w:t>
                  </w:r>
                  <w:r>
                    <w:rPr>
                      <w:rFonts w:hint="default" w:ascii="Times New Roman" w:hAnsi="Times New Roman" w:cs="Times New Roman"/>
                      <w:color w:val="auto"/>
                      <w:sz w:val="18"/>
                      <w:szCs w:val="18"/>
                      <w:lang w:eastAsia="zh-CN"/>
                    </w:rPr>
                    <w:t>有效容积</w:t>
                  </w:r>
                  <w:r>
                    <w:rPr>
                      <w:rFonts w:hint="default" w:ascii="Times New Roman" w:hAnsi="Times New Roman" w:cs="Times New Roman"/>
                      <w:color w:val="auto"/>
                      <w:sz w:val="18"/>
                      <w:szCs w:val="18"/>
                    </w:rPr>
                    <w:t>30m</w:t>
                  </w:r>
                  <w:r>
                    <w:rPr>
                      <w:rFonts w:hint="default" w:ascii="Times New Roman" w:hAnsi="Times New Roman" w:cs="Times New Roman"/>
                      <w:color w:val="auto"/>
                      <w:sz w:val="18"/>
                      <w:szCs w:val="18"/>
                      <w:vertAlign w:val="superscript"/>
                    </w:rPr>
                    <w:t>3</w:t>
                  </w:r>
                  <w:r>
                    <w:rPr>
                      <w:rFonts w:hint="default" w:ascii="Times New Roman" w:hAnsi="Times New Roman" w:cs="Times New Roman"/>
                      <w:color w:val="auto"/>
                      <w:sz w:val="18"/>
                      <w:szCs w:val="18"/>
                    </w:rPr>
                    <w:t>。</w:t>
                  </w:r>
                </w:p>
              </w:tc>
              <w:tc>
                <w:tcPr>
                  <w:tcW w:w="1050" w:type="dxa"/>
                  <w:vMerge w:val="continue"/>
                  <w:tcBorders>
                    <w:tl2br w:val="nil"/>
                    <w:tr2bl w:val="nil"/>
                  </w:tcBorders>
                  <w:vAlign w:val="center"/>
                </w:tcPr>
                <w:p w14:paraId="4A31E13E">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vMerge w:val="restart"/>
                  <w:tcBorders>
                    <w:tl2br w:val="nil"/>
                    <w:tr2bl w:val="nil"/>
                  </w:tcBorders>
                  <w:vAlign w:val="center"/>
                </w:tcPr>
                <w:p w14:paraId="5D5B570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废事故油</w:t>
                  </w:r>
                </w:p>
              </w:tc>
            </w:tr>
            <w:tr w14:paraId="61A29F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3228F939">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continue"/>
                  <w:tcBorders>
                    <w:tl2br w:val="nil"/>
                    <w:tr2bl w:val="nil"/>
                  </w:tcBorders>
                  <w:vAlign w:val="center"/>
                </w:tcPr>
                <w:p w14:paraId="3FD0D8EF">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4563" w:type="dxa"/>
                  <w:gridSpan w:val="3"/>
                  <w:tcBorders>
                    <w:tl2br w:val="nil"/>
                    <w:tr2bl w:val="nil"/>
                  </w:tcBorders>
                  <w:vAlign w:val="center"/>
                </w:tcPr>
                <w:p w14:paraId="06541937">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事故油坑：每台主变下方配置1个事故油坑，共3个，每个事故油坑</w:t>
                  </w:r>
                  <w:r>
                    <w:rPr>
                      <w:rFonts w:hint="default" w:ascii="Times New Roman" w:hAnsi="Times New Roman" w:cs="Times New Roman"/>
                      <w:color w:val="auto"/>
                      <w:sz w:val="18"/>
                      <w:szCs w:val="18"/>
                      <w:lang w:eastAsia="zh-CN"/>
                    </w:rPr>
                    <w:t>有效容积</w:t>
                  </w:r>
                  <w:r>
                    <w:rPr>
                      <w:rFonts w:hint="default" w:ascii="Times New Roman" w:hAnsi="Times New Roman" w:cs="Times New Roman"/>
                      <w:color w:val="auto"/>
                      <w:sz w:val="18"/>
                      <w:szCs w:val="18"/>
                    </w:rPr>
                    <w:t>为5m</w:t>
                  </w:r>
                  <w:r>
                    <w:rPr>
                      <w:rFonts w:hint="default" w:ascii="Times New Roman" w:hAnsi="Times New Roman" w:cs="Times New Roman"/>
                      <w:color w:val="auto"/>
                      <w:sz w:val="18"/>
                      <w:szCs w:val="18"/>
                      <w:vertAlign w:val="superscript"/>
                    </w:rPr>
                    <w:t>3</w:t>
                  </w:r>
                  <w:r>
                    <w:rPr>
                      <w:rFonts w:hint="default" w:ascii="Times New Roman" w:hAnsi="Times New Roman" w:cs="Times New Roman"/>
                      <w:color w:val="auto"/>
                      <w:sz w:val="18"/>
                      <w:szCs w:val="18"/>
                    </w:rPr>
                    <w:t>。</w:t>
                  </w:r>
                </w:p>
              </w:tc>
              <w:tc>
                <w:tcPr>
                  <w:tcW w:w="1050" w:type="dxa"/>
                  <w:vMerge w:val="continue"/>
                  <w:tcBorders>
                    <w:tl2br w:val="nil"/>
                    <w:tr2bl w:val="nil"/>
                  </w:tcBorders>
                  <w:vAlign w:val="center"/>
                </w:tcPr>
                <w:p w14:paraId="791D9F23">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vMerge w:val="continue"/>
                  <w:tcBorders>
                    <w:tl2br w:val="nil"/>
                    <w:tr2bl w:val="nil"/>
                  </w:tcBorders>
                  <w:vAlign w:val="center"/>
                </w:tcPr>
                <w:p w14:paraId="2A39BA0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p>
              </w:tc>
            </w:tr>
            <w:tr w14:paraId="7824EF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0" w:type="dxa"/>
                  <w:vMerge w:val="continue"/>
                  <w:tcBorders>
                    <w:tl2br w:val="nil"/>
                    <w:tr2bl w:val="nil"/>
                  </w:tcBorders>
                  <w:vAlign w:val="center"/>
                </w:tcPr>
                <w:p w14:paraId="4886F63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continue"/>
                  <w:tcBorders>
                    <w:tl2br w:val="nil"/>
                    <w:tr2bl w:val="nil"/>
                  </w:tcBorders>
                  <w:vAlign w:val="center"/>
                </w:tcPr>
                <w:p w14:paraId="5572F0F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4563" w:type="dxa"/>
                  <w:gridSpan w:val="3"/>
                  <w:tcBorders>
                    <w:tl2br w:val="nil"/>
                    <w:tr2bl w:val="nil"/>
                  </w:tcBorders>
                  <w:vAlign w:val="center"/>
                </w:tcPr>
                <w:p w14:paraId="31FF22AF">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化粪池：1座，</w:t>
                  </w:r>
                  <w:r>
                    <w:rPr>
                      <w:rFonts w:hint="default" w:ascii="Times New Roman" w:hAnsi="Times New Roman" w:cs="Times New Roman"/>
                      <w:color w:val="auto"/>
                      <w:sz w:val="18"/>
                      <w:szCs w:val="18"/>
                      <w:lang w:val="en-US" w:eastAsia="zh-CN"/>
                    </w:rPr>
                    <w:t>容积</w:t>
                  </w:r>
                  <w:r>
                    <w:rPr>
                      <w:rFonts w:hint="default" w:ascii="Times New Roman" w:hAnsi="Times New Roman" w:cs="Times New Roman"/>
                      <w:color w:val="auto"/>
                      <w:sz w:val="18"/>
                      <w:szCs w:val="18"/>
                    </w:rPr>
                    <w:t>2m</w:t>
                  </w:r>
                  <w:r>
                    <w:rPr>
                      <w:rFonts w:hint="default" w:ascii="Times New Roman" w:hAnsi="Times New Roman" w:cs="Times New Roman"/>
                      <w:color w:val="auto"/>
                      <w:sz w:val="18"/>
                      <w:szCs w:val="18"/>
                      <w:vertAlign w:val="superscript"/>
                    </w:rPr>
                    <w:t>3</w:t>
                  </w:r>
                  <w:r>
                    <w:rPr>
                      <w:rFonts w:hint="default" w:ascii="Times New Roman" w:hAnsi="Times New Roman" w:cs="Times New Roman"/>
                      <w:color w:val="auto"/>
                      <w:sz w:val="18"/>
                      <w:szCs w:val="18"/>
                    </w:rPr>
                    <w:t>。</w:t>
                  </w:r>
                </w:p>
              </w:tc>
              <w:tc>
                <w:tcPr>
                  <w:tcW w:w="1050" w:type="dxa"/>
                  <w:vMerge w:val="continue"/>
                  <w:tcBorders>
                    <w:tl2br w:val="nil"/>
                    <w:tr2bl w:val="nil"/>
                  </w:tcBorders>
                  <w:vAlign w:val="center"/>
                </w:tcPr>
                <w:p w14:paraId="66C4C94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06F333A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6B5CB6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0" w:type="dxa"/>
                  <w:vMerge w:val="continue"/>
                  <w:tcBorders>
                    <w:tl2br w:val="nil"/>
                    <w:tr2bl w:val="nil"/>
                  </w:tcBorders>
                  <w:vAlign w:val="center"/>
                </w:tcPr>
                <w:p w14:paraId="455E0BAE">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vMerge w:val="continue"/>
                  <w:tcBorders>
                    <w:tl2br w:val="nil"/>
                    <w:tr2bl w:val="nil"/>
                  </w:tcBorders>
                  <w:vAlign w:val="center"/>
                </w:tcPr>
                <w:p w14:paraId="45961134">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4563" w:type="dxa"/>
                  <w:gridSpan w:val="3"/>
                  <w:tcBorders>
                    <w:tl2br w:val="nil"/>
                    <w:tr2bl w:val="nil"/>
                  </w:tcBorders>
                  <w:vAlign w:val="center"/>
                </w:tcPr>
                <w:p w14:paraId="4CF7D302">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选用低噪声设备，主变噪声</w:t>
                  </w:r>
                  <w:r>
                    <w:rPr>
                      <w:rFonts w:hint="default" w:ascii="Times New Roman" w:hAnsi="Times New Roman" w:cs="Times New Roman"/>
                      <w:color w:val="auto"/>
                      <w:sz w:val="18"/>
                      <w:szCs w:val="18"/>
                      <w:lang w:val="en-US" w:eastAsia="zh-CN"/>
                    </w:rPr>
                    <w:t>不大于</w:t>
                  </w:r>
                  <w:r>
                    <w:rPr>
                      <w:rFonts w:hint="default" w:ascii="Times New Roman" w:hAnsi="Times New Roman" w:cs="Times New Roman"/>
                      <w:color w:val="auto"/>
                      <w:sz w:val="18"/>
                      <w:szCs w:val="18"/>
                    </w:rPr>
                    <w:t>6</w:t>
                  </w:r>
                  <w:r>
                    <w:rPr>
                      <w:rFonts w:hint="default" w:ascii="Times New Roman" w:hAnsi="Times New Roman" w:cs="Times New Roman"/>
                      <w:color w:val="auto"/>
                      <w:sz w:val="18"/>
                      <w:szCs w:val="18"/>
                      <w:lang w:val="en-US" w:eastAsia="zh-CN"/>
                    </w:rPr>
                    <w:t>0</w:t>
                  </w:r>
                  <w:r>
                    <w:rPr>
                      <w:rFonts w:hint="default" w:ascii="Times New Roman" w:hAnsi="Times New Roman" w:cs="Times New Roman"/>
                      <w:color w:val="auto"/>
                      <w:sz w:val="18"/>
                      <w:szCs w:val="18"/>
                    </w:rPr>
                    <w:t>dB（A）（距离主变压器2m处</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rPr>
                    <w:t>。</w:t>
                  </w:r>
                </w:p>
              </w:tc>
              <w:tc>
                <w:tcPr>
                  <w:tcW w:w="1050" w:type="dxa"/>
                  <w:vMerge w:val="continue"/>
                  <w:tcBorders>
                    <w:tl2br w:val="nil"/>
                    <w:tr2bl w:val="nil"/>
                  </w:tcBorders>
                  <w:vAlign w:val="center"/>
                </w:tcPr>
                <w:p w14:paraId="51290D4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7DF4BDD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0722BA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890" w:type="dxa"/>
                  <w:vMerge w:val="continue"/>
                  <w:tcBorders>
                    <w:tl2br w:val="nil"/>
                    <w:tr2bl w:val="nil"/>
                  </w:tcBorders>
                  <w:vAlign w:val="center"/>
                </w:tcPr>
                <w:p w14:paraId="6D85351A">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tcBorders>
                    <w:tl2br w:val="nil"/>
                    <w:tr2bl w:val="nil"/>
                  </w:tcBorders>
                  <w:vAlign w:val="center"/>
                </w:tcPr>
                <w:p w14:paraId="796AB606">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临时工程</w:t>
                  </w:r>
                </w:p>
              </w:tc>
              <w:tc>
                <w:tcPr>
                  <w:tcW w:w="4563" w:type="dxa"/>
                  <w:gridSpan w:val="3"/>
                  <w:tcBorders>
                    <w:tl2br w:val="nil"/>
                    <w:tr2bl w:val="nil"/>
                  </w:tcBorders>
                  <w:vAlign w:val="center"/>
                </w:tcPr>
                <w:p w14:paraId="230175B2">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施工物料临时堆场：</w:t>
                  </w:r>
                  <w:r>
                    <w:rPr>
                      <w:rFonts w:hint="default" w:ascii="Times New Roman" w:hAnsi="Times New Roman" w:cs="Times New Roman"/>
                      <w:color w:val="auto"/>
                      <w:sz w:val="18"/>
                      <w:szCs w:val="18"/>
                      <w:lang w:val="en-US" w:eastAsia="zh-CN"/>
                    </w:rPr>
                    <w:t>设于</w:t>
                  </w:r>
                  <w:r>
                    <w:rPr>
                      <w:rFonts w:hint="default" w:ascii="Times New Roman" w:hAnsi="Times New Roman" w:cs="Times New Roman"/>
                      <w:color w:val="auto"/>
                      <w:sz w:val="18"/>
                      <w:szCs w:val="18"/>
                    </w:rPr>
                    <w:t>工程</w:t>
                  </w:r>
                  <w:r>
                    <w:rPr>
                      <w:rFonts w:hint="default" w:ascii="Times New Roman" w:hAnsi="Times New Roman" w:cs="Times New Roman"/>
                      <w:color w:val="auto"/>
                      <w:sz w:val="18"/>
                      <w:szCs w:val="18"/>
                      <w:lang w:val="en-US" w:eastAsia="zh-CN"/>
                    </w:rPr>
                    <w:t>永久</w:t>
                  </w:r>
                  <w:r>
                    <w:rPr>
                      <w:rFonts w:hint="default" w:ascii="Times New Roman" w:hAnsi="Times New Roman" w:cs="Times New Roman"/>
                      <w:color w:val="auto"/>
                      <w:sz w:val="18"/>
                      <w:szCs w:val="18"/>
                    </w:rPr>
                    <w:t>占地范围</w:t>
                  </w:r>
                  <w:r>
                    <w:rPr>
                      <w:rFonts w:hint="default" w:ascii="Times New Roman" w:hAnsi="Times New Roman" w:cs="Times New Roman"/>
                      <w:color w:val="auto"/>
                      <w:sz w:val="18"/>
                      <w:szCs w:val="18"/>
                      <w:lang w:val="en-US" w:eastAsia="zh-CN"/>
                    </w:rPr>
                    <w:t>内，不单独设置</w:t>
                  </w:r>
                  <w:r>
                    <w:rPr>
                      <w:rFonts w:hint="default" w:ascii="Times New Roman" w:hAnsi="Times New Roman" w:cs="Times New Roman"/>
                      <w:color w:val="auto"/>
                      <w:sz w:val="18"/>
                      <w:szCs w:val="18"/>
                      <w:lang w:eastAsia="zh-CN"/>
                    </w:rPr>
                    <w:t>。</w:t>
                  </w:r>
                </w:p>
                <w:p w14:paraId="25A86DE5">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rPr>
                    <w:t>施工便道：变电站所在区域有乡村道路可利用，变电站施工期间在进站道路占地范</w:t>
                  </w:r>
                  <w:r>
                    <w:rPr>
                      <w:rFonts w:hint="eastAsia" w:cs="Times New Roman"/>
                      <w:color w:val="auto"/>
                      <w:sz w:val="18"/>
                      <w:szCs w:val="18"/>
                      <w:lang w:eastAsia="zh-CN"/>
                    </w:rPr>
                    <w:t>围内</w:t>
                  </w:r>
                  <w:r>
                    <w:rPr>
                      <w:rFonts w:hint="default" w:ascii="Times New Roman" w:hAnsi="Times New Roman" w:cs="Times New Roman"/>
                      <w:color w:val="auto"/>
                      <w:sz w:val="18"/>
                      <w:szCs w:val="18"/>
                    </w:rPr>
                    <w:t>设置施工便道，不新增占地</w:t>
                  </w:r>
                  <w:r>
                    <w:rPr>
                      <w:rFonts w:hint="default" w:ascii="Times New Roman" w:hAnsi="Times New Roman" w:cs="Times New Roman"/>
                      <w:color w:val="auto"/>
                      <w:sz w:val="18"/>
                      <w:szCs w:val="18"/>
                      <w:lang w:eastAsia="zh-CN"/>
                    </w:rPr>
                    <w:t>。</w:t>
                  </w:r>
                </w:p>
                <w:p w14:paraId="5751CEC1">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施工营地：工程位于</w:t>
                  </w:r>
                  <w:r>
                    <w:rPr>
                      <w:rFonts w:hint="eastAsia" w:cs="Times New Roman"/>
                      <w:color w:val="auto"/>
                      <w:sz w:val="18"/>
                      <w:szCs w:val="18"/>
                      <w:lang w:val="en-US" w:eastAsia="zh-CN"/>
                    </w:rPr>
                    <w:t>石马社区</w:t>
                  </w:r>
                  <w:r>
                    <w:rPr>
                      <w:rFonts w:hint="default" w:ascii="Times New Roman" w:hAnsi="Times New Roman" w:cs="Times New Roman"/>
                      <w:color w:val="auto"/>
                      <w:sz w:val="18"/>
                      <w:szCs w:val="18"/>
                    </w:rPr>
                    <w:t>附近，可租用民房作为施工营地，无需单独设置。</w:t>
                  </w:r>
                </w:p>
              </w:tc>
              <w:tc>
                <w:tcPr>
                  <w:tcW w:w="1050" w:type="dxa"/>
                  <w:vMerge w:val="continue"/>
                  <w:tcBorders>
                    <w:tl2br w:val="nil"/>
                    <w:tr2bl w:val="nil"/>
                  </w:tcBorders>
                  <w:vAlign w:val="center"/>
                </w:tcPr>
                <w:p w14:paraId="2C3ED9A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55650B9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7557F9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73" w:hRule="atLeast"/>
                <w:jc w:val="center"/>
              </w:trPr>
              <w:tc>
                <w:tcPr>
                  <w:tcW w:w="890" w:type="dxa"/>
                  <w:tcBorders>
                    <w:tl2br w:val="nil"/>
                    <w:tr2bl w:val="nil"/>
                  </w:tcBorders>
                  <w:vAlign w:val="center"/>
                </w:tcPr>
                <w:p w14:paraId="106D7B6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18"/>
                      <w:szCs w:val="18"/>
                      <w:lang w:eastAsia="zh-CN"/>
                    </w:rPr>
                  </w:pPr>
                  <w:r>
                    <w:rPr>
                      <w:rFonts w:hint="eastAsia" w:cs="Times New Roman"/>
                      <w:color w:val="auto"/>
                      <w:sz w:val="18"/>
                      <w:szCs w:val="18"/>
                      <w:lang w:val="en-US" w:eastAsia="zh-CN"/>
                    </w:rPr>
                    <w:t>印合110kV变电站110kV间隔扩建工程</w:t>
                  </w:r>
                </w:p>
              </w:tc>
              <w:tc>
                <w:tcPr>
                  <w:tcW w:w="5564" w:type="dxa"/>
                  <w:gridSpan w:val="4"/>
                  <w:tcBorders>
                    <w:tl2br w:val="nil"/>
                    <w:tr2bl w:val="nil"/>
                  </w:tcBorders>
                  <w:vAlign w:val="center"/>
                </w:tcPr>
                <w:p w14:paraId="15A0083B">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本次需在印合110kV变电站内扩建1个110kV出线间隔至司城110kV变电站。本次间隔扩建主要为对间隔基础和相应的电气设备进行建设，扩建场地和出线间隔均为前期已预留，无需新征占地，也不改变变电站原来的总平面及竖向布置。</w:t>
                  </w:r>
                </w:p>
              </w:tc>
              <w:tc>
                <w:tcPr>
                  <w:tcW w:w="2217" w:type="dxa"/>
                  <w:gridSpan w:val="3"/>
                  <w:tcBorders>
                    <w:tl2br w:val="nil"/>
                    <w:tr2bl w:val="nil"/>
                  </w:tcBorders>
                  <w:vAlign w:val="center"/>
                </w:tcPr>
                <w:p w14:paraId="3B3B6C9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已评价，</w:t>
                  </w:r>
                  <w:r>
                    <w:rPr>
                      <w:rFonts w:hint="default" w:ascii="Times New Roman" w:hAnsi="Times New Roman" w:cs="Times New Roman"/>
                      <w:color w:val="auto"/>
                      <w:sz w:val="18"/>
                      <w:szCs w:val="18"/>
                      <w:lang w:val="en-US" w:eastAsia="zh-CN"/>
                    </w:rPr>
                    <w:t>包含在既有环评文件，</w:t>
                  </w:r>
                  <w:r>
                    <w:rPr>
                      <w:rFonts w:hint="default" w:ascii="Times New Roman" w:hAnsi="Times New Roman" w:cs="Times New Roman"/>
                      <w:color w:val="auto"/>
                      <w:sz w:val="18"/>
                      <w:szCs w:val="18"/>
                    </w:rPr>
                    <w:t>本次不再重复评价</w:t>
                  </w:r>
                </w:p>
              </w:tc>
            </w:tr>
            <w:tr w14:paraId="50B5FA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l2br w:val="nil"/>
                    <w:tr2bl w:val="nil"/>
                  </w:tcBorders>
                  <w:vAlign w:val="center"/>
                </w:tcPr>
                <w:p w14:paraId="124ACE73">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eastAsia" w:cs="Times New Roman"/>
                      <w:color w:val="auto"/>
                      <w:sz w:val="18"/>
                      <w:szCs w:val="18"/>
                      <w:lang w:val="en-US" w:eastAsia="zh-CN"/>
                    </w:rPr>
                    <w:t>盘兴220kV变电站二次完善工程</w:t>
                  </w:r>
                </w:p>
              </w:tc>
              <w:tc>
                <w:tcPr>
                  <w:tcW w:w="5564" w:type="dxa"/>
                  <w:gridSpan w:val="4"/>
                  <w:tcBorders>
                    <w:tl2br w:val="nil"/>
                    <w:tr2bl w:val="nil"/>
                  </w:tcBorders>
                  <w:vAlign w:val="center"/>
                </w:tcPr>
                <w:p w14:paraId="6FFF820E">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lang w:val="en-US" w:eastAsia="zh-CN"/>
                    </w:rPr>
                  </w:pPr>
                  <w:r>
                    <w:rPr>
                      <w:rFonts w:hint="default" w:ascii="Times New Roman" w:hAnsi="Times New Roman" w:cs="Times New Roman"/>
                      <w:color w:val="auto"/>
                      <w:sz w:val="18"/>
                      <w:szCs w:val="18"/>
                      <w:lang w:val="en-US" w:eastAsia="zh-CN"/>
                    </w:rPr>
                    <w:t>本次利用</w:t>
                  </w:r>
                  <w:r>
                    <w:rPr>
                      <w:rFonts w:hint="eastAsia" w:cs="Times New Roman"/>
                      <w:color w:val="auto"/>
                      <w:sz w:val="18"/>
                      <w:szCs w:val="18"/>
                      <w:lang w:val="en-US" w:eastAsia="zh-CN"/>
                    </w:rPr>
                    <w:t>盘兴</w:t>
                  </w:r>
                  <w:r>
                    <w:rPr>
                      <w:rFonts w:hint="default" w:ascii="Times New Roman" w:hAnsi="Times New Roman" w:cs="Times New Roman"/>
                      <w:color w:val="auto"/>
                      <w:sz w:val="18"/>
                      <w:szCs w:val="18"/>
                      <w:lang w:val="en-US" w:eastAsia="zh-CN"/>
                    </w:rPr>
                    <w:t>220kV变电站110kV备用出线间隔，仅完善间隔内出线侧引下线。</w:t>
                  </w:r>
                </w:p>
              </w:tc>
              <w:tc>
                <w:tcPr>
                  <w:tcW w:w="2217" w:type="dxa"/>
                  <w:gridSpan w:val="3"/>
                  <w:tcBorders>
                    <w:tl2br w:val="nil"/>
                    <w:tr2bl w:val="nil"/>
                  </w:tcBorders>
                  <w:vAlign w:val="center"/>
                </w:tcPr>
                <w:p w14:paraId="1BF8267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已评价，</w:t>
                  </w:r>
                  <w:r>
                    <w:rPr>
                      <w:rFonts w:hint="default" w:ascii="Times New Roman" w:hAnsi="Times New Roman" w:cs="Times New Roman"/>
                      <w:color w:val="auto"/>
                      <w:sz w:val="18"/>
                      <w:szCs w:val="18"/>
                      <w:lang w:val="en-US" w:eastAsia="zh-CN"/>
                    </w:rPr>
                    <w:t>包含在既有环评文件，</w:t>
                  </w:r>
                  <w:r>
                    <w:rPr>
                      <w:rFonts w:hint="default" w:ascii="Times New Roman" w:hAnsi="Times New Roman" w:cs="Times New Roman"/>
                      <w:color w:val="auto"/>
                      <w:sz w:val="18"/>
                      <w:szCs w:val="18"/>
                    </w:rPr>
                    <w:t>本次不再重复评价</w:t>
                  </w:r>
                </w:p>
              </w:tc>
            </w:tr>
            <w:tr w14:paraId="5EC4EB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restart"/>
                  <w:tcBorders>
                    <w:tl2br w:val="nil"/>
                    <w:tr2bl w:val="nil"/>
                  </w:tcBorders>
                  <w:vAlign w:val="center"/>
                </w:tcPr>
                <w:p w14:paraId="60AF393F">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18"/>
                      <w:szCs w:val="18"/>
                      <w:lang w:eastAsia="zh-CN"/>
                    </w:rPr>
                  </w:pPr>
                  <w:r>
                    <w:rPr>
                      <w:rFonts w:hint="eastAsia" w:cs="Times New Roman"/>
                      <w:color w:val="auto"/>
                      <w:sz w:val="18"/>
                      <w:szCs w:val="18"/>
                      <w:lang w:val="en-US" w:eastAsia="zh-CN"/>
                    </w:rPr>
                    <w:t>盘兴</w:t>
                  </w:r>
                  <w:r>
                    <w:rPr>
                      <w:rFonts w:hint="default" w:ascii="Times New Roman" w:hAnsi="Times New Roman" w:cs="Times New Roman"/>
                      <w:color w:val="auto"/>
                      <w:sz w:val="18"/>
                      <w:szCs w:val="18"/>
                      <w:lang w:eastAsia="zh-CN"/>
                    </w:rPr>
                    <w:t>～</w:t>
                  </w:r>
                  <w:r>
                    <w:rPr>
                      <w:rFonts w:hint="eastAsia" w:cs="Times New Roman"/>
                      <w:color w:val="auto"/>
                      <w:sz w:val="18"/>
                      <w:szCs w:val="18"/>
                      <w:lang w:val="en-US" w:eastAsia="zh-CN"/>
                    </w:rPr>
                    <w:t>司城</w:t>
                  </w:r>
                  <w:r>
                    <w:rPr>
                      <w:rFonts w:hint="default" w:ascii="Times New Roman" w:hAnsi="Times New Roman" w:cs="Times New Roman"/>
                      <w:color w:val="auto"/>
                      <w:sz w:val="18"/>
                      <w:szCs w:val="18"/>
                      <w:lang w:eastAsia="zh-CN"/>
                    </w:rPr>
                    <w:t>110</w:t>
                  </w:r>
                  <w:r>
                    <w:rPr>
                      <w:rFonts w:hint="default" w:ascii="Times New Roman" w:hAnsi="Times New Roman" w:cs="Times New Roman"/>
                      <w:color w:val="auto"/>
                      <w:sz w:val="18"/>
                      <w:szCs w:val="18"/>
                      <w:lang w:val="en-US" w:eastAsia="zh-CN"/>
                    </w:rPr>
                    <w:t>kV</w:t>
                  </w:r>
                  <w:r>
                    <w:rPr>
                      <w:rFonts w:hint="default" w:ascii="Times New Roman" w:hAnsi="Times New Roman" w:cs="Times New Roman"/>
                      <w:color w:val="auto"/>
                      <w:sz w:val="18"/>
                      <w:szCs w:val="18"/>
                      <w:lang w:eastAsia="zh-CN"/>
                    </w:rPr>
                    <w:t>线路工程（线路Ⅰ）</w:t>
                  </w:r>
                </w:p>
              </w:tc>
              <w:tc>
                <w:tcPr>
                  <w:tcW w:w="1001" w:type="dxa"/>
                  <w:tcBorders>
                    <w:tl2br w:val="nil"/>
                    <w:tr2bl w:val="nil"/>
                  </w:tcBorders>
                  <w:vAlign w:val="center"/>
                </w:tcPr>
                <w:p w14:paraId="0A73CDEA">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线路路径</w:t>
                  </w:r>
                </w:p>
              </w:tc>
              <w:tc>
                <w:tcPr>
                  <w:tcW w:w="4563" w:type="dxa"/>
                  <w:gridSpan w:val="3"/>
                  <w:tcBorders>
                    <w:tl2br w:val="nil"/>
                    <w:tr2bl w:val="nil"/>
                  </w:tcBorders>
                  <w:vAlign w:val="center"/>
                </w:tcPr>
                <w:p w14:paraId="779E1F03">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lang w:val="en-US" w:eastAsia="zh-CN"/>
                    </w:rPr>
                    <w:t>全线起于</w:t>
                  </w:r>
                  <w:r>
                    <w:rPr>
                      <w:rFonts w:hint="eastAsia" w:cs="Times New Roman"/>
                      <w:color w:val="auto"/>
                      <w:sz w:val="18"/>
                      <w:szCs w:val="18"/>
                      <w:lang w:val="en-US" w:eastAsia="zh-CN"/>
                    </w:rPr>
                    <w:t>盘兴</w:t>
                  </w:r>
                  <w:r>
                    <w:rPr>
                      <w:rFonts w:hint="default" w:ascii="Times New Roman" w:hAnsi="Times New Roman" w:cs="Times New Roman"/>
                      <w:color w:val="auto"/>
                      <w:sz w:val="18"/>
                      <w:szCs w:val="18"/>
                      <w:lang w:val="en-US" w:eastAsia="zh-CN"/>
                    </w:rPr>
                    <w:t>220kV变电站</w:t>
                  </w:r>
                  <w:r>
                    <w:rPr>
                      <w:rFonts w:hint="default" w:ascii="Times New Roman" w:hAnsi="Times New Roman" w:cs="Times New Roman"/>
                      <w:color w:val="auto"/>
                      <w:sz w:val="18"/>
                      <w:szCs w:val="18"/>
                    </w:rPr>
                    <w:t>拟建</w:t>
                  </w:r>
                  <w:r>
                    <w:rPr>
                      <w:rFonts w:hint="default" w:ascii="Times New Roman" w:hAnsi="Times New Roman" w:cs="Times New Roman"/>
                      <w:color w:val="auto"/>
                      <w:sz w:val="18"/>
                      <w:szCs w:val="18"/>
                      <w:lang w:val="en-US" w:eastAsia="zh-CN"/>
                    </w:rPr>
                    <w:t>11</w:t>
                  </w:r>
                  <w:r>
                    <w:rPr>
                      <w:rFonts w:hint="default" w:ascii="Times New Roman" w:hAnsi="Times New Roman" w:cs="Times New Roman"/>
                      <w:color w:val="auto"/>
                      <w:sz w:val="18"/>
                      <w:szCs w:val="18"/>
                    </w:rPr>
                    <w:t>0kV</w:t>
                  </w:r>
                  <w:r>
                    <w:rPr>
                      <w:rFonts w:hint="default" w:ascii="Times New Roman" w:hAnsi="Times New Roman" w:cs="Times New Roman"/>
                      <w:color w:val="auto"/>
                      <w:sz w:val="18"/>
                      <w:szCs w:val="18"/>
                      <w:lang w:val="en-US" w:eastAsia="zh-CN"/>
                    </w:rPr>
                    <w:t>出线</w:t>
                  </w:r>
                  <w:r>
                    <w:rPr>
                      <w:rFonts w:hint="default" w:ascii="Times New Roman" w:hAnsi="Times New Roman" w:cs="Times New Roman"/>
                      <w:color w:val="auto"/>
                      <w:sz w:val="18"/>
                      <w:szCs w:val="18"/>
                    </w:rPr>
                    <w:t>间隔</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rPr>
                    <w:t>止于</w:t>
                  </w:r>
                  <w:r>
                    <w:rPr>
                      <w:rFonts w:hint="default" w:ascii="Times New Roman" w:hAnsi="Times New Roman" w:cs="Times New Roman"/>
                      <w:color w:val="auto"/>
                      <w:sz w:val="18"/>
                      <w:szCs w:val="18"/>
                      <w:lang w:val="en-US" w:eastAsia="zh-CN"/>
                    </w:rPr>
                    <w:t>拟建</w:t>
                  </w:r>
                  <w:r>
                    <w:rPr>
                      <w:rFonts w:hint="eastAsia" w:cs="Times New Roman"/>
                      <w:color w:val="auto"/>
                      <w:sz w:val="18"/>
                      <w:szCs w:val="18"/>
                      <w:lang w:val="en-US" w:eastAsia="zh-CN"/>
                    </w:rPr>
                    <w:t>司城</w:t>
                  </w:r>
                  <w:r>
                    <w:rPr>
                      <w:rFonts w:hint="default" w:ascii="Times New Roman" w:hAnsi="Times New Roman" w:cs="Times New Roman"/>
                      <w:color w:val="auto"/>
                      <w:sz w:val="18"/>
                      <w:szCs w:val="18"/>
                      <w:lang w:val="en-US" w:eastAsia="zh-CN"/>
                    </w:rPr>
                    <w:t>11</w:t>
                  </w:r>
                  <w:r>
                    <w:rPr>
                      <w:rFonts w:hint="default" w:ascii="Times New Roman" w:hAnsi="Times New Roman" w:cs="Times New Roman"/>
                      <w:color w:val="auto"/>
                      <w:sz w:val="18"/>
                      <w:szCs w:val="18"/>
                    </w:rPr>
                    <w:t>0kV变电站</w:t>
                  </w:r>
                  <w:r>
                    <w:rPr>
                      <w:rFonts w:hint="default" w:ascii="Times New Roman" w:hAnsi="Times New Roman" w:cs="Times New Roman"/>
                      <w:color w:val="auto"/>
                      <w:sz w:val="18"/>
                      <w:szCs w:val="18"/>
                      <w:lang w:val="en-US" w:eastAsia="zh-CN"/>
                    </w:rPr>
                    <w:t>11</w:t>
                  </w:r>
                  <w:r>
                    <w:rPr>
                      <w:rFonts w:hint="default" w:ascii="Times New Roman" w:hAnsi="Times New Roman" w:cs="Times New Roman"/>
                      <w:color w:val="auto"/>
                      <w:sz w:val="18"/>
                      <w:szCs w:val="18"/>
                    </w:rPr>
                    <w:t>0kV侧进线构架</w:t>
                  </w:r>
                  <w:r>
                    <w:rPr>
                      <w:rFonts w:hint="default" w:ascii="Times New Roman" w:hAnsi="Times New Roman" w:cs="Times New Roman"/>
                      <w:color w:val="auto"/>
                      <w:sz w:val="18"/>
                      <w:szCs w:val="18"/>
                      <w:lang w:eastAsia="zh-CN"/>
                    </w:rPr>
                    <w:t>。</w:t>
                  </w:r>
                </w:p>
              </w:tc>
              <w:tc>
                <w:tcPr>
                  <w:tcW w:w="1050" w:type="dxa"/>
                  <w:vMerge w:val="restart"/>
                  <w:tcBorders>
                    <w:tl2br w:val="nil"/>
                    <w:tr2bl w:val="nil"/>
                  </w:tcBorders>
                  <w:vAlign w:val="center"/>
                </w:tcPr>
                <w:p w14:paraId="7C6153DA">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噪声、生活污水、扬尘、固体废物、植被破坏</w:t>
                  </w:r>
                </w:p>
              </w:tc>
              <w:tc>
                <w:tcPr>
                  <w:tcW w:w="1167" w:type="dxa"/>
                  <w:gridSpan w:val="2"/>
                  <w:vMerge w:val="restart"/>
                  <w:tcBorders>
                    <w:tl2br w:val="nil"/>
                    <w:tr2bl w:val="nil"/>
                  </w:tcBorders>
                  <w:vAlign w:val="center"/>
                </w:tcPr>
                <w:p w14:paraId="5B4F225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工频电场</w:t>
                  </w:r>
                </w:p>
                <w:p w14:paraId="6F408F3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工频磁场</w:t>
                  </w:r>
                </w:p>
                <w:p w14:paraId="0509989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18"/>
                      <w:szCs w:val="18"/>
                      <w:lang w:val="en-US" w:eastAsia="zh-CN"/>
                    </w:rPr>
                  </w:pPr>
                  <w:r>
                    <w:rPr>
                      <w:rFonts w:hint="default" w:ascii="Times New Roman" w:hAnsi="Times New Roman" w:cs="Times New Roman"/>
                      <w:color w:val="auto"/>
                      <w:sz w:val="18"/>
                      <w:szCs w:val="18"/>
                      <w:lang w:val="en-US" w:eastAsia="zh-CN"/>
                    </w:rPr>
                    <w:t>噪声</w:t>
                  </w:r>
                </w:p>
              </w:tc>
            </w:tr>
            <w:tr w14:paraId="13AAC6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4DA65DD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tcBorders>
                    <w:tl2br w:val="nil"/>
                    <w:tr2bl w:val="nil"/>
                  </w:tcBorders>
                  <w:vAlign w:val="center"/>
                </w:tcPr>
                <w:p w14:paraId="2476C510">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线路长度</w:t>
                  </w:r>
                </w:p>
              </w:tc>
              <w:tc>
                <w:tcPr>
                  <w:tcW w:w="4563" w:type="dxa"/>
                  <w:gridSpan w:val="3"/>
                  <w:tcBorders>
                    <w:tl2br w:val="nil"/>
                    <w:tr2bl w:val="nil"/>
                  </w:tcBorders>
                  <w:vAlign w:val="center"/>
                </w:tcPr>
                <w:p w14:paraId="016CAFE4">
                  <w:pPr>
                    <w:keepNext w:val="0"/>
                    <w:keepLines w:val="0"/>
                    <w:pageBreakBefore w:val="0"/>
                    <w:kinsoku/>
                    <w:wordWrap/>
                    <w:overflowPunct/>
                    <w:topLinePunct w:val="0"/>
                    <w:autoSpaceDE/>
                    <w:autoSpaceDN/>
                    <w:bidi w:val="0"/>
                    <w:adjustRightInd/>
                    <w:snapToGrid/>
                    <w:textAlignment w:val="auto"/>
                    <w:rPr>
                      <w:rFonts w:hint="eastAsia"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rPr>
                    <w:t>线路长度约15km（0.3km+10km+4.7km），其中</w:t>
                  </w:r>
                  <w:r>
                    <w:rPr>
                      <w:rFonts w:hint="eastAsia" w:cs="Times New Roman"/>
                      <w:color w:val="auto"/>
                      <w:sz w:val="18"/>
                      <w:szCs w:val="18"/>
                      <w:lang w:val="en-US" w:eastAsia="zh-CN"/>
                    </w:rPr>
                    <w:t>：</w:t>
                  </w:r>
                </w:p>
                <w:p w14:paraId="0A257CEF">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①线路Ⅰ</w:t>
                  </w:r>
                  <w:r>
                    <w:rPr>
                      <w:rFonts w:hint="eastAsia" w:cs="Times New Roman"/>
                      <w:color w:val="auto"/>
                      <w:sz w:val="18"/>
                      <w:szCs w:val="18"/>
                      <w:lang w:val="en-US" w:eastAsia="zh-CN"/>
                    </w:rPr>
                    <w:t>双回塔单边挂线</w:t>
                  </w:r>
                  <w:r>
                    <w:rPr>
                      <w:rFonts w:hint="default" w:ascii="Times New Roman" w:hAnsi="Times New Roman" w:cs="Times New Roman"/>
                      <w:color w:val="auto"/>
                      <w:sz w:val="18"/>
                      <w:szCs w:val="18"/>
                      <w:lang w:val="en-US" w:eastAsia="zh-CN"/>
                    </w:rPr>
                    <w:t>段：长约</w:t>
                  </w:r>
                  <w:r>
                    <w:rPr>
                      <w:rFonts w:hint="eastAsia" w:cs="Times New Roman"/>
                      <w:color w:val="auto"/>
                      <w:sz w:val="18"/>
                      <w:szCs w:val="18"/>
                      <w:lang w:val="en-US" w:eastAsia="zh-CN"/>
                    </w:rPr>
                    <w:t>0.3</w:t>
                  </w:r>
                  <w:r>
                    <w:rPr>
                      <w:rFonts w:hint="default" w:ascii="Times New Roman" w:hAnsi="Times New Roman" w:cs="Times New Roman"/>
                      <w:color w:val="auto"/>
                      <w:sz w:val="18"/>
                      <w:szCs w:val="18"/>
                    </w:rPr>
                    <w:t>km</w:t>
                  </w:r>
                  <w:r>
                    <w:rPr>
                      <w:rFonts w:hint="default" w:ascii="Times New Roman" w:hAnsi="Times New Roman" w:cs="Times New Roman"/>
                      <w:color w:val="auto"/>
                      <w:sz w:val="18"/>
                      <w:szCs w:val="18"/>
                      <w:lang w:val="en-US" w:eastAsia="zh-CN"/>
                    </w:rPr>
                    <w:t>；</w:t>
                  </w:r>
                </w:p>
                <w:p w14:paraId="45C69117">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②线路Ⅰ</w:t>
                  </w:r>
                  <w:r>
                    <w:rPr>
                      <w:rFonts w:hint="eastAsia" w:cs="Times New Roman"/>
                      <w:color w:val="auto"/>
                      <w:sz w:val="18"/>
                      <w:szCs w:val="18"/>
                      <w:lang w:val="en-US" w:eastAsia="zh-CN"/>
                    </w:rPr>
                    <w:t>利旧段</w:t>
                  </w:r>
                  <w:r>
                    <w:rPr>
                      <w:rFonts w:hint="default" w:ascii="Times New Roman" w:hAnsi="Times New Roman" w:cs="Times New Roman"/>
                      <w:color w:val="auto"/>
                      <w:sz w:val="18"/>
                      <w:szCs w:val="18"/>
                      <w:lang w:val="en-US"/>
                    </w:rPr>
                    <w:t>（利旧已建杆塔）</w:t>
                  </w: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val="en-US" w:eastAsia="zh-CN"/>
                    </w:rPr>
                    <w:t>长约</w:t>
                  </w:r>
                  <w:r>
                    <w:rPr>
                      <w:rFonts w:hint="eastAsia" w:cs="Times New Roman"/>
                      <w:color w:val="auto"/>
                      <w:sz w:val="18"/>
                      <w:szCs w:val="18"/>
                      <w:lang w:val="en-US" w:eastAsia="zh-CN"/>
                    </w:rPr>
                    <w:t>4.7</w:t>
                  </w:r>
                  <w:r>
                    <w:rPr>
                      <w:rFonts w:hint="default" w:ascii="Times New Roman" w:hAnsi="Times New Roman" w:cs="Times New Roman"/>
                      <w:color w:val="auto"/>
                      <w:sz w:val="18"/>
                      <w:szCs w:val="18"/>
                      <w:lang w:val="en-US" w:eastAsia="zh-CN"/>
                    </w:rPr>
                    <w:t>km</w:t>
                  </w:r>
                  <w:r>
                    <w:rPr>
                      <w:rFonts w:hint="default" w:ascii="Times New Roman" w:hAnsi="Times New Roman" w:cs="Times New Roman"/>
                      <w:color w:val="auto"/>
                      <w:sz w:val="18"/>
                      <w:szCs w:val="18"/>
                    </w:rPr>
                    <w:t>；</w:t>
                  </w:r>
                </w:p>
                <w:p w14:paraId="6B6A60C4">
                  <w:pPr>
                    <w:keepNext w:val="0"/>
                    <w:keepLines w:val="0"/>
                    <w:pageBreakBefore w:val="0"/>
                    <w:kinsoku/>
                    <w:wordWrap/>
                    <w:overflowPunct/>
                    <w:topLinePunct w:val="0"/>
                    <w:autoSpaceDE/>
                    <w:autoSpaceDN/>
                    <w:bidi w:val="0"/>
                    <w:adjustRightInd/>
                    <w:snapToGrid/>
                    <w:textAlignment w:val="auto"/>
                    <w:rPr>
                      <w:rFonts w:hint="eastAsia"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fldChar w:fldCharType="begin"/>
                  </w:r>
                  <w:r>
                    <w:rPr>
                      <w:rFonts w:hint="default" w:ascii="Times New Roman" w:hAnsi="Times New Roman" w:cs="Times New Roman"/>
                      <w:color w:val="auto"/>
                      <w:sz w:val="18"/>
                      <w:szCs w:val="18"/>
                      <w:lang w:val="en-US" w:eastAsia="zh-CN"/>
                    </w:rPr>
                    <w:instrText xml:space="preserve"> = 3 \* GB3 \* MERGEFORMAT </w:instrText>
                  </w:r>
                  <w:r>
                    <w:rPr>
                      <w:rFonts w:hint="default" w:ascii="Times New Roman" w:hAnsi="Times New Roman" w:cs="Times New Roman"/>
                      <w:color w:val="auto"/>
                      <w:sz w:val="18"/>
                      <w:szCs w:val="18"/>
                      <w:lang w:val="en-US" w:eastAsia="zh-CN"/>
                    </w:rPr>
                    <w:fldChar w:fldCharType="separate"/>
                  </w:r>
                  <w:r>
                    <w:rPr>
                      <w:rFonts w:hint="default" w:ascii="Times New Roman" w:hAnsi="Times New Roman" w:cs="Times New Roman"/>
                      <w:color w:val="auto"/>
                      <w:sz w:val="18"/>
                      <w:szCs w:val="18"/>
                      <w:lang w:val="en-US" w:eastAsia="zh-CN"/>
                    </w:rPr>
                    <w:t>③</w:t>
                  </w:r>
                  <w:r>
                    <w:rPr>
                      <w:rFonts w:hint="default" w:ascii="Times New Roman" w:hAnsi="Times New Roman" w:cs="Times New Roman"/>
                      <w:color w:val="auto"/>
                      <w:sz w:val="18"/>
                      <w:szCs w:val="18"/>
                      <w:lang w:val="en-US" w:eastAsia="zh-CN"/>
                    </w:rPr>
                    <w:fldChar w:fldCharType="end"/>
                  </w:r>
                  <w:r>
                    <w:rPr>
                      <w:rFonts w:hint="default" w:ascii="Times New Roman" w:hAnsi="Times New Roman" w:cs="Times New Roman"/>
                      <w:color w:val="auto"/>
                      <w:sz w:val="18"/>
                      <w:szCs w:val="18"/>
                      <w:lang w:val="en-US" w:eastAsia="zh-CN"/>
                    </w:rPr>
                    <w:t>线路Ⅰ三角排列段：长约</w:t>
                  </w:r>
                  <w:r>
                    <w:rPr>
                      <w:rFonts w:hint="eastAsia" w:cs="Times New Roman"/>
                      <w:color w:val="auto"/>
                      <w:sz w:val="18"/>
                      <w:szCs w:val="18"/>
                      <w:lang w:val="en-US" w:eastAsia="zh-CN"/>
                    </w:rPr>
                    <w:t>10</w:t>
                  </w:r>
                  <w:r>
                    <w:rPr>
                      <w:rFonts w:hint="default" w:ascii="Times New Roman" w:hAnsi="Times New Roman" w:cs="Times New Roman"/>
                      <w:color w:val="auto"/>
                      <w:sz w:val="18"/>
                      <w:szCs w:val="18"/>
                      <w:lang w:val="en-US" w:eastAsia="zh-CN"/>
                    </w:rPr>
                    <w:t>km</w:t>
                  </w:r>
                  <w:r>
                    <w:rPr>
                      <w:rFonts w:hint="default" w:ascii="Times New Roman" w:hAnsi="Times New Roman" w:cs="Times New Roman"/>
                      <w:color w:val="auto"/>
                      <w:sz w:val="18"/>
                      <w:szCs w:val="18"/>
                    </w:rPr>
                    <w:t>。</w:t>
                  </w:r>
                </w:p>
              </w:tc>
              <w:tc>
                <w:tcPr>
                  <w:tcW w:w="1050" w:type="dxa"/>
                  <w:vMerge w:val="continue"/>
                  <w:tcBorders>
                    <w:tl2br w:val="nil"/>
                    <w:tr2bl w:val="nil"/>
                  </w:tcBorders>
                  <w:vAlign w:val="center"/>
                </w:tcPr>
                <w:p w14:paraId="65A141EE">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p>
              </w:tc>
              <w:tc>
                <w:tcPr>
                  <w:tcW w:w="1167" w:type="dxa"/>
                  <w:gridSpan w:val="2"/>
                  <w:vMerge w:val="continue"/>
                  <w:tcBorders>
                    <w:tl2br w:val="nil"/>
                    <w:tr2bl w:val="nil"/>
                  </w:tcBorders>
                  <w:vAlign w:val="center"/>
                </w:tcPr>
                <w:p w14:paraId="6BF5396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p>
              </w:tc>
            </w:tr>
            <w:tr w14:paraId="55D217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451F5F8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tcBorders>
                    <w:tl2br w:val="nil"/>
                    <w:tr2bl w:val="nil"/>
                  </w:tcBorders>
                  <w:vAlign w:val="center"/>
                </w:tcPr>
                <w:p w14:paraId="41B89780">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导线及输送电流</w:t>
                  </w:r>
                </w:p>
              </w:tc>
              <w:tc>
                <w:tcPr>
                  <w:tcW w:w="4563" w:type="dxa"/>
                  <w:gridSpan w:val="3"/>
                  <w:tcBorders>
                    <w:tl2br w:val="nil"/>
                    <w:tr2bl w:val="nil"/>
                  </w:tcBorders>
                  <w:vAlign w:val="center"/>
                </w:tcPr>
                <w:p w14:paraId="75D32902">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导线采用2×JL3/G1A-240/30型钢芯高导电率铝绞线，双分裂，分裂间距400mm</w:t>
                  </w:r>
                  <w:r>
                    <w:rPr>
                      <w:rFonts w:hint="default" w:ascii="Times New Roman" w:hAnsi="Times New Roman" w:cs="Times New Roman"/>
                      <w:color w:val="auto"/>
                      <w:sz w:val="18"/>
                      <w:szCs w:val="18"/>
                      <w:highlight w:val="none"/>
                      <w:lang w:val="en-US" w:eastAsia="zh-CN"/>
                    </w:rPr>
                    <w:t>，</w:t>
                  </w:r>
                  <w:r>
                    <w:rPr>
                      <w:rFonts w:hint="eastAsia" w:cs="Times New Roman"/>
                      <w:color w:val="auto"/>
                      <w:sz w:val="18"/>
                      <w:szCs w:val="18"/>
                      <w:highlight w:val="none"/>
                      <w:lang w:val="en-US" w:eastAsia="zh-CN"/>
                    </w:rPr>
                    <w:t>设计输送电流</w:t>
                  </w:r>
                  <w:r>
                    <w:rPr>
                      <w:rFonts w:hint="default" w:ascii="Times New Roman" w:hAnsi="Times New Roman" w:cs="Times New Roman"/>
                      <w:color w:val="auto"/>
                      <w:sz w:val="18"/>
                      <w:szCs w:val="18"/>
                      <w:highlight w:val="none"/>
                      <w:lang w:val="en-US" w:eastAsia="zh-CN"/>
                    </w:rPr>
                    <w:t>为</w:t>
                  </w:r>
                  <w:r>
                    <w:rPr>
                      <w:rFonts w:hint="eastAsia" w:cs="Times New Roman"/>
                      <w:color w:val="auto"/>
                      <w:sz w:val="18"/>
                      <w:szCs w:val="18"/>
                      <w:highlight w:val="none"/>
                      <w:lang w:val="en-US" w:eastAsia="zh-CN"/>
                    </w:rPr>
                    <w:t>1160</w:t>
                  </w:r>
                  <w:r>
                    <w:rPr>
                      <w:rFonts w:hint="default" w:ascii="Times New Roman" w:hAnsi="Times New Roman" w:cs="Times New Roman"/>
                      <w:color w:val="auto"/>
                      <w:sz w:val="18"/>
                      <w:szCs w:val="18"/>
                      <w:highlight w:val="none"/>
                      <w:lang w:val="en-US" w:eastAsia="zh-CN"/>
                    </w:rPr>
                    <w:t>A。</w:t>
                  </w:r>
                </w:p>
              </w:tc>
              <w:tc>
                <w:tcPr>
                  <w:tcW w:w="1050" w:type="dxa"/>
                  <w:vMerge w:val="continue"/>
                  <w:tcBorders>
                    <w:tl2br w:val="nil"/>
                    <w:tr2bl w:val="nil"/>
                  </w:tcBorders>
                  <w:vAlign w:val="center"/>
                </w:tcPr>
                <w:p w14:paraId="334F357C">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0BE3D42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1D2B8F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15AA252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tcBorders>
                    <w:tl2br w:val="nil"/>
                    <w:tr2bl w:val="nil"/>
                  </w:tcBorders>
                  <w:vAlign w:val="center"/>
                </w:tcPr>
                <w:p w14:paraId="16A80B56">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排列方式</w:t>
                  </w:r>
                </w:p>
              </w:tc>
              <w:tc>
                <w:tcPr>
                  <w:tcW w:w="4563" w:type="dxa"/>
                  <w:gridSpan w:val="3"/>
                  <w:tcBorders>
                    <w:tl2br w:val="nil"/>
                    <w:tr2bl w:val="nil"/>
                  </w:tcBorders>
                  <w:vAlign w:val="center"/>
                </w:tcPr>
                <w:p w14:paraId="298DDA98">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线路Ⅰ</w:t>
                  </w:r>
                  <w:r>
                    <w:rPr>
                      <w:rFonts w:hint="eastAsia" w:cs="Times New Roman"/>
                      <w:color w:val="auto"/>
                      <w:sz w:val="18"/>
                      <w:szCs w:val="18"/>
                      <w:lang w:val="en-US" w:eastAsia="zh-CN"/>
                    </w:rPr>
                    <w:t>双回塔单边挂线</w:t>
                  </w:r>
                  <w:r>
                    <w:rPr>
                      <w:rFonts w:hint="default" w:ascii="Times New Roman" w:hAnsi="Times New Roman" w:cs="Times New Roman"/>
                      <w:color w:val="auto"/>
                      <w:sz w:val="18"/>
                      <w:szCs w:val="18"/>
                      <w:lang w:val="en-US" w:eastAsia="zh-CN"/>
                    </w:rPr>
                    <w:t>段：</w:t>
                  </w:r>
                  <w:r>
                    <w:rPr>
                      <w:rFonts w:hint="eastAsia" w:ascii="Times New Roman" w:hAnsi="Times New Roman" w:cs="Times New Roman"/>
                      <w:color w:val="auto"/>
                      <w:sz w:val="18"/>
                      <w:szCs w:val="18"/>
                      <w:lang w:val="en-US" w:eastAsia="zh-CN"/>
                    </w:rPr>
                    <w:t>垂直排列</w:t>
                  </w:r>
                  <w:r>
                    <w:rPr>
                      <w:rFonts w:hint="default" w:ascii="Times New Roman" w:hAnsi="Times New Roman" w:cs="Times New Roman"/>
                      <w:color w:val="auto"/>
                      <w:sz w:val="18"/>
                      <w:szCs w:val="18"/>
                      <w:lang w:val="en-US" w:eastAsia="zh-CN"/>
                    </w:rPr>
                    <w:t>；</w:t>
                  </w:r>
                </w:p>
                <w:p w14:paraId="330AD6E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线路Ⅰ</w:t>
                  </w:r>
                  <w:r>
                    <w:rPr>
                      <w:rFonts w:hint="eastAsia" w:cs="Times New Roman"/>
                      <w:color w:val="auto"/>
                      <w:sz w:val="18"/>
                      <w:szCs w:val="18"/>
                      <w:lang w:val="en-US" w:eastAsia="zh-CN"/>
                    </w:rPr>
                    <w:t>利旧段</w:t>
                  </w:r>
                  <w:r>
                    <w:rPr>
                      <w:rFonts w:hint="default" w:ascii="Times New Roman" w:hAnsi="Times New Roman" w:cs="Times New Roman"/>
                      <w:color w:val="auto"/>
                      <w:sz w:val="18"/>
                      <w:szCs w:val="18"/>
                    </w:rPr>
                    <w:t>：</w:t>
                  </w:r>
                  <w:r>
                    <w:rPr>
                      <w:rFonts w:hint="eastAsia" w:ascii="Times New Roman" w:hAnsi="Times New Roman" w:cs="Times New Roman"/>
                      <w:color w:val="auto"/>
                      <w:sz w:val="18"/>
                      <w:szCs w:val="18"/>
                      <w:lang w:val="en-US" w:eastAsia="zh-CN"/>
                    </w:rPr>
                    <w:t>垂直逆相序排列</w:t>
                  </w:r>
                  <w:r>
                    <w:rPr>
                      <w:rFonts w:hint="default" w:ascii="Times New Roman" w:hAnsi="Times New Roman" w:cs="Times New Roman"/>
                      <w:color w:val="auto"/>
                      <w:sz w:val="18"/>
                      <w:szCs w:val="18"/>
                    </w:rPr>
                    <w:t>；</w:t>
                  </w:r>
                </w:p>
                <w:p w14:paraId="08CF36D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线路Ⅰ三角排列段：</w:t>
                  </w:r>
                  <w:r>
                    <w:rPr>
                      <w:rFonts w:hint="eastAsia" w:ascii="Times New Roman" w:hAnsi="Times New Roman" w:cs="Times New Roman"/>
                      <w:color w:val="auto"/>
                      <w:sz w:val="18"/>
                      <w:szCs w:val="18"/>
                      <w:lang w:val="en-US" w:eastAsia="zh-CN"/>
                    </w:rPr>
                    <w:t>三角排列</w:t>
                  </w:r>
                  <w:r>
                    <w:rPr>
                      <w:rFonts w:hint="eastAsia" w:cs="Times New Roman"/>
                      <w:color w:val="auto"/>
                      <w:sz w:val="18"/>
                      <w:szCs w:val="18"/>
                      <w:lang w:val="en-US" w:eastAsia="zh-CN"/>
                    </w:rPr>
                    <w:t>。</w:t>
                  </w:r>
                </w:p>
              </w:tc>
              <w:tc>
                <w:tcPr>
                  <w:tcW w:w="1050" w:type="dxa"/>
                  <w:vMerge w:val="continue"/>
                  <w:tcBorders>
                    <w:tl2br w:val="nil"/>
                    <w:tr2bl w:val="nil"/>
                  </w:tcBorders>
                  <w:vAlign w:val="center"/>
                </w:tcPr>
                <w:p w14:paraId="1C00BA74">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322EEA2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167310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90" w:type="dxa"/>
                  <w:vMerge w:val="continue"/>
                  <w:tcBorders>
                    <w:tl2br w:val="nil"/>
                    <w:tr2bl w:val="nil"/>
                  </w:tcBorders>
                  <w:vAlign w:val="center"/>
                </w:tcPr>
                <w:p w14:paraId="369EAD65">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tcBorders>
                    <w:tl2br w:val="nil"/>
                    <w:tr2bl w:val="nil"/>
                  </w:tcBorders>
                  <w:vAlign w:val="center"/>
                </w:tcPr>
                <w:p w14:paraId="1982779D">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杆塔数量</w:t>
                  </w:r>
                </w:p>
              </w:tc>
              <w:tc>
                <w:tcPr>
                  <w:tcW w:w="4563" w:type="dxa"/>
                  <w:gridSpan w:val="3"/>
                  <w:tcBorders>
                    <w:tl2br w:val="nil"/>
                    <w:tr2bl w:val="nil"/>
                  </w:tcBorders>
                  <w:vAlign w:val="center"/>
                </w:tcPr>
                <w:p w14:paraId="5CD4F310">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新建杆塔</w:t>
                  </w:r>
                  <w:r>
                    <w:rPr>
                      <w:rFonts w:hint="eastAsia" w:cs="Times New Roman"/>
                      <w:color w:val="auto"/>
                      <w:sz w:val="18"/>
                      <w:szCs w:val="18"/>
                      <w:lang w:val="en-US" w:eastAsia="zh-CN"/>
                    </w:rPr>
                    <w:t>32</w:t>
                  </w:r>
                  <w:r>
                    <w:rPr>
                      <w:rFonts w:hint="default" w:ascii="Times New Roman" w:hAnsi="Times New Roman" w:cs="Times New Roman"/>
                      <w:color w:val="auto"/>
                      <w:sz w:val="18"/>
                      <w:szCs w:val="18"/>
                    </w:rPr>
                    <w:t>基</w:t>
                  </w:r>
                  <w:r>
                    <w:rPr>
                      <w:rFonts w:hint="eastAsia" w:cs="Times New Roman"/>
                      <w:color w:val="auto"/>
                      <w:sz w:val="18"/>
                      <w:szCs w:val="18"/>
                      <w:lang w:eastAsia="zh-CN"/>
                    </w:rPr>
                    <w:t>（</w:t>
                  </w:r>
                  <w:r>
                    <w:rPr>
                      <w:rFonts w:hint="eastAsia" w:cs="Times New Roman"/>
                      <w:color w:val="auto"/>
                      <w:sz w:val="18"/>
                      <w:szCs w:val="18"/>
                      <w:lang w:val="en-US" w:eastAsia="zh-CN"/>
                    </w:rPr>
                    <w:t>其中单回塔29基，双回塔3基</w:t>
                  </w:r>
                  <w:r>
                    <w:rPr>
                      <w:rFonts w:hint="eastAsia" w:cs="Times New Roman"/>
                      <w:color w:val="auto"/>
                      <w:sz w:val="18"/>
                      <w:szCs w:val="18"/>
                      <w:lang w:eastAsia="zh-CN"/>
                    </w:rPr>
                    <w:t>），</w:t>
                  </w:r>
                  <w:r>
                    <w:rPr>
                      <w:rFonts w:hint="eastAsia" w:cs="Times New Roman"/>
                      <w:color w:val="auto"/>
                      <w:sz w:val="18"/>
                      <w:szCs w:val="18"/>
                      <w:lang w:val="en-US" w:eastAsia="zh-CN"/>
                    </w:rPr>
                    <w:t>利旧15基</w:t>
                  </w:r>
                  <w:r>
                    <w:rPr>
                      <w:rFonts w:hint="default" w:ascii="Times New Roman" w:hAnsi="Times New Roman" w:cs="Times New Roman"/>
                      <w:color w:val="auto"/>
                      <w:sz w:val="18"/>
                      <w:szCs w:val="18"/>
                    </w:rPr>
                    <w:t>，</w:t>
                  </w:r>
                  <w:r>
                    <w:rPr>
                      <w:rFonts w:hint="eastAsia" w:cs="Times New Roman"/>
                      <w:color w:val="auto"/>
                      <w:sz w:val="18"/>
                      <w:szCs w:val="18"/>
                      <w:lang w:val="en-US" w:eastAsia="zh-CN"/>
                    </w:rPr>
                    <w:t>本次新建杆塔</w:t>
                  </w:r>
                  <w:r>
                    <w:rPr>
                      <w:rFonts w:hint="default" w:ascii="Times New Roman" w:hAnsi="Times New Roman" w:cs="Times New Roman"/>
                      <w:color w:val="auto"/>
                      <w:sz w:val="18"/>
                      <w:szCs w:val="18"/>
                    </w:rPr>
                    <w:t>永久占地面积约</w:t>
                  </w:r>
                  <w:r>
                    <w:rPr>
                      <w:rFonts w:hint="eastAsia" w:cs="Times New Roman"/>
                      <w:color w:val="auto"/>
                      <w:sz w:val="18"/>
                      <w:szCs w:val="18"/>
                      <w:lang w:val="en-US" w:eastAsia="zh-CN"/>
                    </w:rPr>
                    <w:t>3260</w:t>
                  </w:r>
                  <w:r>
                    <w:rPr>
                      <w:rFonts w:hint="default" w:ascii="Times New Roman" w:hAnsi="Times New Roman" w:cs="Times New Roman"/>
                      <w:color w:val="auto"/>
                      <w:sz w:val="18"/>
                      <w:szCs w:val="18"/>
                    </w:rPr>
                    <w:t>m</w:t>
                  </w:r>
                  <w:r>
                    <w:rPr>
                      <w:rFonts w:hint="default" w:ascii="Times New Roman" w:hAnsi="Times New Roman" w:cs="Times New Roman"/>
                      <w:color w:val="auto"/>
                      <w:sz w:val="18"/>
                      <w:szCs w:val="18"/>
                      <w:vertAlign w:val="superscript"/>
                    </w:rPr>
                    <w:t>2</w:t>
                  </w:r>
                  <w:r>
                    <w:rPr>
                      <w:rFonts w:hint="default" w:ascii="Times New Roman" w:hAnsi="Times New Roman" w:cs="Times New Roman"/>
                      <w:color w:val="auto"/>
                      <w:sz w:val="18"/>
                      <w:szCs w:val="18"/>
                    </w:rPr>
                    <w:t>。</w:t>
                  </w:r>
                </w:p>
              </w:tc>
              <w:tc>
                <w:tcPr>
                  <w:tcW w:w="1050" w:type="dxa"/>
                  <w:vMerge w:val="continue"/>
                  <w:tcBorders>
                    <w:tl2br w:val="nil"/>
                    <w:tr2bl w:val="nil"/>
                  </w:tcBorders>
                  <w:vAlign w:val="center"/>
                </w:tcPr>
                <w:p w14:paraId="04C93BB0">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78AEEAA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1E1A2C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90" w:type="dxa"/>
                  <w:vMerge w:val="continue"/>
                  <w:tcBorders>
                    <w:tl2br w:val="nil"/>
                    <w:tr2bl w:val="nil"/>
                  </w:tcBorders>
                  <w:vAlign w:val="center"/>
                </w:tcPr>
                <w:p w14:paraId="288C185C">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tcBorders>
                    <w:tl2br w:val="nil"/>
                    <w:tr2bl w:val="nil"/>
                  </w:tcBorders>
                  <w:vAlign w:val="center"/>
                </w:tcPr>
                <w:p w14:paraId="49078784">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临时占地</w:t>
                  </w:r>
                </w:p>
              </w:tc>
              <w:tc>
                <w:tcPr>
                  <w:tcW w:w="4563" w:type="dxa"/>
                  <w:gridSpan w:val="3"/>
                  <w:tcBorders>
                    <w:tl2br w:val="nil"/>
                    <w:tr2bl w:val="nil"/>
                  </w:tcBorders>
                  <w:vAlign w:val="center"/>
                </w:tcPr>
                <w:p w14:paraId="1185DEF5">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塔基施工临时场地：本项目共新建杆塔</w:t>
                  </w:r>
                  <w:r>
                    <w:rPr>
                      <w:rFonts w:hint="eastAsia" w:cs="Times New Roman"/>
                      <w:color w:val="auto"/>
                      <w:sz w:val="18"/>
                      <w:szCs w:val="18"/>
                      <w:highlight w:val="none"/>
                      <w:lang w:val="en-US" w:eastAsia="zh-CN"/>
                    </w:rPr>
                    <w:t>32</w:t>
                  </w:r>
                  <w:r>
                    <w:rPr>
                      <w:rFonts w:hint="default" w:ascii="Times New Roman" w:hAnsi="Times New Roman" w:cs="Times New Roman"/>
                      <w:color w:val="auto"/>
                      <w:sz w:val="18"/>
                      <w:szCs w:val="18"/>
                      <w:highlight w:val="none"/>
                    </w:rPr>
                    <w:t>基，</w:t>
                  </w:r>
                  <w:r>
                    <w:rPr>
                      <w:rFonts w:hint="eastAsia" w:cs="Times New Roman"/>
                      <w:color w:val="auto"/>
                      <w:sz w:val="18"/>
                      <w:szCs w:val="18"/>
                      <w:highlight w:val="none"/>
                      <w:lang w:val="en-US" w:eastAsia="zh-CN"/>
                    </w:rPr>
                    <w:t>每个铁塔临时占地面积230m</w:t>
                  </w:r>
                  <w:r>
                    <w:rPr>
                      <w:rFonts w:hint="eastAsia" w:cs="Times New Roman"/>
                      <w:color w:val="auto"/>
                      <w:sz w:val="18"/>
                      <w:szCs w:val="18"/>
                      <w:highlight w:val="none"/>
                      <w:vertAlign w:val="superscript"/>
                      <w:lang w:val="en-US" w:eastAsia="zh-CN"/>
                    </w:rPr>
                    <w:t>2</w:t>
                  </w:r>
                  <w:r>
                    <w:rPr>
                      <w:rFonts w:hint="eastAsia" w:cs="Times New Roman"/>
                      <w:color w:val="auto"/>
                      <w:sz w:val="18"/>
                      <w:szCs w:val="18"/>
                      <w:highlight w:val="none"/>
                      <w:vertAlign w:val="baseline"/>
                      <w:lang w:val="en-US" w:eastAsia="zh-CN"/>
                    </w:rPr>
                    <w:t>，</w:t>
                  </w:r>
                  <w:r>
                    <w:rPr>
                      <w:rFonts w:hint="eastAsia" w:cs="Times New Roman"/>
                      <w:color w:val="auto"/>
                      <w:sz w:val="18"/>
                      <w:szCs w:val="18"/>
                      <w:highlight w:val="none"/>
                      <w:lang w:val="en-US" w:eastAsia="zh-CN"/>
                    </w:rPr>
                    <w:t>故临时</w:t>
                  </w:r>
                  <w:r>
                    <w:rPr>
                      <w:rFonts w:hint="default" w:ascii="Times New Roman" w:hAnsi="Times New Roman" w:cs="Times New Roman"/>
                      <w:color w:val="auto"/>
                      <w:sz w:val="18"/>
                      <w:szCs w:val="18"/>
                      <w:highlight w:val="none"/>
                    </w:rPr>
                    <w:t>占地</w:t>
                  </w:r>
                  <w:r>
                    <w:rPr>
                      <w:rFonts w:hint="eastAsia" w:cs="Times New Roman"/>
                      <w:color w:val="auto"/>
                      <w:sz w:val="18"/>
                      <w:szCs w:val="18"/>
                      <w:highlight w:val="none"/>
                      <w:lang w:val="en-US" w:eastAsia="zh-CN"/>
                    </w:rPr>
                    <w:t>总</w:t>
                  </w:r>
                  <w:r>
                    <w:rPr>
                      <w:rFonts w:hint="default" w:ascii="Times New Roman" w:hAnsi="Times New Roman" w:cs="Times New Roman"/>
                      <w:color w:val="auto"/>
                      <w:sz w:val="18"/>
                      <w:szCs w:val="18"/>
                      <w:highlight w:val="none"/>
                    </w:rPr>
                    <w:t>面积约</w:t>
                  </w:r>
                  <w:r>
                    <w:rPr>
                      <w:rFonts w:hint="eastAsia" w:cs="Times New Roman"/>
                      <w:color w:val="auto"/>
                      <w:sz w:val="18"/>
                      <w:szCs w:val="18"/>
                      <w:highlight w:val="none"/>
                      <w:lang w:val="en-US" w:eastAsia="zh-CN"/>
                    </w:rPr>
                    <w:t>7360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default" w:ascii="Times New Roman" w:hAnsi="Times New Roman" w:cs="Times New Roman"/>
                      <w:color w:val="auto"/>
                      <w:sz w:val="18"/>
                      <w:szCs w:val="18"/>
                      <w:highlight w:val="none"/>
                      <w:lang w:eastAsia="zh-CN"/>
                    </w:rPr>
                    <w:t>。</w:t>
                  </w:r>
                </w:p>
                <w:p w14:paraId="0AE95A93">
                  <w:pPr>
                    <w:keepNext w:val="0"/>
                    <w:keepLines w:val="0"/>
                    <w:pageBreakBefore w:val="0"/>
                    <w:kinsoku/>
                    <w:wordWrap/>
                    <w:overflowPunct/>
                    <w:topLinePunct w:val="0"/>
                    <w:autoSpaceDE/>
                    <w:autoSpaceDN/>
                    <w:bidi w:val="0"/>
                    <w:adjustRightInd/>
                    <w:snapToGrid/>
                    <w:textAlignment w:val="auto"/>
                    <w:rPr>
                      <w:rFonts w:hint="eastAsia" w:ascii="Times New Roman" w:hAnsi="Times New Roman" w:eastAsia="宋体" w:cs="Times New Roman"/>
                      <w:color w:val="auto"/>
                      <w:sz w:val="18"/>
                      <w:szCs w:val="18"/>
                      <w:highlight w:val="none"/>
                      <w:vertAlign w:val="baseline"/>
                      <w:lang w:eastAsia="zh-CN"/>
                    </w:rPr>
                  </w:pPr>
                  <w:r>
                    <w:rPr>
                      <w:rFonts w:hint="default" w:ascii="Times New Roman" w:hAnsi="Times New Roman" w:cs="Times New Roman"/>
                      <w:color w:val="auto"/>
                      <w:sz w:val="18"/>
                      <w:szCs w:val="18"/>
                      <w:highlight w:val="none"/>
                    </w:rPr>
                    <w:t>牵张场：共设置</w:t>
                  </w:r>
                  <w:r>
                    <w:rPr>
                      <w:rFonts w:hint="eastAsia" w:cs="Times New Roman"/>
                      <w:color w:val="auto"/>
                      <w:sz w:val="18"/>
                      <w:szCs w:val="18"/>
                      <w:highlight w:val="none"/>
                      <w:lang w:val="en-US" w:eastAsia="zh-CN"/>
                    </w:rPr>
                    <w:t>4</w:t>
                  </w:r>
                  <w:r>
                    <w:rPr>
                      <w:rFonts w:hint="default" w:ascii="Times New Roman" w:hAnsi="Times New Roman" w:cs="Times New Roman"/>
                      <w:color w:val="auto"/>
                      <w:sz w:val="18"/>
                      <w:szCs w:val="18"/>
                      <w:highlight w:val="none"/>
                    </w:rPr>
                    <w:t>个牵张场，</w:t>
                  </w:r>
                  <w:r>
                    <w:rPr>
                      <w:rFonts w:hint="default" w:ascii="Times New Roman" w:hAnsi="Times New Roman" w:cs="Times New Roman"/>
                      <w:color w:val="000000" w:themeColor="text1"/>
                      <w:sz w:val="18"/>
                      <w:szCs w:val="18"/>
                      <w:highlight w:val="none"/>
                      <w14:textFill>
                        <w14:solidFill>
                          <w14:schemeClr w14:val="tx1"/>
                        </w14:solidFill>
                      </w14:textFill>
                    </w:rPr>
                    <w:t>每处牵张场占地面积约为400m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2</w:t>
                  </w: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auto"/>
                      <w:sz w:val="18"/>
                      <w:szCs w:val="18"/>
                      <w:highlight w:val="none"/>
                    </w:rPr>
                    <w:t>总占地面积约</w:t>
                  </w:r>
                  <w:r>
                    <w:rPr>
                      <w:rFonts w:hint="eastAsia" w:cs="Times New Roman"/>
                      <w:color w:val="auto"/>
                      <w:sz w:val="18"/>
                      <w:szCs w:val="18"/>
                      <w:highlight w:val="none"/>
                      <w:lang w:val="en-US" w:eastAsia="zh-CN"/>
                    </w:rPr>
                    <w:t>1600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eastAsia" w:cs="Times New Roman"/>
                      <w:color w:val="auto"/>
                      <w:sz w:val="18"/>
                      <w:szCs w:val="18"/>
                      <w:highlight w:val="none"/>
                      <w:vertAlign w:val="baseline"/>
                      <w:lang w:eastAsia="zh-CN"/>
                    </w:rPr>
                    <w:t>；</w:t>
                  </w:r>
                </w:p>
                <w:p w14:paraId="0E376A0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rPr>
                    <w:t>跨越场：共设置</w:t>
                  </w:r>
                  <w:r>
                    <w:rPr>
                      <w:rFonts w:hint="eastAsia" w:cs="Times New Roman"/>
                      <w:color w:val="auto"/>
                      <w:sz w:val="18"/>
                      <w:szCs w:val="18"/>
                      <w:highlight w:val="none"/>
                      <w:lang w:val="en-US" w:eastAsia="zh-CN"/>
                    </w:rPr>
                    <w:t>3对</w:t>
                  </w:r>
                  <w:r>
                    <w:rPr>
                      <w:rFonts w:hint="default" w:ascii="Times New Roman" w:hAnsi="Times New Roman" w:cs="Times New Roman"/>
                      <w:color w:val="auto"/>
                      <w:sz w:val="18"/>
                      <w:szCs w:val="18"/>
                      <w:highlight w:val="none"/>
                    </w:rPr>
                    <w:t>跨越场，</w:t>
                  </w:r>
                  <w:r>
                    <w:rPr>
                      <w:rFonts w:hint="default" w:ascii="Times New Roman" w:hAnsi="Times New Roman" w:cs="Times New Roman"/>
                      <w:color w:val="000000" w:themeColor="text1"/>
                      <w:sz w:val="18"/>
                      <w:szCs w:val="18"/>
                      <w:highlight w:val="none"/>
                      <w14:textFill>
                        <w14:solidFill>
                          <w14:schemeClr w14:val="tx1"/>
                        </w14:solidFill>
                      </w14:textFill>
                    </w:rPr>
                    <w:t>每</w:t>
                  </w:r>
                  <w:r>
                    <w:rPr>
                      <w:rFonts w:hint="eastAsia" w:cs="Times New Roman"/>
                      <w:color w:val="000000" w:themeColor="text1"/>
                      <w:sz w:val="18"/>
                      <w:szCs w:val="18"/>
                      <w:highlight w:val="none"/>
                      <w:lang w:val="en-US" w:eastAsia="zh-CN"/>
                      <w14:textFill>
                        <w14:solidFill>
                          <w14:schemeClr w14:val="tx1"/>
                        </w14:solidFill>
                      </w14:textFill>
                    </w:rPr>
                    <w:t>对</w:t>
                  </w:r>
                  <w:r>
                    <w:rPr>
                      <w:rFonts w:hint="default" w:ascii="Times New Roman" w:hAnsi="Times New Roman" w:cs="Times New Roman"/>
                      <w:color w:val="000000" w:themeColor="text1"/>
                      <w:sz w:val="18"/>
                      <w:szCs w:val="18"/>
                      <w:highlight w:val="none"/>
                      <w14:textFill>
                        <w14:solidFill>
                          <w14:schemeClr w14:val="tx1"/>
                        </w14:solidFill>
                      </w14:textFill>
                    </w:rPr>
                    <w:t>跨越场占地面积约为400m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2</w:t>
                  </w: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auto"/>
                      <w:sz w:val="18"/>
                      <w:szCs w:val="18"/>
                      <w:highlight w:val="none"/>
                    </w:rPr>
                    <w:t>总占地面积约</w:t>
                  </w:r>
                  <w:r>
                    <w:rPr>
                      <w:rFonts w:hint="eastAsia" w:cs="Times New Roman"/>
                      <w:color w:val="auto"/>
                      <w:sz w:val="18"/>
                      <w:szCs w:val="18"/>
                      <w:highlight w:val="none"/>
                      <w:lang w:val="en-US" w:eastAsia="zh-CN"/>
                    </w:rPr>
                    <w:t>1200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eastAsia" w:cs="Times New Roman"/>
                      <w:color w:val="auto"/>
                      <w:sz w:val="18"/>
                      <w:szCs w:val="18"/>
                      <w:highlight w:val="none"/>
                      <w:lang w:eastAsia="zh-CN"/>
                    </w:rPr>
                    <w:t>；</w:t>
                  </w:r>
                </w:p>
                <w:p w14:paraId="19EEDF26">
                  <w:pPr>
                    <w:keepNext w:val="0"/>
                    <w:keepLines w:val="0"/>
                    <w:pageBreakBefore w:val="0"/>
                    <w:kinsoku/>
                    <w:wordWrap/>
                    <w:overflowPunct/>
                    <w:topLinePunct w:val="0"/>
                    <w:autoSpaceDE/>
                    <w:autoSpaceDN/>
                    <w:bidi w:val="0"/>
                    <w:adjustRightInd/>
                    <w:snapToGrid/>
                    <w:textAlignment w:val="auto"/>
                    <w:rPr>
                      <w:rFonts w:hint="eastAsia" w:ascii="Times New Roman" w:hAnsi="Times New Roman" w:eastAsia="宋体"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rPr>
                    <w:t>施工便道：线路路径周围有市政道路和乡村道路可利用，既有道路不可达到处需设置</w:t>
                  </w:r>
                  <w:r>
                    <w:rPr>
                      <w:rFonts w:hint="eastAsia" w:cs="Times New Roman"/>
                      <w:color w:val="auto"/>
                      <w:sz w:val="18"/>
                      <w:szCs w:val="18"/>
                      <w:highlight w:val="none"/>
                      <w:lang w:val="en-US" w:eastAsia="zh-CN"/>
                    </w:rPr>
                    <w:t>0.15</w:t>
                  </w:r>
                  <w:r>
                    <w:rPr>
                      <w:rFonts w:hint="default" w:ascii="Times New Roman" w:hAnsi="Times New Roman" w:cs="Times New Roman"/>
                      <w:color w:val="auto"/>
                      <w:sz w:val="18"/>
                      <w:szCs w:val="18"/>
                      <w:highlight w:val="none"/>
                    </w:rPr>
                    <w:t>km的人抬道路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路面宽1m</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，占地面积约</w:t>
                  </w:r>
                  <w:r>
                    <w:rPr>
                      <w:rFonts w:hint="eastAsia" w:cs="Times New Roman"/>
                      <w:color w:val="auto"/>
                      <w:sz w:val="18"/>
                      <w:szCs w:val="18"/>
                      <w:highlight w:val="none"/>
                      <w:lang w:val="en-US" w:eastAsia="zh-CN"/>
                    </w:rPr>
                    <w:t>150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机械化施工设置长</w:t>
                  </w:r>
                  <w:r>
                    <w:rPr>
                      <w:rFonts w:hint="eastAsia" w:cs="Times New Roman"/>
                      <w:color w:val="auto"/>
                      <w:sz w:val="18"/>
                      <w:szCs w:val="18"/>
                      <w:highlight w:val="none"/>
                      <w:lang w:val="en-US" w:eastAsia="zh-CN"/>
                    </w:rPr>
                    <w:t>3.7</w:t>
                  </w:r>
                  <w:r>
                    <w:rPr>
                      <w:rFonts w:hint="default" w:ascii="Times New Roman" w:hAnsi="Times New Roman" w:cs="Times New Roman"/>
                      <w:color w:val="auto"/>
                      <w:sz w:val="18"/>
                      <w:szCs w:val="18"/>
                      <w:highlight w:val="none"/>
                      <w:lang w:val="en-US" w:eastAsia="zh-CN"/>
                    </w:rPr>
                    <w:t>km×宽3m的施工临时道路，占地面积</w:t>
                  </w:r>
                  <w:r>
                    <w:rPr>
                      <w:rFonts w:hint="eastAsia" w:cs="Times New Roman"/>
                      <w:color w:val="auto"/>
                      <w:sz w:val="18"/>
                      <w:szCs w:val="18"/>
                      <w:highlight w:val="none"/>
                      <w:lang w:val="en-US" w:eastAsia="zh-CN"/>
                    </w:rPr>
                    <w:t>11100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eastAsia" w:ascii="Times New Roman" w:hAnsi="Times New Roman" w:cs="Times New Roman"/>
                      <w:color w:val="auto"/>
                      <w:sz w:val="18"/>
                      <w:szCs w:val="18"/>
                      <w:highlight w:val="none"/>
                      <w:vertAlign w:val="baseline"/>
                      <w:lang w:eastAsia="zh-CN"/>
                    </w:rPr>
                    <w:t>；</w:t>
                  </w:r>
                </w:p>
                <w:p w14:paraId="1048FFC1">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rPr>
                    <w:t>施工营地：可租用民房作为施工营地，无需单独设置</w:t>
                  </w:r>
                  <w:r>
                    <w:rPr>
                      <w:rFonts w:hint="default" w:ascii="Times New Roman" w:hAnsi="Times New Roman" w:cs="Times New Roman"/>
                      <w:color w:val="auto"/>
                      <w:sz w:val="18"/>
                      <w:szCs w:val="18"/>
                      <w:highlight w:val="none"/>
                      <w:lang w:eastAsia="zh-CN"/>
                    </w:rPr>
                    <w:t>。</w:t>
                  </w:r>
                </w:p>
              </w:tc>
              <w:tc>
                <w:tcPr>
                  <w:tcW w:w="1050" w:type="dxa"/>
                  <w:vMerge w:val="continue"/>
                  <w:tcBorders>
                    <w:tl2br w:val="nil"/>
                    <w:tr2bl w:val="nil"/>
                  </w:tcBorders>
                  <w:vAlign w:val="center"/>
                </w:tcPr>
                <w:p w14:paraId="09E1C364">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p>
              </w:tc>
              <w:tc>
                <w:tcPr>
                  <w:tcW w:w="1167" w:type="dxa"/>
                  <w:gridSpan w:val="2"/>
                  <w:tcBorders>
                    <w:tl2br w:val="nil"/>
                    <w:tr2bl w:val="nil"/>
                  </w:tcBorders>
                  <w:vAlign w:val="center"/>
                </w:tcPr>
                <w:p w14:paraId="5D1ECAD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FF0000"/>
                      <w:sz w:val="18"/>
                      <w:szCs w:val="18"/>
                    </w:rPr>
                    <w:t>—</w:t>
                  </w:r>
                </w:p>
              </w:tc>
            </w:tr>
            <w:tr w14:paraId="298FE7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5224B7DB">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rPr>
                  </w:pPr>
                </w:p>
              </w:tc>
              <w:tc>
                <w:tcPr>
                  <w:tcW w:w="1001" w:type="dxa"/>
                  <w:tcBorders>
                    <w:tl2br w:val="nil"/>
                    <w:tr2bl w:val="nil"/>
                  </w:tcBorders>
                  <w:vAlign w:val="center"/>
                </w:tcPr>
                <w:p w14:paraId="0972E108">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通信工程</w:t>
                  </w:r>
                </w:p>
              </w:tc>
              <w:tc>
                <w:tcPr>
                  <w:tcW w:w="4563" w:type="dxa"/>
                  <w:gridSpan w:val="3"/>
                  <w:tcBorders>
                    <w:tl2br w:val="nil"/>
                    <w:tr2bl w:val="nil"/>
                  </w:tcBorders>
                  <w:vAlign w:val="center"/>
                </w:tcPr>
                <w:p w14:paraId="7306AD93">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根据系统通信要求，盘兴—司城110kV线路利用盘兴—印合</w:t>
                  </w:r>
                  <w:r>
                    <w:rPr>
                      <w:rFonts w:hint="eastAsia" w:cs="Times New Roman"/>
                      <w:color w:val="auto"/>
                      <w:sz w:val="18"/>
                      <w:szCs w:val="18"/>
                      <w:lang w:eastAsia="zh-CN"/>
                    </w:rPr>
                    <w:t>利旧段</w:t>
                  </w:r>
                  <w:r>
                    <w:rPr>
                      <w:rFonts w:hint="default" w:ascii="Times New Roman" w:hAnsi="Times New Roman" w:cs="Times New Roman"/>
                      <w:color w:val="auto"/>
                      <w:sz w:val="18"/>
                      <w:szCs w:val="18"/>
                    </w:rPr>
                    <w:t>采用1根48芯ADSS光缆，新建双回塔单边挂线段采用2根48芯OPGW复合光缆，单回线路段</w:t>
                  </w:r>
                  <w:r>
                    <w:rPr>
                      <w:rFonts w:hint="eastAsia" w:cs="Times New Roman"/>
                      <w:color w:val="auto"/>
                      <w:sz w:val="18"/>
                      <w:szCs w:val="18"/>
                      <w:lang w:eastAsia="zh-CN"/>
                    </w:rPr>
                    <w:t>采用</w:t>
                  </w:r>
                  <w:r>
                    <w:rPr>
                      <w:rFonts w:hint="default" w:ascii="Times New Roman" w:hAnsi="Times New Roman" w:cs="Times New Roman"/>
                      <w:color w:val="auto"/>
                      <w:sz w:val="18"/>
                      <w:szCs w:val="18"/>
                    </w:rPr>
                    <w:t>1根48芯OPGW复合光缆（其中三跨位于单回段，架设两根72芯OPGW复合光缆）</w:t>
                  </w:r>
                </w:p>
              </w:tc>
              <w:tc>
                <w:tcPr>
                  <w:tcW w:w="2217" w:type="dxa"/>
                  <w:gridSpan w:val="3"/>
                  <w:tcBorders>
                    <w:tl2br w:val="nil"/>
                    <w:tr2bl w:val="nil"/>
                  </w:tcBorders>
                  <w:vAlign w:val="center"/>
                </w:tcPr>
                <w:p w14:paraId="0D0D59C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对环境的影响很小，本次不</w:t>
                  </w:r>
                  <w:r>
                    <w:rPr>
                      <w:rFonts w:hint="eastAsia" w:cs="Times New Roman"/>
                      <w:color w:val="auto"/>
                      <w:sz w:val="18"/>
                      <w:szCs w:val="18"/>
                      <w:lang w:eastAsia="zh-CN"/>
                    </w:rPr>
                    <w:t>作</w:t>
                  </w:r>
                  <w:r>
                    <w:rPr>
                      <w:rFonts w:hint="default" w:ascii="Times New Roman" w:hAnsi="Times New Roman" w:cs="Times New Roman"/>
                      <w:color w:val="auto"/>
                      <w:sz w:val="18"/>
                      <w:szCs w:val="18"/>
                    </w:rPr>
                    <w:t>评价。</w:t>
                  </w:r>
                </w:p>
              </w:tc>
            </w:tr>
            <w:tr w14:paraId="04B951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restart"/>
                  <w:tcBorders>
                    <w:tl2br w:val="nil"/>
                    <w:tr2bl w:val="nil"/>
                  </w:tcBorders>
                  <w:vAlign w:val="center"/>
                </w:tcPr>
                <w:p w14:paraId="3006EE1A">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eastAsia" w:cs="Times New Roman"/>
                      <w:color w:val="auto"/>
                      <w:sz w:val="18"/>
                      <w:szCs w:val="18"/>
                      <w:lang w:val="en-US" w:eastAsia="zh-CN"/>
                    </w:rPr>
                    <w:t>印合</w:t>
                  </w:r>
                  <w:r>
                    <w:rPr>
                      <w:rFonts w:hint="default" w:ascii="Times New Roman" w:hAnsi="Times New Roman" w:cs="Times New Roman"/>
                      <w:color w:val="auto"/>
                      <w:sz w:val="18"/>
                      <w:szCs w:val="18"/>
                      <w:lang w:eastAsia="zh-CN"/>
                    </w:rPr>
                    <w:t>～</w:t>
                  </w:r>
                  <w:r>
                    <w:rPr>
                      <w:rFonts w:hint="eastAsia" w:cs="Times New Roman"/>
                      <w:color w:val="auto"/>
                      <w:sz w:val="18"/>
                      <w:szCs w:val="18"/>
                      <w:lang w:val="en-US" w:eastAsia="zh-CN"/>
                    </w:rPr>
                    <w:t>司城</w:t>
                  </w:r>
                  <w:r>
                    <w:rPr>
                      <w:rFonts w:hint="default" w:ascii="Times New Roman" w:hAnsi="Times New Roman" w:cs="Times New Roman"/>
                      <w:color w:val="auto"/>
                      <w:sz w:val="18"/>
                      <w:szCs w:val="18"/>
                      <w:lang w:eastAsia="zh-CN"/>
                    </w:rPr>
                    <w:t>110</w:t>
                  </w:r>
                  <w:r>
                    <w:rPr>
                      <w:rFonts w:hint="default" w:ascii="Times New Roman" w:hAnsi="Times New Roman" w:cs="Times New Roman"/>
                      <w:color w:val="auto"/>
                      <w:sz w:val="18"/>
                      <w:szCs w:val="18"/>
                      <w:lang w:val="en-US" w:eastAsia="zh-CN"/>
                    </w:rPr>
                    <w:t>kV</w:t>
                  </w:r>
                  <w:r>
                    <w:rPr>
                      <w:rFonts w:hint="default" w:ascii="Times New Roman" w:hAnsi="Times New Roman" w:cs="Times New Roman"/>
                      <w:color w:val="auto"/>
                      <w:sz w:val="18"/>
                      <w:szCs w:val="18"/>
                      <w:lang w:eastAsia="zh-CN"/>
                    </w:rPr>
                    <w:t>线路工程（线路Ⅱ）</w:t>
                  </w:r>
                </w:p>
              </w:tc>
              <w:tc>
                <w:tcPr>
                  <w:tcW w:w="1001" w:type="dxa"/>
                  <w:tcBorders>
                    <w:tl2br w:val="nil"/>
                    <w:tr2bl w:val="nil"/>
                  </w:tcBorders>
                  <w:vAlign w:val="center"/>
                </w:tcPr>
                <w:p w14:paraId="288B5784">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线路路径</w:t>
                  </w:r>
                </w:p>
              </w:tc>
              <w:tc>
                <w:tcPr>
                  <w:tcW w:w="4563" w:type="dxa"/>
                  <w:gridSpan w:val="3"/>
                  <w:tcBorders>
                    <w:tl2br w:val="nil"/>
                    <w:tr2bl w:val="nil"/>
                  </w:tcBorders>
                  <w:vAlign w:val="center"/>
                </w:tcPr>
                <w:p w14:paraId="6D0C94C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lang w:val="zh-CN" w:eastAsia="zh-CN"/>
                    </w:rPr>
                  </w:pPr>
                  <w:r>
                    <w:rPr>
                      <w:rFonts w:hint="default" w:ascii="Times New Roman" w:hAnsi="Times New Roman" w:cs="Times New Roman"/>
                      <w:color w:val="auto"/>
                      <w:sz w:val="18"/>
                      <w:szCs w:val="18"/>
                      <w:lang w:val="en-US" w:eastAsia="zh-CN"/>
                    </w:rPr>
                    <w:t>起于</w:t>
                  </w:r>
                  <w:r>
                    <w:rPr>
                      <w:rFonts w:hint="eastAsia" w:cs="Times New Roman"/>
                      <w:color w:val="auto"/>
                      <w:sz w:val="18"/>
                      <w:szCs w:val="18"/>
                      <w:lang w:val="en-US" w:eastAsia="zh-CN"/>
                    </w:rPr>
                    <w:t>印合</w:t>
                  </w:r>
                  <w:r>
                    <w:rPr>
                      <w:rFonts w:hint="default" w:ascii="Times New Roman" w:hAnsi="Times New Roman" w:cs="Times New Roman"/>
                      <w:color w:val="auto"/>
                      <w:sz w:val="18"/>
                      <w:szCs w:val="18"/>
                      <w:lang w:val="en-US" w:eastAsia="zh-CN"/>
                    </w:rPr>
                    <w:t>110</w:t>
                  </w:r>
                  <w:r>
                    <w:rPr>
                      <w:rFonts w:hint="default" w:ascii="Times New Roman" w:hAnsi="Times New Roman" w:cs="Times New Roman"/>
                      <w:color w:val="auto"/>
                      <w:sz w:val="18"/>
                      <w:szCs w:val="18"/>
                    </w:rPr>
                    <w:t>kV</w:t>
                  </w:r>
                  <w:r>
                    <w:rPr>
                      <w:rFonts w:hint="default" w:ascii="Times New Roman" w:hAnsi="Times New Roman" w:cs="Times New Roman"/>
                      <w:color w:val="auto"/>
                      <w:sz w:val="18"/>
                      <w:szCs w:val="18"/>
                      <w:lang w:val="en-US" w:eastAsia="zh-CN"/>
                    </w:rPr>
                    <w:t>变电站拟</w:t>
                  </w:r>
                  <w:r>
                    <w:rPr>
                      <w:rFonts w:hint="default" w:ascii="Times New Roman" w:hAnsi="Times New Roman" w:cs="Times New Roman"/>
                      <w:color w:val="auto"/>
                      <w:sz w:val="18"/>
                      <w:szCs w:val="18"/>
                    </w:rPr>
                    <w:t>建</w:t>
                  </w:r>
                  <w:r>
                    <w:rPr>
                      <w:rFonts w:hint="default" w:ascii="Times New Roman" w:hAnsi="Times New Roman" w:cs="Times New Roman"/>
                      <w:color w:val="auto"/>
                      <w:sz w:val="18"/>
                      <w:szCs w:val="18"/>
                      <w:lang w:val="en-US" w:eastAsia="zh-CN"/>
                    </w:rPr>
                    <w:t>11</w:t>
                  </w:r>
                  <w:r>
                    <w:rPr>
                      <w:rFonts w:hint="default" w:ascii="Times New Roman" w:hAnsi="Times New Roman" w:cs="Times New Roman"/>
                      <w:color w:val="auto"/>
                      <w:sz w:val="18"/>
                      <w:szCs w:val="18"/>
                    </w:rPr>
                    <w:t>0kV</w:t>
                  </w:r>
                  <w:r>
                    <w:rPr>
                      <w:rFonts w:hint="default" w:ascii="Times New Roman" w:hAnsi="Times New Roman" w:cs="Times New Roman"/>
                      <w:color w:val="auto"/>
                      <w:sz w:val="18"/>
                      <w:szCs w:val="18"/>
                      <w:lang w:val="en-US" w:eastAsia="zh-CN"/>
                    </w:rPr>
                    <w:t>出线</w:t>
                  </w:r>
                  <w:r>
                    <w:rPr>
                      <w:rFonts w:hint="default" w:ascii="Times New Roman" w:hAnsi="Times New Roman" w:cs="Times New Roman"/>
                      <w:color w:val="auto"/>
                      <w:sz w:val="18"/>
                      <w:szCs w:val="18"/>
                    </w:rPr>
                    <w:t>间隔</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rPr>
                    <w:t>止于</w:t>
                  </w:r>
                  <w:r>
                    <w:rPr>
                      <w:rFonts w:hint="default" w:ascii="Times New Roman" w:hAnsi="Times New Roman" w:cs="Times New Roman"/>
                      <w:color w:val="auto"/>
                      <w:sz w:val="18"/>
                      <w:szCs w:val="18"/>
                      <w:lang w:val="en-US" w:eastAsia="zh-CN"/>
                    </w:rPr>
                    <w:t>拟建</w:t>
                  </w:r>
                  <w:r>
                    <w:rPr>
                      <w:rFonts w:hint="eastAsia" w:cs="Times New Roman"/>
                      <w:color w:val="auto"/>
                      <w:sz w:val="18"/>
                      <w:szCs w:val="18"/>
                      <w:lang w:val="en-US" w:eastAsia="zh-CN"/>
                    </w:rPr>
                    <w:t>司城</w:t>
                  </w:r>
                  <w:r>
                    <w:rPr>
                      <w:rFonts w:hint="default" w:ascii="Times New Roman" w:hAnsi="Times New Roman" w:cs="Times New Roman"/>
                      <w:color w:val="auto"/>
                      <w:sz w:val="18"/>
                      <w:szCs w:val="18"/>
                      <w:lang w:val="en-US" w:eastAsia="zh-CN"/>
                    </w:rPr>
                    <w:t>11</w:t>
                  </w:r>
                  <w:r>
                    <w:rPr>
                      <w:rFonts w:hint="default" w:ascii="Times New Roman" w:hAnsi="Times New Roman" w:cs="Times New Roman"/>
                      <w:color w:val="auto"/>
                      <w:sz w:val="18"/>
                      <w:szCs w:val="18"/>
                    </w:rPr>
                    <w:t>0kV变电站</w:t>
                  </w:r>
                  <w:r>
                    <w:rPr>
                      <w:rFonts w:hint="default" w:ascii="Times New Roman" w:hAnsi="Times New Roman" w:cs="Times New Roman"/>
                      <w:color w:val="auto"/>
                      <w:sz w:val="18"/>
                      <w:szCs w:val="18"/>
                      <w:lang w:val="en-US" w:eastAsia="zh-CN"/>
                    </w:rPr>
                    <w:t>11</w:t>
                  </w:r>
                  <w:r>
                    <w:rPr>
                      <w:rFonts w:hint="default" w:ascii="Times New Roman" w:hAnsi="Times New Roman" w:cs="Times New Roman"/>
                      <w:color w:val="auto"/>
                      <w:sz w:val="18"/>
                      <w:szCs w:val="18"/>
                    </w:rPr>
                    <w:t>0kV侧进线构架。</w:t>
                  </w:r>
                </w:p>
              </w:tc>
              <w:tc>
                <w:tcPr>
                  <w:tcW w:w="1107" w:type="dxa"/>
                  <w:gridSpan w:val="2"/>
                  <w:vMerge w:val="restart"/>
                  <w:tcBorders>
                    <w:tl2br w:val="nil"/>
                    <w:tr2bl w:val="nil"/>
                  </w:tcBorders>
                  <w:vAlign w:val="center"/>
                </w:tcPr>
                <w:p w14:paraId="2D278404">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噪声、生活污水、扬尘、固体废物、植被破坏、水土流失</w:t>
                  </w:r>
                </w:p>
              </w:tc>
              <w:tc>
                <w:tcPr>
                  <w:tcW w:w="1110" w:type="dxa"/>
                  <w:vMerge w:val="restart"/>
                  <w:tcBorders>
                    <w:tl2br w:val="nil"/>
                    <w:tr2bl w:val="nil"/>
                  </w:tcBorders>
                  <w:vAlign w:val="center"/>
                </w:tcPr>
                <w:p w14:paraId="4469D1F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工频电场</w:t>
                  </w:r>
                </w:p>
                <w:p w14:paraId="0D89146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工频磁场</w:t>
                  </w:r>
                </w:p>
                <w:p w14:paraId="717B449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噪声</w:t>
                  </w:r>
                </w:p>
              </w:tc>
            </w:tr>
            <w:tr w14:paraId="6A312B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09C05D5A">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lang w:val="en-US" w:eastAsia="zh-CN"/>
                    </w:rPr>
                  </w:pPr>
                </w:p>
              </w:tc>
              <w:tc>
                <w:tcPr>
                  <w:tcW w:w="1001" w:type="dxa"/>
                  <w:tcBorders>
                    <w:tl2br w:val="nil"/>
                    <w:tr2bl w:val="nil"/>
                  </w:tcBorders>
                  <w:vAlign w:val="center"/>
                </w:tcPr>
                <w:p w14:paraId="420E76E7">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线路长度</w:t>
                  </w:r>
                </w:p>
              </w:tc>
              <w:tc>
                <w:tcPr>
                  <w:tcW w:w="4563" w:type="dxa"/>
                  <w:gridSpan w:val="3"/>
                  <w:tcBorders>
                    <w:tl2br w:val="nil"/>
                    <w:tr2bl w:val="nil"/>
                  </w:tcBorders>
                  <w:vAlign w:val="center"/>
                </w:tcPr>
                <w:p w14:paraId="31B43477">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新建线路长度约</w:t>
                  </w:r>
                  <w:r>
                    <w:rPr>
                      <w:rFonts w:hint="eastAsia" w:cs="Times New Roman"/>
                      <w:color w:val="auto"/>
                      <w:sz w:val="18"/>
                      <w:szCs w:val="18"/>
                      <w:lang w:val="en-US" w:eastAsia="zh-CN"/>
                    </w:rPr>
                    <w:t>25.58</w:t>
                  </w:r>
                  <w:r>
                    <w:rPr>
                      <w:rFonts w:hint="default" w:ascii="Times New Roman" w:hAnsi="Times New Roman" w:cs="Times New Roman"/>
                      <w:color w:val="auto"/>
                      <w:sz w:val="18"/>
                      <w:szCs w:val="18"/>
                      <w:lang w:val="en-US" w:eastAsia="zh-CN"/>
                    </w:rPr>
                    <w:t>km，其中新建</w:t>
                  </w:r>
                  <w:r>
                    <w:rPr>
                      <w:rFonts w:hint="eastAsia" w:cs="Times New Roman"/>
                      <w:color w:val="auto"/>
                      <w:sz w:val="18"/>
                      <w:szCs w:val="18"/>
                      <w:lang w:val="en-US" w:eastAsia="zh-CN"/>
                    </w:rPr>
                    <w:t>双回塔单边挂线段</w:t>
                  </w:r>
                  <w:r>
                    <w:rPr>
                      <w:rFonts w:hint="default" w:ascii="Times New Roman" w:hAnsi="Times New Roman" w:cs="Times New Roman"/>
                      <w:color w:val="auto"/>
                      <w:sz w:val="18"/>
                      <w:szCs w:val="18"/>
                      <w:lang w:val="en-US" w:eastAsia="zh-CN"/>
                    </w:rPr>
                    <w:t>线路约6km，新建单回线路约</w:t>
                  </w:r>
                  <w:r>
                    <w:rPr>
                      <w:rFonts w:hint="eastAsia" w:cs="Times New Roman"/>
                      <w:color w:val="auto"/>
                      <w:sz w:val="18"/>
                      <w:szCs w:val="18"/>
                      <w:lang w:val="en-US" w:eastAsia="zh-CN"/>
                    </w:rPr>
                    <w:t>19.58</w:t>
                  </w:r>
                  <w:r>
                    <w:rPr>
                      <w:rFonts w:hint="default" w:ascii="Times New Roman" w:hAnsi="Times New Roman" w:cs="Times New Roman"/>
                      <w:color w:val="auto"/>
                      <w:sz w:val="18"/>
                      <w:szCs w:val="18"/>
                      <w:lang w:val="en-US" w:eastAsia="zh-CN"/>
                    </w:rPr>
                    <w:t>km。</w:t>
                  </w:r>
                </w:p>
                <w:p w14:paraId="04E57D5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①线路Ⅱ</w:t>
                  </w:r>
                  <w:r>
                    <w:rPr>
                      <w:rFonts w:hint="eastAsia" w:cs="Times New Roman"/>
                      <w:color w:val="auto"/>
                      <w:sz w:val="18"/>
                      <w:szCs w:val="18"/>
                      <w:lang w:val="en-US" w:eastAsia="zh-CN"/>
                    </w:rPr>
                    <w:t>双回塔单边挂线段</w:t>
                  </w:r>
                  <w:r>
                    <w:rPr>
                      <w:rFonts w:hint="default" w:ascii="Times New Roman" w:hAnsi="Times New Roman" w:cs="Times New Roman"/>
                      <w:color w:val="auto"/>
                      <w:sz w:val="18"/>
                      <w:szCs w:val="18"/>
                    </w:rPr>
                    <w:t>：</w:t>
                  </w:r>
                  <w:r>
                    <w:rPr>
                      <w:rFonts w:hint="default" w:ascii="Times New Roman" w:hAnsi="Times New Roman" w:cs="Times New Roman"/>
                      <w:color w:val="auto"/>
                      <w:sz w:val="18"/>
                      <w:szCs w:val="18"/>
                      <w:lang w:val="en-US" w:eastAsia="zh-CN"/>
                    </w:rPr>
                    <w:t>长约</w:t>
                  </w:r>
                  <w:r>
                    <w:rPr>
                      <w:rFonts w:hint="eastAsia" w:cs="Times New Roman"/>
                      <w:color w:val="auto"/>
                      <w:sz w:val="18"/>
                      <w:szCs w:val="18"/>
                      <w:lang w:val="en-US" w:eastAsia="zh-CN"/>
                    </w:rPr>
                    <w:t>6</w:t>
                  </w:r>
                  <w:r>
                    <w:rPr>
                      <w:rFonts w:hint="default" w:ascii="Times New Roman" w:hAnsi="Times New Roman" w:cs="Times New Roman"/>
                      <w:color w:val="auto"/>
                      <w:sz w:val="18"/>
                      <w:szCs w:val="18"/>
                      <w:lang w:val="en-US" w:eastAsia="zh-CN"/>
                    </w:rPr>
                    <w:t>km</w:t>
                  </w:r>
                  <w:r>
                    <w:rPr>
                      <w:rFonts w:hint="default" w:ascii="Times New Roman" w:hAnsi="Times New Roman" w:cs="Times New Roman"/>
                      <w:color w:val="auto"/>
                      <w:sz w:val="18"/>
                      <w:szCs w:val="18"/>
                    </w:rPr>
                    <w:t>；</w:t>
                  </w:r>
                </w:p>
                <w:p w14:paraId="0CD6950B">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18"/>
                      <w:szCs w:val="18"/>
                      <w:lang w:val="zh-CN" w:eastAsia="zh-CN"/>
                    </w:rPr>
                  </w:pPr>
                  <w:r>
                    <w:rPr>
                      <w:rFonts w:hint="default" w:ascii="Times New Roman" w:hAnsi="Times New Roman" w:cs="Times New Roman"/>
                      <w:color w:val="auto"/>
                      <w:sz w:val="18"/>
                      <w:szCs w:val="18"/>
                      <w:lang w:val="en-US" w:eastAsia="zh-CN"/>
                    </w:rPr>
                    <w:t>②线路Ⅱ三角排列段：长约</w:t>
                  </w:r>
                  <w:r>
                    <w:rPr>
                      <w:rFonts w:hint="eastAsia" w:cs="Times New Roman"/>
                      <w:color w:val="auto"/>
                      <w:sz w:val="18"/>
                      <w:szCs w:val="18"/>
                      <w:lang w:val="en-US" w:eastAsia="zh-CN"/>
                    </w:rPr>
                    <w:t>19.58</w:t>
                  </w:r>
                  <w:r>
                    <w:rPr>
                      <w:rFonts w:hint="default" w:ascii="Times New Roman" w:hAnsi="Times New Roman" w:cs="Times New Roman"/>
                      <w:color w:val="auto"/>
                      <w:sz w:val="18"/>
                      <w:szCs w:val="18"/>
                      <w:lang w:val="en-US" w:eastAsia="zh-CN"/>
                    </w:rPr>
                    <w:t>km</w:t>
                  </w:r>
                  <w:r>
                    <w:rPr>
                      <w:rFonts w:hint="default" w:ascii="Times New Roman" w:hAnsi="Times New Roman" w:cs="Times New Roman"/>
                      <w:color w:val="auto"/>
                      <w:sz w:val="18"/>
                      <w:szCs w:val="18"/>
                    </w:rPr>
                    <w:t>。</w:t>
                  </w:r>
                </w:p>
              </w:tc>
              <w:tc>
                <w:tcPr>
                  <w:tcW w:w="1107" w:type="dxa"/>
                  <w:gridSpan w:val="2"/>
                  <w:vMerge w:val="continue"/>
                  <w:tcBorders>
                    <w:tl2br w:val="nil"/>
                    <w:tr2bl w:val="nil"/>
                  </w:tcBorders>
                  <w:vAlign w:val="center"/>
                </w:tcPr>
                <w:p w14:paraId="0D112016">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110" w:type="dxa"/>
                  <w:vMerge w:val="continue"/>
                  <w:tcBorders>
                    <w:tl2br w:val="nil"/>
                    <w:tr2bl w:val="nil"/>
                  </w:tcBorders>
                  <w:vAlign w:val="center"/>
                </w:tcPr>
                <w:p w14:paraId="6B1C823E">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r>
            <w:tr w14:paraId="757256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3841670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lang w:val="en-US" w:eastAsia="zh-CN"/>
                    </w:rPr>
                  </w:pPr>
                </w:p>
              </w:tc>
              <w:tc>
                <w:tcPr>
                  <w:tcW w:w="1001" w:type="dxa"/>
                  <w:tcBorders>
                    <w:tl2br w:val="nil"/>
                    <w:tr2bl w:val="nil"/>
                  </w:tcBorders>
                  <w:vAlign w:val="center"/>
                </w:tcPr>
                <w:p w14:paraId="600054AB">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导线及输送电流</w:t>
                  </w:r>
                </w:p>
              </w:tc>
              <w:tc>
                <w:tcPr>
                  <w:tcW w:w="4563" w:type="dxa"/>
                  <w:gridSpan w:val="3"/>
                  <w:tcBorders>
                    <w:tl2br w:val="nil"/>
                    <w:tr2bl w:val="nil"/>
                  </w:tcBorders>
                  <w:vAlign w:val="center"/>
                </w:tcPr>
                <w:p w14:paraId="3C49C380">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FF0000"/>
                      <w:sz w:val="18"/>
                      <w:szCs w:val="18"/>
                      <w:lang w:val="zh-CN" w:eastAsia="zh-CN"/>
                    </w:rPr>
                  </w:pPr>
                  <w:r>
                    <w:rPr>
                      <w:rFonts w:hint="default" w:ascii="Times New Roman" w:hAnsi="Times New Roman" w:cs="Times New Roman"/>
                      <w:color w:val="auto"/>
                      <w:sz w:val="18"/>
                      <w:szCs w:val="18"/>
                      <w:lang w:val="zh-CN" w:eastAsia="zh-CN"/>
                    </w:rPr>
                    <w:t>导线采用JL3/G1A-300/40型钢芯高导电率铝绞线，单分裂</w:t>
                  </w:r>
                  <w:r>
                    <w:rPr>
                      <w:rFonts w:hint="default" w:ascii="Times New Roman" w:hAnsi="Times New Roman" w:cs="Times New Roman"/>
                      <w:color w:val="auto"/>
                      <w:sz w:val="18"/>
                      <w:szCs w:val="18"/>
                      <w:highlight w:val="none"/>
                      <w:lang w:val="zh-CN" w:eastAsia="zh-CN"/>
                    </w:rPr>
                    <w:t>，</w:t>
                  </w:r>
                  <w:r>
                    <w:rPr>
                      <w:rFonts w:hint="eastAsia" w:cs="Times New Roman"/>
                      <w:color w:val="auto"/>
                      <w:sz w:val="18"/>
                      <w:szCs w:val="18"/>
                      <w:highlight w:val="none"/>
                      <w:lang w:val="zh-CN" w:eastAsia="zh-CN"/>
                    </w:rPr>
                    <w:t>设计输送电流</w:t>
                  </w:r>
                  <w:r>
                    <w:rPr>
                      <w:rFonts w:hint="default" w:ascii="Times New Roman" w:hAnsi="Times New Roman" w:cs="Times New Roman"/>
                      <w:color w:val="auto"/>
                      <w:sz w:val="18"/>
                      <w:szCs w:val="18"/>
                      <w:highlight w:val="none"/>
                      <w:lang w:val="zh-CN" w:eastAsia="zh-CN"/>
                    </w:rPr>
                    <w:t>为</w:t>
                  </w:r>
                  <w:r>
                    <w:rPr>
                      <w:rFonts w:hint="eastAsia" w:cs="Times New Roman"/>
                      <w:color w:val="auto"/>
                      <w:sz w:val="18"/>
                      <w:szCs w:val="18"/>
                      <w:highlight w:val="none"/>
                      <w:lang w:val="en-US" w:eastAsia="zh-CN"/>
                    </w:rPr>
                    <w:t>63</w:t>
                  </w:r>
                  <w:r>
                    <w:rPr>
                      <w:rFonts w:hint="default" w:ascii="Times New Roman" w:hAnsi="Times New Roman" w:cs="Times New Roman"/>
                      <w:color w:val="auto"/>
                      <w:sz w:val="18"/>
                      <w:szCs w:val="18"/>
                      <w:highlight w:val="none"/>
                      <w:lang w:val="zh-CN" w:eastAsia="zh-CN"/>
                    </w:rPr>
                    <w:t>6A。</w:t>
                  </w:r>
                </w:p>
              </w:tc>
              <w:tc>
                <w:tcPr>
                  <w:tcW w:w="1107" w:type="dxa"/>
                  <w:gridSpan w:val="2"/>
                  <w:vMerge w:val="continue"/>
                  <w:tcBorders>
                    <w:tl2br w:val="nil"/>
                    <w:tr2bl w:val="nil"/>
                  </w:tcBorders>
                  <w:vAlign w:val="center"/>
                </w:tcPr>
                <w:p w14:paraId="5B0AA501">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110" w:type="dxa"/>
                  <w:tcBorders>
                    <w:tl2br w:val="nil"/>
                    <w:tr2bl w:val="nil"/>
                  </w:tcBorders>
                  <w:vAlign w:val="center"/>
                </w:tcPr>
                <w:p w14:paraId="2A2D339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142808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7310D743">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lang w:val="en-US" w:eastAsia="zh-CN"/>
                    </w:rPr>
                  </w:pPr>
                </w:p>
              </w:tc>
              <w:tc>
                <w:tcPr>
                  <w:tcW w:w="1001" w:type="dxa"/>
                  <w:tcBorders>
                    <w:tl2br w:val="nil"/>
                    <w:tr2bl w:val="nil"/>
                  </w:tcBorders>
                  <w:vAlign w:val="center"/>
                </w:tcPr>
                <w:p w14:paraId="035A4251">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排列方式</w:t>
                  </w:r>
                </w:p>
              </w:tc>
              <w:tc>
                <w:tcPr>
                  <w:tcW w:w="4563" w:type="dxa"/>
                  <w:gridSpan w:val="3"/>
                  <w:tcBorders>
                    <w:tl2br w:val="nil"/>
                    <w:tr2bl w:val="nil"/>
                  </w:tcBorders>
                  <w:vAlign w:val="center"/>
                </w:tcPr>
                <w:p w14:paraId="6D4C24DA">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线路Ⅱ</w:t>
                  </w:r>
                  <w:r>
                    <w:rPr>
                      <w:rFonts w:hint="eastAsia" w:cs="Times New Roman"/>
                      <w:color w:val="auto"/>
                      <w:sz w:val="18"/>
                      <w:szCs w:val="18"/>
                      <w:lang w:val="en-US" w:eastAsia="zh-CN"/>
                    </w:rPr>
                    <w:t>双回塔单边挂线段</w:t>
                  </w:r>
                  <w:r>
                    <w:rPr>
                      <w:rFonts w:hint="default" w:ascii="Times New Roman" w:hAnsi="Times New Roman" w:cs="Times New Roman"/>
                      <w:color w:val="auto"/>
                      <w:sz w:val="18"/>
                      <w:szCs w:val="18"/>
                      <w:lang w:val="en-US" w:eastAsia="zh-CN"/>
                    </w:rPr>
                    <w:t>为</w:t>
                  </w:r>
                  <w:r>
                    <w:rPr>
                      <w:rFonts w:hint="default" w:ascii="Times New Roman" w:hAnsi="Times New Roman" w:cs="Times New Roman"/>
                      <w:color w:val="auto"/>
                      <w:sz w:val="18"/>
                      <w:szCs w:val="18"/>
                    </w:rPr>
                    <w:t>垂直</w:t>
                  </w:r>
                  <w:r>
                    <w:rPr>
                      <w:rFonts w:hint="default" w:ascii="Times New Roman" w:hAnsi="Times New Roman" w:cs="Times New Roman"/>
                      <w:color w:val="auto"/>
                      <w:sz w:val="18"/>
                      <w:szCs w:val="18"/>
                      <w:lang w:val="en-US" w:eastAsia="zh-CN"/>
                    </w:rPr>
                    <w:t>排列</w:t>
                  </w:r>
                  <w:r>
                    <w:rPr>
                      <w:rFonts w:hint="eastAsia" w:cs="Times New Roman"/>
                      <w:color w:val="auto"/>
                      <w:sz w:val="18"/>
                      <w:szCs w:val="18"/>
                      <w:lang w:val="en-US" w:eastAsia="zh-CN"/>
                    </w:rPr>
                    <w:t>；</w:t>
                  </w:r>
                </w:p>
                <w:p w14:paraId="4D7A3925">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lang w:val="zh-CN" w:eastAsia="zh-CN"/>
                    </w:rPr>
                  </w:pPr>
                  <w:r>
                    <w:rPr>
                      <w:rFonts w:hint="default" w:ascii="Times New Roman" w:hAnsi="Times New Roman" w:cs="Times New Roman"/>
                      <w:color w:val="auto"/>
                      <w:sz w:val="18"/>
                      <w:szCs w:val="18"/>
                      <w:lang w:val="en-US" w:eastAsia="zh-CN"/>
                    </w:rPr>
                    <w:t>线路Ⅱ三角排列段为三角排列。</w:t>
                  </w:r>
                </w:p>
              </w:tc>
              <w:tc>
                <w:tcPr>
                  <w:tcW w:w="1107" w:type="dxa"/>
                  <w:gridSpan w:val="2"/>
                  <w:vMerge w:val="continue"/>
                  <w:tcBorders>
                    <w:tl2br w:val="nil"/>
                    <w:tr2bl w:val="nil"/>
                  </w:tcBorders>
                  <w:vAlign w:val="center"/>
                </w:tcPr>
                <w:p w14:paraId="5DFD5DF1">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110" w:type="dxa"/>
                  <w:tcBorders>
                    <w:tl2br w:val="nil"/>
                    <w:tr2bl w:val="nil"/>
                  </w:tcBorders>
                  <w:vAlign w:val="center"/>
                </w:tcPr>
                <w:p w14:paraId="565E9C5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0EC6FB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10F744EF">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lang w:val="en-US" w:eastAsia="zh-CN"/>
                    </w:rPr>
                  </w:pPr>
                </w:p>
              </w:tc>
              <w:tc>
                <w:tcPr>
                  <w:tcW w:w="1001" w:type="dxa"/>
                  <w:tcBorders>
                    <w:tl2br w:val="nil"/>
                    <w:tr2bl w:val="nil"/>
                  </w:tcBorders>
                  <w:vAlign w:val="center"/>
                </w:tcPr>
                <w:p w14:paraId="208CC9B6">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杆塔数量</w:t>
                  </w:r>
                </w:p>
              </w:tc>
              <w:tc>
                <w:tcPr>
                  <w:tcW w:w="4563" w:type="dxa"/>
                  <w:gridSpan w:val="3"/>
                  <w:tcBorders>
                    <w:tl2br w:val="nil"/>
                    <w:tr2bl w:val="nil"/>
                  </w:tcBorders>
                  <w:vAlign w:val="center"/>
                </w:tcPr>
                <w:p w14:paraId="3E393DC6">
                  <w:pPr>
                    <w:keepNext w:val="0"/>
                    <w:keepLines w:val="0"/>
                    <w:pageBreakBefore w:val="0"/>
                    <w:kinsoku/>
                    <w:wordWrap/>
                    <w:overflowPunct/>
                    <w:topLinePunct w:val="0"/>
                    <w:autoSpaceDE/>
                    <w:autoSpaceDN/>
                    <w:bidi w:val="0"/>
                    <w:adjustRightInd/>
                    <w:snapToGrid/>
                    <w:jc w:val="left"/>
                    <w:textAlignment w:val="auto"/>
                    <w:rPr>
                      <w:rFonts w:hint="default" w:ascii="Times New Roman" w:hAnsi="Times New Roman" w:cs="Times New Roman"/>
                      <w:color w:val="auto"/>
                      <w:sz w:val="18"/>
                      <w:szCs w:val="18"/>
                      <w:lang w:val="zh-CN" w:eastAsia="zh-CN"/>
                    </w:rPr>
                  </w:pPr>
                  <w:r>
                    <w:rPr>
                      <w:rFonts w:hint="default" w:ascii="Times New Roman" w:hAnsi="Times New Roman" w:cs="Times New Roman"/>
                      <w:color w:val="auto"/>
                      <w:sz w:val="18"/>
                      <w:szCs w:val="18"/>
                      <w:highlight w:val="none"/>
                    </w:rPr>
                    <w:t>新建杆塔</w:t>
                  </w:r>
                  <w:r>
                    <w:rPr>
                      <w:rFonts w:hint="eastAsia" w:cs="Times New Roman"/>
                      <w:color w:val="auto"/>
                      <w:sz w:val="18"/>
                      <w:szCs w:val="18"/>
                      <w:highlight w:val="none"/>
                      <w:lang w:val="en-US" w:eastAsia="zh-CN"/>
                    </w:rPr>
                    <w:t>82</w:t>
                  </w:r>
                  <w:r>
                    <w:rPr>
                      <w:rFonts w:hint="default" w:ascii="Times New Roman" w:hAnsi="Times New Roman" w:cs="Times New Roman"/>
                      <w:color w:val="auto"/>
                      <w:sz w:val="18"/>
                      <w:szCs w:val="18"/>
                      <w:highlight w:val="none"/>
                    </w:rPr>
                    <w:t>基</w:t>
                  </w:r>
                  <w:r>
                    <w:rPr>
                      <w:rFonts w:hint="eastAsia" w:cs="Times New Roman"/>
                      <w:color w:val="auto"/>
                      <w:sz w:val="18"/>
                      <w:szCs w:val="18"/>
                      <w:highlight w:val="none"/>
                      <w:lang w:eastAsia="zh-CN"/>
                    </w:rPr>
                    <w:t>（</w:t>
                  </w:r>
                  <w:r>
                    <w:rPr>
                      <w:rFonts w:hint="eastAsia" w:cs="Times New Roman"/>
                      <w:color w:val="auto"/>
                      <w:sz w:val="18"/>
                      <w:szCs w:val="18"/>
                      <w:highlight w:val="none"/>
                      <w:lang w:val="en-US" w:eastAsia="zh-CN"/>
                    </w:rPr>
                    <w:t>其中单回塔67基，双回塔15基），</w:t>
                  </w:r>
                  <w:r>
                    <w:rPr>
                      <w:rFonts w:hint="default" w:ascii="Times New Roman" w:hAnsi="Times New Roman" w:cs="Times New Roman"/>
                      <w:color w:val="auto"/>
                      <w:sz w:val="18"/>
                      <w:szCs w:val="18"/>
                      <w:highlight w:val="none"/>
                    </w:rPr>
                    <w:t>永久占地面积约</w:t>
                  </w:r>
                  <w:r>
                    <w:rPr>
                      <w:rFonts w:hint="eastAsia" w:cs="Times New Roman"/>
                      <w:color w:val="auto"/>
                      <w:sz w:val="18"/>
                      <w:szCs w:val="18"/>
                      <w:highlight w:val="none"/>
                      <w:lang w:val="en-US" w:eastAsia="zh-CN"/>
                    </w:rPr>
                    <w:t>8500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default" w:ascii="Times New Roman" w:hAnsi="Times New Roman" w:cs="Times New Roman"/>
                      <w:color w:val="auto"/>
                      <w:sz w:val="18"/>
                      <w:szCs w:val="18"/>
                      <w:highlight w:val="none"/>
                    </w:rPr>
                    <w:t>。</w:t>
                  </w:r>
                </w:p>
              </w:tc>
              <w:tc>
                <w:tcPr>
                  <w:tcW w:w="1107" w:type="dxa"/>
                  <w:gridSpan w:val="2"/>
                  <w:vMerge w:val="continue"/>
                  <w:tcBorders>
                    <w:tl2br w:val="nil"/>
                    <w:tr2bl w:val="nil"/>
                  </w:tcBorders>
                  <w:vAlign w:val="center"/>
                </w:tcPr>
                <w:p w14:paraId="2405943D">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110" w:type="dxa"/>
                  <w:tcBorders>
                    <w:tl2br w:val="nil"/>
                    <w:tr2bl w:val="nil"/>
                  </w:tcBorders>
                  <w:vAlign w:val="center"/>
                </w:tcPr>
                <w:p w14:paraId="13BB0CE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5892B2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695A6E33">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lang w:val="en-US" w:eastAsia="zh-CN"/>
                    </w:rPr>
                  </w:pPr>
                </w:p>
              </w:tc>
              <w:tc>
                <w:tcPr>
                  <w:tcW w:w="1001" w:type="dxa"/>
                  <w:tcBorders>
                    <w:tl2br w:val="nil"/>
                    <w:tr2bl w:val="nil"/>
                  </w:tcBorders>
                  <w:vAlign w:val="center"/>
                </w:tcPr>
                <w:p w14:paraId="346EA731">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FF0000"/>
                      <w:sz w:val="18"/>
                      <w:szCs w:val="18"/>
                    </w:rPr>
                  </w:pPr>
                  <w:r>
                    <w:rPr>
                      <w:rFonts w:hint="default" w:ascii="Times New Roman" w:hAnsi="Times New Roman" w:cs="Times New Roman"/>
                      <w:color w:val="auto"/>
                      <w:sz w:val="18"/>
                      <w:szCs w:val="18"/>
                    </w:rPr>
                    <w:t>临时占地</w:t>
                  </w:r>
                </w:p>
              </w:tc>
              <w:tc>
                <w:tcPr>
                  <w:tcW w:w="4563" w:type="dxa"/>
                  <w:gridSpan w:val="3"/>
                  <w:tcBorders>
                    <w:tl2br w:val="nil"/>
                    <w:tr2bl w:val="nil"/>
                  </w:tcBorders>
                  <w:vAlign w:val="center"/>
                </w:tcPr>
                <w:p w14:paraId="57B5F08B">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塔基施工临时场地：本项目共新建杆塔</w:t>
                  </w:r>
                  <w:r>
                    <w:rPr>
                      <w:rFonts w:hint="eastAsia" w:cs="Times New Roman"/>
                      <w:color w:val="auto"/>
                      <w:sz w:val="18"/>
                      <w:szCs w:val="18"/>
                      <w:highlight w:val="none"/>
                      <w:lang w:val="en-US" w:eastAsia="zh-CN"/>
                    </w:rPr>
                    <w:t>82</w:t>
                  </w:r>
                  <w:r>
                    <w:rPr>
                      <w:rFonts w:hint="default" w:ascii="Times New Roman" w:hAnsi="Times New Roman" w:cs="Times New Roman"/>
                      <w:color w:val="auto"/>
                      <w:sz w:val="18"/>
                      <w:szCs w:val="18"/>
                      <w:highlight w:val="none"/>
                    </w:rPr>
                    <w:t>基，每个铁塔临时占地面积</w:t>
                  </w:r>
                  <w:r>
                    <w:rPr>
                      <w:rFonts w:hint="eastAsia" w:cs="Times New Roman"/>
                      <w:color w:val="auto"/>
                      <w:sz w:val="18"/>
                      <w:szCs w:val="18"/>
                      <w:highlight w:val="none"/>
                      <w:lang w:val="en-US" w:eastAsia="zh-CN"/>
                    </w:rPr>
                    <w:t>230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default" w:ascii="Times New Roman" w:hAnsi="Times New Roman"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故</w:t>
                  </w:r>
                  <w:r>
                    <w:rPr>
                      <w:rFonts w:hint="default" w:ascii="Times New Roman" w:hAnsi="Times New Roman" w:cs="Times New Roman"/>
                      <w:color w:val="auto"/>
                      <w:sz w:val="18"/>
                      <w:szCs w:val="18"/>
                      <w:highlight w:val="none"/>
                    </w:rPr>
                    <w:t>总占地面积约</w:t>
                  </w:r>
                  <w:r>
                    <w:rPr>
                      <w:rFonts w:hint="eastAsia" w:cs="Times New Roman"/>
                      <w:color w:val="auto"/>
                      <w:sz w:val="18"/>
                      <w:szCs w:val="18"/>
                      <w:highlight w:val="none"/>
                      <w:lang w:val="en-US" w:eastAsia="zh-CN"/>
                    </w:rPr>
                    <w:t>18860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default" w:ascii="Times New Roman" w:hAnsi="Times New Roman" w:cs="Times New Roman"/>
                      <w:color w:val="auto"/>
                      <w:sz w:val="18"/>
                      <w:szCs w:val="18"/>
                      <w:highlight w:val="none"/>
                      <w:lang w:eastAsia="zh-CN"/>
                    </w:rPr>
                    <w:t>。</w:t>
                  </w:r>
                </w:p>
                <w:p w14:paraId="7B4B1C3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rPr>
                    <w:t>牵张场：共设置</w:t>
                  </w:r>
                  <w:r>
                    <w:rPr>
                      <w:rFonts w:hint="eastAsia" w:cs="Times New Roman"/>
                      <w:color w:val="auto"/>
                      <w:sz w:val="18"/>
                      <w:szCs w:val="18"/>
                      <w:highlight w:val="none"/>
                      <w:lang w:val="en-US" w:eastAsia="zh-CN"/>
                    </w:rPr>
                    <w:t>6</w:t>
                  </w:r>
                  <w:r>
                    <w:rPr>
                      <w:rFonts w:hint="default" w:ascii="Times New Roman" w:hAnsi="Times New Roman" w:cs="Times New Roman"/>
                      <w:color w:val="auto"/>
                      <w:sz w:val="18"/>
                      <w:szCs w:val="18"/>
                      <w:highlight w:val="none"/>
                    </w:rPr>
                    <w:t>个牵张场，</w:t>
                  </w:r>
                  <w:r>
                    <w:rPr>
                      <w:rFonts w:hint="default" w:ascii="Times New Roman" w:hAnsi="Times New Roman" w:cs="Times New Roman"/>
                      <w:color w:val="000000" w:themeColor="text1"/>
                      <w:sz w:val="18"/>
                      <w:szCs w:val="18"/>
                      <w:highlight w:val="none"/>
                      <w14:textFill>
                        <w14:solidFill>
                          <w14:schemeClr w14:val="tx1"/>
                        </w14:solidFill>
                      </w14:textFill>
                    </w:rPr>
                    <w:t>每处牵张场占地面积约为400m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2</w:t>
                  </w: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auto"/>
                      <w:sz w:val="18"/>
                      <w:szCs w:val="18"/>
                      <w:highlight w:val="none"/>
                    </w:rPr>
                    <w:t>总占地面积约</w:t>
                  </w:r>
                  <w:r>
                    <w:rPr>
                      <w:rFonts w:hint="eastAsia" w:cs="Times New Roman"/>
                      <w:color w:val="auto"/>
                      <w:sz w:val="18"/>
                      <w:szCs w:val="18"/>
                      <w:highlight w:val="none"/>
                      <w:lang w:val="en-US" w:eastAsia="zh-CN"/>
                    </w:rPr>
                    <w:t>2400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default" w:ascii="Times New Roman" w:hAnsi="Times New Roman" w:cs="Times New Roman"/>
                      <w:color w:val="auto"/>
                      <w:sz w:val="18"/>
                      <w:szCs w:val="18"/>
                      <w:highlight w:val="none"/>
                      <w:lang w:eastAsia="zh-CN"/>
                    </w:rPr>
                    <w:t>。</w:t>
                  </w:r>
                </w:p>
                <w:p w14:paraId="6F45F5BD">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rPr>
                    <w:t>跨越场：共设置</w:t>
                  </w:r>
                  <w:r>
                    <w:rPr>
                      <w:rFonts w:hint="eastAsia" w:cs="Times New Roman"/>
                      <w:color w:val="auto"/>
                      <w:sz w:val="18"/>
                      <w:szCs w:val="18"/>
                      <w:highlight w:val="none"/>
                      <w:lang w:val="en-US" w:eastAsia="zh-CN"/>
                    </w:rPr>
                    <w:t>6对</w:t>
                  </w:r>
                  <w:r>
                    <w:rPr>
                      <w:rFonts w:hint="default" w:ascii="Times New Roman" w:hAnsi="Times New Roman" w:cs="Times New Roman"/>
                      <w:color w:val="auto"/>
                      <w:sz w:val="18"/>
                      <w:szCs w:val="18"/>
                      <w:highlight w:val="none"/>
                    </w:rPr>
                    <w:t>跨越场，</w:t>
                  </w:r>
                  <w:r>
                    <w:rPr>
                      <w:rFonts w:hint="default" w:ascii="Times New Roman" w:hAnsi="Times New Roman" w:cs="Times New Roman"/>
                      <w:color w:val="000000" w:themeColor="text1"/>
                      <w:sz w:val="18"/>
                      <w:szCs w:val="18"/>
                      <w:highlight w:val="none"/>
                      <w14:textFill>
                        <w14:solidFill>
                          <w14:schemeClr w14:val="tx1"/>
                        </w14:solidFill>
                      </w14:textFill>
                    </w:rPr>
                    <w:t>每</w:t>
                  </w:r>
                  <w:r>
                    <w:rPr>
                      <w:rFonts w:hint="eastAsia" w:cs="Times New Roman"/>
                      <w:color w:val="000000" w:themeColor="text1"/>
                      <w:sz w:val="18"/>
                      <w:szCs w:val="18"/>
                      <w:highlight w:val="none"/>
                      <w:lang w:val="en-US" w:eastAsia="zh-CN"/>
                      <w14:textFill>
                        <w14:solidFill>
                          <w14:schemeClr w14:val="tx1"/>
                        </w14:solidFill>
                      </w14:textFill>
                    </w:rPr>
                    <w:t>对</w:t>
                  </w:r>
                  <w:r>
                    <w:rPr>
                      <w:rFonts w:hint="default" w:ascii="Times New Roman" w:hAnsi="Times New Roman" w:cs="Times New Roman"/>
                      <w:color w:val="000000" w:themeColor="text1"/>
                      <w:sz w:val="18"/>
                      <w:szCs w:val="18"/>
                      <w:highlight w:val="none"/>
                      <w14:textFill>
                        <w14:solidFill>
                          <w14:schemeClr w14:val="tx1"/>
                        </w14:solidFill>
                      </w14:textFill>
                    </w:rPr>
                    <w:t>跨越场占地面积约为400m</w:t>
                  </w:r>
                  <w:r>
                    <w:rPr>
                      <w:rFonts w:hint="default" w:ascii="Times New Roman" w:hAnsi="Times New Roman" w:cs="Times New Roman"/>
                      <w:color w:val="000000" w:themeColor="text1"/>
                      <w:sz w:val="18"/>
                      <w:szCs w:val="18"/>
                      <w:highlight w:val="none"/>
                      <w:vertAlign w:val="superscript"/>
                      <w14:textFill>
                        <w14:solidFill>
                          <w14:schemeClr w14:val="tx1"/>
                        </w14:solidFill>
                      </w14:textFill>
                    </w:rPr>
                    <w:t>2</w:t>
                  </w:r>
                  <w:r>
                    <w:rPr>
                      <w:rFonts w:hint="default" w:ascii="Times New Roman" w:hAnsi="Times New Roman" w:cs="Times New Roman"/>
                      <w:color w:val="000000" w:themeColor="text1"/>
                      <w:sz w:val="18"/>
                      <w:szCs w:val="18"/>
                      <w:highlight w:val="none"/>
                      <w14:textFill>
                        <w14:solidFill>
                          <w14:schemeClr w14:val="tx1"/>
                        </w14:solidFill>
                      </w14:textFill>
                    </w:rPr>
                    <w:t>，</w:t>
                  </w:r>
                  <w:r>
                    <w:rPr>
                      <w:rFonts w:hint="default" w:ascii="Times New Roman" w:hAnsi="Times New Roman" w:cs="Times New Roman"/>
                      <w:color w:val="auto"/>
                      <w:sz w:val="18"/>
                      <w:szCs w:val="18"/>
                      <w:highlight w:val="none"/>
                    </w:rPr>
                    <w:t>总占地面积约</w:t>
                  </w:r>
                  <w:r>
                    <w:rPr>
                      <w:rFonts w:hint="eastAsia" w:cs="Times New Roman"/>
                      <w:color w:val="auto"/>
                      <w:sz w:val="18"/>
                      <w:szCs w:val="18"/>
                      <w:highlight w:val="none"/>
                      <w:lang w:val="en-US" w:eastAsia="zh-CN"/>
                    </w:rPr>
                    <w:t>2400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eastAsia" w:cs="Times New Roman"/>
                      <w:color w:val="auto"/>
                      <w:sz w:val="18"/>
                      <w:szCs w:val="18"/>
                      <w:highlight w:val="none"/>
                      <w:lang w:eastAsia="zh-CN"/>
                    </w:rPr>
                    <w:t>；</w:t>
                  </w:r>
                </w:p>
                <w:p w14:paraId="6D67DA13">
                  <w:pPr>
                    <w:keepNext w:val="0"/>
                    <w:keepLines w:val="0"/>
                    <w:pageBreakBefore w:val="0"/>
                    <w:kinsoku/>
                    <w:wordWrap/>
                    <w:overflowPunct/>
                    <w:topLinePunct w:val="0"/>
                    <w:autoSpaceDE/>
                    <w:autoSpaceDN/>
                    <w:bidi w:val="0"/>
                    <w:adjustRightInd/>
                    <w:snapToGrid/>
                    <w:textAlignment w:val="auto"/>
                    <w:rPr>
                      <w:rFonts w:hint="eastAsia"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施工便道：线路路径周围有市政道路和乡村道路可利用，既有道路不可达到处需设置</w:t>
                  </w:r>
                  <w:r>
                    <w:rPr>
                      <w:rFonts w:hint="eastAsia" w:cs="Times New Roman"/>
                      <w:color w:val="auto"/>
                      <w:sz w:val="18"/>
                      <w:szCs w:val="18"/>
                      <w:highlight w:val="none"/>
                      <w:lang w:val="en-US" w:eastAsia="zh-CN"/>
                    </w:rPr>
                    <w:t>1.6</w:t>
                  </w:r>
                  <w:r>
                    <w:rPr>
                      <w:rFonts w:hint="default" w:ascii="Times New Roman" w:hAnsi="Times New Roman" w:cs="Times New Roman"/>
                      <w:color w:val="auto"/>
                      <w:sz w:val="18"/>
                      <w:szCs w:val="18"/>
                      <w:highlight w:val="none"/>
                    </w:rPr>
                    <w:t>km的人抬道路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路面宽1m</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，占地面积约</w:t>
                  </w:r>
                  <w:r>
                    <w:rPr>
                      <w:rFonts w:hint="eastAsia" w:cs="Times New Roman"/>
                      <w:color w:val="auto"/>
                      <w:sz w:val="18"/>
                      <w:szCs w:val="18"/>
                      <w:highlight w:val="none"/>
                      <w:lang w:val="en-US" w:eastAsia="zh-CN"/>
                    </w:rPr>
                    <w:t>1600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机械化施工设置长</w:t>
                  </w:r>
                  <w:r>
                    <w:rPr>
                      <w:rFonts w:hint="eastAsia" w:cs="Times New Roman"/>
                      <w:color w:val="auto"/>
                      <w:sz w:val="18"/>
                      <w:szCs w:val="18"/>
                      <w:highlight w:val="none"/>
                      <w:lang w:val="en-US" w:eastAsia="zh-CN"/>
                    </w:rPr>
                    <w:t>2.3</w:t>
                  </w:r>
                  <w:r>
                    <w:rPr>
                      <w:rFonts w:hint="default" w:ascii="Times New Roman" w:hAnsi="Times New Roman" w:cs="Times New Roman"/>
                      <w:color w:val="auto"/>
                      <w:sz w:val="18"/>
                      <w:szCs w:val="18"/>
                      <w:highlight w:val="none"/>
                      <w:lang w:val="en-US" w:eastAsia="zh-CN"/>
                    </w:rPr>
                    <w:t>km×宽3m的施工临时道路，占地面积</w:t>
                  </w:r>
                  <w:r>
                    <w:rPr>
                      <w:rFonts w:hint="eastAsia" w:cs="Times New Roman"/>
                      <w:color w:val="auto"/>
                      <w:sz w:val="18"/>
                      <w:szCs w:val="18"/>
                      <w:highlight w:val="none"/>
                      <w:lang w:val="en-US" w:eastAsia="zh-CN"/>
                    </w:rPr>
                    <w:t>6900</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2</w:t>
                  </w:r>
                  <w:r>
                    <w:rPr>
                      <w:rFonts w:hint="eastAsia" w:ascii="Times New Roman" w:hAnsi="Times New Roman" w:cs="Times New Roman"/>
                      <w:color w:val="auto"/>
                      <w:sz w:val="18"/>
                      <w:szCs w:val="18"/>
                      <w:highlight w:val="none"/>
                      <w:vertAlign w:val="baseline"/>
                      <w:lang w:eastAsia="zh-CN"/>
                    </w:rPr>
                    <w:t>；</w:t>
                  </w:r>
                </w:p>
                <w:p w14:paraId="520DCEB4">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FF0000"/>
                      <w:sz w:val="18"/>
                      <w:szCs w:val="18"/>
                      <w:lang w:val="zh-CN" w:eastAsia="zh-CN"/>
                    </w:rPr>
                  </w:pPr>
                  <w:r>
                    <w:rPr>
                      <w:rFonts w:hint="default" w:ascii="Times New Roman" w:hAnsi="Times New Roman" w:cs="Times New Roman"/>
                      <w:color w:val="auto"/>
                      <w:sz w:val="18"/>
                      <w:szCs w:val="18"/>
                      <w:highlight w:val="none"/>
                    </w:rPr>
                    <w:t>施工营地：可租用民房作为施工营地，无需单独设置</w:t>
                  </w:r>
                  <w:r>
                    <w:rPr>
                      <w:rFonts w:hint="default" w:ascii="Times New Roman" w:hAnsi="Times New Roman" w:cs="Times New Roman"/>
                      <w:color w:val="auto"/>
                      <w:sz w:val="18"/>
                      <w:szCs w:val="18"/>
                      <w:highlight w:val="none"/>
                      <w:lang w:eastAsia="zh-CN"/>
                    </w:rPr>
                    <w:t>。</w:t>
                  </w:r>
                </w:p>
              </w:tc>
              <w:tc>
                <w:tcPr>
                  <w:tcW w:w="1107" w:type="dxa"/>
                  <w:gridSpan w:val="2"/>
                  <w:vMerge w:val="continue"/>
                  <w:tcBorders>
                    <w:tl2br w:val="nil"/>
                    <w:tr2bl w:val="nil"/>
                  </w:tcBorders>
                  <w:vAlign w:val="center"/>
                </w:tcPr>
                <w:p w14:paraId="182EF8D9">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p>
              </w:tc>
              <w:tc>
                <w:tcPr>
                  <w:tcW w:w="1110" w:type="dxa"/>
                  <w:tcBorders>
                    <w:tl2br w:val="nil"/>
                    <w:tr2bl w:val="nil"/>
                  </w:tcBorders>
                  <w:vAlign w:val="center"/>
                </w:tcPr>
                <w:p w14:paraId="7DEA198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w:t>
                  </w:r>
                </w:p>
              </w:tc>
            </w:tr>
            <w:tr w14:paraId="402406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vMerge w:val="continue"/>
                  <w:tcBorders>
                    <w:tl2br w:val="nil"/>
                    <w:tr2bl w:val="nil"/>
                  </w:tcBorders>
                  <w:vAlign w:val="center"/>
                </w:tcPr>
                <w:p w14:paraId="4BE5AD0D">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color w:val="FF0000"/>
                      <w:sz w:val="18"/>
                      <w:szCs w:val="18"/>
                      <w:lang w:val="en-US" w:eastAsia="zh-CN"/>
                    </w:rPr>
                  </w:pPr>
                </w:p>
              </w:tc>
              <w:tc>
                <w:tcPr>
                  <w:tcW w:w="1001" w:type="dxa"/>
                  <w:tcBorders>
                    <w:tl2br w:val="nil"/>
                    <w:tr2bl w:val="nil"/>
                  </w:tcBorders>
                  <w:vAlign w:val="center"/>
                </w:tcPr>
                <w:p w14:paraId="177FEFE2">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通信工程</w:t>
                  </w:r>
                </w:p>
              </w:tc>
              <w:tc>
                <w:tcPr>
                  <w:tcW w:w="4563" w:type="dxa"/>
                  <w:gridSpan w:val="3"/>
                  <w:tcBorders>
                    <w:tl2br w:val="nil"/>
                    <w:tr2bl w:val="nil"/>
                  </w:tcBorders>
                  <w:vAlign w:val="center"/>
                </w:tcPr>
                <w:p w14:paraId="4C51ABAF">
                  <w:pPr>
                    <w:keepNext w:val="0"/>
                    <w:keepLines w:val="0"/>
                    <w:pageBreakBefore w:val="0"/>
                    <w:kinsoku/>
                    <w:wordWrap/>
                    <w:overflowPunct/>
                    <w:topLinePunct w:val="0"/>
                    <w:autoSpaceDE/>
                    <w:autoSpaceDN/>
                    <w:bidi w:val="0"/>
                    <w:adjustRightInd/>
                    <w:snapToGrid/>
                    <w:textAlignment w:val="auto"/>
                    <w:rPr>
                      <w:rFonts w:hint="default" w:ascii="Times New Roman" w:hAnsi="Times New Roman" w:cs="Times New Roman"/>
                      <w:color w:val="auto"/>
                      <w:sz w:val="18"/>
                      <w:szCs w:val="18"/>
                      <w:lang w:val="zh-CN" w:eastAsia="zh-CN"/>
                    </w:rPr>
                  </w:pPr>
                  <w:r>
                    <w:rPr>
                      <w:rFonts w:hint="default" w:ascii="Times New Roman" w:hAnsi="Times New Roman" w:cs="Times New Roman"/>
                      <w:color w:val="auto"/>
                      <w:sz w:val="18"/>
                      <w:szCs w:val="18"/>
                      <w:lang w:val="zh-CN" w:eastAsia="zh-CN"/>
                    </w:rPr>
                    <w:t>根据系统通信要求，新建双回塔单边挂线段采用2根48芯OPGW复合光缆，单回线路段</w:t>
                  </w:r>
                  <w:r>
                    <w:rPr>
                      <w:rFonts w:hint="eastAsia" w:cs="Times New Roman"/>
                      <w:color w:val="auto"/>
                      <w:sz w:val="18"/>
                      <w:szCs w:val="18"/>
                      <w:lang w:val="zh-CN" w:eastAsia="zh-CN"/>
                    </w:rPr>
                    <w:t>采用</w:t>
                  </w:r>
                  <w:r>
                    <w:rPr>
                      <w:rFonts w:hint="default" w:ascii="Times New Roman" w:hAnsi="Times New Roman" w:cs="Times New Roman"/>
                      <w:color w:val="auto"/>
                      <w:sz w:val="18"/>
                      <w:szCs w:val="18"/>
                      <w:lang w:val="zh-CN" w:eastAsia="zh-CN"/>
                    </w:rPr>
                    <w:t>1根48芯OPGW复合光缆（其中三跨位于</w:t>
                  </w:r>
                  <w:r>
                    <w:rPr>
                      <w:rFonts w:hint="eastAsia" w:cs="Times New Roman"/>
                      <w:color w:val="auto"/>
                      <w:sz w:val="18"/>
                      <w:szCs w:val="18"/>
                      <w:lang w:val="zh-CN" w:eastAsia="zh-CN"/>
                    </w:rPr>
                    <w:t>利旧段</w:t>
                  </w:r>
                  <w:r>
                    <w:rPr>
                      <w:rFonts w:hint="default" w:ascii="Times New Roman" w:hAnsi="Times New Roman" w:cs="Times New Roman"/>
                      <w:color w:val="auto"/>
                      <w:sz w:val="18"/>
                      <w:szCs w:val="18"/>
                      <w:lang w:val="zh-CN" w:eastAsia="zh-CN"/>
                    </w:rPr>
                    <w:t>，架设两根72芯OPGW复合光缆）。</w:t>
                  </w:r>
                </w:p>
              </w:tc>
              <w:tc>
                <w:tcPr>
                  <w:tcW w:w="2217" w:type="dxa"/>
                  <w:gridSpan w:val="3"/>
                  <w:tcBorders>
                    <w:tl2br w:val="nil"/>
                    <w:tr2bl w:val="nil"/>
                  </w:tcBorders>
                  <w:vAlign w:val="center"/>
                </w:tcPr>
                <w:p w14:paraId="01B5164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对环境的影响很小，本次不</w:t>
                  </w:r>
                  <w:r>
                    <w:rPr>
                      <w:rFonts w:hint="default" w:ascii="Times New Roman" w:hAnsi="Times New Roman" w:cs="Times New Roman"/>
                      <w:color w:val="auto"/>
                      <w:sz w:val="18"/>
                      <w:szCs w:val="18"/>
                      <w:lang w:eastAsia="zh-CN"/>
                    </w:rPr>
                    <w:t>做</w:t>
                  </w:r>
                  <w:r>
                    <w:rPr>
                      <w:rFonts w:hint="default" w:ascii="Times New Roman" w:hAnsi="Times New Roman" w:cs="Times New Roman"/>
                      <w:color w:val="auto"/>
                      <w:sz w:val="18"/>
                      <w:szCs w:val="18"/>
                    </w:rPr>
                    <w:t>评价。</w:t>
                  </w:r>
                </w:p>
              </w:tc>
            </w:tr>
          </w:tbl>
          <w:p w14:paraId="495BE048">
            <w:pPr>
              <w:spacing w:line="360" w:lineRule="auto"/>
              <w:rPr>
                <w:rFonts w:eastAsia="黑体"/>
                <w:color w:val="auto"/>
                <w:szCs w:val="21"/>
              </w:rPr>
            </w:pPr>
            <w:r>
              <w:rPr>
                <w:rFonts w:hint="eastAsia" w:eastAsia="黑体"/>
                <w:color w:val="auto"/>
                <w:szCs w:val="21"/>
                <w:lang w:val="en-US" w:eastAsia="zh-CN"/>
              </w:rPr>
              <w:t>四</w:t>
            </w:r>
            <w:r>
              <w:rPr>
                <w:rFonts w:eastAsia="黑体"/>
                <w:color w:val="auto"/>
                <w:szCs w:val="21"/>
              </w:rPr>
              <w:t>、主要设备选型</w:t>
            </w:r>
          </w:p>
          <w:p w14:paraId="611F42AE">
            <w:pPr>
              <w:spacing w:line="360" w:lineRule="auto"/>
              <w:ind w:firstLine="420" w:firstLineChars="200"/>
              <w:rPr>
                <w:color w:val="auto"/>
                <w:szCs w:val="21"/>
              </w:rPr>
            </w:pPr>
            <w:r>
              <w:rPr>
                <w:rFonts w:hint="eastAsia"/>
                <w:color w:val="auto"/>
                <w:szCs w:val="21"/>
              </w:rPr>
              <w:t>本项目主要设备选型见表2-</w:t>
            </w:r>
            <w:r>
              <w:rPr>
                <w:rFonts w:hint="eastAsia"/>
                <w:color w:val="auto"/>
                <w:szCs w:val="21"/>
                <w:lang w:val="en-US" w:eastAsia="zh-CN"/>
              </w:rPr>
              <w:t>2</w:t>
            </w:r>
            <w:r>
              <w:rPr>
                <w:rFonts w:hint="eastAsia"/>
                <w:color w:val="auto"/>
                <w:szCs w:val="21"/>
              </w:rPr>
              <w:t>、表2-</w:t>
            </w:r>
            <w:r>
              <w:rPr>
                <w:rFonts w:hint="eastAsia"/>
                <w:color w:val="auto"/>
                <w:szCs w:val="21"/>
                <w:lang w:val="en-US" w:eastAsia="zh-CN"/>
              </w:rPr>
              <w:t>3</w:t>
            </w:r>
            <w:r>
              <w:rPr>
                <w:rFonts w:hint="eastAsia"/>
                <w:color w:val="auto"/>
                <w:szCs w:val="21"/>
              </w:rPr>
              <w:t>。</w:t>
            </w:r>
          </w:p>
          <w:p w14:paraId="211FD1BD">
            <w:pPr>
              <w:jc w:val="center"/>
              <w:rPr>
                <w:rFonts w:eastAsia="黑体"/>
                <w:color w:val="auto"/>
                <w:szCs w:val="21"/>
              </w:rPr>
            </w:pPr>
            <w:bookmarkStart w:id="5" w:name="_Toc515789277"/>
            <w:r>
              <w:rPr>
                <w:rFonts w:eastAsia="黑体"/>
                <w:color w:val="auto"/>
                <w:szCs w:val="21"/>
              </w:rPr>
              <w:t>表2-</w:t>
            </w:r>
            <w:r>
              <w:rPr>
                <w:rFonts w:hint="eastAsia" w:eastAsia="黑体"/>
                <w:color w:val="auto"/>
                <w:szCs w:val="21"/>
                <w:lang w:val="en-US" w:eastAsia="zh-CN"/>
              </w:rPr>
              <w:t>2</w:t>
            </w:r>
            <w:r>
              <w:rPr>
                <w:rFonts w:eastAsia="黑体"/>
                <w:color w:val="auto"/>
                <w:szCs w:val="21"/>
              </w:rPr>
              <w:t xml:space="preserve">  </w:t>
            </w:r>
            <w:r>
              <w:rPr>
                <w:rFonts w:hint="eastAsia" w:eastAsia="黑体"/>
                <w:color w:val="auto"/>
                <w:szCs w:val="21"/>
              </w:rPr>
              <w:t>变电站</w:t>
            </w:r>
            <w:r>
              <w:rPr>
                <w:rFonts w:eastAsia="黑体"/>
                <w:color w:val="auto"/>
                <w:szCs w:val="21"/>
              </w:rPr>
              <w:t>主要设备选型</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1295"/>
              <w:gridCol w:w="6543"/>
            </w:tblGrid>
            <w:tr w14:paraId="612DD4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tcBorders>
                    <w:bottom w:val="single" w:color="auto" w:sz="4" w:space="0"/>
                  </w:tcBorders>
                  <w:vAlign w:val="center"/>
                </w:tcPr>
                <w:p w14:paraId="4F44A1D3">
                  <w:pPr>
                    <w:keepNext w:val="0"/>
                    <w:keepLines w:val="0"/>
                    <w:pageBreakBefore w:val="0"/>
                    <w:widowControl w:val="0"/>
                    <w:kinsoku/>
                    <w:overflowPunct/>
                    <w:topLinePunct w:val="0"/>
                    <w:autoSpaceDE/>
                    <w:autoSpaceDN/>
                    <w:bidi w:val="0"/>
                    <w:adjustRightInd/>
                    <w:snapToGrid/>
                    <w:jc w:val="center"/>
                    <w:textAlignment w:val="auto"/>
                    <w:rPr>
                      <w:color w:val="auto"/>
                      <w:sz w:val="18"/>
                      <w:szCs w:val="18"/>
                    </w:rPr>
                  </w:pPr>
                  <w:r>
                    <w:rPr>
                      <w:rFonts w:hint="eastAsia"/>
                      <w:color w:val="auto"/>
                      <w:sz w:val="18"/>
                      <w:szCs w:val="18"/>
                    </w:rPr>
                    <w:t>项目</w:t>
                  </w:r>
                </w:p>
              </w:tc>
              <w:tc>
                <w:tcPr>
                  <w:tcW w:w="1259" w:type="dxa"/>
                  <w:tcBorders>
                    <w:bottom w:val="single" w:color="auto" w:sz="4" w:space="0"/>
                  </w:tcBorders>
                  <w:vAlign w:val="center"/>
                </w:tcPr>
                <w:p w14:paraId="6E532BB8">
                  <w:pPr>
                    <w:keepNext w:val="0"/>
                    <w:keepLines w:val="0"/>
                    <w:pageBreakBefore w:val="0"/>
                    <w:widowControl w:val="0"/>
                    <w:kinsoku/>
                    <w:overflowPunct/>
                    <w:topLinePunct w:val="0"/>
                    <w:autoSpaceDE/>
                    <w:autoSpaceDN/>
                    <w:bidi w:val="0"/>
                    <w:adjustRightInd/>
                    <w:snapToGrid/>
                    <w:jc w:val="center"/>
                    <w:textAlignment w:val="auto"/>
                    <w:rPr>
                      <w:color w:val="auto"/>
                      <w:sz w:val="18"/>
                      <w:szCs w:val="18"/>
                    </w:rPr>
                  </w:pPr>
                  <w:r>
                    <w:rPr>
                      <w:color w:val="auto"/>
                      <w:sz w:val="18"/>
                      <w:szCs w:val="18"/>
                    </w:rPr>
                    <w:t>设备</w:t>
                  </w:r>
                </w:p>
              </w:tc>
              <w:tc>
                <w:tcPr>
                  <w:tcW w:w="6361" w:type="dxa"/>
                  <w:tcBorders>
                    <w:bottom w:val="single" w:color="auto" w:sz="4" w:space="0"/>
                  </w:tcBorders>
                  <w:vAlign w:val="center"/>
                </w:tcPr>
                <w:p w14:paraId="74B2F6D1">
                  <w:pPr>
                    <w:keepNext w:val="0"/>
                    <w:keepLines w:val="0"/>
                    <w:pageBreakBefore w:val="0"/>
                    <w:widowControl w:val="0"/>
                    <w:kinsoku/>
                    <w:overflowPunct/>
                    <w:topLinePunct w:val="0"/>
                    <w:autoSpaceDE/>
                    <w:autoSpaceDN/>
                    <w:bidi w:val="0"/>
                    <w:adjustRightInd/>
                    <w:snapToGrid/>
                    <w:jc w:val="center"/>
                    <w:textAlignment w:val="auto"/>
                    <w:rPr>
                      <w:color w:val="FF0000"/>
                      <w:sz w:val="18"/>
                      <w:szCs w:val="18"/>
                    </w:rPr>
                  </w:pPr>
                  <w:r>
                    <w:rPr>
                      <w:color w:val="auto"/>
                      <w:sz w:val="18"/>
                      <w:szCs w:val="18"/>
                    </w:rPr>
                    <w:t>型号</w:t>
                  </w:r>
                </w:p>
              </w:tc>
            </w:tr>
            <w:tr w14:paraId="6A6EFA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Merge w:val="restart"/>
                  <w:tcBorders>
                    <w:top w:val="single" w:color="auto" w:sz="4" w:space="0"/>
                  </w:tcBorders>
                  <w:vAlign w:val="center"/>
                </w:tcPr>
                <w:p w14:paraId="26A8A814">
                  <w:pPr>
                    <w:keepNext w:val="0"/>
                    <w:keepLines w:val="0"/>
                    <w:pageBreakBefore w:val="0"/>
                    <w:widowControl w:val="0"/>
                    <w:kinsoku/>
                    <w:overflowPunct/>
                    <w:topLinePunct w:val="0"/>
                    <w:autoSpaceDE/>
                    <w:autoSpaceDN/>
                    <w:bidi w:val="0"/>
                    <w:adjustRightInd/>
                    <w:snapToGrid/>
                    <w:jc w:val="center"/>
                    <w:textAlignment w:val="auto"/>
                    <w:rPr>
                      <w:color w:val="auto"/>
                      <w:sz w:val="18"/>
                      <w:szCs w:val="18"/>
                    </w:rPr>
                  </w:pPr>
                  <w:r>
                    <w:rPr>
                      <w:rFonts w:hint="eastAsia"/>
                      <w:color w:val="auto"/>
                      <w:sz w:val="18"/>
                      <w:szCs w:val="18"/>
                      <w:lang w:val="en-US" w:eastAsia="zh-CN"/>
                    </w:rPr>
                    <w:t>司城</w:t>
                  </w:r>
                  <w:r>
                    <w:rPr>
                      <w:rFonts w:hint="eastAsia"/>
                      <w:color w:val="auto"/>
                      <w:sz w:val="18"/>
                      <w:szCs w:val="18"/>
                    </w:rPr>
                    <w:t>110</w:t>
                  </w:r>
                  <w:r>
                    <w:rPr>
                      <w:rFonts w:hint="eastAsia"/>
                      <w:color w:val="auto"/>
                      <w:sz w:val="18"/>
                      <w:szCs w:val="18"/>
                      <w:lang w:val="en-US" w:eastAsia="zh-CN"/>
                    </w:rPr>
                    <w:t>kV</w:t>
                  </w:r>
                  <w:r>
                    <w:rPr>
                      <w:rFonts w:hint="eastAsia"/>
                      <w:color w:val="auto"/>
                      <w:sz w:val="18"/>
                      <w:szCs w:val="18"/>
                    </w:rPr>
                    <w:t>变电站</w:t>
                  </w:r>
                </w:p>
              </w:tc>
              <w:tc>
                <w:tcPr>
                  <w:tcW w:w="1259" w:type="dxa"/>
                  <w:tcBorders>
                    <w:top w:val="single" w:color="auto" w:sz="4" w:space="0"/>
                  </w:tcBorders>
                  <w:vAlign w:val="center"/>
                </w:tcPr>
                <w:p w14:paraId="23036E79">
                  <w:pPr>
                    <w:keepNext w:val="0"/>
                    <w:keepLines w:val="0"/>
                    <w:pageBreakBefore w:val="0"/>
                    <w:widowControl w:val="0"/>
                    <w:kinsoku/>
                    <w:overflowPunct/>
                    <w:topLinePunct w:val="0"/>
                    <w:autoSpaceDE/>
                    <w:autoSpaceDN/>
                    <w:bidi w:val="0"/>
                    <w:adjustRightInd/>
                    <w:snapToGrid/>
                    <w:jc w:val="center"/>
                    <w:textAlignment w:val="auto"/>
                    <w:rPr>
                      <w:color w:val="auto"/>
                      <w:sz w:val="18"/>
                      <w:szCs w:val="18"/>
                    </w:rPr>
                  </w:pPr>
                  <w:r>
                    <w:rPr>
                      <w:rFonts w:hint="eastAsia"/>
                      <w:color w:val="auto"/>
                      <w:sz w:val="18"/>
                      <w:szCs w:val="18"/>
                    </w:rPr>
                    <w:t>110kV主变压器</w:t>
                  </w:r>
                </w:p>
              </w:tc>
              <w:tc>
                <w:tcPr>
                  <w:tcW w:w="6361" w:type="dxa"/>
                  <w:tcBorders>
                    <w:top w:val="single" w:color="auto" w:sz="4" w:space="0"/>
                  </w:tcBorders>
                  <w:vAlign w:val="center"/>
                </w:tcPr>
                <w:p w14:paraId="1611174E">
                  <w:pPr>
                    <w:keepNext w:val="0"/>
                    <w:keepLines w:val="0"/>
                    <w:pageBreakBefore w:val="0"/>
                    <w:widowControl w:val="0"/>
                    <w:kinsoku/>
                    <w:overflowPunct/>
                    <w:topLinePunct w:val="0"/>
                    <w:autoSpaceDE/>
                    <w:autoSpaceDN/>
                    <w:bidi w:val="0"/>
                    <w:adjustRightInd/>
                    <w:snapToGrid/>
                    <w:jc w:val="left"/>
                    <w:textAlignment w:val="auto"/>
                    <w:rPr>
                      <w:rFonts w:hint="eastAsia" w:eastAsia="宋体"/>
                      <w:color w:val="auto"/>
                      <w:sz w:val="18"/>
                      <w:szCs w:val="18"/>
                      <w:lang w:val="en-US" w:eastAsia="zh-CN"/>
                    </w:rPr>
                  </w:pPr>
                  <w:r>
                    <w:rPr>
                      <w:color w:val="auto"/>
                      <w:sz w:val="18"/>
                      <w:szCs w:val="18"/>
                    </w:rPr>
                    <w:t>主变：</w:t>
                  </w:r>
                  <w:r>
                    <w:rPr>
                      <w:rFonts w:hint="eastAsia"/>
                      <w:color w:val="auto"/>
                      <w:sz w:val="18"/>
                      <w:szCs w:val="18"/>
                      <w:lang w:val="en-US" w:eastAsia="zh-CN"/>
                    </w:rPr>
                    <w:t>户外高效节能型</w:t>
                  </w:r>
                  <w:r>
                    <w:rPr>
                      <w:rFonts w:hint="eastAsia"/>
                      <w:color w:val="auto"/>
                      <w:sz w:val="18"/>
                      <w:szCs w:val="18"/>
                    </w:rPr>
                    <w:t>三相</w:t>
                  </w:r>
                  <w:r>
                    <w:rPr>
                      <w:rFonts w:hint="eastAsia"/>
                      <w:color w:val="auto"/>
                      <w:sz w:val="18"/>
                      <w:szCs w:val="18"/>
                      <w:lang w:val="en-US" w:eastAsia="zh-CN"/>
                    </w:rPr>
                    <w:t>三</w:t>
                  </w:r>
                  <w:r>
                    <w:rPr>
                      <w:rFonts w:hint="eastAsia"/>
                      <w:color w:val="auto"/>
                      <w:sz w:val="18"/>
                      <w:szCs w:val="18"/>
                    </w:rPr>
                    <w:t>绕组</w:t>
                  </w:r>
                  <w:r>
                    <w:rPr>
                      <w:rFonts w:hint="eastAsia"/>
                      <w:color w:val="auto"/>
                      <w:sz w:val="18"/>
                      <w:szCs w:val="18"/>
                      <w:lang w:val="en-US" w:eastAsia="zh-CN"/>
                    </w:rPr>
                    <w:t>自然</w:t>
                  </w:r>
                  <w:r>
                    <w:rPr>
                      <w:rFonts w:hint="eastAsia"/>
                      <w:color w:val="auto"/>
                      <w:sz w:val="18"/>
                      <w:szCs w:val="18"/>
                    </w:rPr>
                    <w:t>油</w:t>
                  </w:r>
                  <w:r>
                    <w:rPr>
                      <w:rFonts w:hint="eastAsia"/>
                      <w:color w:val="auto"/>
                      <w:sz w:val="18"/>
                      <w:szCs w:val="18"/>
                      <w:lang w:val="en-US" w:eastAsia="zh-CN"/>
                    </w:rPr>
                    <w:t>循环</w:t>
                  </w:r>
                  <w:r>
                    <w:rPr>
                      <w:rFonts w:hint="eastAsia"/>
                      <w:color w:val="auto"/>
                      <w:sz w:val="18"/>
                      <w:szCs w:val="18"/>
                    </w:rPr>
                    <w:t>自冷式有载调压</w:t>
                  </w:r>
                  <w:r>
                    <w:rPr>
                      <w:rFonts w:hint="eastAsia"/>
                      <w:color w:val="auto"/>
                      <w:sz w:val="18"/>
                      <w:szCs w:val="18"/>
                      <w:lang w:val="en-US" w:eastAsia="zh-CN"/>
                    </w:rPr>
                    <w:t>变压器</w:t>
                  </w:r>
                </w:p>
                <w:p w14:paraId="14BEA2A6">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rFonts w:hint="eastAsia"/>
                      <w:color w:val="auto"/>
                      <w:sz w:val="18"/>
                      <w:szCs w:val="18"/>
                    </w:rPr>
                    <w:t>通用设备编号</w:t>
                  </w:r>
                  <w:r>
                    <w:rPr>
                      <w:color w:val="auto"/>
                      <w:sz w:val="18"/>
                      <w:szCs w:val="18"/>
                    </w:rPr>
                    <w:t>：</w:t>
                  </w:r>
                  <w:r>
                    <w:rPr>
                      <w:rFonts w:hint="eastAsia"/>
                      <w:color w:val="auto"/>
                      <w:sz w:val="18"/>
                      <w:szCs w:val="18"/>
                    </w:rPr>
                    <w:t>SSZ-63000/110</w:t>
                  </w:r>
                </w:p>
                <w:p w14:paraId="3EA8C23C">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电压等级：</w:t>
                  </w:r>
                  <w:r>
                    <w:rPr>
                      <w:rFonts w:hint="eastAsia"/>
                      <w:color w:val="auto"/>
                      <w:sz w:val="18"/>
                      <w:szCs w:val="18"/>
                    </w:rPr>
                    <w:t>110/35/10</w:t>
                  </w:r>
                </w:p>
                <w:p w14:paraId="08CFB4C0">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rFonts w:hint="eastAsia"/>
                      <w:color w:val="auto"/>
                      <w:sz w:val="18"/>
                      <w:szCs w:val="18"/>
                    </w:rPr>
                    <w:t>额定</w:t>
                  </w:r>
                  <w:r>
                    <w:rPr>
                      <w:color w:val="auto"/>
                      <w:sz w:val="18"/>
                      <w:szCs w:val="18"/>
                    </w:rPr>
                    <w:t>电压比：11</w:t>
                  </w:r>
                  <w:r>
                    <w:rPr>
                      <w:rFonts w:hint="eastAsia"/>
                      <w:color w:val="auto"/>
                      <w:sz w:val="18"/>
                      <w:szCs w:val="18"/>
                    </w:rPr>
                    <w:t>0</w:t>
                  </w:r>
                  <w:r>
                    <w:rPr>
                      <w:color w:val="auto"/>
                      <w:sz w:val="18"/>
                      <w:szCs w:val="18"/>
                    </w:rPr>
                    <w:sym w:font="Symbol" w:char="F0B1"/>
                  </w:r>
                  <w:r>
                    <w:rPr>
                      <w:color w:val="auto"/>
                      <w:sz w:val="18"/>
                      <w:szCs w:val="18"/>
                    </w:rPr>
                    <w:t>8×1.25％/38.5</w:t>
                  </w:r>
                  <w:r>
                    <w:rPr>
                      <w:color w:val="auto"/>
                      <w:sz w:val="18"/>
                      <w:szCs w:val="18"/>
                    </w:rPr>
                    <w:sym w:font="Symbol" w:char="F0B1"/>
                  </w:r>
                  <w:r>
                    <w:rPr>
                      <w:color w:val="auto"/>
                      <w:sz w:val="18"/>
                      <w:szCs w:val="18"/>
                    </w:rPr>
                    <w:t>2×2.5%/10.5kV</w:t>
                  </w:r>
                </w:p>
                <w:p w14:paraId="7F0D7492">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额定容量：</w:t>
                  </w:r>
                  <w:r>
                    <w:rPr>
                      <w:rFonts w:hint="eastAsia"/>
                      <w:color w:val="auto"/>
                      <w:sz w:val="18"/>
                      <w:szCs w:val="18"/>
                    </w:rPr>
                    <w:t>63</w:t>
                  </w:r>
                  <w:r>
                    <w:rPr>
                      <w:color w:val="auto"/>
                      <w:sz w:val="18"/>
                      <w:szCs w:val="18"/>
                    </w:rPr>
                    <w:t>MVA/</w:t>
                  </w:r>
                  <w:r>
                    <w:rPr>
                      <w:rFonts w:hint="eastAsia"/>
                      <w:color w:val="auto"/>
                      <w:sz w:val="18"/>
                      <w:szCs w:val="18"/>
                    </w:rPr>
                    <w:t>63</w:t>
                  </w:r>
                  <w:r>
                    <w:rPr>
                      <w:color w:val="auto"/>
                      <w:sz w:val="18"/>
                      <w:szCs w:val="18"/>
                    </w:rPr>
                    <w:t>MVA/</w:t>
                  </w:r>
                  <w:r>
                    <w:rPr>
                      <w:rFonts w:hint="eastAsia"/>
                      <w:color w:val="auto"/>
                      <w:sz w:val="18"/>
                      <w:szCs w:val="18"/>
                    </w:rPr>
                    <w:t>63</w:t>
                  </w:r>
                  <w:r>
                    <w:rPr>
                      <w:color w:val="auto"/>
                      <w:sz w:val="18"/>
                      <w:szCs w:val="18"/>
                    </w:rPr>
                    <w:t>MVA</w:t>
                  </w:r>
                </w:p>
                <w:p w14:paraId="7223CB5F">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接线组别：YN</w:t>
                  </w:r>
                  <w:r>
                    <w:rPr>
                      <w:rFonts w:hint="eastAsia"/>
                      <w:color w:val="auto"/>
                      <w:sz w:val="18"/>
                      <w:szCs w:val="18"/>
                      <w:lang w:eastAsia="zh-CN"/>
                    </w:rPr>
                    <w:t>，</w:t>
                  </w:r>
                  <w:r>
                    <w:rPr>
                      <w:color w:val="auto"/>
                      <w:sz w:val="18"/>
                      <w:szCs w:val="18"/>
                    </w:rPr>
                    <w:t>yn0</w:t>
                  </w:r>
                  <w:r>
                    <w:rPr>
                      <w:rFonts w:hint="eastAsia"/>
                      <w:color w:val="auto"/>
                      <w:sz w:val="18"/>
                      <w:szCs w:val="18"/>
                      <w:lang w:eastAsia="zh-CN"/>
                    </w:rPr>
                    <w:t>，</w:t>
                  </w:r>
                  <w:r>
                    <w:rPr>
                      <w:color w:val="auto"/>
                      <w:sz w:val="18"/>
                      <w:szCs w:val="18"/>
                    </w:rPr>
                    <w:t>d11</w:t>
                  </w:r>
                </w:p>
                <w:p w14:paraId="6239F76A">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阻抗电压：U</w:t>
                  </w:r>
                  <w:r>
                    <w:rPr>
                      <w:color w:val="auto"/>
                      <w:sz w:val="18"/>
                      <w:szCs w:val="18"/>
                      <w:vertAlign w:val="subscript"/>
                    </w:rPr>
                    <w:t>k1-2</w:t>
                  </w:r>
                  <w:r>
                    <w:rPr>
                      <w:color w:val="auto"/>
                      <w:sz w:val="18"/>
                      <w:szCs w:val="18"/>
                    </w:rPr>
                    <w:t>=10.5%</w:t>
                  </w:r>
                  <w:r>
                    <w:rPr>
                      <w:rFonts w:hint="eastAsia"/>
                      <w:color w:val="auto"/>
                      <w:sz w:val="18"/>
                      <w:szCs w:val="18"/>
                    </w:rPr>
                    <w:t>，</w:t>
                  </w:r>
                  <w:r>
                    <w:rPr>
                      <w:color w:val="auto"/>
                      <w:sz w:val="18"/>
                      <w:szCs w:val="18"/>
                    </w:rPr>
                    <w:t>U</w:t>
                  </w:r>
                  <w:r>
                    <w:rPr>
                      <w:color w:val="auto"/>
                      <w:sz w:val="18"/>
                      <w:szCs w:val="18"/>
                      <w:vertAlign w:val="subscript"/>
                    </w:rPr>
                    <w:t>k1-3</w:t>
                  </w:r>
                  <w:r>
                    <w:rPr>
                      <w:color w:val="auto"/>
                      <w:sz w:val="18"/>
                      <w:szCs w:val="18"/>
                    </w:rPr>
                    <w:t>=18%</w:t>
                  </w:r>
                  <w:r>
                    <w:rPr>
                      <w:rFonts w:hint="eastAsia"/>
                      <w:color w:val="auto"/>
                      <w:sz w:val="18"/>
                      <w:szCs w:val="18"/>
                    </w:rPr>
                    <w:t>，</w:t>
                  </w:r>
                  <w:r>
                    <w:rPr>
                      <w:color w:val="auto"/>
                      <w:sz w:val="18"/>
                      <w:szCs w:val="18"/>
                    </w:rPr>
                    <w:t>U</w:t>
                  </w:r>
                  <w:r>
                    <w:rPr>
                      <w:color w:val="auto"/>
                      <w:sz w:val="18"/>
                      <w:szCs w:val="18"/>
                      <w:vertAlign w:val="subscript"/>
                    </w:rPr>
                    <w:t>k2-3</w:t>
                  </w:r>
                  <w:r>
                    <w:rPr>
                      <w:color w:val="auto"/>
                      <w:sz w:val="18"/>
                      <w:szCs w:val="18"/>
                    </w:rPr>
                    <w:t>=6.5%</w:t>
                  </w:r>
                </w:p>
                <w:p w14:paraId="7C1B18F2">
                  <w:pPr>
                    <w:keepNext w:val="0"/>
                    <w:keepLines w:val="0"/>
                    <w:pageBreakBefore w:val="0"/>
                    <w:widowControl w:val="0"/>
                    <w:kinsoku/>
                    <w:overflowPunct/>
                    <w:topLinePunct w:val="0"/>
                    <w:autoSpaceDE/>
                    <w:autoSpaceDN/>
                    <w:bidi w:val="0"/>
                    <w:adjustRightInd/>
                    <w:snapToGrid/>
                    <w:jc w:val="left"/>
                    <w:textAlignment w:val="auto"/>
                    <w:rPr>
                      <w:color w:val="FF0000"/>
                      <w:sz w:val="18"/>
                      <w:szCs w:val="18"/>
                    </w:rPr>
                  </w:pPr>
                  <w:r>
                    <w:rPr>
                      <w:color w:val="auto"/>
                      <w:sz w:val="18"/>
                      <w:szCs w:val="18"/>
                    </w:rPr>
                    <w:t>数量：</w:t>
                  </w:r>
                  <w:r>
                    <w:rPr>
                      <w:rFonts w:hint="eastAsia"/>
                      <w:color w:val="auto"/>
                      <w:sz w:val="18"/>
                      <w:szCs w:val="18"/>
                    </w:rPr>
                    <w:t>本期</w:t>
                  </w:r>
                  <w:r>
                    <w:rPr>
                      <w:rFonts w:hint="eastAsia"/>
                      <w:color w:val="auto"/>
                      <w:sz w:val="18"/>
                      <w:szCs w:val="18"/>
                      <w:lang w:val="en-US" w:eastAsia="zh-CN"/>
                    </w:rPr>
                    <w:t>2</w:t>
                  </w:r>
                  <w:r>
                    <w:rPr>
                      <w:color w:val="auto"/>
                      <w:sz w:val="18"/>
                      <w:szCs w:val="18"/>
                    </w:rPr>
                    <w:t>台</w:t>
                  </w:r>
                  <w:r>
                    <w:rPr>
                      <w:rFonts w:hint="eastAsia"/>
                      <w:color w:val="auto"/>
                      <w:sz w:val="18"/>
                      <w:szCs w:val="18"/>
                    </w:rPr>
                    <w:t>，终期3台</w:t>
                  </w:r>
                </w:p>
              </w:tc>
            </w:tr>
            <w:tr w14:paraId="60DF96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Merge w:val="continue"/>
                  <w:vAlign w:val="center"/>
                </w:tcPr>
                <w:p w14:paraId="0DB6FC31">
                  <w:pPr>
                    <w:keepNext w:val="0"/>
                    <w:keepLines w:val="0"/>
                    <w:pageBreakBefore w:val="0"/>
                    <w:widowControl w:val="0"/>
                    <w:kinsoku/>
                    <w:overflowPunct/>
                    <w:topLinePunct w:val="0"/>
                    <w:autoSpaceDE/>
                    <w:autoSpaceDN/>
                    <w:bidi w:val="0"/>
                    <w:adjustRightInd/>
                    <w:snapToGrid/>
                    <w:jc w:val="center"/>
                    <w:textAlignment w:val="auto"/>
                    <w:rPr>
                      <w:color w:val="auto"/>
                      <w:sz w:val="18"/>
                      <w:szCs w:val="18"/>
                    </w:rPr>
                  </w:pPr>
                </w:p>
              </w:tc>
              <w:tc>
                <w:tcPr>
                  <w:tcW w:w="1259" w:type="dxa"/>
                  <w:vAlign w:val="center"/>
                </w:tcPr>
                <w:p w14:paraId="5FB0137B">
                  <w:pPr>
                    <w:keepNext w:val="0"/>
                    <w:keepLines w:val="0"/>
                    <w:pageBreakBefore w:val="0"/>
                    <w:widowControl w:val="0"/>
                    <w:kinsoku/>
                    <w:overflowPunct/>
                    <w:topLinePunct w:val="0"/>
                    <w:autoSpaceDE/>
                    <w:autoSpaceDN/>
                    <w:bidi w:val="0"/>
                    <w:adjustRightInd/>
                    <w:snapToGrid/>
                    <w:jc w:val="center"/>
                    <w:textAlignment w:val="auto"/>
                    <w:rPr>
                      <w:color w:val="auto"/>
                      <w:sz w:val="18"/>
                      <w:szCs w:val="18"/>
                    </w:rPr>
                  </w:pPr>
                  <w:r>
                    <w:rPr>
                      <w:rFonts w:hint="eastAsia"/>
                      <w:color w:val="auto"/>
                      <w:sz w:val="18"/>
                      <w:szCs w:val="18"/>
                    </w:rPr>
                    <w:t>110kV电压设备</w:t>
                  </w:r>
                </w:p>
              </w:tc>
              <w:tc>
                <w:tcPr>
                  <w:tcW w:w="6361" w:type="dxa"/>
                  <w:vAlign w:val="center"/>
                </w:tcPr>
                <w:p w14:paraId="506EA736">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断路器：</w:t>
                  </w:r>
                  <w:r>
                    <w:rPr>
                      <w:rFonts w:hint="eastAsia"/>
                      <w:color w:val="auto"/>
                      <w:sz w:val="18"/>
                      <w:szCs w:val="18"/>
                    </w:rPr>
                    <w:t>126kV，3150A，40kA</w:t>
                  </w:r>
                </w:p>
                <w:p w14:paraId="118159DE">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隔离开关：</w:t>
                  </w:r>
                  <w:r>
                    <w:rPr>
                      <w:rFonts w:hint="eastAsia"/>
                      <w:color w:val="auto"/>
                      <w:sz w:val="18"/>
                      <w:szCs w:val="18"/>
                    </w:rPr>
                    <w:t>126kV，3150A，40kA/3s</w:t>
                  </w:r>
                </w:p>
                <w:p w14:paraId="643C0B59">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电流互感器</w:t>
                  </w:r>
                </w:p>
                <w:p w14:paraId="69E5766B">
                  <w:pPr>
                    <w:keepNext w:val="0"/>
                    <w:keepLines w:val="0"/>
                    <w:pageBreakBefore w:val="0"/>
                    <w:widowControl w:val="0"/>
                    <w:kinsoku/>
                    <w:wordWrap w:val="0"/>
                    <w:overflowPunct/>
                    <w:topLinePunct w:val="0"/>
                    <w:autoSpaceDE/>
                    <w:autoSpaceDN/>
                    <w:bidi w:val="0"/>
                    <w:adjustRightInd/>
                    <w:snapToGrid/>
                    <w:jc w:val="left"/>
                    <w:textAlignment w:val="auto"/>
                    <w:rPr>
                      <w:rFonts w:hint="eastAsia"/>
                      <w:color w:val="auto"/>
                      <w:sz w:val="18"/>
                      <w:szCs w:val="18"/>
                      <w:lang w:eastAsia="zh-CN"/>
                    </w:rPr>
                  </w:pPr>
                  <w:r>
                    <w:rPr>
                      <w:rFonts w:hint="eastAsia"/>
                      <w:color w:val="auto"/>
                      <w:sz w:val="18"/>
                      <w:szCs w:val="18"/>
                      <w:lang w:val="en-US" w:eastAsia="zh-CN"/>
                    </w:rPr>
                    <w:t>5</w:t>
                  </w:r>
                  <w:r>
                    <w:rPr>
                      <w:color w:val="auto"/>
                      <w:sz w:val="18"/>
                      <w:szCs w:val="18"/>
                    </w:rPr>
                    <w:t>00-</w:t>
                  </w:r>
                  <w:r>
                    <w:rPr>
                      <w:rFonts w:hint="eastAsia"/>
                      <w:color w:val="auto"/>
                      <w:sz w:val="18"/>
                      <w:szCs w:val="18"/>
                      <w:lang w:val="en-US" w:eastAsia="zh-CN"/>
                    </w:rPr>
                    <w:t>10</w:t>
                  </w:r>
                  <w:r>
                    <w:rPr>
                      <w:color w:val="auto"/>
                      <w:sz w:val="18"/>
                      <w:szCs w:val="18"/>
                    </w:rPr>
                    <w:t>00-</w:t>
                  </w:r>
                  <w:r>
                    <w:rPr>
                      <w:rFonts w:hint="eastAsia"/>
                      <w:color w:val="auto"/>
                      <w:sz w:val="18"/>
                      <w:szCs w:val="18"/>
                      <w:lang w:val="en-US" w:eastAsia="zh-CN"/>
                    </w:rPr>
                    <w:t>20</w:t>
                  </w:r>
                  <w:r>
                    <w:rPr>
                      <w:color w:val="auto"/>
                      <w:sz w:val="18"/>
                      <w:szCs w:val="18"/>
                    </w:rPr>
                    <w:t>00/5A</w:t>
                  </w:r>
                  <w:r>
                    <w:rPr>
                      <w:rFonts w:hint="eastAsia"/>
                      <w:color w:val="auto"/>
                      <w:sz w:val="18"/>
                      <w:szCs w:val="18"/>
                      <w:lang w:eastAsia="zh-CN"/>
                    </w:rPr>
                    <w:t>，</w:t>
                  </w:r>
                  <w:r>
                    <w:rPr>
                      <w:color w:val="auto"/>
                      <w:sz w:val="18"/>
                      <w:szCs w:val="18"/>
                    </w:rPr>
                    <w:t>5P30/0.2S/0.2S</w:t>
                  </w:r>
                  <w:r>
                    <w:rPr>
                      <w:rFonts w:hint="eastAsia"/>
                      <w:color w:val="auto"/>
                      <w:sz w:val="18"/>
                      <w:szCs w:val="18"/>
                      <w:lang w:eastAsia="zh-CN"/>
                    </w:rPr>
                    <w:t>（</w:t>
                  </w:r>
                  <w:r>
                    <w:rPr>
                      <w:rFonts w:hint="eastAsia"/>
                      <w:color w:val="auto"/>
                      <w:sz w:val="18"/>
                      <w:szCs w:val="18"/>
                      <w:lang w:val="en-US" w:eastAsia="zh-CN"/>
                    </w:rPr>
                    <w:t>出线间隔</w:t>
                  </w:r>
                  <w:r>
                    <w:rPr>
                      <w:rFonts w:hint="eastAsia"/>
                      <w:color w:val="auto"/>
                      <w:sz w:val="18"/>
                      <w:szCs w:val="18"/>
                      <w:lang w:eastAsia="zh-CN"/>
                    </w:rPr>
                    <w:t>）</w:t>
                  </w:r>
                </w:p>
                <w:p w14:paraId="64D2266B">
                  <w:pPr>
                    <w:keepNext w:val="0"/>
                    <w:keepLines w:val="0"/>
                    <w:pageBreakBefore w:val="0"/>
                    <w:widowControl w:val="0"/>
                    <w:kinsoku/>
                    <w:wordWrap w:val="0"/>
                    <w:overflowPunct/>
                    <w:topLinePunct w:val="0"/>
                    <w:autoSpaceDE/>
                    <w:autoSpaceDN/>
                    <w:bidi w:val="0"/>
                    <w:adjustRightInd/>
                    <w:snapToGrid/>
                    <w:jc w:val="left"/>
                    <w:textAlignment w:val="auto"/>
                    <w:rPr>
                      <w:rFonts w:hint="eastAsia"/>
                      <w:color w:val="auto"/>
                      <w:sz w:val="18"/>
                      <w:szCs w:val="18"/>
                      <w:lang w:eastAsia="zh-CN"/>
                    </w:rPr>
                  </w:pPr>
                  <w:r>
                    <w:rPr>
                      <w:rFonts w:hint="eastAsia"/>
                      <w:color w:val="auto"/>
                      <w:sz w:val="18"/>
                      <w:szCs w:val="18"/>
                      <w:lang w:val="en-US" w:eastAsia="zh-CN"/>
                    </w:rPr>
                    <w:t>5</w:t>
                  </w:r>
                  <w:r>
                    <w:rPr>
                      <w:color w:val="auto"/>
                      <w:sz w:val="18"/>
                      <w:szCs w:val="18"/>
                    </w:rPr>
                    <w:t>00-</w:t>
                  </w:r>
                  <w:r>
                    <w:rPr>
                      <w:rFonts w:hint="eastAsia"/>
                      <w:color w:val="auto"/>
                      <w:sz w:val="18"/>
                      <w:szCs w:val="18"/>
                      <w:lang w:val="en-US" w:eastAsia="zh-CN"/>
                    </w:rPr>
                    <w:t>10</w:t>
                  </w:r>
                  <w:r>
                    <w:rPr>
                      <w:color w:val="auto"/>
                      <w:sz w:val="18"/>
                      <w:szCs w:val="18"/>
                    </w:rPr>
                    <w:t>00-</w:t>
                  </w:r>
                  <w:r>
                    <w:rPr>
                      <w:rFonts w:hint="eastAsia"/>
                      <w:color w:val="auto"/>
                      <w:sz w:val="18"/>
                      <w:szCs w:val="18"/>
                      <w:lang w:val="en-US" w:eastAsia="zh-CN"/>
                    </w:rPr>
                    <w:t>20</w:t>
                  </w:r>
                  <w:r>
                    <w:rPr>
                      <w:color w:val="auto"/>
                      <w:sz w:val="18"/>
                      <w:szCs w:val="18"/>
                    </w:rPr>
                    <w:t>00/5A</w:t>
                  </w:r>
                  <w:r>
                    <w:rPr>
                      <w:rFonts w:hint="eastAsia"/>
                      <w:color w:val="auto"/>
                      <w:sz w:val="18"/>
                      <w:szCs w:val="18"/>
                      <w:lang w:eastAsia="zh-CN"/>
                    </w:rPr>
                    <w:t>，5P30/0.2S（</w:t>
                  </w:r>
                  <w:r>
                    <w:rPr>
                      <w:rFonts w:hint="eastAsia"/>
                      <w:color w:val="auto"/>
                      <w:sz w:val="18"/>
                      <w:szCs w:val="18"/>
                      <w:lang w:val="en-US" w:eastAsia="zh-CN"/>
                    </w:rPr>
                    <w:t>分段间隔</w:t>
                  </w:r>
                  <w:r>
                    <w:rPr>
                      <w:rFonts w:hint="eastAsia"/>
                      <w:color w:val="auto"/>
                      <w:sz w:val="18"/>
                      <w:szCs w:val="18"/>
                      <w:lang w:eastAsia="zh-CN"/>
                    </w:rPr>
                    <w:t>）</w:t>
                  </w:r>
                </w:p>
                <w:p w14:paraId="21A1A7C5">
                  <w:pPr>
                    <w:keepNext w:val="0"/>
                    <w:keepLines w:val="0"/>
                    <w:pageBreakBefore w:val="0"/>
                    <w:widowControl w:val="0"/>
                    <w:kinsoku/>
                    <w:wordWrap w:val="0"/>
                    <w:overflowPunct/>
                    <w:topLinePunct w:val="0"/>
                    <w:autoSpaceDE/>
                    <w:autoSpaceDN/>
                    <w:bidi w:val="0"/>
                    <w:adjustRightInd/>
                    <w:snapToGrid/>
                    <w:jc w:val="left"/>
                    <w:textAlignment w:val="auto"/>
                    <w:rPr>
                      <w:rFonts w:hint="eastAsia"/>
                      <w:color w:val="auto"/>
                      <w:sz w:val="18"/>
                      <w:szCs w:val="18"/>
                      <w:lang w:eastAsia="zh-CN"/>
                    </w:rPr>
                  </w:pPr>
                  <w:r>
                    <w:rPr>
                      <w:rFonts w:hint="eastAsia"/>
                      <w:color w:val="auto"/>
                      <w:sz w:val="18"/>
                      <w:szCs w:val="18"/>
                      <w:lang w:val="en-US" w:eastAsia="zh-CN"/>
                    </w:rPr>
                    <w:t>2</w:t>
                  </w:r>
                  <w:r>
                    <w:rPr>
                      <w:rFonts w:hint="eastAsia"/>
                      <w:color w:val="auto"/>
                      <w:sz w:val="18"/>
                      <w:szCs w:val="18"/>
                      <w:lang w:eastAsia="zh-CN"/>
                    </w:rPr>
                    <w:t>00-</w:t>
                  </w:r>
                  <w:r>
                    <w:rPr>
                      <w:rFonts w:hint="eastAsia"/>
                      <w:color w:val="auto"/>
                      <w:sz w:val="18"/>
                      <w:szCs w:val="18"/>
                      <w:lang w:val="en-US" w:eastAsia="zh-CN"/>
                    </w:rPr>
                    <w:t>4</w:t>
                  </w:r>
                  <w:r>
                    <w:rPr>
                      <w:rFonts w:hint="eastAsia"/>
                      <w:color w:val="auto"/>
                      <w:sz w:val="18"/>
                      <w:szCs w:val="18"/>
                      <w:lang w:eastAsia="zh-CN"/>
                    </w:rPr>
                    <w:t>00</w:t>
                  </w:r>
                  <w:r>
                    <w:rPr>
                      <w:rFonts w:hint="eastAsia"/>
                      <w:color w:val="auto"/>
                      <w:sz w:val="18"/>
                      <w:szCs w:val="18"/>
                      <w:lang w:val="en-US" w:eastAsia="zh-CN"/>
                    </w:rPr>
                    <w:t>-800</w:t>
                  </w:r>
                  <w:r>
                    <w:rPr>
                      <w:rFonts w:hint="eastAsia"/>
                      <w:color w:val="auto"/>
                      <w:sz w:val="18"/>
                      <w:szCs w:val="18"/>
                      <w:lang w:eastAsia="zh-CN"/>
                    </w:rPr>
                    <w:t>/5A，5P30/5P30/0.2S/0.2S（</w:t>
                  </w:r>
                  <w:r>
                    <w:rPr>
                      <w:rFonts w:hint="eastAsia"/>
                      <w:color w:val="auto"/>
                      <w:sz w:val="18"/>
                      <w:szCs w:val="18"/>
                      <w:lang w:val="en-US" w:eastAsia="zh-CN"/>
                    </w:rPr>
                    <w:t>主变进线间隔</w:t>
                  </w:r>
                  <w:r>
                    <w:rPr>
                      <w:rFonts w:hint="eastAsia"/>
                      <w:color w:val="auto"/>
                      <w:sz w:val="18"/>
                      <w:szCs w:val="18"/>
                      <w:lang w:eastAsia="zh-CN"/>
                    </w:rPr>
                    <w:t>）</w:t>
                  </w:r>
                </w:p>
                <w:p w14:paraId="5270B923">
                  <w:pPr>
                    <w:keepNext w:val="0"/>
                    <w:keepLines w:val="0"/>
                    <w:pageBreakBefore w:val="0"/>
                    <w:widowControl w:val="0"/>
                    <w:kinsoku/>
                    <w:wordWrap w:val="0"/>
                    <w:overflowPunct/>
                    <w:topLinePunct w:val="0"/>
                    <w:autoSpaceDE/>
                    <w:autoSpaceDN/>
                    <w:bidi w:val="0"/>
                    <w:adjustRightInd/>
                    <w:snapToGrid/>
                    <w:jc w:val="left"/>
                    <w:textAlignment w:val="auto"/>
                    <w:rPr>
                      <w:color w:val="auto"/>
                      <w:sz w:val="18"/>
                      <w:szCs w:val="18"/>
                    </w:rPr>
                  </w:pPr>
                  <w:r>
                    <w:rPr>
                      <w:color w:val="auto"/>
                      <w:sz w:val="18"/>
                      <w:szCs w:val="18"/>
                    </w:rPr>
                    <w:t>电压互感器</w:t>
                  </w:r>
                </w:p>
                <w:p w14:paraId="147D0349">
                  <w:pPr>
                    <w:keepNext w:val="0"/>
                    <w:keepLines w:val="0"/>
                    <w:pageBreakBefore w:val="0"/>
                    <w:widowControl w:val="0"/>
                    <w:kinsoku/>
                    <w:wordWrap w:val="0"/>
                    <w:overflowPunct/>
                    <w:topLinePunct w:val="0"/>
                    <w:autoSpaceDE/>
                    <w:autoSpaceDN/>
                    <w:bidi w:val="0"/>
                    <w:adjustRightInd/>
                    <w:snapToGrid/>
                    <w:jc w:val="left"/>
                    <w:textAlignment w:val="auto"/>
                    <w:rPr>
                      <w:color w:val="FF0000"/>
                      <w:sz w:val="18"/>
                      <w:szCs w:val="18"/>
                    </w:rPr>
                  </w:pPr>
                  <w:r>
                    <w:rPr>
                      <w:rFonts w:hint="eastAsia"/>
                      <w:color w:val="auto"/>
                      <w:sz w:val="18"/>
                      <w:szCs w:val="18"/>
                    </w:rPr>
                    <w:t>0.02μF，110/√3/0.1/√3/0.1/√3/0.1/√3/0.1kV</w:t>
                  </w:r>
                  <w:r>
                    <w:rPr>
                      <w:rFonts w:hint="eastAsia"/>
                      <w:color w:val="auto"/>
                      <w:sz w:val="18"/>
                      <w:szCs w:val="18"/>
                      <w:lang w:eastAsia="zh-CN"/>
                    </w:rPr>
                    <w:t>,</w:t>
                  </w:r>
                  <w:r>
                    <w:rPr>
                      <w:rFonts w:hint="eastAsia"/>
                      <w:color w:val="auto"/>
                      <w:sz w:val="18"/>
                      <w:szCs w:val="18"/>
                    </w:rPr>
                    <w:t>0.2/0.5/0.5/3P</w:t>
                  </w:r>
                </w:p>
              </w:tc>
            </w:tr>
            <w:bookmarkEnd w:id="5"/>
          </w:tbl>
          <w:p w14:paraId="036A55F4">
            <w:pPr>
              <w:keepNext w:val="0"/>
              <w:keepLines w:val="0"/>
              <w:pageBreakBefore w:val="0"/>
              <w:widowControl w:val="0"/>
              <w:kinsoku/>
              <w:wordWrap/>
              <w:overflowPunct/>
              <w:topLinePunct w:val="0"/>
              <w:autoSpaceDE/>
              <w:autoSpaceDN/>
              <w:bidi w:val="0"/>
              <w:adjustRightInd/>
              <w:snapToGrid/>
              <w:jc w:val="center"/>
              <w:textAlignment w:val="auto"/>
              <w:rPr>
                <w:rFonts w:eastAsia="黑体"/>
                <w:b w:val="0"/>
                <w:bCs w:val="0"/>
                <w:color w:val="auto"/>
                <w:szCs w:val="21"/>
              </w:rPr>
            </w:pPr>
            <w:r>
              <w:rPr>
                <w:rFonts w:eastAsia="黑体"/>
                <w:b w:val="0"/>
                <w:bCs w:val="0"/>
                <w:color w:val="auto"/>
                <w:szCs w:val="21"/>
              </w:rPr>
              <w:t>表2-</w:t>
            </w:r>
            <w:r>
              <w:rPr>
                <w:rFonts w:hint="eastAsia" w:eastAsia="黑体"/>
                <w:b w:val="0"/>
                <w:bCs w:val="0"/>
                <w:color w:val="auto"/>
                <w:szCs w:val="21"/>
                <w:lang w:val="en-US" w:eastAsia="zh-CN"/>
              </w:rPr>
              <w:t>3</w:t>
            </w:r>
            <w:r>
              <w:rPr>
                <w:rFonts w:eastAsia="黑体"/>
                <w:b w:val="0"/>
                <w:bCs w:val="0"/>
                <w:color w:val="auto"/>
                <w:szCs w:val="21"/>
              </w:rPr>
              <w:t xml:space="preserve">  </w:t>
            </w:r>
            <w:r>
              <w:rPr>
                <w:rFonts w:hint="eastAsia" w:eastAsia="黑体"/>
                <w:b w:val="0"/>
                <w:bCs w:val="0"/>
                <w:color w:val="auto"/>
                <w:szCs w:val="21"/>
              </w:rPr>
              <w:t>输电线路</w:t>
            </w:r>
            <w:r>
              <w:rPr>
                <w:rFonts w:eastAsia="黑体"/>
                <w:b w:val="0"/>
                <w:bCs w:val="0"/>
                <w:color w:val="auto"/>
                <w:szCs w:val="21"/>
              </w:rPr>
              <w:t>主要设备选型</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472"/>
              <w:gridCol w:w="600"/>
              <w:gridCol w:w="597"/>
              <w:gridCol w:w="1751"/>
              <w:gridCol w:w="281"/>
              <w:gridCol w:w="1012"/>
              <w:gridCol w:w="1089"/>
              <w:gridCol w:w="757"/>
              <w:gridCol w:w="1298"/>
            </w:tblGrid>
            <w:tr w14:paraId="1F8894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restart"/>
                  <w:vAlign w:val="center"/>
                </w:tcPr>
                <w:p w14:paraId="086F2FDE">
                  <w:pPr>
                    <w:keepNext w:val="0"/>
                    <w:keepLines w:val="0"/>
                    <w:pageBreakBefore w:val="0"/>
                    <w:kinsoku/>
                    <w:overflowPunct/>
                    <w:topLinePunct w:val="0"/>
                    <w:autoSpaceDE/>
                    <w:autoSpaceDN/>
                    <w:bidi w:val="0"/>
                    <w:adjustRightInd/>
                    <w:snapToGrid/>
                    <w:jc w:val="center"/>
                    <w:rPr>
                      <w:rFonts w:hint="eastAsia" w:eastAsia="宋体"/>
                      <w:color w:val="auto"/>
                      <w:sz w:val="18"/>
                      <w:szCs w:val="18"/>
                      <w:lang w:eastAsia="zh-CN"/>
                    </w:rPr>
                  </w:pPr>
                  <w:r>
                    <w:rPr>
                      <w:rFonts w:hint="eastAsia"/>
                      <w:color w:val="auto"/>
                      <w:sz w:val="18"/>
                      <w:szCs w:val="18"/>
                      <w:lang w:val="en-US" w:eastAsia="zh-CN"/>
                    </w:rPr>
                    <w:t>盘兴</w:t>
                  </w:r>
                  <w:r>
                    <w:rPr>
                      <w:rFonts w:hint="eastAsia"/>
                      <w:color w:val="auto"/>
                      <w:sz w:val="18"/>
                      <w:szCs w:val="18"/>
                      <w:lang w:eastAsia="zh-CN"/>
                    </w:rPr>
                    <w:t>～</w:t>
                  </w:r>
                  <w:r>
                    <w:rPr>
                      <w:rFonts w:hint="eastAsia"/>
                      <w:color w:val="auto"/>
                      <w:sz w:val="18"/>
                      <w:szCs w:val="18"/>
                      <w:lang w:val="en-US" w:eastAsia="zh-CN"/>
                    </w:rPr>
                    <w:t>司城</w:t>
                  </w:r>
                  <w:r>
                    <w:rPr>
                      <w:rFonts w:hint="eastAsia"/>
                      <w:color w:val="auto"/>
                      <w:sz w:val="18"/>
                      <w:szCs w:val="18"/>
                      <w:lang w:eastAsia="zh-CN"/>
                    </w:rPr>
                    <w:t>110</w:t>
                  </w:r>
                  <w:r>
                    <w:rPr>
                      <w:rFonts w:hint="eastAsia"/>
                      <w:color w:val="auto"/>
                      <w:sz w:val="18"/>
                      <w:szCs w:val="18"/>
                      <w:lang w:val="en-US" w:eastAsia="zh-CN"/>
                    </w:rPr>
                    <w:t>kV</w:t>
                  </w:r>
                  <w:r>
                    <w:rPr>
                      <w:rFonts w:hint="eastAsia"/>
                      <w:color w:val="auto"/>
                      <w:sz w:val="18"/>
                      <w:szCs w:val="18"/>
                      <w:lang w:eastAsia="zh-CN"/>
                    </w:rPr>
                    <w:t>线路工程</w:t>
                  </w:r>
                </w:p>
              </w:tc>
              <w:tc>
                <w:tcPr>
                  <w:tcW w:w="472" w:type="dxa"/>
                  <w:vMerge w:val="restart"/>
                  <w:vAlign w:val="center"/>
                </w:tcPr>
                <w:p w14:paraId="52757CBB">
                  <w:pPr>
                    <w:keepNext w:val="0"/>
                    <w:keepLines w:val="0"/>
                    <w:pageBreakBefore w:val="0"/>
                    <w:kinsoku/>
                    <w:overflowPunct/>
                    <w:topLinePunct w:val="0"/>
                    <w:autoSpaceDE/>
                    <w:autoSpaceDN/>
                    <w:bidi w:val="0"/>
                    <w:adjustRightInd/>
                    <w:snapToGrid/>
                    <w:jc w:val="center"/>
                    <w:rPr>
                      <w:color w:val="auto"/>
                      <w:sz w:val="18"/>
                      <w:szCs w:val="18"/>
                    </w:rPr>
                  </w:pPr>
                  <w:r>
                    <w:rPr>
                      <w:rFonts w:hint="eastAsia"/>
                      <w:color w:val="auto"/>
                      <w:sz w:val="18"/>
                      <w:szCs w:val="18"/>
                    </w:rPr>
                    <w:t>架空段</w:t>
                  </w:r>
                </w:p>
              </w:tc>
              <w:tc>
                <w:tcPr>
                  <w:tcW w:w="1197" w:type="dxa"/>
                  <w:gridSpan w:val="2"/>
                  <w:vAlign w:val="center"/>
                </w:tcPr>
                <w:p w14:paraId="33AEAB0D">
                  <w:pPr>
                    <w:keepNext w:val="0"/>
                    <w:keepLines w:val="0"/>
                    <w:pageBreakBefore w:val="0"/>
                    <w:kinsoku/>
                    <w:overflowPunct/>
                    <w:topLinePunct w:val="0"/>
                    <w:autoSpaceDE/>
                    <w:autoSpaceDN/>
                    <w:bidi w:val="0"/>
                    <w:adjustRightInd/>
                    <w:snapToGrid/>
                    <w:jc w:val="center"/>
                    <w:rPr>
                      <w:color w:val="auto"/>
                      <w:sz w:val="18"/>
                      <w:szCs w:val="18"/>
                    </w:rPr>
                  </w:pPr>
                  <w:r>
                    <w:rPr>
                      <w:color w:val="auto"/>
                      <w:sz w:val="18"/>
                      <w:szCs w:val="18"/>
                    </w:rPr>
                    <w:t>导线</w:t>
                  </w:r>
                </w:p>
              </w:tc>
              <w:tc>
                <w:tcPr>
                  <w:tcW w:w="6188" w:type="dxa"/>
                  <w:gridSpan w:val="6"/>
                  <w:vAlign w:val="top"/>
                </w:tcPr>
                <w:p w14:paraId="4CBDC37F">
                  <w:pPr>
                    <w:keepNext w:val="0"/>
                    <w:keepLines w:val="0"/>
                    <w:pageBreakBefore w:val="0"/>
                    <w:kinsoku/>
                    <w:overflowPunct/>
                    <w:topLinePunct w:val="0"/>
                    <w:autoSpaceDE/>
                    <w:autoSpaceDN/>
                    <w:bidi w:val="0"/>
                    <w:adjustRightInd/>
                    <w:snapToGrid/>
                    <w:jc w:val="left"/>
                    <w:rPr>
                      <w:color w:val="auto"/>
                      <w:sz w:val="18"/>
                      <w:szCs w:val="18"/>
                    </w:rPr>
                  </w:pPr>
                  <w:r>
                    <w:rPr>
                      <w:rFonts w:hint="eastAsia"/>
                      <w:color w:val="auto"/>
                      <w:sz w:val="18"/>
                      <w:szCs w:val="18"/>
                      <w:lang w:val="en-US" w:eastAsia="zh-CN"/>
                    </w:rPr>
                    <w:t>2×JL3/G1A-240/30型钢芯高导电率铝绞线</w:t>
                  </w:r>
                </w:p>
              </w:tc>
            </w:tr>
            <w:tr w14:paraId="6529E5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7A818365">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17E03091">
                  <w:pPr>
                    <w:keepNext w:val="0"/>
                    <w:keepLines w:val="0"/>
                    <w:pageBreakBefore w:val="0"/>
                    <w:kinsoku/>
                    <w:overflowPunct/>
                    <w:topLinePunct w:val="0"/>
                    <w:autoSpaceDE/>
                    <w:autoSpaceDN/>
                    <w:bidi w:val="0"/>
                    <w:adjustRightInd/>
                    <w:snapToGrid/>
                    <w:jc w:val="center"/>
                    <w:rPr>
                      <w:color w:val="FF0000"/>
                      <w:sz w:val="18"/>
                      <w:szCs w:val="18"/>
                    </w:rPr>
                  </w:pPr>
                </w:p>
              </w:tc>
              <w:tc>
                <w:tcPr>
                  <w:tcW w:w="1197" w:type="dxa"/>
                  <w:gridSpan w:val="2"/>
                  <w:vAlign w:val="center"/>
                </w:tcPr>
                <w:p w14:paraId="0C0D40C9">
                  <w:pPr>
                    <w:keepNext w:val="0"/>
                    <w:keepLines w:val="0"/>
                    <w:pageBreakBefore w:val="0"/>
                    <w:kinsoku/>
                    <w:overflowPunct/>
                    <w:topLinePunct w:val="0"/>
                    <w:autoSpaceDE/>
                    <w:autoSpaceDN/>
                    <w:bidi w:val="0"/>
                    <w:adjustRightInd/>
                    <w:snapToGrid/>
                    <w:jc w:val="center"/>
                    <w:rPr>
                      <w:color w:val="auto"/>
                      <w:sz w:val="18"/>
                      <w:szCs w:val="18"/>
                    </w:rPr>
                  </w:pPr>
                  <w:r>
                    <w:rPr>
                      <w:color w:val="auto"/>
                      <w:sz w:val="18"/>
                      <w:szCs w:val="18"/>
                    </w:rPr>
                    <w:t>地线</w:t>
                  </w:r>
                </w:p>
              </w:tc>
              <w:tc>
                <w:tcPr>
                  <w:tcW w:w="6188" w:type="dxa"/>
                  <w:gridSpan w:val="6"/>
                  <w:vAlign w:val="top"/>
                </w:tcPr>
                <w:p w14:paraId="17904A65">
                  <w:pPr>
                    <w:keepNext w:val="0"/>
                    <w:keepLines w:val="0"/>
                    <w:pageBreakBefore w:val="0"/>
                    <w:kinsoku/>
                    <w:overflowPunct/>
                    <w:topLinePunct w:val="0"/>
                    <w:autoSpaceDE/>
                    <w:autoSpaceDN/>
                    <w:bidi w:val="0"/>
                    <w:adjustRightInd/>
                    <w:snapToGrid/>
                    <w:jc w:val="left"/>
                    <w:rPr>
                      <w:rFonts w:hint="default"/>
                      <w:snapToGrid w:val="0"/>
                      <w:color w:val="auto"/>
                      <w:kern w:val="0"/>
                      <w:sz w:val="18"/>
                      <w:szCs w:val="18"/>
                      <w:lang w:val="en-US"/>
                    </w:rPr>
                  </w:pPr>
                  <w:r>
                    <w:rPr>
                      <w:rFonts w:hint="eastAsia"/>
                      <w:color w:val="auto"/>
                      <w:sz w:val="18"/>
                      <w:szCs w:val="18"/>
                      <w:lang w:val="en-US" w:eastAsia="zh-CN"/>
                    </w:rPr>
                    <w:t>根据系统通信要求，本工程新建段架设1根48OPGW，原盘兴—印合110kV线路工程架设2根OPGW光缆利旧。</w:t>
                  </w:r>
                </w:p>
              </w:tc>
            </w:tr>
            <w:tr w14:paraId="593B01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5BB364E6">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255EFE31">
                  <w:pPr>
                    <w:keepNext w:val="0"/>
                    <w:keepLines w:val="0"/>
                    <w:pageBreakBefore w:val="0"/>
                    <w:kinsoku/>
                    <w:overflowPunct/>
                    <w:topLinePunct w:val="0"/>
                    <w:autoSpaceDE/>
                    <w:autoSpaceDN/>
                    <w:bidi w:val="0"/>
                    <w:adjustRightInd/>
                    <w:snapToGrid/>
                    <w:jc w:val="center"/>
                    <w:rPr>
                      <w:color w:val="FF0000"/>
                      <w:sz w:val="18"/>
                      <w:szCs w:val="18"/>
                    </w:rPr>
                  </w:pPr>
                </w:p>
              </w:tc>
              <w:tc>
                <w:tcPr>
                  <w:tcW w:w="1197" w:type="dxa"/>
                  <w:gridSpan w:val="2"/>
                  <w:vAlign w:val="center"/>
                </w:tcPr>
                <w:p w14:paraId="1AAA573F">
                  <w:pPr>
                    <w:keepNext w:val="0"/>
                    <w:keepLines w:val="0"/>
                    <w:pageBreakBefore w:val="0"/>
                    <w:kinsoku/>
                    <w:overflowPunct/>
                    <w:topLinePunct w:val="0"/>
                    <w:autoSpaceDE/>
                    <w:autoSpaceDN/>
                    <w:bidi w:val="0"/>
                    <w:adjustRightInd/>
                    <w:snapToGrid/>
                    <w:jc w:val="center"/>
                    <w:rPr>
                      <w:color w:val="auto"/>
                      <w:sz w:val="18"/>
                      <w:szCs w:val="18"/>
                    </w:rPr>
                  </w:pPr>
                  <w:r>
                    <w:rPr>
                      <w:color w:val="auto"/>
                      <w:sz w:val="18"/>
                      <w:szCs w:val="18"/>
                    </w:rPr>
                    <w:t>绝缘子</w:t>
                  </w:r>
                </w:p>
              </w:tc>
              <w:tc>
                <w:tcPr>
                  <w:tcW w:w="6188" w:type="dxa"/>
                  <w:gridSpan w:val="6"/>
                  <w:vAlign w:val="top"/>
                </w:tcPr>
                <w:p w14:paraId="343622F3">
                  <w:pPr>
                    <w:keepNext w:val="0"/>
                    <w:keepLines w:val="0"/>
                    <w:pageBreakBefore w:val="0"/>
                    <w:kinsoku/>
                    <w:overflowPunct/>
                    <w:topLinePunct w:val="0"/>
                    <w:autoSpaceDE/>
                    <w:autoSpaceDN/>
                    <w:bidi w:val="0"/>
                    <w:adjustRightInd/>
                    <w:snapToGrid/>
                    <w:jc w:val="left"/>
                    <w:rPr>
                      <w:rFonts w:hint="default" w:eastAsia="宋体"/>
                      <w:color w:val="auto"/>
                      <w:sz w:val="18"/>
                      <w:szCs w:val="18"/>
                      <w:lang w:val="en-US" w:eastAsia="zh-CN"/>
                    </w:rPr>
                  </w:pPr>
                  <w:r>
                    <w:rPr>
                      <w:rFonts w:hint="eastAsia"/>
                      <w:color w:val="auto"/>
                      <w:sz w:val="18"/>
                      <w:szCs w:val="18"/>
                    </w:rPr>
                    <w:t>U120BP/146-1</w:t>
                  </w:r>
                  <w:r>
                    <w:rPr>
                      <w:rFonts w:hint="eastAsia"/>
                      <w:color w:val="auto"/>
                      <w:sz w:val="18"/>
                      <w:szCs w:val="18"/>
                      <w:lang w:eastAsia="zh-CN"/>
                    </w:rPr>
                    <w:t>、</w:t>
                  </w:r>
                  <w:r>
                    <w:rPr>
                      <w:rFonts w:hint="eastAsia"/>
                      <w:color w:val="auto"/>
                      <w:sz w:val="18"/>
                      <w:szCs w:val="18"/>
                    </w:rPr>
                    <w:t>U70BP/146-1、U70BP/146D、U70CN</w:t>
                  </w:r>
                  <w:r>
                    <w:rPr>
                      <w:rFonts w:hint="eastAsia"/>
                      <w:color w:val="auto"/>
                      <w:sz w:val="18"/>
                      <w:szCs w:val="18"/>
                      <w:lang w:eastAsia="zh-CN"/>
                    </w:rPr>
                    <w:t>、</w:t>
                  </w:r>
                  <w:r>
                    <w:rPr>
                      <w:rFonts w:hint="eastAsia"/>
                      <w:color w:val="auto"/>
                      <w:sz w:val="18"/>
                      <w:szCs w:val="18"/>
                      <w:lang w:val="en-US" w:eastAsia="zh-CN"/>
                    </w:rPr>
                    <w:t>FXBW-110/120-3</w:t>
                  </w:r>
                </w:p>
              </w:tc>
            </w:tr>
            <w:tr w14:paraId="642E28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1EEE2F82">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14B86E65">
                  <w:pPr>
                    <w:keepNext w:val="0"/>
                    <w:keepLines w:val="0"/>
                    <w:pageBreakBefore w:val="0"/>
                    <w:kinsoku/>
                    <w:overflowPunct/>
                    <w:topLinePunct w:val="0"/>
                    <w:autoSpaceDE/>
                    <w:autoSpaceDN/>
                    <w:bidi w:val="0"/>
                    <w:adjustRightInd/>
                    <w:snapToGrid/>
                    <w:jc w:val="center"/>
                    <w:rPr>
                      <w:color w:val="FF0000"/>
                      <w:sz w:val="18"/>
                      <w:szCs w:val="18"/>
                    </w:rPr>
                  </w:pPr>
                </w:p>
              </w:tc>
              <w:tc>
                <w:tcPr>
                  <w:tcW w:w="1197" w:type="dxa"/>
                  <w:gridSpan w:val="2"/>
                  <w:vAlign w:val="center"/>
                </w:tcPr>
                <w:p w14:paraId="1DBF1E93">
                  <w:pPr>
                    <w:keepNext w:val="0"/>
                    <w:keepLines w:val="0"/>
                    <w:pageBreakBefore w:val="0"/>
                    <w:kinsoku/>
                    <w:overflowPunct/>
                    <w:topLinePunct w:val="0"/>
                    <w:autoSpaceDE/>
                    <w:autoSpaceDN/>
                    <w:bidi w:val="0"/>
                    <w:adjustRightInd/>
                    <w:snapToGrid/>
                    <w:jc w:val="center"/>
                    <w:rPr>
                      <w:color w:val="auto"/>
                      <w:sz w:val="18"/>
                      <w:szCs w:val="18"/>
                    </w:rPr>
                  </w:pPr>
                  <w:r>
                    <w:rPr>
                      <w:color w:val="auto"/>
                      <w:sz w:val="18"/>
                      <w:szCs w:val="18"/>
                    </w:rPr>
                    <w:t>铁塔</w:t>
                  </w:r>
                </w:p>
              </w:tc>
              <w:tc>
                <w:tcPr>
                  <w:tcW w:w="2032" w:type="dxa"/>
                  <w:gridSpan w:val="2"/>
                  <w:vAlign w:val="center"/>
                </w:tcPr>
                <w:p w14:paraId="1552A331">
                  <w:pPr>
                    <w:keepNext w:val="0"/>
                    <w:keepLines w:val="0"/>
                    <w:pageBreakBefore w:val="0"/>
                    <w:widowControl/>
                    <w:kinsoku/>
                    <w:overflowPunct/>
                    <w:topLinePunct w:val="0"/>
                    <w:autoSpaceDE/>
                    <w:autoSpaceDN/>
                    <w:bidi w:val="0"/>
                    <w:adjustRightInd/>
                    <w:snapToGrid/>
                    <w:spacing w:line="240" w:lineRule="atLeas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塔型</w:t>
                  </w:r>
                </w:p>
              </w:tc>
              <w:tc>
                <w:tcPr>
                  <w:tcW w:w="1012" w:type="dxa"/>
                  <w:vAlign w:val="center"/>
                </w:tcPr>
                <w:p w14:paraId="55F6B34F">
                  <w:pPr>
                    <w:keepNext w:val="0"/>
                    <w:keepLines w:val="0"/>
                    <w:pageBreakBefore w:val="0"/>
                    <w:widowControl/>
                    <w:kinsoku/>
                    <w:overflowPunct/>
                    <w:topLinePunct w:val="0"/>
                    <w:autoSpaceDE/>
                    <w:autoSpaceDN/>
                    <w:bidi w:val="0"/>
                    <w:adjustRightInd/>
                    <w:snapToGrid/>
                    <w:spacing w:line="240" w:lineRule="atLeas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呼高（m）</w:t>
                  </w:r>
                </w:p>
              </w:tc>
              <w:tc>
                <w:tcPr>
                  <w:tcW w:w="1089" w:type="dxa"/>
                  <w:vAlign w:val="center"/>
                </w:tcPr>
                <w:p w14:paraId="31DBB006">
                  <w:pPr>
                    <w:keepNext w:val="0"/>
                    <w:keepLines w:val="0"/>
                    <w:pageBreakBefore w:val="0"/>
                    <w:widowControl/>
                    <w:kinsoku/>
                    <w:overflowPunct/>
                    <w:topLinePunct w:val="0"/>
                    <w:autoSpaceDE/>
                    <w:autoSpaceDN/>
                    <w:bidi w:val="0"/>
                    <w:adjustRightInd/>
                    <w:snapToGrid/>
                    <w:spacing w:line="240" w:lineRule="atLeas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排列方式</w:t>
                  </w:r>
                </w:p>
              </w:tc>
              <w:tc>
                <w:tcPr>
                  <w:tcW w:w="757" w:type="dxa"/>
                  <w:vAlign w:val="center"/>
                </w:tcPr>
                <w:p w14:paraId="4CF1EFC0">
                  <w:pPr>
                    <w:keepNext w:val="0"/>
                    <w:keepLines w:val="0"/>
                    <w:pageBreakBefore w:val="0"/>
                    <w:widowControl/>
                    <w:kinsoku/>
                    <w:overflowPunct/>
                    <w:topLinePunct w:val="0"/>
                    <w:autoSpaceDE/>
                    <w:autoSpaceDN/>
                    <w:bidi w:val="0"/>
                    <w:adjustRightInd/>
                    <w:snapToGrid/>
                    <w:spacing w:line="240" w:lineRule="atLeast"/>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基数</w:t>
                  </w:r>
                </w:p>
              </w:tc>
              <w:tc>
                <w:tcPr>
                  <w:tcW w:w="1298" w:type="dxa"/>
                  <w:vAlign w:val="center"/>
                </w:tcPr>
                <w:p w14:paraId="32BD5BE5">
                  <w:pPr>
                    <w:keepNext w:val="0"/>
                    <w:keepLines w:val="0"/>
                    <w:pageBreakBefore w:val="0"/>
                    <w:kinsoku/>
                    <w:overflowPunct/>
                    <w:topLinePunct w:val="0"/>
                    <w:autoSpaceDE/>
                    <w:autoSpaceDN/>
                    <w:bidi w:val="0"/>
                    <w:adjustRightInd/>
                    <w:snapToGrid/>
                    <w:jc w:val="center"/>
                    <w:rPr>
                      <w:color w:val="auto"/>
                      <w:sz w:val="18"/>
                      <w:szCs w:val="18"/>
                    </w:rPr>
                  </w:pPr>
                  <w:r>
                    <w:rPr>
                      <w:color w:val="auto"/>
                      <w:sz w:val="18"/>
                      <w:szCs w:val="18"/>
                    </w:rPr>
                    <w:t>铁塔基础</w:t>
                  </w:r>
                </w:p>
              </w:tc>
            </w:tr>
            <w:tr w14:paraId="70C06B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5D4DBA12">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72696E9D">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restart"/>
                  <w:vAlign w:val="center"/>
                </w:tcPr>
                <w:p w14:paraId="669B0DAE">
                  <w:pPr>
                    <w:keepNext w:val="0"/>
                    <w:keepLines w:val="0"/>
                    <w:pageBreakBefore w:val="0"/>
                    <w:kinsoku/>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新建杆塔</w:t>
                  </w:r>
                </w:p>
              </w:tc>
              <w:tc>
                <w:tcPr>
                  <w:tcW w:w="597" w:type="dxa"/>
                  <w:vMerge w:val="restart"/>
                  <w:vAlign w:val="center"/>
                </w:tcPr>
                <w:p w14:paraId="29C496FB">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r>
                    <w:rPr>
                      <w:rFonts w:hint="eastAsia"/>
                      <w:color w:val="auto"/>
                      <w:sz w:val="18"/>
                      <w:szCs w:val="18"/>
                      <w:highlight w:val="none"/>
                      <w:lang w:val="en-US" w:eastAsia="zh-CN"/>
                    </w:rPr>
                    <w:t>单</w:t>
                  </w:r>
                  <w:r>
                    <w:rPr>
                      <w:rFonts w:hint="eastAsia"/>
                      <w:color w:val="auto"/>
                      <w:sz w:val="18"/>
                      <w:szCs w:val="18"/>
                      <w:highlight w:val="none"/>
                    </w:rPr>
                    <w:t>回铁塔</w:t>
                  </w:r>
                </w:p>
              </w:tc>
              <w:tc>
                <w:tcPr>
                  <w:tcW w:w="2032" w:type="dxa"/>
                  <w:gridSpan w:val="2"/>
                  <w:vAlign w:val="center"/>
                </w:tcPr>
                <w:p w14:paraId="2B35B00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yellow"/>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110-EC21D-J1</w:t>
                  </w:r>
                </w:p>
              </w:tc>
              <w:tc>
                <w:tcPr>
                  <w:tcW w:w="1012" w:type="dxa"/>
                  <w:vAlign w:val="center"/>
                </w:tcPr>
                <w:p w14:paraId="7A3959F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18</w:t>
                  </w:r>
                </w:p>
              </w:tc>
              <w:tc>
                <w:tcPr>
                  <w:tcW w:w="1089" w:type="dxa"/>
                  <w:vMerge w:val="restart"/>
                  <w:vAlign w:val="center"/>
                </w:tcPr>
                <w:p w14:paraId="21ED48A8">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三角排列</w:t>
                  </w:r>
                </w:p>
              </w:tc>
              <w:tc>
                <w:tcPr>
                  <w:tcW w:w="757" w:type="dxa"/>
                  <w:vAlign w:val="center"/>
                </w:tcPr>
                <w:p w14:paraId="251BB07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restart"/>
                  <w:vAlign w:val="center"/>
                </w:tcPr>
                <w:p w14:paraId="591EE6A8">
                  <w:pPr>
                    <w:keepNext w:val="0"/>
                    <w:keepLines w:val="0"/>
                    <w:pageBreakBefore w:val="0"/>
                    <w:kinsoku/>
                    <w:overflowPunct/>
                    <w:topLinePunct w:val="0"/>
                    <w:autoSpaceDE/>
                    <w:autoSpaceDN/>
                    <w:bidi w:val="0"/>
                    <w:adjustRightInd/>
                    <w:snapToGrid/>
                    <w:jc w:val="center"/>
                    <w:rPr>
                      <w:rFonts w:hint="eastAsia" w:hAnsi="宋体"/>
                      <w:color w:val="auto"/>
                      <w:sz w:val="18"/>
                      <w:szCs w:val="18"/>
                      <w:highlight w:val="none"/>
                    </w:rPr>
                  </w:pPr>
                  <w:r>
                    <w:rPr>
                      <w:rFonts w:hint="eastAsia" w:hAnsi="宋体"/>
                      <w:color w:val="auto"/>
                      <w:sz w:val="18"/>
                      <w:szCs w:val="18"/>
                      <w:highlight w:val="none"/>
                    </w:rPr>
                    <w:t>挖孔基础</w:t>
                  </w:r>
                </w:p>
                <w:p w14:paraId="7CE3F72C">
                  <w:pPr>
                    <w:keepNext w:val="0"/>
                    <w:keepLines w:val="0"/>
                    <w:pageBreakBefore w:val="0"/>
                    <w:kinsoku/>
                    <w:overflowPunct/>
                    <w:topLinePunct w:val="0"/>
                    <w:autoSpaceDE/>
                    <w:autoSpaceDN/>
                    <w:bidi w:val="0"/>
                    <w:adjustRightInd/>
                    <w:snapToGrid/>
                    <w:jc w:val="center"/>
                    <w:rPr>
                      <w:rFonts w:hint="default" w:eastAsia="宋体"/>
                      <w:color w:val="auto"/>
                      <w:sz w:val="18"/>
                      <w:szCs w:val="18"/>
                      <w:highlight w:val="yellow"/>
                      <w:lang w:val="en-US" w:eastAsia="zh-CN"/>
                    </w:rPr>
                  </w:pPr>
                  <w:r>
                    <w:rPr>
                      <w:rFonts w:hint="eastAsia" w:hAnsi="宋体"/>
                      <w:color w:val="auto"/>
                      <w:sz w:val="18"/>
                      <w:szCs w:val="18"/>
                      <w:highlight w:val="none"/>
                      <w:lang w:val="en-US" w:eastAsia="zh-CN"/>
                    </w:rPr>
                    <w:t>掏挖基础</w:t>
                  </w:r>
                </w:p>
              </w:tc>
            </w:tr>
            <w:tr w14:paraId="7D9935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16D44B12">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33EC8025">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76DAC3B4">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3F1D7647">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Merge w:val="restart"/>
                  <w:vAlign w:val="center"/>
                </w:tcPr>
                <w:p w14:paraId="63CFECEC">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110-EC21D-J2</w:t>
                  </w:r>
                </w:p>
              </w:tc>
              <w:tc>
                <w:tcPr>
                  <w:tcW w:w="1012" w:type="dxa"/>
                  <w:vAlign w:val="center"/>
                </w:tcPr>
                <w:p w14:paraId="5E22D68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1089" w:type="dxa"/>
                  <w:vMerge w:val="continue"/>
                  <w:vAlign w:val="center"/>
                </w:tcPr>
                <w:p w14:paraId="65859D29">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70077AA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3</w:t>
                  </w:r>
                </w:p>
              </w:tc>
              <w:tc>
                <w:tcPr>
                  <w:tcW w:w="1298" w:type="dxa"/>
                  <w:vMerge w:val="continue"/>
                  <w:vAlign w:val="center"/>
                </w:tcPr>
                <w:p w14:paraId="76321B6F">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250823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2C5228B7">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5F24EC47">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3169AD93">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7043558E">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Merge w:val="continue"/>
                  <w:vAlign w:val="center"/>
                </w:tcPr>
                <w:p w14:paraId="5CEBD5F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012" w:type="dxa"/>
                  <w:vAlign w:val="center"/>
                </w:tcPr>
                <w:p w14:paraId="5270066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36</w:t>
                  </w:r>
                </w:p>
              </w:tc>
              <w:tc>
                <w:tcPr>
                  <w:tcW w:w="1089" w:type="dxa"/>
                  <w:vMerge w:val="continue"/>
                  <w:vAlign w:val="center"/>
                </w:tcPr>
                <w:p w14:paraId="3D12A633">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4035C2F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0567D229">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3649DE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65F79847">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6E4CF262">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70EFA641">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1B028539">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Align w:val="center"/>
                </w:tcPr>
                <w:p w14:paraId="0F933B6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110-EC21D-J3</w:t>
                  </w:r>
                </w:p>
              </w:tc>
              <w:tc>
                <w:tcPr>
                  <w:tcW w:w="1012" w:type="dxa"/>
                  <w:vAlign w:val="center"/>
                </w:tcPr>
                <w:p w14:paraId="14DF9A1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1089" w:type="dxa"/>
                  <w:vMerge w:val="continue"/>
                  <w:vAlign w:val="center"/>
                </w:tcPr>
                <w:p w14:paraId="29D3907B">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4B30B29C">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74C4C48C">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2F283F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396BFF36">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7430F887">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65574C6B">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1D97264F">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Merge w:val="restart"/>
                  <w:vAlign w:val="center"/>
                </w:tcPr>
                <w:p w14:paraId="262C9A0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yellow"/>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110-EC21D-J</w:t>
                  </w:r>
                  <w:r>
                    <w:rPr>
                      <w:rFonts w:hint="eastAsia" w:cs="Times New Roman"/>
                      <w:i w:val="0"/>
                      <w:iCs w:val="0"/>
                      <w:color w:val="auto"/>
                      <w:kern w:val="0"/>
                      <w:sz w:val="18"/>
                      <w:szCs w:val="18"/>
                      <w:highlight w:val="none"/>
                      <w:u w:val="none"/>
                      <w:lang w:val="en-US" w:eastAsia="zh-CN" w:bidi="ar"/>
                    </w:rPr>
                    <w:t>4</w:t>
                  </w:r>
                </w:p>
              </w:tc>
              <w:tc>
                <w:tcPr>
                  <w:tcW w:w="1012" w:type="dxa"/>
                  <w:vAlign w:val="center"/>
                </w:tcPr>
                <w:p w14:paraId="271F580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vAlign w:val="center"/>
                </w:tcPr>
                <w:p w14:paraId="5F6E381B">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7A80FA4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1298" w:type="dxa"/>
                  <w:vMerge w:val="continue"/>
                  <w:vAlign w:val="center"/>
                </w:tcPr>
                <w:p w14:paraId="39E0BA5F">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43B287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41EAA774">
                  <w:pPr>
                    <w:keepNext w:val="0"/>
                    <w:keepLines w:val="0"/>
                    <w:pageBreakBefore w:val="0"/>
                    <w:widowControl/>
                    <w:suppressLineNumbers w:val="0"/>
                    <w:kinsoku/>
                    <w:overflowPunct/>
                    <w:topLinePunct w:val="0"/>
                    <w:autoSpaceDE/>
                    <w:autoSpaceDN/>
                    <w:bidi w:val="0"/>
                    <w:adjustRightInd/>
                    <w:snapToGrid/>
                    <w:jc w:val="center"/>
                    <w:textAlignment w:val="center"/>
                    <w:rPr>
                      <w:color w:val="FF0000"/>
                    </w:rPr>
                  </w:pPr>
                </w:p>
              </w:tc>
              <w:tc>
                <w:tcPr>
                  <w:tcW w:w="472" w:type="dxa"/>
                  <w:vMerge w:val="continue"/>
                  <w:vAlign w:val="center"/>
                </w:tcPr>
                <w:p w14:paraId="00C70635">
                  <w:pPr>
                    <w:keepNext w:val="0"/>
                    <w:keepLines w:val="0"/>
                    <w:pageBreakBefore w:val="0"/>
                    <w:widowControl/>
                    <w:suppressLineNumbers w:val="0"/>
                    <w:kinsoku/>
                    <w:overflowPunct/>
                    <w:topLinePunct w:val="0"/>
                    <w:autoSpaceDE/>
                    <w:autoSpaceDN/>
                    <w:bidi w:val="0"/>
                    <w:adjustRightInd/>
                    <w:snapToGrid/>
                    <w:jc w:val="center"/>
                    <w:textAlignment w:val="center"/>
                    <w:rPr>
                      <w:color w:val="FF0000"/>
                    </w:rPr>
                  </w:pPr>
                </w:p>
              </w:tc>
              <w:tc>
                <w:tcPr>
                  <w:tcW w:w="600" w:type="dxa"/>
                  <w:vMerge w:val="continue"/>
                  <w:vAlign w:val="center"/>
                </w:tcPr>
                <w:p w14:paraId="39693C94">
                  <w:pPr>
                    <w:keepNext w:val="0"/>
                    <w:keepLines w:val="0"/>
                    <w:pageBreakBefore w:val="0"/>
                    <w:widowControl/>
                    <w:suppressLineNumbers w:val="0"/>
                    <w:kinsoku/>
                    <w:overflowPunct/>
                    <w:topLinePunct w:val="0"/>
                    <w:autoSpaceDE/>
                    <w:autoSpaceDN/>
                    <w:bidi w:val="0"/>
                    <w:adjustRightInd/>
                    <w:snapToGrid/>
                    <w:jc w:val="center"/>
                    <w:textAlignment w:val="center"/>
                    <w:rPr>
                      <w:color w:val="auto"/>
                      <w:highlight w:val="none"/>
                    </w:rPr>
                  </w:pPr>
                </w:p>
              </w:tc>
              <w:tc>
                <w:tcPr>
                  <w:tcW w:w="597" w:type="dxa"/>
                  <w:vMerge w:val="continue"/>
                  <w:vAlign w:val="center"/>
                </w:tcPr>
                <w:p w14:paraId="4D11B979">
                  <w:pPr>
                    <w:keepNext w:val="0"/>
                    <w:keepLines w:val="0"/>
                    <w:pageBreakBefore w:val="0"/>
                    <w:widowControl/>
                    <w:suppressLineNumbers w:val="0"/>
                    <w:kinsoku/>
                    <w:overflowPunct/>
                    <w:topLinePunct w:val="0"/>
                    <w:autoSpaceDE/>
                    <w:autoSpaceDN/>
                    <w:bidi w:val="0"/>
                    <w:adjustRightInd/>
                    <w:snapToGrid/>
                    <w:jc w:val="center"/>
                    <w:textAlignment w:val="center"/>
                    <w:rPr>
                      <w:color w:val="auto"/>
                      <w:highlight w:val="none"/>
                    </w:rPr>
                  </w:pPr>
                </w:p>
              </w:tc>
              <w:tc>
                <w:tcPr>
                  <w:tcW w:w="2032" w:type="dxa"/>
                  <w:gridSpan w:val="2"/>
                  <w:vMerge w:val="continue"/>
                  <w:vAlign w:val="center"/>
                </w:tcPr>
                <w:p w14:paraId="6D9A609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yellow"/>
                    </w:rPr>
                  </w:pPr>
                </w:p>
              </w:tc>
              <w:tc>
                <w:tcPr>
                  <w:tcW w:w="1012" w:type="dxa"/>
                  <w:vAlign w:val="center"/>
                </w:tcPr>
                <w:p w14:paraId="256C6FF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vAlign w:val="center"/>
                </w:tcPr>
                <w:p w14:paraId="14BB9ED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4EAADAC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1D5ACCC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yellow"/>
                      <w:lang w:val="en-US" w:eastAsia="zh-CN"/>
                    </w:rPr>
                  </w:pPr>
                </w:p>
              </w:tc>
            </w:tr>
            <w:tr w14:paraId="3B46E2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4CA5AFE2">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7B66C747">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15D0DEBE">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52DB53E3">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Merge w:val="restart"/>
                  <w:vAlign w:val="center"/>
                </w:tcPr>
                <w:p w14:paraId="090A72F2">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yellow"/>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w:t>
                  </w:r>
                  <w:r>
                    <w:rPr>
                      <w:rFonts w:hint="eastAsia" w:cs="Times New Roman"/>
                      <w:i w:val="0"/>
                      <w:iCs w:val="0"/>
                      <w:color w:val="auto"/>
                      <w:kern w:val="0"/>
                      <w:sz w:val="18"/>
                      <w:szCs w:val="18"/>
                      <w:highlight w:val="none"/>
                      <w:u w:val="none"/>
                      <w:lang w:val="en-US" w:eastAsia="zh-CN" w:bidi="ar"/>
                    </w:rPr>
                    <w:t>DJ</w:t>
                  </w:r>
                </w:p>
              </w:tc>
              <w:tc>
                <w:tcPr>
                  <w:tcW w:w="1012" w:type="dxa"/>
                  <w:vAlign w:val="center"/>
                </w:tcPr>
                <w:p w14:paraId="79C35AE3">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vAlign w:val="center"/>
                </w:tcPr>
                <w:p w14:paraId="7B06FFF0">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41066D4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298" w:type="dxa"/>
                  <w:vMerge w:val="continue"/>
                  <w:vAlign w:val="center"/>
                </w:tcPr>
                <w:p w14:paraId="3646666D">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67D254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7CA5C282">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0BD46338">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600" w:type="dxa"/>
                  <w:vMerge w:val="continue"/>
                  <w:vAlign w:val="center"/>
                </w:tcPr>
                <w:p w14:paraId="594A4AF8">
                  <w:pPr>
                    <w:keepNext w:val="0"/>
                    <w:keepLines w:val="0"/>
                    <w:pageBreakBefore w:val="0"/>
                    <w:widowControl/>
                    <w:kinsoku/>
                    <w:overflowPunct/>
                    <w:topLinePunct w:val="0"/>
                    <w:autoSpaceDE/>
                    <w:autoSpaceDN/>
                    <w:bidi w:val="0"/>
                    <w:adjustRightInd/>
                    <w:snapToGrid/>
                    <w:spacing w:line="240" w:lineRule="atLeast"/>
                    <w:jc w:val="center"/>
                    <w:rPr>
                      <w:color w:val="auto"/>
                      <w:highlight w:val="none"/>
                    </w:rPr>
                  </w:pPr>
                </w:p>
              </w:tc>
              <w:tc>
                <w:tcPr>
                  <w:tcW w:w="597" w:type="dxa"/>
                  <w:vMerge w:val="continue"/>
                  <w:vAlign w:val="center"/>
                </w:tcPr>
                <w:p w14:paraId="2E855EBE">
                  <w:pPr>
                    <w:keepNext w:val="0"/>
                    <w:keepLines w:val="0"/>
                    <w:pageBreakBefore w:val="0"/>
                    <w:widowControl/>
                    <w:kinsoku/>
                    <w:overflowPunct/>
                    <w:topLinePunct w:val="0"/>
                    <w:autoSpaceDE/>
                    <w:autoSpaceDN/>
                    <w:bidi w:val="0"/>
                    <w:adjustRightInd/>
                    <w:snapToGrid/>
                    <w:spacing w:line="240" w:lineRule="atLeast"/>
                    <w:jc w:val="center"/>
                    <w:rPr>
                      <w:color w:val="auto"/>
                      <w:highlight w:val="none"/>
                    </w:rPr>
                  </w:pPr>
                </w:p>
              </w:tc>
              <w:tc>
                <w:tcPr>
                  <w:tcW w:w="2032" w:type="dxa"/>
                  <w:gridSpan w:val="2"/>
                  <w:vMerge w:val="continue"/>
                  <w:vAlign w:val="center"/>
                </w:tcPr>
                <w:p w14:paraId="12405644">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rPr>
                  </w:pPr>
                </w:p>
              </w:tc>
              <w:tc>
                <w:tcPr>
                  <w:tcW w:w="1012" w:type="dxa"/>
                  <w:vAlign w:val="center"/>
                </w:tcPr>
                <w:p w14:paraId="46489A1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vAlign w:val="center"/>
                </w:tcPr>
                <w:p w14:paraId="34D34761">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540D20B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1298" w:type="dxa"/>
                  <w:vMerge w:val="continue"/>
                  <w:vAlign w:val="center"/>
                </w:tcPr>
                <w:p w14:paraId="1DB00D2A">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4E97CC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19C9FBA2">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7C485285">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600" w:type="dxa"/>
                  <w:vMerge w:val="continue"/>
                  <w:vAlign w:val="center"/>
                </w:tcPr>
                <w:p w14:paraId="0B4FBB3C">
                  <w:pPr>
                    <w:keepNext w:val="0"/>
                    <w:keepLines w:val="0"/>
                    <w:pageBreakBefore w:val="0"/>
                    <w:widowControl/>
                    <w:kinsoku/>
                    <w:overflowPunct/>
                    <w:topLinePunct w:val="0"/>
                    <w:autoSpaceDE/>
                    <w:autoSpaceDN/>
                    <w:bidi w:val="0"/>
                    <w:adjustRightInd/>
                    <w:snapToGrid/>
                    <w:spacing w:line="240" w:lineRule="atLeast"/>
                    <w:jc w:val="center"/>
                    <w:rPr>
                      <w:color w:val="auto"/>
                      <w:highlight w:val="none"/>
                    </w:rPr>
                  </w:pPr>
                </w:p>
              </w:tc>
              <w:tc>
                <w:tcPr>
                  <w:tcW w:w="597" w:type="dxa"/>
                  <w:vMerge w:val="continue"/>
                  <w:vAlign w:val="center"/>
                </w:tcPr>
                <w:p w14:paraId="0753E81D">
                  <w:pPr>
                    <w:keepNext w:val="0"/>
                    <w:keepLines w:val="0"/>
                    <w:pageBreakBefore w:val="0"/>
                    <w:widowControl/>
                    <w:kinsoku/>
                    <w:overflowPunct/>
                    <w:topLinePunct w:val="0"/>
                    <w:autoSpaceDE/>
                    <w:autoSpaceDN/>
                    <w:bidi w:val="0"/>
                    <w:adjustRightInd/>
                    <w:snapToGrid/>
                    <w:spacing w:line="240" w:lineRule="atLeast"/>
                    <w:jc w:val="center"/>
                    <w:rPr>
                      <w:color w:val="auto"/>
                      <w:highlight w:val="none"/>
                    </w:rPr>
                  </w:pPr>
                </w:p>
              </w:tc>
              <w:tc>
                <w:tcPr>
                  <w:tcW w:w="2032" w:type="dxa"/>
                  <w:gridSpan w:val="2"/>
                  <w:vAlign w:val="center"/>
                </w:tcPr>
                <w:p w14:paraId="77D81F9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宋体" w:cs="Times New Roman"/>
                      <w:i w:val="0"/>
                      <w:iCs w:val="0"/>
                      <w:color w:val="auto"/>
                      <w:kern w:val="0"/>
                      <w:sz w:val="18"/>
                      <w:szCs w:val="18"/>
                      <w:highlight w:val="none"/>
                      <w:u w:val="none"/>
                      <w:lang w:val="en-US" w:eastAsia="zh-CN" w:bidi="ar"/>
                    </w:rPr>
                    <w:t>110-EC21D-</w:t>
                  </w:r>
                  <w:r>
                    <w:rPr>
                      <w:rFonts w:hint="eastAsia" w:cs="Times New Roman"/>
                      <w:i w:val="0"/>
                      <w:iCs w:val="0"/>
                      <w:color w:val="auto"/>
                      <w:kern w:val="0"/>
                      <w:sz w:val="18"/>
                      <w:szCs w:val="18"/>
                      <w:highlight w:val="none"/>
                      <w:u w:val="none"/>
                      <w:lang w:val="en-US" w:eastAsia="zh-CN" w:bidi="ar"/>
                    </w:rPr>
                    <w:t>ZM1</w:t>
                  </w:r>
                </w:p>
              </w:tc>
              <w:tc>
                <w:tcPr>
                  <w:tcW w:w="1012" w:type="dxa"/>
                  <w:vAlign w:val="center"/>
                </w:tcPr>
                <w:p w14:paraId="03A3858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w:t>
                  </w:r>
                  <w:r>
                    <w:rPr>
                      <w:rFonts w:hint="eastAsia" w:cs="Times New Roman"/>
                      <w:i w:val="0"/>
                      <w:iCs w:val="0"/>
                      <w:color w:val="auto"/>
                      <w:kern w:val="0"/>
                      <w:sz w:val="18"/>
                      <w:szCs w:val="18"/>
                      <w:highlight w:val="none"/>
                      <w:u w:val="none"/>
                      <w:lang w:val="en-US" w:eastAsia="zh-CN" w:bidi="ar"/>
                    </w:rPr>
                    <w:t>7</w:t>
                  </w:r>
                </w:p>
              </w:tc>
              <w:tc>
                <w:tcPr>
                  <w:tcW w:w="1089" w:type="dxa"/>
                  <w:vMerge w:val="continue"/>
                  <w:vAlign w:val="center"/>
                </w:tcPr>
                <w:p w14:paraId="78FC443F">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72789A7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601D9EB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22A15B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14" w:type="dxa"/>
                  <w:vMerge w:val="continue"/>
                  <w:vAlign w:val="center"/>
                </w:tcPr>
                <w:p w14:paraId="4C090693">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150B683C">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46C66BD5">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482E47EA">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Merge w:val="restart"/>
                  <w:vAlign w:val="center"/>
                </w:tcPr>
                <w:p w14:paraId="674058B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110-EC21D-</w:t>
                  </w:r>
                  <w:r>
                    <w:rPr>
                      <w:rFonts w:hint="eastAsia" w:cs="Times New Roman"/>
                      <w:i w:val="0"/>
                      <w:iCs w:val="0"/>
                      <w:color w:val="auto"/>
                      <w:kern w:val="0"/>
                      <w:sz w:val="18"/>
                      <w:szCs w:val="18"/>
                      <w:highlight w:val="none"/>
                      <w:u w:val="none"/>
                      <w:lang w:val="en-US" w:eastAsia="zh-CN" w:bidi="ar"/>
                    </w:rPr>
                    <w:t>ZM2</w:t>
                  </w:r>
                </w:p>
              </w:tc>
              <w:tc>
                <w:tcPr>
                  <w:tcW w:w="1012" w:type="dxa"/>
                  <w:vAlign w:val="center"/>
                </w:tcPr>
                <w:p w14:paraId="24BC00C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vAlign w:val="center"/>
                </w:tcPr>
                <w:p w14:paraId="0BF16C5F">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54B79E5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4733B924">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72B5CF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14" w:type="dxa"/>
                  <w:vMerge w:val="continue"/>
                  <w:vAlign w:val="center"/>
                </w:tcPr>
                <w:p w14:paraId="7F130E21">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5232E768">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600" w:type="dxa"/>
                  <w:vMerge w:val="continue"/>
                  <w:vAlign w:val="center"/>
                </w:tcPr>
                <w:p w14:paraId="74AC00F7">
                  <w:pPr>
                    <w:keepNext w:val="0"/>
                    <w:keepLines w:val="0"/>
                    <w:pageBreakBefore w:val="0"/>
                    <w:widowControl/>
                    <w:kinsoku/>
                    <w:overflowPunct/>
                    <w:topLinePunct w:val="0"/>
                    <w:autoSpaceDE/>
                    <w:autoSpaceDN/>
                    <w:bidi w:val="0"/>
                    <w:adjustRightInd/>
                    <w:snapToGrid/>
                    <w:spacing w:line="240" w:lineRule="atLeast"/>
                    <w:jc w:val="center"/>
                    <w:rPr>
                      <w:color w:val="auto"/>
                      <w:highlight w:val="none"/>
                    </w:rPr>
                  </w:pPr>
                </w:p>
              </w:tc>
              <w:tc>
                <w:tcPr>
                  <w:tcW w:w="597" w:type="dxa"/>
                  <w:vMerge w:val="continue"/>
                  <w:vAlign w:val="center"/>
                </w:tcPr>
                <w:p w14:paraId="291FB0D0">
                  <w:pPr>
                    <w:keepNext w:val="0"/>
                    <w:keepLines w:val="0"/>
                    <w:pageBreakBefore w:val="0"/>
                    <w:widowControl/>
                    <w:kinsoku/>
                    <w:overflowPunct/>
                    <w:topLinePunct w:val="0"/>
                    <w:autoSpaceDE/>
                    <w:autoSpaceDN/>
                    <w:bidi w:val="0"/>
                    <w:adjustRightInd/>
                    <w:snapToGrid/>
                    <w:spacing w:line="240" w:lineRule="atLeast"/>
                    <w:jc w:val="center"/>
                    <w:rPr>
                      <w:color w:val="auto"/>
                      <w:highlight w:val="none"/>
                    </w:rPr>
                  </w:pPr>
                </w:p>
              </w:tc>
              <w:tc>
                <w:tcPr>
                  <w:tcW w:w="2032" w:type="dxa"/>
                  <w:gridSpan w:val="2"/>
                  <w:vMerge w:val="continue"/>
                  <w:vAlign w:val="center"/>
                </w:tcPr>
                <w:p w14:paraId="14921788">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none"/>
                    </w:rPr>
                  </w:pPr>
                </w:p>
              </w:tc>
              <w:tc>
                <w:tcPr>
                  <w:tcW w:w="1012" w:type="dxa"/>
                  <w:vAlign w:val="center"/>
                </w:tcPr>
                <w:p w14:paraId="5960D67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w:t>
                  </w:r>
                  <w:r>
                    <w:rPr>
                      <w:rFonts w:hint="eastAsia" w:cs="Times New Roman"/>
                      <w:i w:val="0"/>
                      <w:iCs w:val="0"/>
                      <w:color w:val="auto"/>
                      <w:kern w:val="0"/>
                      <w:sz w:val="18"/>
                      <w:szCs w:val="18"/>
                      <w:highlight w:val="none"/>
                      <w:u w:val="none"/>
                      <w:lang w:val="en-US" w:eastAsia="zh-CN" w:bidi="ar"/>
                    </w:rPr>
                    <w:t>7</w:t>
                  </w:r>
                </w:p>
              </w:tc>
              <w:tc>
                <w:tcPr>
                  <w:tcW w:w="1089" w:type="dxa"/>
                  <w:vMerge w:val="continue"/>
                  <w:vAlign w:val="center"/>
                </w:tcPr>
                <w:p w14:paraId="11542017">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5EE1557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2126D4A0">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3FD83B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14" w:type="dxa"/>
                  <w:vMerge w:val="continue"/>
                  <w:vAlign w:val="center"/>
                </w:tcPr>
                <w:p w14:paraId="0754A2A9">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4AEEE76A">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600" w:type="dxa"/>
                  <w:vMerge w:val="continue"/>
                  <w:vAlign w:val="center"/>
                </w:tcPr>
                <w:p w14:paraId="66BEC00E">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none"/>
                      <w:lang w:val="en-US" w:eastAsia="zh-CN"/>
                    </w:rPr>
                  </w:pPr>
                </w:p>
              </w:tc>
              <w:tc>
                <w:tcPr>
                  <w:tcW w:w="597" w:type="dxa"/>
                  <w:vMerge w:val="continue"/>
                  <w:vAlign w:val="center"/>
                </w:tcPr>
                <w:p w14:paraId="4CCB9366">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none"/>
                      <w:lang w:val="en-US" w:eastAsia="zh-CN"/>
                    </w:rPr>
                  </w:pPr>
                </w:p>
              </w:tc>
              <w:tc>
                <w:tcPr>
                  <w:tcW w:w="2032" w:type="dxa"/>
                  <w:gridSpan w:val="2"/>
                  <w:vMerge w:val="continue"/>
                  <w:vAlign w:val="center"/>
                </w:tcPr>
                <w:p w14:paraId="6BFD4A66">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1012" w:type="dxa"/>
                  <w:vAlign w:val="center"/>
                </w:tcPr>
                <w:p w14:paraId="4580857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36</w:t>
                  </w:r>
                </w:p>
              </w:tc>
              <w:tc>
                <w:tcPr>
                  <w:tcW w:w="1089" w:type="dxa"/>
                  <w:vMerge w:val="continue"/>
                  <w:vAlign w:val="center"/>
                </w:tcPr>
                <w:p w14:paraId="31E97184">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0D5F6A1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298" w:type="dxa"/>
                  <w:vMerge w:val="continue"/>
                  <w:vAlign w:val="center"/>
                </w:tcPr>
                <w:p w14:paraId="234386BA">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55F6F9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7EF24500">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099E55CD">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5CBB9B52">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4D0FF9E8">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Align w:val="center"/>
                </w:tcPr>
                <w:p w14:paraId="2D81C2F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w:t>
                  </w:r>
                  <w:r>
                    <w:rPr>
                      <w:rFonts w:hint="eastAsia" w:cs="Times New Roman"/>
                      <w:i w:val="0"/>
                      <w:iCs w:val="0"/>
                      <w:color w:val="auto"/>
                      <w:kern w:val="0"/>
                      <w:sz w:val="18"/>
                      <w:szCs w:val="18"/>
                      <w:highlight w:val="none"/>
                      <w:u w:val="none"/>
                      <w:lang w:val="en-US" w:eastAsia="zh-CN" w:bidi="ar"/>
                    </w:rPr>
                    <w:t>ZM3</w:t>
                  </w:r>
                </w:p>
              </w:tc>
              <w:tc>
                <w:tcPr>
                  <w:tcW w:w="1012" w:type="dxa"/>
                  <w:vAlign w:val="center"/>
                </w:tcPr>
                <w:p w14:paraId="60961B73">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vAlign w:val="center"/>
                </w:tcPr>
                <w:p w14:paraId="3534A52B">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7F74F13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53B5AB24">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005A4D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26CD697A">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5B53FFEB">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4EC46CA4">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1B1277A2">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Align w:val="center"/>
                </w:tcPr>
                <w:p w14:paraId="46C3D8E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w:t>
                  </w:r>
                  <w:r>
                    <w:rPr>
                      <w:rFonts w:hint="eastAsia" w:cs="Times New Roman"/>
                      <w:i w:val="0"/>
                      <w:iCs w:val="0"/>
                      <w:color w:val="auto"/>
                      <w:kern w:val="0"/>
                      <w:sz w:val="18"/>
                      <w:szCs w:val="18"/>
                      <w:highlight w:val="none"/>
                      <w:u w:val="none"/>
                      <w:lang w:val="en-US" w:eastAsia="zh-CN" w:bidi="ar"/>
                    </w:rPr>
                    <w:t>ZMK</w:t>
                  </w:r>
                </w:p>
              </w:tc>
              <w:tc>
                <w:tcPr>
                  <w:tcW w:w="1012" w:type="dxa"/>
                  <w:vAlign w:val="center"/>
                </w:tcPr>
                <w:p w14:paraId="1BCF0EA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39</w:t>
                  </w:r>
                </w:p>
              </w:tc>
              <w:tc>
                <w:tcPr>
                  <w:tcW w:w="1089" w:type="dxa"/>
                  <w:vMerge w:val="continue"/>
                  <w:vAlign w:val="center"/>
                </w:tcPr>
                <w:p w14:paraId="024AA781">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2C57AA2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7FA6B25C">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3C6A76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4449ECC3">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5DDC60AA">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65BAC539">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597" w:type="dxa"/>
                  <w:vMerge w:val="continue"/>
                  <w:vAlign w:val="center"/>
                </w:tcPr>
                <w:p w14:paraId="5564A3AD">
                  <w:pPr>
                    <w:keepNext w:val="0"/>
                    <w:keepLines w:val="0"/>
                    <w:pageBreakBefore w:val="0"/>
                    <w:kinsoku/>
                    <w:overflowPunct/>
                    <w:topLinePunct w:val="0"/>
                    <w:autoSpaceDE/>
                    <w:autoSpaceDN/>
                    <w:bidi w:val="0"/>
                    <w:adjustRightInd/>
                    <w:snapToGrid/>
                    <w:jc w:val="center"/>
                    <w:rPr>
                      <w:color w:val="auto"/>
                      <w:sz w:val="18"/>
                      <w:szCs w:val="18"/>
                      <w:highlight w:val="none"/>
                    </w:rPr>
                  </w:pPr>
                </w:p>
              </w:tc>
              <w:tc>
                <w:tcPr>
                  <w:tcW w:w="2032" w:type="dxa"/>
                  <w:gridSpan w:val="2"/>
                  <w:vAlign w:val="center"/>
                </w:tcPr>
                <w:p w14:paraId="74011F3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110-EC21D-</w:t>
                  </w:r>
                  <w:r>
                    <w:rPr>
                      <w:rFonts w:hint="eastAsia" w:cs="Times New Roman"/>
                      <w:i w:val="0"/>
                      <w:iCs w:val="0"/>
                      <w:color w:val="auto"/>
                      <w:kern w:val="0"/>
                      <w:sz w:val="18"/>
                      <w:szCs w:val="18"/>
                      <w:highlight w:val="none"/>
                      <w:u w:val="none"/>
                      <w:lang w:val="en-US" w:eastAsia="zh-CN" w:bidi="ar"/>
                    </w:rPr>
                    <w:t>ZMR</w:t>
                  </w:r>
                </w:p>
              </w:tc>
              <w:tc>
                <w:tcPr>
                  <w:tcW w:w="1012" w:type="dxa"/>
                  <w:vAlign w:val="center"/>
                </w:tcPr>
                <w:p w14:paraId="0A8718C2">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vAlign w:val="center"/>
                </w:tcPr>
                <w:p w14:paraId="47002740">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p>
              </w:tc>
              <w:tc>
                <w:tcPr>
                  <w:tcW w:w="757" w:type="dxa"/>
                  <w:vAlign w:val="center"/>
                </w:tcPr>
                <w:p w14:paraId="0C60280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3</w:t>
                  </w:r>
                </w:p>
              </w:tc>
              <w:tc>
                <w:tcPr>
                  <w:tcW w:w="1298" w:type="dxa"/>
                  <w:vMerge w:val="continue"/>
                  <w:vAlign w:val="center"/>
                </w:tcPr>
                <w:p w14:paraId="642C39C0">
                  <w:pPr>
                    <w:keepNext w:val="0"/>
                    <w:keepLines w:val="0"/>
                    <w:pageBreakBefore w:val="0"/>
                    <w:kinsoku/>
                    <w:overflowPunct/>
                    <w:topLinePunct w:val="0"/>
                    <w:autoSpaceDE/>
                    <w:autoSpaceDN/>
                    <w:bidi w:val="0"/>
                    <w:adjustRightInd/>
                    <w:snapToGrid/>
                    <w:jc w:val="center"/>
                    <w:rPr>
                      <w:rFonts w:hAnsi="宋体"/>
                      <w:color w:val="auto"/>
                      <w:sz w:val="18"/>
                      <w:szCs w:val="18"/>
                      <w:highlight w:val="yellow"/>
                    </w:rPr>
                  </w:pPr>
                </w:p>
              </w:tc>
            </w:tr>
            <w:tr w14:paraId="0FCFA0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14" w:type="dxa"/>
                  <w:vMerge w:val="continue"/>
                  <w:vAlign w:val="center"/>
                </w:tcPr>
                <w:p w14:paraId="4D9C9416">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0D730F84">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1281E559">
                  <w:pPr>
                    <w:keepNext w:val="0"/>
                    <w:keepLines w:val="0"/>
                    <w:pageBreakBefore w:val="0"/>
                    <w:kinsoku/>
                    <w:overflowPunct/>
                    <w:topLinePunct w:val="0"/>
                    <w:autoSpaceDE/>
                    <w:autoSpaceDN/>
                    <w:bidi w:val="0"/>
                    <w:adjustRightInd/>
                    <w:snapToGrid/>
                    <w:jc w:val="center"/>
                    <w:rPr>
                      <w:rFonts w:hint="default" w:eastAsia="宋体"/>
                      <w:color w:val="auto"/>
                      <w:sz w:val="18"/>
                      <w:szCs w:val="18"/>
                      <w:highlight w:val="none"/>
                      <w:lang w:val="en-US" w:eastAsia="zh-CN"/>
                    </w:rPr>
                  </w:pPr>
                </w:p>
              </w:tc>
              <w:tc>
                <w:tcPr>
                  <w:tcW w:w="597" w:type="dxa"/>
                  <w:vMerge w:val="restart"/>
                  <w:vAlign w:val="center"/>
                </w:tcPr>
                <w:p w14:paraId="6A7E5D6A">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r>
                    <w:rPr>
                      <w:rFonts w:hint="eastAsia"/>
                      <w:color w:val="auto"/>
                      <w:sz w:val="18"/>
                      <w:szCs w:val="18"/>
                      <w:highlight w:val="none"/>
                      <w:lang w:val="en-US" w:eastAsia="zh-CN"/>
                    </w:rPr>
                    <w:t>双回铁塔</w:t>
                  </w:r>
                </w:p>
              </w:tc>
              <w:tc>
                <w:tcPr>
                  <w:tcW w:w="2032" w:type="dxa"/>
                  <w:gridSpan w:val="2"/>
                  <w:vAlign w:val="center"/>
                </w:tcPr>
                <w:p w14:paraId="3559BAF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ED</w:t>
                  </w:r>
                  <w:r>
                    <w:rPr>
                      <w:rFonts w:hint="default" w:ascii="Times New Roman" w:hAnsi="Times New Roman" w:eastAsia="宋体" w:cs="Times New Roman"/>
                      <w:i w:val="0"/>
                      <w:iCs w:val="0"/>
                      <w:color w:val="auto"/>
                      <w:kern w:val="0"/>
                      <w:sz w:val="18"/>
                      <w:szCs w:val="18"/>
                      <w:highlight w:val="none"/>
                      <w:u w:val="none"/>
                      <w:lang w:val="en-US" w:eastAsia="zh-CN" w:bidi="ar"/>
                    </w:rPr>
                    <w:t>21S-</w:t>
                  </w:r>
                  <w:r>
                    <w:rPr>
                      <w:rFonts w:hint="eastAsia" w:cs="Times New Roman"/>
                      <w:i w:val="0"/>
                      <w:iCs w:val="0"/>
                      <w:color w:val="auto"/>
                      <w:kern w:val="0"/>
                      <w:sz w:val="18"/>
                      <w:szCs w:val="18"/>
                      <w:highlight w:val="none"/>
                      <w:u w:val="none"/>
                      <w:lang w:val="en-US" w:eastAsia="zh-CN" w:bidi="ar"/>
                    </w:rPr>
                    <w:t>J2</w:t>
                  </w:r>
                </w:p>
              </w:tc>
              <w:tc>
                <w:tcPr>
                  <w:tcW w:w="1012" w:type="dxa"/>
                  <w:vAlign w:val="center"/>
                </w:tcPr>
                <w:p w14:paraId="35013EB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30</w:t>
                  </w:r>
                </w:p>
              </w:tc>
              <w:tc>
                <w:tcPr>
                  <w:tcW w:w="1089" w:type="dxa"/>
                  <w:vMerge w:val="restart"/>
                  <w:vAlign w:val="center"/>
                </w:tcPr>
                <w:p w14:paraId="6EB9162E">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垂直排列</w:t>
                  </w:r>
                </w:p>
              </w:tc>
              <w:tc>
                <w:tcPr>
                  <w:tcW w:w="757" w:type="dxa"/>
                  <w:vAlign w:val="center"/>
                </w:tcPr>
                <w:p w14:paraId="04047359">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w:t>
                  </w:r>
                </w:p>
              </w:tc>
              <w:tc>
                <w:tcPr>
                  <w:tcW w:w="1298" w:type="dxa"/>
                  <w:vMerge w:val="continue"/>
                  <w:vAlign w:val="center"/>
                </w:tcPr>
                <w:p w14:paraId="4F12C1E7">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7ADC66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4" w:type="dxa"/>
                  <w:vMerge w:val="continue"/>
                  <w:vAlign w:val="center"/>
                </w:tcPr>
                <w:p w14:paraId="1BC72B40">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296C87C7">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65A5C3AA">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597" w:type="dxa"/>
                  <w:vMerge w:val="continue"/>
                  <w:vAlign w:val="center"/>
                </w:tcPr>
                <w:p w14:paraId="499C2949">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2032" w:type="dxa"/>
                  <w:gridSpan w:val="2"/>
                  <w:vAlign w:val="center"/>
                </w:tcPr>
                <w:p w14:paraId="033EEC9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ED</w:t>
                  </w:r>
                  <w:r>
                    <w:rPr>
                      <w:rFonts w:hint="default" w:ascii="Times New Roman" w:hAnsi="Times New Roman" w:eastAsia="宋体" w:cs="Times New Roman"/>
                      <w:i w:val="0"/>
                      <w:iCs w:val="0"/>
                      <w:color w:val="auto"/>
                      <w:kern w:val="0"/>
                      <w:sz w:val="18"/>
                      <w:szCs w:val="18"/>
                      <w:highlight w:val="none"/>
                      <w:u w:val="none"/>
                      <w:lang w:val="en-US" w:eastAsia="zh-CN" w:bidi="ar"/>
                    </w:rPr>
                    <w:t>21S-DJ</w:t>
                  </w:r>
                </w:p>
              </w:tc>
              <w:tc>
                <w:tcPr>
                  <w:tcW w:w="1012" w:type="dxa"/>
                  <w:vAlign w:val="center"/>
                </w:tcPr>
                <w:p w14:paraId="4DF5C2D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w:t>
                  </w:r>
                  <w:r>
                    <w:rPr>
                      <w:rFonts w:hint="eastAsia" w:cs="Times New Roman"/>
                      <w:i w:val="0"/>
                      <w:iCs w:val="0"/>
                      <w:color w:val="auto"/>
                      <w:kern w:val="0"/>
                      <w:sz w:val="18"/>
                      <w:szCs w:val="18"/>
                      <w:highlight w:val="none"/>
                      <w:u w:val="none"/>
                      <w:lang w:val="en-US" w:eastAsia="zh-CN" w:bidi="ar"/>
                    </w:rPr>
                    <w:t>7</w:t>
                  </w:r>
                </w:p>
              </w:tc>
              <w:tc>
                <w:tcPr>
                  <w:tcW w:w="1089" w:type="dxa"/>
                  <w:vMerge w:val="continue"/>
                  <w:vAlign w:val="center"/>
                </w:tcPr>
                <w:p w14:paraId="29C5E63D">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p>
              </w:tc>
              <w:tc>
                <w:tcPr>
                  <w:tcW w:w="757" w:type="dxa"/>
                  <w:vAlign w:val="center"/>
                </w:tcPr>
                <w:p w14:paraId="0379FD50">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2</w:t>
                  </w:r>
                </w:p>
              </w:tc>
              <w:tc>
                <w:tcPr>
                  <w:tcW w:w="1298" w:type="dxa"/>
                  <w:vMerge w:val="continue"/>
                  <w:vAlign w:val="center"/>
                </w:tcPr>
                <w:p w14:paraId="588F9906">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24E1C7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4" w:type="dxa"/>
                  <w:vMerge w:val="continue"/>
                  <w:vAlign w:val="center"/>
                </w:tcPr>
                <w:p w14:paraId="058F700B">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422F9F78">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restart"/>
                  <w:vAlign w:val="center"/>
                </w:tcPr>
                <w:p w14:paraId="05E117B7">
                  <w:pPr>
                    <w:keepNext w:val="0"/>
                    <w:keepLines w:val="0"/>
                    <w:pageBreakBefore w:val="0"/>
                    <w:kinsoku/>
                    <w:overflowPunct/>
                    <w:topLinePunct w:val="0"/>
                    <w:autoSpaceDE/>
                    <w:autoSpaceDN/>
                    <w:bidi w:val="0"/>
                    <w:adjustRightInd/>
                    <w:snapToGrid/>
                    <w:jc w:val="center"/>
                    <w:rPr>
                      <w:rFonts w:hint="default"/>
                      <w:color w:val="auto"/>
                      <w:sz w:val="18"/>
                      <w:szCs w:val="18"/>
                      <w:highlight w:val="yellow"/>
                      <w:lang w:val="en-US" w:eastAsia="zh-CN"/>
                    </w:rPr>
                  </w:pPr>
                  <w:r>
                    <w:rPr>
                      <w:rFonts w:hint="eastAsia"/>
                      <w:color w:val="auto"/>
                      <w:sz w:val="18"/>
                      <w:szCs w:val="18"/>
                      <w:highlight w:val="none"/>
                      <w:lang w:val="en-US" w:eastAsia="zh-CN"/>
                    </w:rPr>
                    <w:t>利旧杆塔</w:t>
                  </w:r>
                </w:p>
              </w:tc>
              <w:tc>
                <w:tcPr>
                  <w:tcW w:w="597" w:type="dxa"/>
                  <w:vMerge w:val="restart"/>
                  <w:vAlign w:val="center"/>
                </w:tcPr>
                <w:p w14:paraId="2E99043A">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r>
                    <w:rPr>
                      <w:rFonts w:hint="eastAsia"/>
                      <w:color w:val="auto"/>
                      <w:sz w:val="18"/>
                      <w:szCs w:val="18"/>
                      <w:highlight w:val="none"/>
                      <w:lang w:val="en-US" w:eastAsia="zh-CN"/>
                    </w:rPr>
                    <w:t>双回铁塔</w:t>
                  </w:r>
                </w:p>
              </w:tc>
              <w:tc>
                <w:tcPr>
                  <w:tcW w:w="2032" w:type="dxa"/>
                  <w:gridSpan w:val="2"/>
                  <w:vAlign w:val="center"/>
                </w:tcPr>
                <w:p w14:paraId="56826E5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ED</w:t>
                  </w:r>
                  <w:r>
                    <w:rPr>
                      <w:rFonts w:hint="default" w:ascii="Times New Roman" w:hAnsi="Times New Roman" w:eastAsia="宋体" w:cs="Times New Roman"/>
                      <w:i w:val="0"/>
                      <w:iCs w:val="0"/>
                      <w:color w:val="auto"/>
                      <w:kern w:val="0"/>
                      <w:sz w:val="18"/>
                      <w:szCs w:val="18"/>
                      <w:highlight w:val="none"/>
                      <w:u w:val="none"/>
                      <w:lang w:val="en-US" w:eastAsia="zh-CN" w:bidi="ar"/>
                    </w:rPr>
                    <w:t>21S-</w:t>
                  </w:r>
                  <w:r>
                    <w:rPr>
                      <w:rFonts w:hint="eastAsia" w:cs="Times New Roman"/>
                      <w:i w:val="0"/>
                      <w:iCs w:val="0"/>
                      <w:color w:val="auto"/>
                      <w:kern w:val="0"/>
                      <w:sz w:val="18"/>
                      <w:szCs w:val="18"/>
                      <w:highlight w:val="none"/>
                      <w:u w:val="none"/>
                      <w:lang w:val="en-US" w:eastAsia="zh-CN" w:bidi="ar"/>
                    </w:rPr>
                    <w:t>Z1</w:t>
                  </w:r>
                </w:p>
              </w:tc>
              <w:tc>
                <w:tcPr>
                  <w:tcW w:w="1012" w:type="dxa"/>
                  <w:vAlign w:val="center"/>
                </w:tcPr>
                <w:p w14:paraId="2E5447E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24</w:t>
                  </w:r>
                </w:p>
              </w:tc>
              <w:tc>
                <w:tcPr>
                  <w:tcW w:w="1089" w:type="dxa"/>
                  <w:vMerge w:val="restart"/>
                  <w:vAlign w:val="center"/>
                </w:tcPr>
                <w:p w14:paraId="395F86C1">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r>
                    <w:rPr>
                      <w:rFonts w:hint="eastAsia" w:cs="Times New Roman"/>
                      <w:color w:val="auto"/>
                      <w:sz w:val="18"/>
                      <w:szCs w:val="18"/>
                      <w:highlight w:val="none"/>
                      <w:lang w:val="en-US" w:eastAsia="zh-CN"/>
                    </w:rPr>
                    <w:t>垂直逆相序排列</w:t>
                  </w:r>
                </w:p>
              </w:tc>
              <w:tc>
                <w:tcPr>
                  <w:tcW w:w="757" w:type="dxa"/>
                  <w:vAlign w:val="center"/>
                </w:tcPr>
                <w:p w14:paraId="0AA6B3AB">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1</w:t>
                  </w:r>
                </w:p>
              </w:tc>
              <w:tc>
                <w:tcPr>
                  <w:tcW w:w="1298" w:type="dxa"/>
                  <w:vMerge w:val="restart"/>
                  <w:vAlign w:val="center"/>
                </w:tcPr>
                <w:p w14:paraId="2813469A">
                  <w:pPr>
                    <w:keepNext w:val="0"/>
                    <w:keepLines w:val="0"/>
                    <w:pageBreakBefore w:val="0"/>
                    <w:kinsoku/>
                    <w:overflowPunct/>
                    <w:topLinePunct w:val="0"/>
                    <w:autoSpaceDE/>
                    <w:autoSpaceDN/>
                    <w:bidi w:val="0"/>
                    <w:adjustRightInd/>
                    <w:snapToGrid/>
                    <w:jc w:val="center"/>
                    <w:rPr>
                      <w:rFonts w:hint="eastAsia" w:eastAsia="宋体"/>
                      <w:color w:val="auto"/>
                      <w:sz w:val="18"/>
                      <w:szCs w:val="18"/>
                      <w:highlight w:val="yellow"/>
                      <w:lang w:val="en-US" w:eastAsia="zh-CN"/>
                    </w:rPr>
                  </w:pPr>
                  <w:r>
                    <w:rPr>
                      <w:rFonts w:hint="eastAsia"/>
                      <w:color w:val="auto"/>
                      <w:sz w:val="18"/>
                      <w:szCs w:val="18"/>
                      <w:highlight w:val="none"/>
                      <w:lang w:val="en-US" w:eastAsia="zh-CN"/>
                    </w:rPr>
                    <w:t>/</w:t>
                  </w:r>
                </w:p>
              </w:tc>
            </w:tr>
            <w:tr w14:paraId="63252F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814" w:type="dxa"/>
                  <w:vMerge w:val="continue"/>
                  <w:vAlign w:val="center"/>
                </w:tcPr>
                <w:p w14:paraId="4D5D59CD">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500131DC">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1AD0FE58">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597" w:type="dxa"/>
                  <w:vMerge w:val="continue"/>
                  <w:vAlign w:val="center"/>
                </w:tcPr>
                <w:p w14:paraId="4293AF94">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2032" w:type="dxa"/>
                  <w:gridSpan w:val="2"/>
                  <w:vMerge w:val="restart"/>
                  <w:vAlign w:val="center"/>
                </w:tcPr>
                <w:p w14:paraId="4D4D59F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ED</w:t>
                  </w:r>
                  <w:r>
                    <w:rPr>
                      <w:rFonts w:hint="default" w:ascii="Times New Roman" w:hAnsi="Times New Roman" w:eastAsia="宋体" w:cs="Times New Roman"/>
                      <w:i w:val="0"/>
                      <w:iCs w:val="0"/>
                      <w:color w:val="auto"/>
                      <w:kern w:val="0"/>
                      <w:sz w:val="18"/>
                      <w:szCs w:val="18"/>
                      <w:highlight w:val="none"/>
                      <w:u w:val="none"/>
                      <w:lang w:val="en-US" w:eastAsia="zh-CN" w:bidi="ar"/>
                    </w:rPr>
                    <w:t>21S-</w:t>
                  </w:r>
                  <w:r>
                    <w:rPr>
                      <w:rFonts w:hint="eastAsia" w:cs="Times New Roman"/>
                      <w:i w:val="0"/>
                      <w:iCs w:val="0"/>
                      <w:color w:val="auto"/>
                      <w:kern w:val="0"/>
                      <w:sz w:val="18"/>
                      <w:szCs w:val="18"/>
                      <w:highlight w:val="none"/>
                      <w:u w:val="none"/>
                      <w:lang w:val="en-US" w:eastAsia="zh-CN" w:bidi="ar"/>
                    </w:rPr>
                    <w:t>Z2</w:t>
                  </w:r>
                </w:p>
              </w:tc>
              <w:tc>
                <w:tcPr>
                  <w:tcW w:w="1012" w:type="dxa"/>
                  <w:vAlign w:val="center"/>
                </w:tcPr>
                <w:p w14:paraId="6EBEF2C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21</w:t>
                  </w:r>
                </w:p>
              </w:tc>
              <w:tc>
                <w:tcPr>
                  <w:tcW w:w="1089" w:type="dxa"/>
                  <w:vMerge w:val="continue"/>
                  <w:vAlign w:val="center"/>
                </w:tcPr>
                <w:p w14:paraId="2CC02F1B">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p>
              </w:tc>
              <w:tc>
                <w:tcPr>
                  <w:tcW w:w="757" w:type="dxa"/>
                  <w:vAlign w:val="center"/>
                </w:tcPr>
                <w:p w14:paraId="4A7C2983">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2</w:t>
                  </w:r>
                </w:p>
              </w:tc>
              <w:tc>
                <w:tcPr>
                  <w:tcW w:w="1298" w:type="dxa"/>
                  <w:vMerge w:val="continue"/>
                  <w:vAlign w:val="center"/>
                </w:tcPr>
                <w:p w14:paraId="7A949039">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45212A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814" w:type="dxa"/>
                  <w:vMerge w:val="continue"/>
                  <w:vAlign w:val="center"/>
                </w:tcPr>
                <w:p w14:paraId="77D493AC">
                  <w:pPr>
                    <w:keepNext w:val="0"/>
                    <w:keepLines w:val="0"/>
                    <w:pageBreakBefore w:val="0"/>
                    <w:widowControl/>
                    <w:suppressLineNumbers w:val="0"/>
                    <w:kinsoku/>
                    <w:overflowPunct/>
                    <w:topLinePunct w:val="0"/>
                    <w:autoSpaceDE/>
                    <w:autoSpaceDN/>
                    <w:bidi w:val="0"/>
                    <w:adjustRightInd/>
                    <w:snapToGrid/>
                    <w:jc w:val="center"/>
                    <w:textAlignment w:val="center"/>
                  </w:pPr>
                </w:p>
              </w:tc>
              <w:tc>
                <w:tcPr>
                  <w:tcW w:w="472" w:type="dxa"/>
                  <w:vMerge w:val="continue"/>
                  <w:vAlign w:val="center"/>
                </w:tcPr>
                <w:p w14:paraId="43012FCC">
                  <w:pPr>
                    <w:keepNext w:val="0"/>
                    <w:keepLines w:val="0"/>
                    <w:pageBreakBefore w:val="0"/>
                    <w:widowControl/>
                    <w:suppressLineNumbers w:val="0"/>
                    <w:kinsoku/>
                    <w:overflowPunct/>
                    <w:topLinePunct w:val="0"/>
                    <w:autoSpaceDE/>
                    <w:autoSpaceDN/>
                    <w:bidi w:val="0"/>
                    <w:adjustRightInd/>
                    <w:snapToGrid/>
                    <w:jc w:val="center"/>
                    <w:textAlignment w:val="center"/>
                  </w:pPr>
                </w:p>
              </w:tc>
              <w:tc>
                <w:tcPr>
                  <w:tcW w:w="600" w:type="dxa"/>
                  <w:vMerge w:val="continue"/>
                  <w:vAlign w:val="center"/>
                </w:tcPr>
                <w:p w14:paraId="39C161E5">
                  <w:pPr>
                    <w:keepNext w:val="0"/>
                    <w:keepLines w:val="0"/>
                    <w:pageBreakBefore w:val="0"/>
                    <w:widowControl/>
                    <w:suppressLineNumbers w:val="0"/>
                    <w:kinsoku/>
                    <w:overflowPunct/>
                    <w:topLinePunct w:val="0"/>
                    <w:autoSpaceDE/>
                    <w:autoSpaceDN/>
                    <w:bidi w:val="0"/>
                    <w:adjustRightInd/>
                    <w:snapToGrid/>
                    <w:jc w:val="center"/>
                    <w:textAlignment w:val="center"/>
                  </w:pPr>
                </w:p>
              </w:tc>
              <w:tc>
                <w:tcPr>
                  <w:tcW w:w="597" w:type="dxa"/>
                  <w:vMerge w:val="continue"/>
                  <w:vAlign w:val="center"/>
                </w:tcPr>
                <w:p w14:paraId="456078C5">
                  <w:pPr>
                    <w:keepNext w:val="0"/>
                    <w:keepLines w:val="0"/>
                    <w:pageBreakBefore w:val="0"/>
                    <w:widowControl/>
                    <w:suppressLineNumbers w:val="0"/>
                    <w:kinsoku/>
                    <w:overflowPunct/>
                    <w:topLinePunct w:val="0"/>
                    <w:autoSpaceDE/>
                    <w:autoSpaceDN/>
                    <w:bidi w:val="0"/>
                    <w:adjustRightInd/>
                    <w:snapToGrid/>
                    <w:jc w:val="center"/>
                    <w:textAlignment w:val="center"/>
                  </w:pPr>
                </w:p>
              </w:tc>
              <w:tc>
                <w:tcPr>
                  <w:tcW w:w="2032" w:type="dxa"/>
                  <w:gridSpan w:val="2"/>
                  <w:vMerge w:val="continue"/>
                  <w:vAlign w:val="center"/>
                </w:tcPr>
                <w:p w14:paraId="65C87DBF">
                  <w:pPr>
                    <w:keepNext w:val="0"/>
                    <w:keepLines w:val="0"/>
                    <w:pageBreakBefore w:val="0"/>
                    <w:widowControl/>
                    <w:suppressLineNumbers w:val="0"/>
                    <w:kinsoku/>
                    <w:overflowPunct/>
                    <w:topLinePunct w:val="0"/>
                    <w:autoSpaceDE/>
                    <w:autoSpaceDN/>
                    <w:bidi w:val="0"/>
                    <w:adjustRightInd/>
                    <w:snapToGrid/>
                    <w:jc w:val="center"/>
                    <w:textAlignment w:val="center"/>
                  </w:pPr>
                </w:p>
              </w:tc>
              <w:tc>
                <w:tcPr>
                  <w:tcW w:w="1012" w:type="dxa"/>
                  <w:vAlign w:val="center"/>
                </w:tcPr>
                <w:p w14:paraId="22D7A8C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27</w:t>
                  </w:r>
                </w:p>
              </w:tc>
              <w:tc>
                <w:tcPr>
                  <w:tcW w:w="1089" w:type="dxa"/>
                  <w:vMerge w:val="continue"/>
                  <w:vAlign w:val="center"/>
                </w:tcPr>
                <w:p w14:paraId="650A383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p>
              </w:tc>
              <w:tc>
                <w:tcPr>
                  <w:tcW w:w="757" w:type="dxa"/>
                  <w:vAlign w:val="center"/>
                </w:tcPr>
                <w:p w14:paraId="62913BA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49FB6BD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p>
              </w:tc>
            </w:tr>
            <w:tr w14:paraId="45B3FC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4" w:type="dxa"/>
                  <w:vMerge w:val="continue"/>
                  <w:vAlign w:val="center"/>
                </w:tcPr>
                <w:p w14:paraId="467BC7E8">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21CF8FA5">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6C4D1953">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597" w:type="dxa"/>
                  <w:vMerge w:val="continue"/>
                  <w:vAlign w:val="center"/>
                </w:tcPr>
                <w:p w14:paraId="0061FF4D">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2032" w:type="dxa"/>
                  <w:gridSpan w:val="2"/>
                  <w:vAlign w:val="center"/>
                </w:tcPr>
                <w:p w14:paraId="5152A0A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ED</w:t>
                  </w:r>
                  <w:r>
                    <w:rPr>
                      <w:rFonts w:hint="default" w:ascii="Times New Roman" w:hAnsi="Times New Roman" w:eastAsia="宋体" w:cs="Times New Roman"/>
                      <w:i w:val="0"/>
                      <w:iCs w:val="0"/>
                      <w:color w:val="auto"/>
                      <w:kern w:val="0"/>
                      <w:sz w:val="18"/>
                      <w:szCs w:val="18"/>
                      <w:highlight w:val="none"/>
                      <w:u w:val="none"/>
                      <w:lang w:val="en-US" w:eastAsia="zh-CN" w:bidi="ar"/>
                    </w:rPr>
                    <w:t>21S-</w:t>
                  </w:r>
                  <w:r>
                    <w:rPr>
                      <w:rFonts w:hint="eastAsia" w:cs="Times New Roman"/>
                      <w:i w:val="0"/>
                      <w:iCs w:val="0"/>
                      <w:color w:val="auto"/>
                      <w:kern w:val="0"/>
                      <w:sz w:val="18"/>
                      <w:szCs w:val="18"/>
                      <w:highlight w:val="none"/>
                      <w:u w:val="none"/>
                      <w:lang w:val="en-US" w:eastAsia="zh-CN" w:bidi="ar"/>
                    </w:rPr>
                    <w:t>Z3</w:t>
                  </w:r>
                </w:p>
              </w:tc>
              <w:tc>
                <w:tcPr>
                  <w:tcW w:w="1012" w:type="dxa"/>
                  <w:vAlign w:val="center"/>
                </w:tcPr>
                <w:p w14:paraId="3D1A122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18</w:t>
                  </w:r>
                </w:p>
              </w:tc>
              <w:tc>
                <w:tcPr>
                  <w:tcW w:w="1089" w:type="dxa"/>
                  <w:vMerge w:val="continue"/>
                  <w:vAlign w:val="center"/>
                </w:tcPr>
                <w:p w14:paraId="1ECD2F34">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p>
              </w:tc>
              <w:tc>
                <w:tcPr>
                  <w:tcW w:w="757" w:type="dxa"/>
                  <w:vAlign w:val="center"/>
                </w:tcPr>
                <w:p w14:paraId="5838524E">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1</w:t>
                  </w:r>
                </w:p>
              </w:tc>
              <w:tc>
                <w:tcPr>
                  <w:tcW w:w="1298" w:type="dxa"/>
                  <w:vMerge w:val="continue"/>
                  <w:vAlign w:val="center"/>
                </w:tcPr>
                <w:p w14:paraId="2B63BAB2">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7A1779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4" w:type="dxa"/>
                  <w:vMerge w:val="continue"/>
                  <w:vAlign w:val="center"/>
                </w:tcPr>
                <w:p w14:paraId="783625CA">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0B733A86">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219D2C28">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597" w:type="dxa"/>
                  <w:vMerge w:val="continue"/>
                  <w:vAlign w:val="center"/>
                </w:tcPr>
                <w:p w14:paraId="57AFAF8D">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2032" w:type="dxa"/>
                  <w:gridSpan w:val="2"/>
                  <w:vAlign w:val="center"/>
                </w:tcPr>
                <w:p w14:paraId="0894FFB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110-E</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-J1</w:t>
                  </w:r>
                </w:p>
              </w:tc>
              <w:tc>
                <w:tcPr>
                  <w:tcW w:w="1012" w:type="dxa"/>
                  <w:vAlign w:val="center"/>
                </w:tcPr>
                <w:p w14:paraId="1689AC9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24</w:t>
                  </w:r>
                </w:p>
              </w:tc>
              <w:tc>
                <w:tcPr>
                  <w:tcW w:w="1089" w:type="dxa"/>
                  <w:vMerge w:val="continue"/>
                  <w:vAlign w:val="center"/>
                </w:tcPr>
                <w:p w14:paraId="402B77AF">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p>
              </w:tc>
              <w:tc>
                <w:tcPr>
                  <w:tcW w:w="757" w:type="dxa"/>
                  <w:vAlign w:val="center"/>
                </w:tcPr>
                <w:p w14:paraId="6920F8C1">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2</w:t>
                  </w:r>
                </w:p>
              </w:tc>
              <w:tc>
                <w:tcPr>
                  <w:tcW w:w="1298" w:type="dxa"/>
                  <w:vMerge w:val="continue"/>
                  <w:vAlign w:val="center"/>
                </w:tcPr>
                <w:p w14:paraId="0017FF3E">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1E53B5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4" w:type="dxa"/>
                  <w:vMerge w:val="continue"/>
                  <w:vAlign w:val="center"/>
                </w:tcPr>
                <w:p w14:paraId="299B3991">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681946F2">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6B7AEADB">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597" w:type="dxa"/>
                  <w:vMerge w:val="continue"/>
                  <w:vAlign w:val="center"/>
                </w:tcPr>
                <w:p w14:paraId="13E7BFD8">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2032" w:type="dxa"/>
                  <w:gridSpan w:val="2"/>
                  <w:vMerge w:val="restart"/>
                  <w:vAlign w:val="center"/>
                </w:tcPr>
                <w:p w14:paraId="5945358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110-E</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-J</w:t>
                  </w:r>
                  <w:r>
                    <w:rPr>
                      <w:rFonts w:hint="eastAsia" w:cs="Times New Roman"/>
                      <w:i w:val="0"/>
                      <w:iCs w:val="0"/>
                      <w:color w:val="auto"/>
                      <w:kern w:val="0"/>
                      <w:sz w:val="18"/>
                      <w:szCs w:val="18"/>
                      <w:highlight w:val="none"/>
                      <w:u w:val="none"/>
                      <w:lang w:val="en-US" w:eastAsia="zh-CN" w:bidi="ar"/>
                    </w:rPr>
                    <w:t>2</w:t>
                  </w:r>
                </w:p>
              </w:tc>
              <w:tc>
                <w:tcPr>
                  <w:tcW w:w="1012" w:type="dxa"/>
                  <w:vAlign w:val="center"/>
                </w:tcPr>
                <w:p w14:paraId="118017E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21</w:t>
                  </w:r>
                </w:p>
              </w:tc>
              <w:tc>
                <w:tcPr>
                  <w:tcW w:w="1089" w:type="dxa"/>
                  <w:vMerge w:val="continue"/>
                  <w:vAlign w:val="center"/>
                </w:tcPr>
                <w:p w14:paraId="240E89E0">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p>
              </w:tc>
              <w:tc>
                <w:tcPr>
                  <w:tcW w:w="757" w:type="dxa"/>
                  <w:vAlign w:val="center"/>
                </w:tcPr>
                <w:p w14:paraId="4F9DE8CF">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1</w:t>
                  </w:r>
                </w:p>
              </w:tc>
              <w:tc>
                <w:tcPr>
                  <w:tcW w:w="1298" w:type="dxa"/>
                  <w:vMerge w:val="continue"/>
                  <w:vAlign w:val="center"/>
                </w:tcPr>
                <w:p w14:paraId="105DE322">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5D1D80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814" w:type="dxa"/>
                  <w:vMerge w:val="continue"/>
                  <w:vAlign w:val="center"/>
                </w:tcPr>
                <w:p w14:paraId="52E72280">
                  <w:pPr>
                    <w:keepNext w:val="0"/>
                    <w:keepLines w:val="0"/>
                    <w:pageBreakBefore w:val="0"/>
                    <w:widowControl/>
                    <w:kinsoku/>
                    <w:overflowPunct/>
                    <w:topLinePunct w:val="0"/>
                    <w:autoSpaceDE/>
                    <w:autoSpaceDN/>
                    <w:bidi w:val="0"/>
                    <w:adjustRightInd/>
                    <w:snapToGrid/>
                    <w:spacing w:line="240" w:lineRule="atLeast"/>
                    <w:jc w:val="center"/>
                  </w:pPr>
                </w:p>
              </w:tc>
              <w:tc>
                <w:tcPr>
                  <w:tcW w:w="472" w:type="dxa"/>
                  <w:vMerge w:val="continue"/>
                  <w:vAlign w:val="center"/>
                </w:tcPr>
                <w:p w14:paraId="51C7124E">
                  <w:pPr>
                    <w:keepNext w:val="0"/>
                    <w:keepLines w:val="0"/>
                    <w:pageBreakBefore w:val="0"/>
                    <w:widowControl/>
                    <w:kinsoku/>
                    <w:overflowPunct/>
                    <w:topLinePunct w:val="0"/>
                    <w:autoSpaceDE/>
                    <w:autoSpaceDN/>
                    <w:bidi w:val="0"/>
                    <w:adjustRightInd/>
                    <w:snapToGrid/>
                    <w:spacing w:line="240" w:lineRule="atLeast"/>
                    <w:jc w:val="center"/>
                  </w:pPr>
                </w:p>
              </w:tc>
              <w:tc>
                <w:tcPr>
                  <w:tcW w:w="600" w:type="dxa"/>
                  <w:vMerge w:val="continue"/>
                  <w:vAlign w:val="center"/>
                </w:tcPr>
                <w:p w14:paraId="1A448079">
                  <w:pPr>
                    <w:keepNext w:val="0"/>
                    <w:keepLines w:val="0"/>
                    <w:pageBreakBefore w:val="0"/>
                    <w:widowControl/>
                    <w:kinsoku/>
                    <w:overflowPunct/>
                    <w:topLinePunct w:val="0"/>
                    <w:autoSpaceDE/>
                    <w:autoSpaceDN/>
                    <w:bidi w:val="0"/>
                    <w:adjustRightInd/>
                    <w:snapToGrid/>
                    <w:spacing w:line="240" w:lineRule="atLeast"/>
                    <w:jc w:val="center"/>
                  </w:pPr>
                </w:p>
              </w:tc>
              <w:tc>
                <w:tcPr>
                  <w:tcW w:w="597" w:type="dxa"/>
                  <w:vMerge w:val="continue"/>
                  <w:vAlign w:val="center"/>
                </w:tcPr>
                <w:p w14:paraId="627B9A21">
                  <w:pPr>
                    <w:keepNext w:val="0"/>
                    <w:keepLines w:val="0"/>
                    <w:pageBreakBefore w:val="0"/>
                    <w:widowControl/>
                    <w:kinsoku/>
                    <w:overflowPunct/>
                    <w:topLinePunct w:val="0"/>
                    <w:autoSpaceDE/>
                    <w:autoSpaceDN/>
                    <w:bidi w:val="0"/>
                    <w:adjustRightInd/>
                    <w:snapToGrid/>
                    <w:spacing w:line="240" w:lineRule="atLeast"/>
                    <w:jc w:val="center"/>
                  </w:pPr>
                </w:p>
              </w:tc>
              <w:tc>
                <w:tcPr>
                  <w:tcW w:w="2032" w:type="dxa"/>
                  <w:gridSpan w:val="2"/>
                  <w:vMerge w:val="continue"/>
                  <w:vAlign w:val="center"/>
                </w:tcPr>
                <w:p w14:paraId="2B82B3DD">
                  <w:pPr>
                    <w:keepNext w:val="0"/>
                    <w:keepLines w:val="0"/>
                    <w:pageBreakBefore w:val="0"/>
                    <w:widowControl/>
                    <w:kinsoku/>
                    <w:overflowPunct/>
                    <w:topLinePunct w:val="0"/>
                    <w:autoSpaceDE/>
                    <w:autoSpaceDN/>
                    <w:bidi w:val="0"/>
                    <w:adjustRightInd/>
                    <w:snapToGrid/>
                    <w:spacing w:line="240" w:lineRule="atLeast"/>
                    <w:jc w:val="center"/>
                  </w:pPr>
                </w:p>
              </w:tc>
              <w:tc>
                <w:tcPr>
                  <w:tcW w:w="1012" w:type="dxa"/>
                  <w:vAlign w:val="center"/>
                </w:tcPr>
                <w:p w14:paraId="0DC9803D">
                  <w:pPr>
                    <w:keepNext w:val="0"/>
                    <w:keepLines w:val="0"/>
                    <w:pageBreakBefore w:val="0"/>
                    <w:widowControl/>
                    <w:kinsoku/>
                    <w:overflowPunct/>
                    <w:topLinePunct w:val="0"/>
                    <w:autoSpaceDE/>
                    <w:autoSpaceDN/>
                    <w:bidi w:val="0"/>
                    <w:adjustRightInd/>
                    <w:snapToGrid/>
                    <w:spacing w:line="240" w:lineRule="atLeast"/>
                    <w:jc w:val="center"/>
                    <w:rPr>
                      <w:rFonts w:hint="default" w:eastAsia="宋体"/>
                      <w:lang w:val="en-US" w:eastAsia="zh-CN"/>
                    </w:rPr>
                  </w:pPr>
                  <w:r>
                    <w:rPr>
                      <w:rFonts w:hint="eastAsia"/>
                      <w:lang w:val="en-US" w:eastAsia="zh-CN"/>
                    </w:rPr>
                    <w:t>27</w:t>
                  </w:r>
                </w:p>
              </w:tc>
              <w:tc>
                <w:tcPr>
                  <w:tcW w:w="1089" w:type="dxa"/>
                  <w:vMerge w:val="continue"/>
                  <w:vAlign w:val="center"/>
                </w:tcPr>
                <w:p w14:paraId="7AE1DC27">
                  <w:pPr>
                    <w:keepNext w:val="0"/>
                    <w:keepLines w:val="0"/>
                    <w:pageBreakBefore w:val="0"/>
                    <w:widowControl/>
                    <w:kinsoku/>
                    <w:overflowPunct/>
                    <w:topLinePunct w:val="0"/>
                    <w:autoSpaceDE/>
                    <w:autoSpaceDN/>
                    <w:bidi w:val="0"/>
                    <w:adjustRightInd/>
                    <w:snapToGrid/>
                    <w:spacing w:line="240" w:lineRule="atLeast"/>
                    <w:jc w:val="center"/>
                  </w:pPr>
                </w:p>
              </w:tc>
              <w:tc>
                <w:tcPr>
                  <w:tcW w:w="757" w:type="dxa"/>
                  <w:vAlign w:val="center"/>
                </w:tcPr>
                <w:p w14:paraId="3FAC23B0">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3</w:t>
                  </w:r>
                </w:p>
              </w:tc>
              <w:tc>
                <w:tcPr>
                  <w:tcW w:w="1298" w:type="dxa"/>
                  <w:vMerge w:val="continue"/>
                  <w:vAlign w:val="center"/>
                </w:tcPr>
                <w:p w14:paraId="1654FFCC">
                  <w:pPr>
                    <w:keepNext w:val="0"/>
                    <w:keepLines w:val="0"/>
                    <w:pageBreakBefore w:val="0"/>
                    <w:widowControl/>
                    <w:kinsoku/>
                    <w:overflowPunct/>
                    <w:topLinePunct w:val="0"/>
                    <w:autoSpaceDE/>
                    <w:autoSpaceDN/>
                    <w:bidi w:val="0"/>
                    <w:adjustRightInd/>
                    <w:snapToGrid/>
                    <w:spacing w:line="240" w:lineRule="atLeast"/>
                    <w:jc w:val="center"/>
                    <w:rPr>
                      <w:rFonts w:hint="eastAsia" w:cs="Times New Roman"/>
                      <w:color w:val="auto"/>
                      <w:sz w:val="18"/>
                      <w:szCs w:val="18"/>
                      <w:highlight w:val="none"/>
                      <w:lang w:val="en-US" w:eastAsia="zh-CN"/>
                    </w:rPr>
                  </w:pPr>
                </w:p>
              </w:tc>
            </w:tr>
            <w:tr w14:paraId="36CD4F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4" w:type="dxa"/>
                  <w:vMerge w:val="continue"/>
                  <w:vAlign w:val="center"/>
                </w:tcPr>
                <w:p w14:paraId="6028AEC8">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4386CEA6">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04C71573">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597" w:type="dxa"/>
                  <w:vMerge w:val="continue"/>
                  <w:vAlign w:val="center"/>
                </w:tcPr>
                <w:p w14:paraId="39583853">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2032" w:type="dxa"/>
                  <w:gridSpan w:val="2"/>
                  <w:vAlign w:val="center"/>
                </w:tcPr>
                <w:p w14:paraId="3D4A084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110-E</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DJ1</w:t>
                  </w:r>
                </w:p>
              </w:tc>
              <w:tc>
                <w:tcPr>
                  <w:tcW w:w="1012" w:type="dxa"/>
                  <w:vAlign w:val="center"/>
                </w:tcPr>
                <w:p w14:paraId="27D0EB8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24</w:t>
                  </w:r>
                </w:p>
              </w:tc>
              <w:tc>
                <w:tcPr>
                  <w:tcW w:w="1089" w:type="dxa"/>
                  <w:vMerge w:val="continue"/>
                  <w:vAlign w:val="center"/>
                </w:tcPr>
                <w:p w14:paraId="7DF6BBFE">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p>
              </w:tc>
              <w:tc>
                <w:tcPr>
                  <w:tcW w:w="757" w:type="dxa"/>
                  <w:vAlign w:val="center"/>
                </w:tcPr>
                <w:p w14:paraId="024DCB9B">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1</w:t>
                  </w:r>
                </w:p>
              </w:tc>
              <w:tc>
                <w:tcPr>
                  <w:tcW w:w="1298" w:type="dxa"/>
                  <w:vMerge w:val="continue"/>
                  <w:vAlign w:val="center"/>
                </w:tcPr>
                <w:p w14:paraId="3869C503">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4B5753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4" w:type="dxa"/>
                  <w:vMerge w:val="continue"/>
                  <w:vAlign w:val="center"/>
                </w:tcPr>
                <w:p w14:paraId="31FC017C">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29885A85">
                  <w:pPr>
                    <w:keepNext w:val="0"/>
                    <w:keepLines w:val="0"/>
                    <w:pageBreakBefore w:val="0"/>
                    <w:kinsoku/>
                    <w:overflowPunct/>
                    <w:topLinePunct w:val="0"/>
                    <w:autoSpaceDE/>
                    <w:autoSpaceDN/>
                    <w:bidi w:val="0"/>
                    <w:adjustRightInd/>
                    <w:snapToGrid/>
                    <w:jc w:val="center"/>
                    <w:rPr>
                      <w:color w:val="FF0000"/>
                      <w:sz w:val="18"/>
                      <w:szCs w:val="18"/>
                    </w:rPr>
                  </w:pPr>
                </w:p>
              </w:tc>
              <w:tc>
                <w:tcPr>
                  <w:tcW w:w="600" w:type="dxa"/>
                  <w:vMerge w:val="continue"/>
                  <w:vAlign w:val="center"/>
                </w:tcPr>
                <w:p w14:paraId="14A67E75">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597" w:type="dxa"/>
                  <w:vMerge w:val="continue"/>
                  <w:vAlign w:val="center"/>
                </w:tcPr>
                <w:p w14:paraId="64E47BB1">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p>
              </w:tc>
              <w:tc>
                <w:tcPr>
                  <w:tcW w:w="2032" w:type="dxa"/>
                  <w:gridSpan w:val="2"/>
                  <w:vAlign w:val="center"/>
                </w:tcPr>
                <w:p w14:paraId="19B4EC52">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110-E</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J1G</w:t>
                  </w:r>
                </w:p>
              </w:tc>
              <w:tc>
                <w:tcPr>
                  <w:tcW w:w="1012" w:type="dxa"/>
                  <w:vAlign w:val="center"/>
                </w:tcPr>
                <w:p w14:paraId="3F41940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30</w:t>
                  </w:r>
                </w:p>
              </w:tc>
              <w:tc>
                <w:tcPr>
                  <w:tcW w:w="1089" w:type="dxa"/>
                  <w:vMerge w:val="continue"/>
                  <w:vAlign w:val="center"/>
                </w:tcPr>
                <w:p w14:paraId="289BA26E">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lang w:val="en-US" w:eastAsia="zh-CN"/>
                    </w:rPr>
                  </w:pPr>
                </w:p>
              </w:tc>
              <w:tc>
                <w:tcPr>
                  <w:tcW w:w="757" w:type="dxa"/>
                  <w:vAlign w:val="center"/>
                </w:tcPr>
                <w:p w14:paraId="169C22EA">
                  <w:pPr>
                    <w:keepNext w:val="0"/>
                    <w:keepLines w:val="0"/>
                    <w:pageBreakBefore w:val="0"/>
                    <w:widowControl/>
                    <w:kinsoku/>
                    <w:overflowPunct/>
                    <w:topLinePunct w:val="0"/>
                    <w:autoSpaceDE/>
                    <w:autoSpaceDN/>
                    <w:bidi w:val="0"/>
                    <w:adjustRightInd/>
                    <w:snapToGrid/>
                    <w:spacing w:line="240" w:lineRule="atLeast"/>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2</w:t>
                  </w:r>
                </w:p>
              </w:tc>
              <w:tc>
                <w:tcPr>
                  <w:tcW w:w="1298" w:type="dxa"/>
                  <w:vMerge w:val="continue"/>
                  <w:vAlign w:val="center"/>
                </w:tcPr>
                <w:p w14:paraId="2207C343">
                  <w:pPr>
                    <w:keepNext w:val="0"/>
                    <w:keepLines w:val="0"/>
                    <w:pageBreakBefore w:val="0"/>
                    <w:kinsoku/>
                    <w:overflowPunct/>
                    <w:topLinePunct w:val="0"/>
                    <w:autoSpaceDE/>
                    <w:autoSpaceDN/>
                    <w:bidi w:val="0"/>
                    <w:adjustRightInd/>
                    <w:snapToGrid/>
                    <w:jc w:val="center"/>
                    <w:rPr>
                      <w:color w:val="auto"/>
                      <w:sz w:val="18"/>
                      <w:szCs w:val="18"/>
                      <w:highlight w:val="yellow"/>
                    </w:rPr>
                  </w:pPr>
                </w:p>
              </w:tc>
            </w:tr>
            <w:tr w14:paraId="365FAC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47747BBF">
                  <w:pPr>
                    <w:keepNext w:val="0"/>
                    <w:keepLines w:val="0"/>
                    <w:pageBreakBefore w:val="0"/>
                    <w:kinsoku/>
                    <w:overflowPunct/>
                    <w:topLinePunct w:val="0"/>
                    <w:autoSpaceDE/>
                    <w:autoSpaceDN/>
                    <w:bidi w:val="0"/>
                    <w:adjustRightInd/>
                    <w:snapToGrid/>
                    <w:jc w:val="center"/>
                    <w:rPr>
                      <w:color w:val="FF0000"/>
                      <w:sz w:val="18"/>
                      <w:szCs w:val="18"/>
                    </w:rPr>
                  </w:pPr>
                </w:p>
              </w:tc>
              <w:tc>
                <w:tcPr>
                  <w:tcW w:w="472" w:type="dxa"/>
                  <w:vMerge w:val="continue"/>
                  <w:vAlign w:val="center"/>
                </w:tcPr>
                <w:p w14:paraId="69A9D2EA">
                  <w:pPr>
                    <w:keepNext w:val="0"/>
                    <w:keepLines w:val="0"/>
                    <w:pageBreakBefore w:val="0"/>
                    <w:kinsoku/>
                    <w:overflowPunct/>
                    <w:topLinePunct w:val="0"/>
                    <w:autoSpaceDE/>
                    <w:autoSpaceDN/>
                    <w:bidi w:val="0"/>
                    <w:adjustRightInd/>
                    <w:snapToGrid/>
                    <w:jc w:val="center"/>
                    <w:rPr>
                      <w:color w:val="FF0000"/>
                      <w:sz w:val="18"/>
                      <w:szCs w:val="18"/>
                    </w:rPr>
                  </w:pPr>
                </w:p>
              </w:tc>
              <w:tc>
                <w:tcPr>
                  <w:tcW w:w="1197" w:type="dxa"/>
                  <w:gridSpan w:val="2"/>
                  <w:vAlign w:val="center"/>
                </w:tcPr>
                <w:p w14:paraId="44C904A5">
                  <w:pPr>
                    <w:keepNext w:val="0"/>
                    <w:keepLines w:val="0"/>
                    <w:pageBreakBefore w:val="0"/>
                    <w:kinsoku/>
                    <w:overflowPunct/>
                    <w:topLinePunct w:val="0"/>
                    <w:autoSpaceDE/>
                    <w:autoSpaceDN/>
                    <w:bidi w:val="0"/>
                    <w:adjustRightInd/>
                    <w:snapToGrid/>
                    <w:jc w:val="center"/>
                    <w:rPr>
                      <w:color w:val="auto"/>
                      <w:sz w:val="18"/>
                      <w:szCs w:val="18"/>
                      <w:highlight w:val="yellow"/>
                    </w:rPr>
                  </w:pPr>
                  <w:r>
                    <w:rPr>
                      <w:rFonts w:hint="eastAsia"/>
                      <w:color w:val="auto"/>
                      <w:sz w:val="18"/>
                      <w:szCs w:val="18"/>
                      <w:highlight w:val="none"/>
                    </w:rPr>
                    <w:t>合计</w:t>
                  </w:r>
                </w:p>
              </w:tc>
              <w:tc>
                <w:tcPr>
                  <w:tcW w:w="3044" w:type="dxa"/>
                  <w:gridSpan w:val="3"/>
                  <w:vAlign w:val="center"/>
                </w:tcPr>
                <w:p w14:paraId="30F7FABC">
                  <w:pPr>
                    <w:keepNext w:val="0"/>
                    <w:keepLines w:val="0"/>
                    <w:pageBreakBefore w:val="0"/>
                    <w:kinsoku/>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w:t>
                  </w:r>
                </w:p>
              </w:tc>
              <w:tc>
                <w:tcPr>
                  <w:tcW w:w="1089" w:type="dxa"/>
                </w:tcPr>
                <w:p w14:paraId="21EB70D1">
                  <w:pPr>
                    <w:keepNext w:val="0"/>
                    <w:keepLines w:val="0"/>
                    <w:pageBreakBefore w:val="0"/>
                    <w:kinsoku/>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w:t>
                  </w:r>
                </w:p>
              </w:tc>
              <w:tc>
                <w:tcPr>
                  <w:tcW w:w="757" w:type="dxa"/>
                  <w:vAlign w:val="center"/>
                </w:tcPr>
                <w:p w14:paraId="214C1CBC">
                  <w:pPr>
                    <w:keepNext w:val="0"/>
                    <w:keepLines w:val="0"/>
                    <w:pageBreakBefore w:val="0"/>
                    <w:kinsoku/>
                    <w:overflowPunct/>
                    <w:topLinePunct w:val="0"/>
                    <w:autoSpaceDE/>
                    <w:autoSpaceDN/>
                    <w:bidi w:val="0"/>
                    <w:adjustRightInd/>
                    <w:snapToGrid/>
                    <w:jc w:val="center"/>
                    <w:rPr>
                      <w:rFonts w:hint="default" w:eastAsia="宋体"/>
                      <w:color w:val="auto"/>
                      <w:sz w:val="18"/>
                      <w:szCs w:val="18"/>
                      <w:highlight w:val="yellow"/>
                      <w:lang w:val="en-US" w:eastAsia="zh-CN"/>
                    </w:rPr>
                  </w:pPr>
                  <w:r>
                    <w:rPr>
                      <w:rFonts w:hint="eastAsia"/>
                      <w:color w:val="auto"/>
                      <w:sz w:val="18"/>
                      <w:szCs w:val="18"/>
                      <w:highlight w:val="none"/>
                      <w:lang w:val="en-US" w:eastAsia="zh-CN"/>
                    </w:rPr>
                    <w:t>47</w:t>
                  </w:r>
                </w:p>
              </w:tc>
              <w:tc>
                <w:tcPr>
                  <w:tcW w:w="1298" w:type="dxa"/>
                  <w:vAlign w:val="center"/>
                </w:tcPr>
                <w:p w14:paraId="3C397D45">
                  <w:pPr>
                    <w:keepNext w:val="0"/>
                    <w:keepLines w:val="0"/>
                    <w:pageBreakBefore w:val="0"/>
                    <w:kinsoku/>
                    <w:overflowPunct/>
                    <w:topLinePunct w:val="0"/>
                    <w:autoSpaceDE/>
                    <w:autoSpaceDN/>
                    <w:bidi w:val="0"/>
                    <w:adjustRightInd/>
                    <w:snapToGrid/>
                    <w:jc w:val="center"/>
                    <w:rPr>
                      <w:color w:val="auto"/>
                      <w:sz w:val="18"/>
                      <w:szCs w:val="18"/>
                      <w:highlight w:val="yellow"/>
                    </w:rPr>
                  </w:pPr>
                  <w:r>
                    <w:rPr>
                      <w:rFonts w:hint="eastAsia"/>
                      <w:color w:val="auto"/>
                      <w:sz w:val="18"/>
                      <w:szCs w:val="18"/>
                      <w:highlight w:val="none"/>
                    </w:rPr>
                    <w:t>/</w:t>
                  </w:r>
                </w:p>
              </w:tc>
            </w:tr>
            <w:tr w14:paraId="6600C8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814" w:type="dxa"/>
                  <w:vMerge w:val="restart"/>
                  <w:vAlign w:val="center"/>
                </w:tcPr>
                <w:p w14:paraId="49F3FF0F">
                  <w:pPr>
                    <w:keepNext w:val="0"/>
                    <w:keepLines w:val="0"/>
                    <w:pageBreakBefore w:val="0"/>
                    <w:kinsoku/>
                    <w:overflowPunct/>
                    <w:topLinePunct w:val="0"/>
                    <w:autoSpaceDE/>
                    <w:autoSpaceDN/>
                    <w:bidi w:val="0"/>
                    <w:adjustRightInd/>
                    <w:snapToGrid/>
                    <w:jc w:val="center"/>
                    <w:rPr>
                      <w:color w:val="auto"/>
                      <w:sz w:val="18"/>
                      <w:szCs w:val="18"/>
                    </w:rPr>
                  </w:pPr>
                  <w:r>
                    <w:rPr>
                      <w:rFonts w:hint="eastAsia"/>
                      <w:color w:val="auto"/>
                      <w:sz w:val="18"/>
                      <w:szCs w:val="18"/>
                      <w:lang w:val="en-US" w:eastAsia="zh-CN"/>
                    </w:rPr>
                    <w:t>印合</w:t>
                  </w:r>
                  <w:r>
                    <w:rPr>
                      <w:rFonts w:hint="eastAsia"/>
                      <w:color w:val="auto"/>
                      <w:sz w:val="18"/>
                      <w:szCs w:val="18"/>
                      <w:lang w:eastAsia="zh-CN"/>
                    </w:rPr>
                    <w:t>～</w:t>
                  </w:r>
                  <w:r>
                    <w:rPr>
                      <w:rFonts w:hint="eastAsia"/>
                      <w:color w:val="auto"/>
                      <w:sz w:val="18"/>
                      <w:szCs w:val="18"/>
                      <w:lang w:val="en-US" w:eastAsia="zh-CN"/>
                    </w:rPr>
                    <w:t>司城</w:t>
                  </w:r>
                  <w:r>
                    <w:rPr>
                      <w:rFonts w:hint="eastAsia"/>
                      <w:color w:val="auto"/>
                      <w:sz w:val="18"/>
                      <w:szCs w:val="18"/>
                      <w:lang w:eastAsia="zh-CN"/>
                    </w:rPr>
                    <w:t>110</w:t>
                  </w:r>
                  <w:r>
                    <w:rPr>
                      <w:rFonts w:hint="eastAsia"/>
                      <w:color w:val="auto"/>
                      <w:sz w:val="18"/>
                      <w:szCs w:val="18"/>
                      <w:lang w:val="en-US" w:eastAsia="zh-CN"/>
                    </w:rPr>
                    <w:t>kV</w:t>
                  </w:r>
                  <w:r>
                    <w:rPr>
                      <w:rFonts w:hint="eastAsia"/>
                      <w:color w:val="auto"/>
                      <w:sz w:val="18"/>
                      <w:szCs w:val="18"/>
                      <w:lang w:eastAsia="zh-CN"/>
                    </w:rPr>
                    <w:t>线路工程</w:t>
                  </w:r>
                </w:p>
              </w:tc>
              <w:tc>
                <w:tcPr>
                  <w:tcW w:w="472" w:type="dxa"/>
                  <w:vMerge w:val="restart"/>
                  <w:vAlign w:val="center"/>
                </w:tcPr>
                <w:p w14:paraId="0FAB3254">
                  <w:pPr>
                    <w:keepNext w:val="0"/>
                    <w:keepLines w:val="0"/>
                    <w:pageBreakBefore w:val="0"/>
                    <w:kinsoku/>
                    <w:overflowPunct/>
                    <w:topLinePunct w:val="0"/>
                    <w:autoSpaceDE/>
                    <w:autoSpaceDN/>
                    <w:bidi w:val="0"/>
                    <w:adjustRightInd/>
                    <w:snapToGrid/>
                    <w:jc w:val="center"/>
                    <w:rPr>
                      <w:rFonts w:hint="eastAsia"/>
                      <w:color w:val="auto"/>
                      <w:sz w:val="18"/>
                      <w:szCs w:val="18"/>
                      <w:lang w:val="en-US" w:eastAsia="zh-CN"/>
                    </w:rPr>
                  </w:pPr>
                  <w:r>
                    <w:rPr>
                      <w:rFonts w:hint="eastAsia"/>
                      <w:color w:val="auto"/>
                      <w:sz w:val="18"/>
                      <w:szCs w:val="18"/>
                    </w:rPr>
                    <w:t>架空段</w:t>
                  </w:r>
                </w:p>
              </w:tc>
              <w:tc>
                <w:tcPr>
                  <w:tcW w:w="1197" w:type="dxa"/>
                  <w:gridSpan w:val="2"/>
                  <w:vAlign w:val="center"/>
                </w:tcPr>
                <w:p w14:paraId="3334E3EA">
                  <w:pPr>
                    <w:keepNext w:val="0"/>
                    <w:keepLines w:val="0"/>
                    <w:pageBreakBefore w:val="0"/>
                    <w:kinsoku/>
                    <w:overflowPunct/>
                    <w:topLinePunct w:val="0"/>
                    <w:autoSpaceDE/>
                    <w:autoSpaceDN/>
                    <w:bidi w:val="0"/>
                    <w:adjustRightInd/>
                    <w:snapToGrid/>
                    <w:jc w:val="center"/>
                    <w:rPr>
                      <w:rFonts w:hint="eastAsia"/>
                      <w:color w:val="auto"/>
                      <w:sz w:val="18"/>
                      <w:szCs w:val="18"/>
                    </w:rPr>
                  </w:pPr>
                  <w:r>
                    <w:rPr>
                      <w:color w:val="auto"/>
                      <w:sz w:val="18"/>
                      <w:szCs w:val="18"/>
                    </w:rPr>
                    <w:t>导线</w:t>
                  </w:r>
                </w:p>
              </w:tc>
              <w:tc>
                <w:tcPr>
                  <w:tcW w:w="6188" w:type="dxa"/>
                  <w:gridSpan w:val="6"/>
                  <w:vAlign w:val="top"/>
                </w:tcPr>
                <w:p w14:paraId="3BEBCFBE">
                  <w:pPr>
                    <w:keepNext w:val="0"/>
                    <w:keepLines w:val="0"/>
                    <w:pageBreakBefore w:val="0"/>
                    <w:kinsoku/>
                    <w:overflowPunct/>
                    <w:topLinePunct w:val="0"/>
                    <w:autoSpaceDE/>
                    <w:autoSpaceDN/>
                    <w:bidi w:val="0"/>
                    <w:adjustRightInd/>
                    <w:snapToGrid/>
                    <w:jc w:val="left"/>
                    <w:rPr>
                      <w:rFonts w:hint="eastAsia"/>
                      <w:color w:val="auto"/>
                      <w:sz w:val="18"/>
                      <w:szCs w:val="18"/>
                    </w:rPr>
                  </w:pPr>
                  <w:r>
                    <w:rPr>
                      <w:rFonts w:hint="eastAsia"/>
                      <w:color w:val="auto"/>
                      <w:sz w:val="18"/>
                      <w:szCs w:val="18"/>
                      <w:lang w:val="en-US" w:eastAsia="zh-CN"/>
                    </w:rPr>
                    <w:t>JL3/G1A-300/40型钢芯高导电率铝绞线</w:t>
                  </w:r>
                </w:p>
              </w:tc>
            </w:tr>
            <w:tr w14:paraId="64EE2F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6BC7D9C5">
                  <w:pPr>
                    <w:keepNext w:val="0"/>
                    <w:keepLines w:val="0"/>
                    <w:pageBreakBefore w:val="0"/>
                    <w:kinsoku/>
                    <w:overflowPunct/>
                    <w:topLinePunct w:val="0"/>
                    <w:autoSpaceDE/>
                    <w:autoSpaceDN/>
                    <w:bidi w:val="0"/>
                    <w:adjustRightInd/>
                    <w:snapToGrid/>
                    <w:jc w:val="center"/>
                    <w:rPr>
                      <w:color w:val="FF0000"/>
                    </w:rPr>
                  </w:pPr>
                </w:p>
              </w:tc>
              <w:tc>
                <w:tcPr>
                  <w:tcW w:w="472" w:type="dxa"/>
                  <w:vMerge w:val="continue"/>
                  <w:vAlign w:val="center"/>
                </w:tcPr>
                <w:p w14:paraId="02438F6F">
                  <w:pPr>
                    <w:keepNext w:val="0"/>
                    <w:keepLines w:val="0"/>
                    <w:pageBreakBefore w:val="0"/>
                    <w:kinsoku/>
                    <w:overflowPunct/>
                    <w:topLinePunct w:val="0"/>
                    <w:autoSpaceDE/>
                    <w:autoSpaceDN/>
                    <w:bidi w:val="0"/>
                    <w:adjustRightInd/>
                    <w:snapToGrid/>
                    <w:jc w:val="center"/>
                    <w:rPr>
                      <w:color w:val="FF0000"/>
                    </w:rPr>
                  </w:pPr>
                </w:p>
              </w:tc>
              <w:tc>
                <w:tcPr>
                  <w:tcW w:w="1197" w:type="dxa"/>
                  <w:gridSpan w:val="2"/>
                  <w:vAlign w:val="center"/>
                </w:tcPr>
                <w:p w14:paraId="3625B5FB">
                  <w:pPr>
                    <w:keepNext w:val="0"/>
                    <w:keepLines w:val="0"/>
                    <w:pageBreakBefore w:val="0"/>
                    <w:kinsoku/>
                    <w:overflowPunct/>
                    <w:topLinePunct w:val="0"/>
                    <w:autoSpaceDE/>
                    <w:autoSpaceDN/>
                    <w:bidi w:val="0"/>
                    <w:adjustRightInd/>
                    <w:snapToGrid/>
                    <w:jc w:val="center"/>
                    <w:rPr>
                      <w:rFonts w:hint="eastAsia"/>
                      <w:color w:val="auto"/>
                      <w:sz w:val="18"/>
                      <w:szCs w:val="18"/>
                    </w:rPr>
                  </w:pPr>
                  <w:r>
                    <w:rPr>
                      <w:color w:val="auto"/>
                      <w:sz w:val="18"/>
                      <w:szCs w:val="18"/>
                    </w:rPr>
                    <w:t>地线</w:t>
                  </w:r>
                </w:p>
              </w:tc>
              <w:tc>
                <w:tcPr>
                  <w:tcW w:w="6188" w:type="dxa"/>
                  <w:gridSpan w:val="6"/>
                  <w:vAlign w:val="top"/>
                </w:tcPr>
                <w:p w14:paraId="1CD60600">
                  <w:pPr>
                    <w:keepNext w:val="0"/>
                    <w:keepLines w:val="0"/>
                    <w:pageBreakBefore w:val="0"/>
                    <w:kinsoku/>
                    <w:overflowPunct/>
                    <w:topLinePunct w:val="0"/>
                    <w:autoSpaceDE/>
                    <w:autoSpaceDN/>
                    <w:bidi w:val="0"/>
                    <w:adjustRightInd/>
                    <w:snapToGrid/>
                    <w:jc w:val="left"/>
                    <w:rPr>
                      <w:rFonts w:hint="eastAsia"/>
                      <w:color w:val="FF0000"/>
                      <w:sz w:val="18"/>
                      <w:szCs w:val="18"/>
                    </w:rPr>
                  </w:pPr>
                  <w:r>
                    <w:rPr>
                      <w:rFonts w:hint="eastAsia"/>
                      <w:color w:val="auto"/>
                      <w:sz w:val="18"/>
                      <w:szCs w:val="18"/>
                      <w:lang w:val="en-US" w:eastAsia="zh-CN"/>
                    </w:rPr>
                    <w:t>新建双回塔单边挂线段采用2根48芯OPGW复合光缆，三角排列段采用一根OPGW复合光纤地线和一根JLB20A铝包钢绞线配合，其中三跨区采用2根72芯OPGW复合光缆。</w:t>
                  </w:r>
                </w:p>
              </w:tc>
            </w:tr>
            <w:tr w14:paraId="3447BB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315E2A24">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2368A8BA">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Align w:val="center"/>
                </w:tcPr>
                <w:p w14:paraId="49D31C7B">
                  <w:pPr>
                    <w:keepNext w:val="0"/>
                    <w:keepLines w:val="0"/>
                    <w:pageBreakBefore w:val="0"/>
                    <w:kinsoku/>
                    <w:overflowPunct/>
                    <w:topLinePunct w:val="0"/>
                    <w:autoSpaceDE/>
                    <w:autoSpaceDN/>
                    <w:bidi w:val="0"/>
                    <w:adjustRightInd/>
                    <w:snapToGrid/>
                    <w:jc w:val="center"/>
                    <w:rPr>
                      <w:rFonts w:hint="eastAsia"/>
                      <w:color w:val="auto"/>
                      <w:sz w:val="18"/>
                      <w:szCs w:val="18"/>
                    </w:rPr>
                  </w:pPr>
                  <w:r>
                    <w:rPr>
                      <w:color w:val="auto"/>
                      <w:sz w:val="18"/>
                      <w:szCs w:val="18"/>
                    </w:rPr>
                    <w:t>绝缘子</w:t>
                  </w:r>
                </w:p>
              </w:tc>
              <w:tc>
                <w:tcPr>
                  <w:tcW w:w="6188" w:type="dxa"/>
                  <w:gridSpan w:val="6"/>
                  <w:vAlign w:val="center"/>
                </w:tcPr>
                <w:p w14:paraId="050FDF4E">
                  <w:pPr>
                    <w:keepNext w:val="0"/>
                    <w:keepLines w:val="0"/>
                    <w:pageBreakBefore w:val="0"/>
                    <w:kinsoku/>
                    <w:overflowPunct/>
                    <w:topLinePunct w:val="0"/>
                    <w:autoSpaceDE/>
                    <w:autoSpaceDN/>
                    <w:bidi w:val="0"/>
                    <w:adjustRightInd/>
                    <w:snapToGrid/>
                    <w:jc w:val="left"/>
                    <w:rPr>
                      <w:rFonts w:hint="eastAsia"/>
                      <w:color w:val="FF0000"/>
                      <w:sz w:val="18"/>
                      <w:szCs w:val="18"/>
                    </w:rPr>
                  </w:pPr>
                  <w:r>
                    <w:rPr>
                      <w:rFonts w:hint="eastAsia"/>
                      <w:color w:val="auto"/>
                      <w:sz w:val="18"/>
                      <w:szCs w:val="18"/>
                    </w:rPr>
                    <w:t>U120BP/146-1</w:t>
                  </w:r>
                  <w:r>
                    <w:rPr>
                      <w:rFonts w:hint="eastAsia"/>
                      <w:color w:val="auto"/>
                      <w:sz w:val="18"/>
                      <w:szCs w:val="18"/>
                      <w:lang w:eastAsia="zh-CN"/>
                    </w:rPr>
                    <w:t>、</w:t>
                  </w:r>
                  <w:r>
                    <w:rPr>
                      <w:rFonts w:hint="eastAsia"/>
                      <w:color w:val="auto"/>
                      <w:sz w:val="18"/>
                      <w:szCs w:val="18"/>
                    </w:rPr>
                    <w:t>U70BP/146-1、U70BP/146D、U70CN</w:t>
                  </w:r>
                  <w:r>
                    <w:rPr>
                      <w:rFonts w:hint="eastAsia"/>
                      <w:color w:val="auto"/>
                      <w:sz w:val="18"/>
                      <w:szCs w:val="18"/>
                      <w:lang w:eastAsia="zh-CN"/>
                    </w:rPr>
                    <w:t>、</w:t>
                  </w:r>
                  <w:r>
                    <w:rPr>
                      <w:rFonts w:hint="eastAsia"/>
                      <w:color w:val="auto"/>
                      <w:sz w:val="18"/>
                      <w:szCs w:val="18"/>
                      <w:lang w:val="en-US" w:eastAsia="zh-CN"/>
                    </w:rPr>
                    <w:t>FXBW-110/120-3</w:t>
                  </w:r>
                </w:p>
              </w:tc>
            </w:tr>
            <w:tr w14:paraId="2703B1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1E2F2C49">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44109C9B">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Align w:val="center"/>
                </w:tcPr>
                <w:p w14:paraId="2474A172">
                  <w:pPr>
                    <w:keepNext w:val="0"/>
                    <w:keepLines w:val="0"/>
                    <w:pageBreakBefore w:val="0"/>
                    <w:kinsoku/>
                    <w:overflowPunct/>
                    <w:topLinePunct w:val="0"/>
                    <w:autoSpaceDE/>
                    <w:autoSpaceDN/>
                    <w:bidi w:val="0"/>
                    <w:adjustRightInd/>
                    <w:snapToGrid/>
                    <w:jc w:val="center"/>
                    <w:rPr>
                      <w:rFonts w:hint="eastAsia"/>
                      <w:color w:val="auto"/>
                      <w:sz w:val="18"/>
                      <w:szCs w:val="18"/>
                      <w:highlight w:val="none"/>
                    </w:rPr>
                  </w:pPr>
                  <w:r>
                    <w:rPr>
                      <w:color w:val="auto"/>
                      <w:sz w:val="18"/>
                      <w:szCs w:val="18"/>
                      <w:highlight w:val="none"/>
                    </w:rPr>
                    <w:t>铁塔</w:t>
                  </w:r>
                </w:p>
              </w:tc>
              <w:tc>
                <w:tcPr>
                  <w:tcW w:w="1751" w:type="dxa"/>
                  <w:vAlign w:val="center"/>
                </w:tcPr>
                <w:p w14:paraId="5FC98766">
                  <w:pPr>
                    <w:keepNext w:val="0"/>
                    <w:keepLines w:val="0"/>
                    <w:pageBreakBefore w:val="0"/>
                    <w:widowControl/>
                    <w:kinsoku/>
                    <w:overflowPunct/>
                    <w:topLinePunct w:val="0"/>
                    <w:autoSpaceDE/>
                    <w:autoSpaceDN/>
                    <w:bidi w:val="0"/>
                    <w:adjustRightInd/>
                    <w:snapToGrid/>
                    <w:spacing w:line="240" w:lineRule="atLeast"/>
                    <w:jc w:val="center"/>
                    <w:rPr>
                      <w:rFonts w:hint="eastAsia"/>
                      <w:color w:val="auto"/>
                      <w:sz w:val="18"/>
                      <w:szCs w:val="18"/>
                      <w:highlight w:val="none"/>
                    </w:rPr>
                  </w:pPr>
                  <w:r>
                    <w:rPr>
                      <w:rFonts w:hint="eastAsia" w:ascii="Times New Roman" w:hAnsi="Times New Roman" w:eastAsia="宋体" w:cs="Times New Roman"/>
                      <w:color w:val="auto"/>
                      <w:sz w:val="18"/>
                      <w:szCs w:val="18"/>
                      <w:highlight w:val="none"/>
                      <w:lang w:val="en-US" w:eastAsia="zh-CN"/>
                    </w:rPr>
                    <w:t>塔型</w:t>
                  </w:r>
                </w:p>
              </w:tc>
              <w:tc>
                <w:tcPr>
                  <w:tcW w:w="1293" w:type="dxa"/>
                  <w:gridSpan w:val="2"/>
                  <w:vAlign w:val="center"/>
                </w:tcPr>
                <w:p w14:paraId="47A357BF">
                  <w:pPr>
                    <w:keepNext w:val="0"/>
                    <w:keepLines w:val="0"/>
                    <w:pageBreakBefore w:val="0"/>
                    <w:widowControl/>
                    <w:kinsoku/>
                    <w:overflowPunct/>
                    <w:topLinePunct w:val="0"/>
                    <w:autoSpaceDE/>
                    <w:autoSpaceDN/>
                    <w:bidi w:val="0"/>
                    <w:adjustRightInd/>
                    <w:snapToGrid/>
                    <w:spacing w:line="240" w:lineRule="atLeast"/>
                    <w:jc w:val="center"/>
                    <w:rPr>
                      <w:rFonts w:hint="eastAsia"/>
                      <w:color w:val="auto"/>
                      <w:sz w:val="18"/>
                      <w:szCs w:val="18"/>
                      <w:highlight w:val="none"/>
                    </w:rPr>
                  </w:pPr>
                  <w:r>
                    <w:rPr>
                      <w:rFonts w:hint="eastAsia" w:ascii="Times New Roman" w:hAnsi="Times New Roman" w:eastAsia="宋体" w:cs="Times New Roman"/>
                      <w:color w:val="auto"/>
                      <w:sz w:val="18"/>
                      <w:szCs w:val="18"/>
                      <w:highlight w:val="none"/>
                      <w:lang w:val="en-US" w:eastAsia="zh-CN"/>
                    </w:rPr>
                    <w:t>呼高（m）</w:t>
                  </w:r>
                </w:p>
              </w:tc>
              <w:tc>
                <w:tcPr>
                  <w:tcW w:w="1089" w:type="dxa"/>
                  <w:vAlign w:val="center"/>
                </w:tcPr>
                <w:p w14:paraId="04145D9F">
                  <w:pPr>
                    <w:keepNext w:val="0"/>
                    <w:keepLines w:val="0"/>
                    <w:pageBreakBefore w:val="0"/>
                    <w:widowControl/>
                    <w:kinsoku/>
                    <w:overflowPunct/>
                    <w:topLinePunct w:val="0"/>
                    <w:autoSpaceDE/>
                    <w:autoSpaceDN/>
                    <w:bidi w:val="0"/>
                    <w:adjustRightInd/>
                    <w:snapToGrid/>
                    <w:spacing w:line="240" w:lineRule="atLeast"/>
                    <w:jc w:val="center"/>
                    <w:rPr>
                      <w:rFonts w:hint="eastAsia"/>
                      <w:color w:val="auto"/>
                      <w:sz w:val="18"/>
                      <w:szCs w:val="18"/>
                      <w:highlight w:val="none"/>
                    </w:rPr>
                  </w:pPr>
                  <w:r>
                    <w:rPr>
                      <w:rFonts w:hint="eastAsia" w:ascii="Times New Roman" w:hAnsi="Times New Roman" w:eastAsia="宋体" w:cs="Times New Roman"/>
                      <w:color w:val="auto"/>
                      <w:sz w:val="18"/>
                      <w:szCs w:val="18"/>
                      <w:highlight w:val="none"/>
                      <w:lang w:val="en-US" w:eastAsia="zh-CN"/>
                    </w:rPr>
                    <w:t>排列方式</w:t>
                  </w:r>
                </w:p>
              </w:tc>
              <w:tc>
                <w:tcPr>
                  <w:tcW w:w="757" w:type="dxa"/>
                  <w:vAlign w:val="center"/>
                </w:tcPr>
                <w:p w14:paraId="3E261813">
                  <w:pPr>
                    <w:keepNext w:val="0"/>
                    <w:keepLines w:val="0"/>
                    <w:pageBreakBefore w:val="0"/>
                    <w:widowControl/>
                    <w:kinsoku/>
                    <w:overflowPunct/>
                    <w:topLinePunct w:val="0"/>
                    <w:autoSpaceDE/>
                    <w:autoSpaceDN/>
                    <w:bidi w:val="0"/>
                    <w:adjustRightInd/>
                    <w:snapToGrid/>
                    <w:spacing w:line="240" w:lineRule="atLeast"/>
                    <w:jc w:val="center"/>
                    <w:rPr>
                      <w:rFonts w:hint="eastAsia"/>
                      <w:color w:val="auto"/>
                      <w:sz w:val="18"/>
                      <w:szCs w:val="18"/>
                      <w:highlight w:val="none"/>
                    </w:rPr>
                  </w:pPr>
                  <w:r>
                    <w:rPr>
                      <w:rFonts w:hint="eastAsia" w:ascii="Times New Roman" w:hAnsi="Times New Roman" w:eastAsia="宋体" w:cs="Times New Roman"/>
                      <w:color w:val="auto"/>
                      <w:sz w:val="18"/>
                      <w:szCs w:val="18"/>
                      <w:highlight w:val="none"/>
                      <w:lang w:val="en-US" w:eastAsia="zh-CN"/>
                    </w:rPr>
                    <w:t>基数</w:t>
                  </w:r>
                </w:p>
              </w:tc>
              <w:tc>
                <w:tcPr>
                  <w:tcW w:w="1298" w:type="dxa"/>
                  <w:vAlign w:val="center"/>
                </w:tcPr>
                <w:p w14:paraId="2022D7E1">
                  <w:pPr>
                    <w:keepNext w:val="0"/>
                    <w:keepLines w:val="0"/>
                    <w:pageBreakBefore w:val="0"/>
                    <w:kinsoku/>
                    <w:overflowPunct/>
                    <w:topLinePunct w:val="0"/>
                    <w:autoSpaceDE/>
                    <w:autoSpaceDN/>
                    <w:bidi w:val="0"/>
                    <w:adjustRightInd/>
                    <w:snapToGrid/>
                    <w:jc w:val="center"/>
                    <w:rPr>
                      <w:rFonts w:hint="eastAsia"/>
                      <w:color w:val="auto"/>
                      <w:sz w:val="18"/>
                      <w:szCs w:val="18"/>
                      <w:highlight w:val="none"/>
                    </w:rPr>
                  </w:pPr>
                  <w:r>
                    <w:rPr>
                      <w:color w:val="auto"/>
                      <w:sz w:val="18"/>
                      <w:szCs w:val="18"/>
                      <w:highlight w:val="none"/>
                    </w:rPr>
                    <w:t>铁塔基础</w:t>
                  </w:r>
                </w:p>
              </w:tc>
            </w:tr>
            <w:tr w14:paraId="11A478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4" w:type="dxa"/>
                  <w:vMerge w:val="continue"/>
                  <w:vAlign w:val="center"/>
                </w:tcPr>
                <w:p w14:paraId="385C054A">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2BBD3E67">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restart"/>
                  <w:vAlign w:val="center"/>
                </w:tcPr>
                <w:p w14:paraId="2BB4CB0C">
                  <w:pPr>
                    <w:keepNext w:val="0"/>
                    <w:keepLines w:val="0"/>
                    <w:pageBreakBefore w:val="0"/>
                    <w:kinsoku/>
                    <w:overflowPunct/>
                    <w:topLinePunct w:val="0"/>
                    <w:autoSpaceDE/>
                    <w:autoSpaceDN/>
                    <w:bidi w:val="0"/>
                    <w:adjustRightInd/>
                    <w:snapToGrid/>
                    <w:jc w:val="center"/>
                    <w:rPr>
                      <w:rFonts w:hint="eastAsia"/>
                      <w:color w:val="auto"/>
                      <w:sz w:val="18"/>
                      <w:szCs w:val="18"/>
                      <w:highlight w:val="none"/>
                    </w:rPr>
                  </w:pPr>
                  <w:r>
                    <w:rPr>
                      <w:rFonts w:hint="eastAsia"/>
                      <w:color w:val="auto"/>
                      <w:sz w:val="18"/>
                      <w:szCs w:val="18"/>
                      <w:highlight w:val="none"/>
                      <w:lang w:val="en-US" w:eastAsia="zh-CN"/>
                    </w:rPr>
                    <w:t>单</w:t>
                  </w:r>
                  <w:r>
                    <w:rPr>
                      <w:rFonts w:hint="eastAsia"/>
                      <w:color w:val="auto"/>
                      <w:sz w:val="18"/>
                      <w:szCs w:val="18"/>
                      <w:highlight w:val="none"/>
                    </w:rPr>
                    <w:t>回铁塔</w:t>
                  </w:r>
                </w:p>
              </w:tc>
              <w:tc>
                <w:tcPr>
                  <w:tcW w:w="1751" w:type="dxa"/>
                  <w:vMerge w:val="restart"/>
                  <w:vAlign w:val="center"/>
                </w:tcPr>
                <w:p w14:paraId="272273C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yellow"/>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JC1</w:t>
                  </w:r>
                </w:p>
              </w:tc>
              <w:tc>
                <w:tcPr>
                  <w:tcW w:w="1293" w:type="dxa"/>
                  <w:gridSpan w:val="2"/>
                  <w:vAlign w:val="center"/>
                </w:tcPr>
                <w:p w14:paraId="380CD03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restart"/>
                  <w:vAlign w:val="center"/>
                </w:tcPr>
                <w:p w14:paraId="2BB8F331">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r>
                    <w:rPr>
                      <w:rFonts w:hint="eastAsia" w:ascii="Times New Roman" w:hAnsi="Times New Roman" w:eastAsia="宋体" w:cs="Times New Roman"/>
                      <w:color w:val="auto"/>
                      <w:sz w:val="18"/>
                      <w:szCs w:val="18"/>
                      <w:highlight w:val="none"/>
                      <w:lang w:val="en-US" w:eastAsia="zh-CN"/>
                    </w:rPr>
                    <w:t>三角排列</w:t>
                  </w:r>
                </w:p>
              </w:tc>
              <w:tc>
                <w:tcPr>
                  <w:tcW w:w="757" w:type="dxa"/>
                  <w:vAlign w:val="center"/>
                </w:tcPr>
                <w:p w14:paraId="3D5D029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restart"/>
                  <w:vAlign w:val="center"/>
                </w:tcPr>
                <w:p w14:paraId="38CC8B06">
                  <w:pPr>
                    <w:keepNext w:val="0"/>
                    <w:keepLines w:val="0"/>
                    <w:pageBreakBefore w:val="0"/>
                    <w:kinsoku/>
                    <w:overflowPunct/>
                    <w:topLinePunct w:val="0"/>
                    <w:autoSpaceDE/>
                    <w:autoSpaceDN/>
                    <w:bidi w:val="0"/>
                    <w:adjustRightInd/>
                    <w:snapToGrid/>
                    <w:jc w:val="center"/>
                    <w:rPr>
                      <w:rFonts w:hint="eastAsia" w:hAnsi="宋体"/>
                      <w:color w:val="auto"/>
                      <w:sz w:val="18"/>
                      <w:szCs w:val="18"/>
                      <w:highlight w:val="none"/>
                    </w:rPr>
                  </w:pPr>
                  <w:r>
                    <w:rPr>
                      <w:rFonts w:hint="eastAsia" w:hAnsi="宋体"/>
                      <w:color w:val="auto"/>
                      <w:sz w:val="18"/>
                      <w:szCs w:val="18"/>
                      <w:highlight w:val="none"/>
                    </w:rPr>
                    <w:t>挖孔基础</w:t>
                  </w:r>
                </w:p>
                <w:p w14:paraId="3FB97867">
                  <w:pPr>
                    <w:keepNext w:val="0"/>
                    <w:keepLines w:val="0"/>
                    <w:pageBreakBefore w:val="0"/>
                    <w:kinsoku/>
                    <w:overflowPunct/>
                    <w:topLinePunct w:val="0"/>
                    <w:autoSpaceDE/>
                    <w:autoSpaceDN/>
                    <w:bidi w:val="0"/>
                    <w:adjustRightInd/>
                    <w:snapToGrid/>
                    <w:jc w:val="center"/>
                    <w:rPr>
                      <w:rFonts w:hint="default"/>
                      <w:color w:val="auto"/>
                      <w:sz w:val="18"/>
                      <w:szCs w:val="18"/>
                      <w:highlight w:val="yellow"/>
                      <w:lang w:val="en-US"/>
                    </w:rPr>
                  </w:pPr>
                  <w:r>
                    <w:rPr>
                      <w:rFonts w:hint="eastAsia" w:hAnsi="宋体"/>
                      <w:color w:val="auto"/>
                      <w:sz w:val="18"/>
                      <w:szCs w:val="18"/>
                      <w:highlight w:val="none"/>
                      <w:lang w:val="en-US" w:eastAsia="zh-CN"/>
                    </w:rPr>
                    <w:t>掏挖基础</w:t>
                  </w:r>
                </w:p>
              </w:tc>
            </w:tr>
            <w:tr w14:paraId="6C0866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088ECDAF">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085025C9">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726D1078">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continue"/>
                  <w:vAlign w:val="center"/>
                </w:tcPr>
                <w:p w14:paraId="23420A8B">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highlight w:val="yellow"/>
                      <w:u w:val="none"/>
                      <w:lang w:val="en-US" w:eastAsia="zh-CN" w:bidi="ar"/>
                    </w:rPr>
                  </w:pPr>
                </w:p>
              </w:tc>
              <w:tc>
                <w:tcPr>
                  <w:tcW w:w="1293" w:type="dxa"/>
                  <w:gridSpan w:val="2"/>
                  <w:vAlign w:val="center"/>
                </w:tcPr>
                <w:p w14:paraId="573761D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27</w:t>
                  </w:r>
                </w:p>
              </w:tc>
              <w:tc>
                <w:tcPr>
                  <w:tcW w:w="1089" w:type="dxa"/>
                  <w:vMerge w:val="continue"/>
                  <w:vAlign w:val="center"/>
                </w:tcPr>
                <w:p w14:paraId="3C018564">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534ABFC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3</w:t>
                  </w:r>
                </w:p>
              </w:tc>
              <w:tc>
                <w:tcPr>
                  <w:tcW w:w="1298" w:type="dxa"/>
                  <w:vMerge w:val="continue"/>
                  <w:vAlign w:val="center"/>
                </w:tcPr>
                <w:p w14:paraId="6B001CD0">
                  <w:pPr>
                    <w:keepNext w:val="0"/>
                    <w:keepLines w:val="0"/>
                    <w:pageBreakBefore w:val="0"/>
                    <w:kinsoku/>
                    <w:overflowPunct/>
                    <w:topLinePunct w:val="0"/>
                    <w:autoSpaceDE/>
                    <w:autoSpaceDN/>
                    <w:bidi w:val="0"/>
                    <w:adjustRightInd/>
                    <w:snapToGrid/>
                    <w:jc w:val="center"/>
                    <w:rPr>
                      <w:rFonts w:hint="eastAsia" w:hAnsi="宋体"/>
                      <w:color w:val="auto"/>
                      <w:sz w:val="18"/>
                      <w:szCs w:val="18"/>
                      <w:highlight w:val="yellow"/>
                    </w:rPr>
                  </w:pPr>
                </w:p>
              </w:tc>
            </w:tr>
            <w:tr w14:paraId="7CF5D9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0849D3B7">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1AA0A3B4">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39B4B800">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continue"/>
                  <w:vAlign w:val="center"/>
                </w:tcPr>
                <w:p w14:paraId="1BAB157E">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i w:val="0"/>
                      <w:iCs w:val="0"/>
                      <w:color w:val="auto"/>
                      <w:kern w:val="0"/>
                      <w:sz w:val="18"/>
                      <w:szCs w:val="18"/>
                      <w:highlight w:val="yellow"/>
                      <w:u w:val="none"/>
                      <w:lang w:val="en-US" w:eastAsia="zh-CN" w:bidi="ar"/>
                    </w:rPr>
                  </w:pPr>
                </w:p>
              </w:tc>
              <w:tc>
                <w:tcPr>
                  <w:tcW w:w="1293" w:type="dxa"/>
                  <w:gridSpan w:val="2"/>
                  <w:vAlign w:val="center"/>
                </w:tcPr>
                <w:p w14:paraId="275F682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1089" w:type="dxa"/>
                  <w:vMerge w:val="continue"/>
                  <w:vAlign w:val="center"/>
                </w:tcPr>
                <w:p w14:paraId="029550F8">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7173A07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298" w:type="dxa"/>
                  <w:vMerge w:val="continue"/>
                  <w:vAlign w:val="center"/>
                </w:tcPr>
                <w:p w14:paraId="72D994F0">
                  <w:pPr>
                    <w:keepNext w:val="0"/>
                    <w:keepLines w:val="0"/>
                    <w:pageBreakBefore w:val="0"/>
                    <w:kinsoku/>
                    <w:overflowPunct/>
                    <w:topLinePunct w:val="0"/>
                    <w:autoSpaceDE/>
                    <w:autoSpaceDN/>
                    <w:bidi w:val="0"/>
                    <w:adjustRightInd/>
                    <w:snapToGrid/>
                    <w:jc w:val="center"/>
                    <w:rPr>
                      <w:rFonts w:hint="eastAsia" w:hAnsi="宋体"/>
                      <w:color w:val="auto"/>
                      <w:sz w:val="18"/>
                      <w:szCs w:val="18"/>
                      <w:highlight w:val="yellow"/>
                    </w:rPr>
                  </w:pPr>
                </w:p>
              </w:tc>
            </w:tr>
            <w:tr w14:paraId="7B6A82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2B039EB5">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5BE55489">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331F08C0">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2A1D3FE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JC2</w:t>
                  </w:r>
                </w:p>
              </w:tc>
              <w:tc>
                <w:tcPr>
                  <w:tcW w:w="1293" w:type="dxa"/>
                  <w:gridSpan w:val="2"/>
                  <w:vAlign w:val="center"/>
                </w:tcPr>
                <w:p w14:paraId="0031FBE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tcPr>
                <w:p w14:paraId="32DA45D7">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4AE45E2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298" w:type="dxa"/>
                  <w:vMerge w:val="continue"/>
                  <w:vAlign w:val="center"/>
                </w:tcPr>
                <w:p w14:paraId="1956A053">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56076A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6E9F949B">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151331F4">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1197" w:type="dxa"/>
                  <w:gridSpan w:val="2"/>
                  <w:vMerge w:val="continue"/>
                  <w:vAlign w:val="center"/>
                </w:tcPr>
                <w:p w14:paraId="2EFFB231">
                  <w:pPr>
                    <w:keepNext w:val="0"/>
                    <w:keepLines w:val="0"/>
                    <w:pageBreakBefore w:val="0"/>
                    <w:widowControl/>
                    <w:kinsoku/>
                    <w:overflowPunct/>
                    <w:topLinePunct w:val="0"/>
                    <w:autoSpaceDE/>
                    <w:autoSpaceDN/>
                    <w:bidi w:val="0"/>
                    <w:adjustRightInd/>
                    <w:snapToGrid/>
                    <w:spacing w:line="240" w:lineRule="atLeast"/>
                    <w:jc w:val="center"/>
                    <w:rPr>
                      <w:color w:val="auto"/>
                      <w:highlight w:val="yellow"/>
                    </w:rPr>
                  </w:pPr>
                </w:p>
              </w:tc>
              <w:tc>
                <w:tcPr>
                  <w:tcW w:w="1751" w:type="dxa"/>
                  <w:vMerge w:val="continue"/>
                  <w:vAlign w:val="center"/>
                </w:tcPr>
                <w:p w14:paraId="11A95E39">
                  <w:pPr>
                    <w:keepNext w:val="0"/>
                    <w:keepLines w:val="0"/>
                    <w:pageBreakBefore w:val="0"/>
                    <w:kinsoku/>
                    <w:overflowPunct/>
                    <w:topLinePunct w:val="0"/>
                    <w:autoSpaceDE/>
                    <w:autoSpaceDN/>
                    <w:bidi w:val="0"/>
                    <w:adjustRightInd/>
                    <w:snapToGrid/>
                    <w:jc w:val="center"/>
                    <w:rPr>
                      <w:rFonts w:hint="default" w:ascii="Times New Roman" w:hAnsi="Times New Roman" w:cs="Times New Roman"/>
                      <w:color w:val="auto"/>
                      <w:sz w:val="18"/>
                      <w:szCs w:val="18"/>
                      <w:highlight w:val="yellow"/>
                    </w:rPr>
                  </w:pPr>
                </w:p>
              </w:tc>
              <w:tc>
                <w:tcPr>
                  <w:tcW w:w="1293" w:type="dxa"/>
                  <w:gridSpan w:val="2"/>
                  <w:vAlign w:val="center"/>
                </w:tcPr>
                <w:p w14:paraId="7E59E7A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tcPr>
                <w:p w14:paraId="4D3DD34D">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525EC0A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4</w:t>
                  </w:r>
                </w:p>
              </w:tc>
              <w:tc>
                <w:tcPr>
                  <w:tcW w:w="1298" w:type="dxa"/>
                  <w:vMerge w:val="continue"/>
                  <w:vAlign w:val="center"/>
                </w:tcPr>
                <w:p w14:paraId="38AD4340">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58EDE4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33DF902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34C5C942">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1197" w:type="dxa"/>
                  <w:gridSpan w:val="2"/>
                  <w:vMerge w:val="continue"/>
                  <w:vAlign w:val="center"/>
                </w:tcPr>
                <w:p w14:paraId="226E5007">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1751" w:type="dxa"/>
                  <w:vMerge w:val="continue"/>
                  <w:vAlign w:val="center"/>
                </w:tcPr>
                <w:p w14:paraId="0677BC14">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color w:val="auto"/>
                      <w:sz w:val="18"/>
                      <w:szCs w:val="18"/>
                      <w:highlight w:val="yellow"/>
                      <w:lang w:val="en-US" w:eastAsia="zh-CN"/>
                    </w:rPr>
                  </w:pPr>
                </w:p>
              </w:tc>
              <w:tc>
                <w:tcPr>
                  <w:tcW w:w="1293" w:type="dxa"/>
                  <w:gridSpan w:val="2"/>
                  <w:vAlign w:val="center"/>
                </w:tcPr>
                <w:p w14:paraId="19A81D0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27</w:t>
                  </w:r>
                </w:p>
              </w:tc>
              <w:tc>
                <w:tcPr>
                  <w:tcW w:w="1089" w:type="dxa"/>
                  <w:vMerge w:val="continue"/>
                </w:tcPr>
                <w:p w14:paraId="61029AD7">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0CD4E31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1298" w:type="dxa"/>
                  <w:vMerge w:val="continue"/>
                  <w:vAlign w:val="center"/>
                </w:tcPr>
                <w:p w14:paraId="1781FC4D">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2AF10C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11F7E10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6D35F3B0">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1197" w:type="dxa"/>
                  <w:gridSpan w:val="2"/>
                  <w:vMerge w:val="continue"/>
                  <w:vAlign w:val="center"/>
                </w:tcPr>
                <w:p w14:paraId="66E53FDB">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1751" w:type="dxa"/>
                  <w:vMerge w:val="continue"/>
                  <w:vAlign w:val="center"/>
                </w:tcPr>
                <w:p w14:paraId="35547960">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color w:val="auto"/>
                      <w:sz w:val="18"/>
                      <w:szCs w:val="18"/>
                      <w:highlight w:val="yellow"/>
                      <w:lang w:val="en-US" w:eastAsia="zh-CN"/>
                    </w:rPr>
                  </w:pPr>
                </w:p>
              </w:tc>
              <w:tc>
                <w:tcPr>
                  <w:tcW w:w="1293" w:type="dxa"/>
                  <w:gridSpan w:val="2"/>
                  <w:vAlign w:val="center"/>
                </w:tcPr>
                <w:p w14:paraId="61D00EA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1089" w:type="dxa"/>
                  <w:vMerge w:val="continue"/>
                </w:tcPr>
                <w:p w14:paraId="495D9AB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192EADD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066713FB">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3309EC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2FC94F4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387F735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1197" w:type="dxa"/>
                  <w:gridSpan w:val="2"/>
                  <w:vMerge w:val="continue"/>
                  <w:vAlign w:val="center"/>
                </w:tcPr>
                <w:p w14:paraId="6E4FDDB2">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1751" w:type="dxa"/>
                  <w:vMerge w:val="continue"/>
                  <w:vAlign w:val="center"/>
                </w:tcPr>
                <w:p w14:paraId="138F1352">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color w:val="auto"/>
                      <w:sz w:val="18"/>
                      <w:szCs w:val="18"/>
                      <w:highlight w:val="yellow"/>
                      <w:lang w:val="en-US" w:eastAsia="zh-CN"/>
                    </w:rPr>
                  </w:pPr>
                </w:p>
              </w:tc>
              <w:tc>
                <w:tcPr>
                  <w:tcW w:w="1293" w:type="dxa"/>
                  <w:gridSpan w:val="2"/>
                  <w:vAlign w:val="center"/>
                </w:tcPr>
                <w:p w14:paraId="2AD5732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36</w:t>
                  </w:r>
                </w:p>
              </w:tc>
              <w:tc>
                <w:tcPr>
                  <w:tcW w:w="1089" w:type="dxa"/>
                  <w:vMerge w:val="continue"/>
                </w:tcPr>
                <w:p w14:paraId="731A70B5">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3373AB6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1298" w:type="dxa"/>
                  <w:vMerge w:val="continue"/>
                  <w:vAlign w:val="center"/>
                </w:tcPr>
                <w:p w14:paraId="6F855A9B">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59E7B0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6411010A">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0E564909">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1197" w:type="dxa"/>
                  <w:gridSpan w:val="2"/>
                  <w:vMerge w:val="continue"/>
                  <w:vAlign w:val="center"/>
                </w:tcPr>
                <w:p w14:paraId="5F77286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1751" w:type="dxa"/>
                  <w:vMerge w:val="continue"/>
                  <w:vAlign w:val="center"/>
                </w:tcPr>
                <w:p w14:paraId="1B96A91D">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color w:val="auto"/>
                      <w:sz w:val="18"/>
                      <w:szCs w:val="18"/>
                      <w:highlight w:val="yellow"/>
                      <w:lang w:val="en-US" w:eastAsia="zh-CN"/>
                    </w:rPr>
                  </w:pPr>
                </w:p>
              </w:tc>
              <w:tc>
                <w:tcPr>
                  <w:tcW w:w="1293" w:type="dxa"/>
                  <w:gridSpan w:val="2"/>
                  <w:vAlign w:val="center"/>
                </w:tcPr>
                <w:p w14:paraId="3F33FA9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42</w:t>
                  </w:r>
                </w:p>
              </w:tc>
              <w:tc>
                <w:tcPr>
                  <w:tcW w:w="1089" w:type="dxa"/>
                  <w:vMerge w:val="continue"/>
                </w:tcPr>
                <w:p w14:paraId="320824AC">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0A3474C2">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44EFC6E9">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2F22B5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2F929AFD">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045F7AE1">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2CCD549D">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3D960C0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JC3</w:t>
                  </w:r>
                </w:p>
              </w:tc>
              <w:tc>
                <w:tcPr>
                  <w:tcW w:w="1293" w:type="dxa"/>
                  <w:gridSpan w:val="2"/>
                  <w:vAlign w:val="center"/>
                </w:tcPr>
                <w:p w14:paraId="3846968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tcPr>
                <w:p w14:paraId="226A94A9">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058ABFD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1029E613">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2768C0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47A7B9AF">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733CAA32">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1197" w:type="dxa"/>
                  <w:gridSpan w:val="2"/>
                  <w:vMerge w:val="continue"/>
                  <w:vAlign w:val="center"/>
                </w:tcPr>
                <w:p w14:paraId="12E94E93">
                  <w:pPr>
                    <w:keepNext w:val="0"/>
                    <w:keepLines w:val="0"/>
                    <w:pageBreakBefore w:val="0"/>
                    <w:widowControl/>
                    <w:kinsoku/>
                    <w:overflowPunct/>
                    <w:topLinePunct w:val="0"/>
                    <w:autoSpaceDE/>
                    <w:autoSpaceDN/>
                    <w:bidi w:val="0"/>
                    <w:adjustRightInd/>
                    <w:snapToGrid/>
                    <w:spacing w:line="240" w:lineRule="atLeast"/>
                    <w:jc w:val="center"/>
                    <w:rPr>
                      <w:color w:val="auto"/>
                      <w:highlight w:val="yellow"/>
                    </w:rPr>
                  </w:pPr>
                </w:p>
              </w:tc>
              <w:tc>
                <w:tcPr>
                  <w:tcW w:w="1751" w:type="dxa"/>
                  <w:vMerge w:val="continue"/>
                  <w:vAlign w:val="center"/>
                </w:tcPr>
                <w:p w14:paraId="288F3C33">
                  <w:pPr>
                    <w:keepNext w:val="0"/>
                    <w:keepLines w:val="0"/>
                    <w:pageBreakBefore w:val="0"/>
                    <w:kinsoku/>
                    <w:overflowPunct/>
                    <w:topLinePunct w:val="0"/>
                    <w:autoSpaceDE/>
                    <w:autoSpaceDN/>
                    <w:bidi w:val="0"/>
                    <w:adjustRightInd/>
                    <w:snapToGrid/>
                    <w:jc w:val="center"/>
                    <w:rPr>
                      <w:rFonts w:hint="default" w:ascii="Times New Roman" w:hAnsi="Times New Roman" w:cs="Times New Roman"/>
                      <w:color w:val="auto"/>
                      <w:sz w:val="18"/>
                      <w:szCs w:val="18"/>
                      <w:highlight w:val="yellow"/>
                    </w:rPr>
                  </w:pPr>
                </w:p>
              </w:tc>
              <w:tc>
                <w:tcPr>
                  <w:tcW w:w="1293" w:type="dxa"/>
                  <w:gridSpan w:val="2"/>
                  <w:vAlign w:val="center"/>
                </w:tcPr>
                <w:p w14:paraId="49CE45E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33</w:t>
                  </w:r>
                </w:p>
              </w:tc>
              <w:tc>
                <w:tcPr>
                  <w:tcW w:w="1089" w:type="dxa"/>
                  <w:vMerge w:val="continue"/>
                </w:tcPr>
                <w:p w14:paraId="5763642D">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5F816DE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5</w:t>
                  </w:r>
                </w:p>
              </w:tc>
              <w:tc>
                <w:tcPr>
                  <w:tcW w:w="1298" w:type="dxa"/>
                  <w:vMerge w:val="continue"/>
                  <w:vAlign w:val="center"/>
                </w:tcPr>
                <w:p w14:paraId="758E637C">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010982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1971A001">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08A11A37">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1197" w:type="dxa"/>
                  <w:gridSpan w:val="2"/>
                  <w:vMerge w:val="continue"/>
                  <w:vAlign w:val="center"/>
                </w:tcPr>
                <w:p w14:paraId="1DB64D08">
                  <w:pPr>
                    <w:keepNext w:val="0"/>
                    <w:keepLines w:val="0"/>
                    <w:pageBreakBefore w:val="0"/>
                    <w:widowControl/>
                    <w:kinsoku/>
                    <w:overflowPunct/>
                    <w:topLinePunct w:val="0"/>
                    <w:autoSpaceDE/>
                    <w:autoSpaceDN/>
                    <w:bidi w:val="0"/>
                    <w:adjustRightInd/>
                    <w:snapToGrid/>
                    <w:spacing w:line="240" w:lineRule="atLeast"/>
                    <w:jc w:val="center"/>
                    <w:rPr>
                      <w:color w:val="auto"/>
                      <w:highlight w:val="yellow"/>
                    </w:rPr>
                  </w:pPr>
                </w:p>
              </w:tc>
              <w:tc>
                <w:tcPr>
                  <w:tcW w:w="1751" w:type="dxa"/>
                  <w:vAlign w:val="center"/>
                </w:tcPr>
                <w:p w14:paraId="2A01B68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JC4</w:t>
                  </w:r>
                </w:p>
              </w:tc>
              <w:tc>
                <w:tcPr>
                  <w:tcW w:w="1293" w:type="dxa"/>
                  <w:gridSpan w:val="2"/>
                  <w:vAlign w:val="center"/>
                </w:tcPr>
                <w:p w14:paraId="64370D13">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1089" w:type="dxa"/>
                  <w:vMerge w:val="continue"/>
                </w:tcPr>
                <w:p w14:paraId="25275392">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2D05683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4A42B394">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5E56EC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0B712F80">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540E22D2">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2C550440">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0551505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kern w:val="2"/>
                      <w:sz w:val="18"/>
                      <w:szCs w:val="18"/>
                      <w:highlight w:val="yellow"/>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DJC</w:t>
                  </w:r>
                </w:p>
              </w:tc>
              <w:tc>
                <w:tcPr>
                  <w:tcW w:w="1293" w:type="dxa"/>
                  <w:gridSpan w:val="2"/>
                  <w:vAlign w:val="center"/>
                </w:tcPr>
                <w:p w14:paraId="36D17BE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tcPr>
                <w:p w14:paraId="570CD675">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64057A5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4</w:t>
                  </w:r>
                </w:p>
              </w:tc>
              <w:tc>
                <w:tcPr>
                  <w:tcW w:w="1298" w:type="dxa"/>
                  <w:vMerge w:val="continue"/>
                  <w:vAlign w:val="center"/>
                </w:tcPr>
                <w:p w14:paraId="1046A9E0">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095BE5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776A8B93">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341BF783">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1197" w:type="dxa"/>
                  <w:gridSpan w:val="2"/>
                  <w:vMerge w:val="continue"/>
                  <w:vAlign w:val="center"/>
                </w:tcPr>
                <w:p w14:paraId="71BA698C">
                  <w:pPr>
                    <w:keepNext w:val="0"/>
                    <w:keepLines w:val="0"/>
                    <w:pageBreakBefore w:val="0"/>
                    <w:widowControl/>
                    <w:kinsoku/>
                    <w:overflowPunct/>
                    <w:topLinePunct w:val="0"/>
                    <w:autoSpaceDE/>
                    <w:autoSpaceDN/>
                    <w:bidi w:val="0"/>
                    <w:adjustRightInd/>
                    <w:snapToGrid/>
                    <w:spacing w:line="240" w:lineRule="atLeast"/>
                    <w:jc w:val="center"/>
                    <w:rPr>
                      <w:color w:val="auto"/>
                      <w:highlight w:val="yellow"/>
                    </w:rPr>
                  </w:pPr>
                </w:p>
              </w:tc>
              <w:tc>
                <w:tcPr>
                  <w:tcW w:w="1751" w:type="dxa"/>
                  <w:vMerge w:val="continue"/>
                  <w:vAlign w:val="center"/>
                </w:tcPr>
                <w:p w14:paraId="0D378507">
                  <w:pPr>
                    <w:keepNext w:val="0"/>
                    <w:keepLines w:val="0"/>
                    <w:pageBreakBefore w:val="0"/>
                    <w:kinsoku/>
                    <w:overflowPunct/>
                    <w:topLinePunct w:val="0"/>
                    <w:autoSpaceDE/>
                    <w:autoSpaceDN/>
                    <w:bidi w:val="0"/>
                    <w:adjustRightInd/>
                    <w:snapToGrid/>
                    <w:jc w:val="center"/>
                    <w:rPr>
                      <w:rFonts w:hint="default" w:ascii="Times New Roman" w:hAnsi="Times New Roman" w:cs="Times New Roman"/>
                      <w:color w:val="auto"/>
                      <w:sz w:val="18"/>
                      <w:szCs w:val="18"/>
                      <w:highlight w:val="yellow"/>
                    </w:rPr>
                  </w:pPr>
                </w:p>
              </w:tc>
              <w:tc>
                <w:tcPr>
                  <w:tcW w:w="1293" w:type="dxa"/>
                  <w:gridSpan w:val="2"/>
                  <w:vAlign w:val="center"/>
                </w:tcPr>
                <w:p w14:paraId="0EDC38A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1089" w:type="dxa"/>
                  <w:vMerge w:val="continue"/>
                </w:tcPr>
                <w:p w14:paraId="31E486C9">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72D78A1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3</w:t>
                  </w:r>
                </w:p>
              </w:tc>
              <w:tc>
                <w:tcPr>
                  <w:tcW w:w="1298" w:type="dxa"/>
                  <w:vMerge w:val="continue"/>
                  <w:vAlign w:val="center"/>
                </w:tcPr>
                <w:p w14:paraId="71549D1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6BAD7E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72C67346">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5C964EB3">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1197" w:type="dxa"/>
                  <w:gridSpan w:val="2"/>
                  <w:vMerge w:val="continue"/>
                  <w:vAlign w:val="center"/>
                </w:tcPr>
                <w:p w14:paraId="6066318D">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1751" w:type="dxa"/>
                  <w:vMerge w:val="continue"/>
                  <w:vAlign w:val="center"/>
                </w:tcPr>
                <w:p w14:paraId="68E76EC2">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color w:val="auto"/>
                      <w:sz w:val="18"/>
                      <w:szCs w:val="18"/>
                      <w:highlight w:val="yellow"/>
                      <w:lang w:val="en-US" w:eastAsia="zh-CN"/>
                    </w:rPr>
                  </w:pPr>
                </w:p>
              </w:tc>
              <w:tc>
                <w:tcPr>
                  <w:tcW w:w="1293" w:type="dxa"/>
                  <w:gridSpan w:val="2"/>
                  <w:vAlign w:val="center"/>
                </w:tcPr>
                <w:p w14:paraId="264D16A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36</w:t>
                  </w:r>
                </w:p>
              </w:tc>
              <w:tc>
                <w:tcPr>
                  <w:tcW w:w="1089" w:type="dxa"/>
                  <w:vMerge w:val="continue"/>
                </w:tcPr>
                <w:p w14:paraId="15F911FB">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781BF3DC">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298" w:type="dxa"/>
                  <w:vMerge w:val="continue"/>
                  <w:vAlign w:val="center"/>
                </w:tcPr>
                <w:p w14:paraId="4F055A78">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314763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4" w:type="dxa"/>
                  <w:vMerge w:val="continue"/>
                  <w:vAlign w:val="center"/>
                </w:tcPr>
                <w:p w14:paraId="0DD3734D">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38436E48">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1197" w:type="dxa"/>
                  <w:gridSpan w:val="2"/>
                  <w:vMerge w:val="continue"/>
                  <w:vAlign w:val="center"/>
                </w:tcPr>
                <w:p w14:paraId="4C0F965E">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1751" w:type="dxa"/>
                  <w:vAlign w:val="center"/>
                </w:tcPr>
                <w:p w14:paraId="7DAE496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yellow"/>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ZMC1</w:t>
                  </w:r>
                </w:p>
              </w:tc>
              <w:tc>
                <w:tcPr>
                  <w:tcW w:w="1293" w:type="dxa"/>
                  <w:gridSpan w:val="2"/>
                  <w:vAlign w:val="center"/>
                </w:tcPr>
                <w:p w14:paraId="083921E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27</w:t>
                  </w:r>
                </w:p>
              </w:tc>
              <w:tc>
                <w:tcPr>
                  <w:tcW w:w="1089" w:type="dxa"/>
                  <w:vMerge w:val="continue"/>
                </w:tcPr>
                <w:p w14:paraId="39D49A81">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761C783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3C241CA2">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59066C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814" w:type="dxa"/>
                  <w:vMerge w:val="continue"/>
                  <w:vAlign w:val="center"/>
                </w:tcPr>
                <w:p w14:paraId="789095EB">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09AD9442">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18C7FD24">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6C6FB59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ZMC2</w:t>
                  </w:r>
                </w:p>
              </w:tc>
              <w:tc>
                <w:tcPr>
                  <w:tcW w:w="1293" w:type="dxa"/>
                  <w:gridSpan w:val="2"/>
                  <w:vAlign w:val="center"/>
                </w:tcPr>
                <w:p w14:paraId="7646F51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15</w:t>
                  </w:r>
                </w:p>
              </w:tc>
              <w:tc>
                <w:tcPr>
                  <w:tcW w:w="1089" w:type="dxa"/>
                  <w:vMerge w:val="continue"/>
                </w:tcPr>
                <w:p w14:paraId="10B745D2">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0DCAA24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4</w:t>
                  </w:r>
                </w:p>
              </w:tc>
              <w:tc>
                <w:tcPr>
                  <w:tcW w:w="1298" w:type="dxa"/>
                  <w:vMerge w:val="continue"/>
                  <w:vAlign w:val="center"/>
                </w:tcPr>
                <w:p w14:paraId="49142DCB">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233A3C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814" w:type="dxa"/>
                  <w:vMerge w:val="continue"/>
                  <w:vAlign w:val="center"/>
                </w:tcPr>
                <w:p w14:paraId="48E9FE99">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2B8589DB">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1197" w:type="dxa"/>
                  <w:gridSpan w:val="2"/>
                  <w:vMerge w:val="continue"/>
                  <w:vAlign w:val="center"/>
                </w:tcPr>
                <w:p w14:paraId="7E35B9CA">
                  <w:pPr>
                    <w:keepNext w:val="0"/>
                    <w:keepLines w:val="0"/>
                    <w:pageBreakBefore w:val="0"/>
                    <w:widowControl/>
                    <w:kinsoku/>
                    <w:overflowPunct/>
                    <w:topLinePunct w:val="0"/>
                    <w:autoSpaceDE/>
                    <w:autoSpaceDN/>
                    <w:bidi w:val="0"/>
                    <w:adjustRightInd/>
                    <w:snapToGrid/>
                    <w:spacing w:line="240" w:lineRule="atLeast"/>
                    <w:jc w:val="center"/>
                    <w:rPr>
                      <w:color w:val="auto"/>
                      <w:highlight w:val="yellow"/>
                    </w:rPr>
                  </w:pPr>
                </w:p>
              </w:tc>
              <w:tc>
                <w:tcPr>
                  <w:tcW w:w="1751" w:type="dxa"/>
                  <w:vMerge w:val="continue"/>
                  <w:vAlign w:val="center"/>
                </w:tcPr>
                <w:p w14:paraId="5C9303DD">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rPr>
                  </w:pPr>
                </w:p>
              </w:tc>
              <w:tc>
                <w:tcPr>
                  <w:tcW w:w="1293" w:type="dxa"/>
                  <w:gridSpan w:val="2"/>
                  <w:vAlign w:val="center"/>
                </w:tcPr>
                <w:p w14:paraId="55985E6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tcPr>
                <w:p w14:paraId="3628B6C5">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569F82A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298" w:type="dxa"/>
                  <w:vMerge w:val="continue"/>
                  <w:vAlign w:val="center"/>
                </w:tcPr>
                <w:p w14:paraId="4615873B">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5201B5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4" w:type="dxa"/>
                  <w:vMerge w:val="continue"/>
                  <w:vAlign w:val="center"/>
                </w:tcPr>
                <w:p w14:paraId="6E6BAB3E">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472" w:type="dxa"/>
                  <w:vMerge w:val="continue"/>
                  <w:vAlign w:val="center"/>
                </w:tcPr>
                <w:p w14:paraId="443F47A6">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FF0000"/>
                      <w:sz w:val="18"/>
                      <w:szCs w:val="18"/>
                      <w:lang w:val="en-US" w:eastAsia="zh-CN"/>
                    </w:rPr>
                  </w:pPr>
                </w:p>
              </w:tc>
              <w:tc>
                <w:tcPr>
                  <w:tcW w:w="1197" w:type="dxa"/>
                  <w:gridSpan w:val="2"/>
                  <w:vMerge w:val="continue"/>
                  <w:vAlign w:val="center"/>
                </w:tcPr>
                <w:p w14:paraId="613B6F80">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1751" w:type="dxa"/>
                  <w:vMerge w:val="continue"/>
                  <w:vAlign w:val="center"/>
                </w:tcPr>
                <w:p w14:paraId="6EEE6727">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eastAsia="宋体" w:cs="Times New Roman"/>
                      <w:color w:val="auto"/>
                      <w:sz w:val="18"/>
                      <w:szCs w:val="18"/>
                      <w:highlight w:val="yellow"/>
                      <w:lang w:val="en-US" w:eastAsia="zh-CN"/>
                    </w:rPr>
                  </w:pPr>
                </w:p>
              </w:tc>
              <w:tc>
                <w:tcPr>
                  <w:tcW w:w="1293" w:type="dxa"/>
                  <w:gridSpan w:val="2"/>
                  <w:vAlign w:val="center"/>
                </w:tcPr>
                <w:p w14:paraId="0F41C38C">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27</w:t>
                  </w:r>
                </w:p>
              </w:tc>
              <w:tc>
                <w:tcPr>
                  <w:tcW w:w="1089" w:type="dxa"/>
                  <w:vMerge w:val="continue"/>
                </w:tcPr>
                <w:p w14:paraId="771CD22D">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3E182C0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4</w:t>
                  </w:r>
                </w:p>
              </w:tc>
              <w:tc>
                <w:tcPr>
                  <w:tcW w:w="1298" w:type="dxa"/>
                  <w:vMerge w:val="continue"/>
                  <w:vAlign w:val="center"/>
                </w:tcPr>
                <w:p w14:paraId="5A2E2737">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44F4AC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075521FA">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1E1B5D49">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40ACF3EE">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1484D6A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ZMC3</w:t>
                  </w:r>
                </w:p>
              </w:tc>
              <w:tc>
                <w:tcPr>
                  <w:tcW w:w="1293" w:type="dxa"/>
                  <w:gridSpan w:val="2"/>
                  <w:vAlign w:val="center"/>
                </w:tcPr>
                <w:p w14:paraId="54E38BD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15</w:t>
                  </w:r>
                </w:p>
              </w:tc>
              <w:tc>
                <w:tcPr>
                  <w:tcW w:w="1089" w:type="dxa"/>
                  <w:vMerge w:val="continue"/>
                </w:tcPr>
                <w:p w14:paraId="172D8A03">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7225E64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3F3C43AC">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6A3C24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36319043">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562CD260">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2F8FF8E4">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continue"/>
                  <w:vAlign w:val="center"/>
                </w:tcPr>
                <w:p w14:paraId="2449BCF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p>
              </w:tc>
              <w:tc>
                <w:tcPr>
                  <w:tcW w:w="1293" w:type="dxa"/>
                  <w:gridSpan w:val="2"/>
                  <w:vAlign w:val="center"/>
                </w:tcPr>
                <w:p w14:paraId="3E7833B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tcPr>
                <w:p w14:paraId="750697A7">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72FDD3C3">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4</w:t>
                  </w:r>
                </w:p>
              </w:tc>
              <w:tc>
                <w:tcPr>
                  <w:tcW w:w="1298" w:type="dxa"/>
                  <w:vMerge w:val="continue"/>
                  <w:vAlign w:val="center"/>
                </w:tcPr>
                <w:p w14:paraId="7E740B46">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509084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45BD02D6">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210E2865">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5207BD9F">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continue"/>
                  <w:vAlign w:val="center"/>
                </w:tcPr>
                <w:p w14:paraId="774099A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p>
              </w:tc>
              <w:tc>
                <w:tcPr>
                  <w:tcW w:w="1293" w:type="dxa"/>
                  <w:gridSpan w:val="2"/>
                  <w:vAlign w:val="center"/>
                </w:tcPr>
                <w:p w14:paraId="5FB6A67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tcPr>
                <w:p w14:paraId="31EDFD5F">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07F09B7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3</w:t>
                  </w:r>
                </w:p>
              </w:tc>
              <w:tc>
                <w:tcPr>
                  <w:tcW w:w="1298" w:type="dxa"/>
                  <w:vMerge w:val="continue"/>
                  <w:vAlign w:val="center"/>
                </w:tcPr>
                <w:p w14:paraId="265F607E">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36FC63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493885A9">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522D8FA7">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1197" w:type="dxa"/>
                  <w:gridSpan w:val="2"/>
                  <w:vMerge w:val="continue"/>
                  <w:vAlign w:val="center"/>
                </w:tcPr>
                <w:p w14:paraId="19CC428B">
                  <w:pPr>
                    <w:keepNext w:val="0"/>
                    <w:keepLines w:val="0"/>
                    <w:pageBreakBefore w:val="0"/>
                    <w:widowControl/>
                    <w:kinsoku/>
                    <w:overflowPunct/>
                    <w:topLinePunct w:val="0"/>
                    <w:autoSpaceDE/>
                    <w:autoSpaceDN/>
                    <w:bidi w:val="0"/>
                    <w:adjustRightInd/>
                    <w:snapToGrid/>
                    <w:spacing w:line="240" w:lineRule="atLeast"/>
                    <w:jc w:val="center"/>
                    <w:rPr>
                      <w:color w:val="auto"/>
                      <w:highlight w:val="yellow"/>
                    </w:rPr>
                  </w:pPr>
                </w:p>
              </w:tc>
              <w:tc>
                <w:tcPr>
                  <w:tcW w:w="1751" w:type="dxa"/>
                  <w:vMerge w:val="continue"/>
                  <w:vAlign w:val="center"/>
                </w:tcPr>
                <w:p w14:paraId="58930EFE">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rPr>
                  </w:pPr>
                </w:p>
              </w:tc>
              <w:tc>
                <w:tcPr>
                  <w:tcW w:w="1293" w:type="dxa"/>
                  <w:gridSpan w:val="2"/>
                  <w:vAlign w:val="center"/>
                </w:tcPr>
                <w:p w14:paraId="23F6A46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27</w:t>
                  </w:r>
                </w:p>
              </w:tc>
              <w:tc>
                <w:tcPr>
                  <w:tcW w:w="1089" w:type="dxa"/>
                  <w:vMerge w:val="continue"/>
                </w:tcPr>
                <w:p w14:paraId="45FAB565">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2276F2FC">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6D310522">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103D90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1EFF2FE6">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57FE5FFC">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00783667">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5595510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ZMCK</w:t>
                  </w:r>
                </w:p>
              </w:tc>
              <w:tc>
                <w:tcPr>
                  <w:tcW w:w="1293" w:type="dxa"/>
                  <w:gridSpan w:val="2"/>
                  <w:vAlign w:val="center"/>
                </w:tcPr>
                <w:p w14:paraId="475335E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18</w:t>
                  </w:r>
                </w:p>
              </w:tc>
              <w:tc>
                <w:tcPr>
                  <w:tcW w:w="1089" w:type="dxa"/>
                  <w:vMerge w:val="continue"/>
                </w:tcPr>
                <w:p w14:paraId="4907BD2D">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15C3504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343723BC">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7E1D3F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14" w:type="dxa"/>
                  <w:vMerge w:val="continue"/>
                  <w:vAlign w:val="center"/>
                </w:tcPr>
                <w:p w14:paraId="2FF551CB">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472" w:type="dxa"/>
                  <w:vMerge w:val="continue"/>
                  <w:vAlign w:val="center"/>
                </w:tcPr>
                <w:p w14:paraId="6A955406">
                  <w:pPr>
                    <w:keepNext w:val="0"/>
                    <w:keepLines w:val="0"/>
                    <w:pageBreakBefore w:val="0"/>
                    <w:widowControl/>
                    <w:kinsoku/>
                    <w:overflowPunct/>
                    <w:topLinePunct w:val="0"/>
                    <w:autoSpaceDE/>
                    <w:autoSpaceDN/>
                    <w:bidi w:val="0"/>
                    <w:adjustRightInd/>
                    <w:snapToGrid/>
                    <w:spacing w:line="240" w:lineRule="atLeast"/>
                    <w:jc w:val="center"/>
                    <w:rPr>
                      <w:color w:val="FF0000"/>
                    </w:rPr>
                  </w:pPr>
                </w:p>
              </w:tc>
              <w:tc>
                <w:tcPr>
                  <w:tcW w:w="1197" w:type="dxa"/>
                  <w:gridSpan w:val="2"/>
                  <w:vMerge w:val="continue"/>
                  <w:vAlign w:val="center"/>
                </w:tcPr>
                <w:p w14:paraId="03D98F34">
                  <w:pPr>
                    <w:keepNext w:val="0"/>
                    <w:keepLines w:val="0"/>
                    <w:pageBreakBefore w:val="0"/>
                    <w:widowControl/>
                    <w:kinsoku/>
                    <w:overflowPunct/>
                    <w:topLinePunct w:val="0"/>
                    <w:autoSpaceDE/>
                    <w:autoSpaceDN/>
                    <w:bidi w:val="0"/>
                    <w:adjustRightInd/>
                    <w:snapToGrid/>
                    <w:spacing w:line="240" w:lineRule="atLeast"/>
                    <w:jc w:val="center"/>
                    <w:rPr>
                      <w:color w:val="auto"/>
                      <w:highlight w:val="yellow"/>
                    </w:rPr>
                  </w:pPr>
                </w:p>
              </w:tc>
              <w:tc>
                <w:tcPr>
                  <w:tcW w:w="1751" w:type="dxa"/>
                  <w:vMerge w:val="continue"/>
                  <w:vAlign w:val="center"/>
                </w:tcPr>
                <w:p w14:paraId="3521794C">
                  <w:pPr>
                    <w:keepNext w:val="0"/>
                    <w:keepLines w:val="0"/>
                    <w:pageBreakBefore w:val="0"/>
                    <w:widowControl/>
                    <w:kinsoku/>
                    <w:overflowPunct/>
                    <w:topLinePunct w:val="0"/>
                    <w:autoSpaceDE/>
                    <w:autoSpaceDN/>
                    <w:bidi w:val="0"/>
                    <w:adjustRightInd/>
                    <w:snapToGrid/>
                    <w:spacing w:line="240" w:lineRule="atLeast"/>
                    <w:jc w:val="center"/>
                    <w:rPr>
                      <w:rFonts w:hint="default" w:ascii="Times New Roman" w:hAnsi="Times New Roman" w:cs="Times New Roman"/>
                      <w:color w:val="auto"/>
                      <w:sz w:val="18"/>
                      <w:szCs w:val="18"/>
                      <w:highlight w:val="yellow"/>
                    </w:rPr>
                  </w:pPr>
                </w:p>
              </w:tc>
              <w:tc>
                <w:tcPr>
                  <w:tcW w:w="1293" w:type="dxa"/>
                  <w:gridSpan w:val="2"/>
                  <w:vAlign w:val="center"/>
                </w:tcPr>
                <w:p w14:paraId="06D96CB2">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continue"/>
                </w:tcPr>
                <w:p w14:paraId="0FB12F46">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c>
                <w:tcPr>
                  <w:tcW w:w="757" w:type="dxa"/>
                  <w:vAlign w:val="center"/>
                </w:tcPr>
                <w:p w14:paraId="385296D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3</w:t>
                  </w:r>
                </w:p>
              </w:tc>
              <w:tc>
                <w:tcPr>
                  <w:tcW w:w="1298" w:type="dxa"/>
                  <w:vMerge w:val="continue"/>
                  <w:vAlign w:val="center"/>
                </w:tcPr>
                <w:p w14:paraId="56C4805A">
                  <w:pPr>
                    <w:keepNext w:val="0"/>
                    <w:keepLines w:val="0"/>
                    <w:pageBreakBefore w:val="0"/>
                    <w:widowControl/>
                    <w:kinsoku/>
                    <w:overflowPunct/>
                    <w:topLinePunct w:val="0"/>
                    <w:autoSpaceDE/>
                    <w:autoSpaceDN/>
                    <w:bidi w:val="0"/>
                    <w:adjustRightInd/>
                    <w:snapToGrid/>
                    <w:spacing w:line="240" w:lineRule="atLeast"/>
                    <w:jc w:val="center"/>
                    <w:rPr>
                      <w:rFonts w:hint="eastAsia" w:eastAsia="宋体" w:cs="Times New Roman"/>
                      <w:color w:val="auto"/>
                      <w:sz w:val="18"/>
                      <w:szCs w:val="18"/>
                      <w:highlight w:val="yellow"/>
                      <w:lang w:val="en-US" w:eastAsia="zh-CN"/>
                    </w:rPr>
                  </w:pPr>
                </w:p>
              </w:tc>
            </w:tr>
            <w:tr w14:paraId="668DD0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3E3B13F8">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0135E2DF">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4858640A">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60AAEF3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yellow"/>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C21D-</w:t>
                  </w:r>
                  <w:r>
                    <w:rPr>
                      <w:rFonts w:hint="eastAsia" w:cs="Times New Roman"/>
                      <w:i w:val="0"/>
                      <w:iCs w:val="0"/>
                      <w:color w:val="auto"/>
                      <w:kern w:val="0"/>
                      <w:sz w:val="18"/>
                      <w:szCs w:val="18"/>
                      <w:highlight w:val="none"/>
                      <w:u w:val="none"/>
                      <w:lang w:val="en-US" w:eastAsia="zh-CN" w:bidi="ar"/>
                    </w:rPr>
                    <w:t>ZMCR</w:t>
                  </w:r>
                </w:p>
              </w:tc>
              <w:tc>
                <w:tcPr>
                  <w:tcW w:w="1293" w:type="dxa"/>
                  <w:gridSpan w:val="2"/>
                  <w:vAlign w:val="center"/>
                </w:tcPr>
                <w:p w14:paraId="19783EB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tcPr>
                <w:p w14:paraId="460646EF">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3E2B999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4</w:t>
                  </w:r>
                </w:p>
              </w:tc>
              <w:tc>
                <w:tcPr>
                  <w:tcW w:w="1298" w:type="dxa"/>
                  <w:vMerge w:val="continue"/>
                  <w:vAlign w:val="center"/>
                </w:tcPr>
                <w:p w14:paraId="19BE569C">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1E73FD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17D14F4D">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3207323A">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restart"/>
                  <w:vAlign w:val="center"/>
                </w:tcPr>
                <w:p w14:paraId="32C61110">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r>
                    <w:rPr>
                      <w:rFonts w:hint="eastAsia"/>
                      <w:color w:val="auto"/>
                      <w:sz w:val="18"/>
                      <w:szCs w:val="18"/>
                      <w:highlight w:val="none"/>
                      <w:lang w:val="en-US" w:eastAsia="zh-CN"/>
                    </w:rPr>
                    <w:t>双</w:t>
                  </w:r>
                  <w:r>
                    <w:rPr>
                      <w:rFonts w:hint="eastAsia"/>
                      <w:color w:val="auto"/>
                      <w:sz w:val="18"/>
                      <w:szCs w:val="18"/>
                      <w:highlight w:val="none"/>
                    </w:rPr>
                    <w:t>回铁塔</w:t>
                  </w:r>
                </w:p>
              </w:tc>
              <w:tc>
                <w:tcPr>
                  <w:tcW w:w="1751" w:type="dxa"/>
                  <w:vAlign w:val="center"/>
                </w:tcPr>
                <w:p w14:paraId="581C00A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J1</w:t>
                  </w:r>
                </w:p>
              </w:tc>
              <w:tc>
                <w:tcPr>
                  <w:tcW w:w="1293" w:type="dxa"/>
                  <w:gridSpan w:val="2"/>
                  <w:vAlign w:val="center"/>
                </w:tcPr>
                <w:p w14:paraId="7C9C878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1089" w:type="dxa"/>
                  <w:vMerge w:val="restart"/>
                  <w:vAlign w:val="center"/>
                </w:tcPr>
                <w:p w14:paraId="4F5C0580">
                  <w:pPr>
                    <w:keepNext w:val="0"/>
                    <w:keepLines w:val="0"/>
                    <w:pageBreakBefore w:val="0"/>
                    <w:kinsoku/>
                    <w:overflowPunct/>
                    <w:topLinePunct w:val="0"/>
                    <w:autoSpaceDE/>
                    <w:autoSpaceDN/>
                    <w:bidi w:val="0"/>
                    <w:adjustRightInd/>
                    <w:snapToGrid/>
                    <w:jc w:val="center"/>
                    <w:rPr>
                      <w:rFonts w:hint="default" w:ascii="Times New Roman" w:hAnsi="Times New Roman" w:eastAsia="宋体" w:cs="Times New Roman"/>
                      <w:color w:val="auto"/>
                      <w:sz w:val="18"/>
                      <w:szCs w:val="18"/>
                      <w:highlight w:val="yellow"/>
                      <w:lang w:val="en-US" w:eastAsia="zh-CN"/>
                    </w:rPr>
                  </w:pPr>
                  <w:r>
                    <w:rPr>
                      <w:rFonts w:hint="eastAsia" w:cs="Times New Roman"/>
                      <w:color w:val="auto"/>
                      <w:sz w:val="18"/>
                      <w:szCs w:val="18"/>
                      <w:highlight w:val="none"/>
                      <w:lang w:val="en-US" w:eastAsia="zh-CN"/>
                    </w:rPr>
                    <w:t>垂直排列</w:t>
                  </w:r>
                </w:p>
              </w:tc>
              <w:tc>
                <w:tcPr>
                  <w:tcW w:w="757" w:type="dxa"/>
                  <w:vAlign w:val="center"/>
                </w:tcPr>
                <w:p w14:paraId="451AE89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4ED281F7">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47BD71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14" w:type="dxa"/>
                  <w:vMerge w:val="continue"/>
                  <w:vAlign w:val="center"/>
                </w:tcPr>
                <w:p w14:paraId="61FFD66C">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7E009C2B">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7B39E2EB">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671E7E0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yellow"/>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J2</w:t>
                  </w:r>
                </w:p>
              </w:tc>
              <w:tc>
                <w:tcPr>
                  <w:tcW w:w="1293" w:type="dxa"/>
                  <w:gridSpan w:val="2"/>
                  <w:vAlign w:val="center"/>
                </w:tcPr>
                <w:p w14:paraId="4E1745A0">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18</w:t>
                  </w:r>
                </w:p>
              </w:tc>
              <w:tc>
                <w:tcPr>
                  <w:tcW w:w="1089" w:type="dxa"/>
                  <w:vMerge w:val="continue"/>
                </w:tcPr>
                <w:p w14:paraId="6974F009">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02CC8AF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37F5DB6D">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0FB7E2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14" w:type="dxa"/>
                  <w:vMerge w:val="continue"/>
                  <w:vAlign w:val="center"/>
                </w:tcPr>
                <w:p w14:paraId="2965AF5E">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49C81F05">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2377026C">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continue"/>
                  <w:vAlign w:val="center"/>
                </w:tcPr>
                <w:p w14:paraId="237AFA4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p>
              </w:tc>
              <w:tc>
                <w:tcPr>
                  <w:tcW w:w="1293" w:type="dxa"/>
                  <w:gridSpan w:val="2"/>
                  <w:vAlign w:val="center"/>
                </w:tcPr>
                <w:p w14:paraId="708D231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tcPr>
                <w:p w14:paraId="1288325C">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3956BBC3">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w:t>
                  </w:r>
                </w:p>
              </w:tc>
              <w:tc>
                <w:tcPr>
                  <w:tcW w:w="1298" w:type="dxa"/>
                  <w:vMerge w:val="continue"/>
                  <w:vAlign w:val="center"/>
                </w:tcPr>
                <w:p w14:paraId="39BEDEB2">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4C4BE2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5EE2A4DC">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676D4138">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7B3F3433">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restart"/>
                  <w:vAlign w:val="center"/>
                </w:tcPr>
                <w:p w14:paraId="5EC541F2">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J3</w:t>
                  </w:r>
                </w:p>
              </w:tc>
              <w:tc>
                <w:tcPr>
                  <w:tcW w:w="1293" w:type="dxa"/>
                  <w:gridSpan w:val="2"/>
                  <w:vAlign w:val="center"/>
                </w:tcPr>
                <w:p w14:paraId="482F543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089" w:type="dxa"/>
                  <w:vMerge w:val="continue"/>
                </w:tcPr>
                <w:p w14:paraId="20CF4A98">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15229D7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5E6D24A6">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7A984A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29E37073">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231C961C">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2280ACCF">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Merge w:val="continue"/>
                  <w:vAlign w:val="center"/>
                </w:tcPr>
                <w:p w14:paraId="545BC0B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p>
              </w:tc>
              <w:tc>
                <w:tcPr>
                  <w:tcW w:w="1293" w:type="dxa"/>
                  <w:gridSpan w:val="2"/>
                  <w:vAlign w:val="center"/>
                </w:tcPr>
                <w:p w14:paraId="2934E093">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24</w:t>
                  </w:r>
                </w:p>
              </w:tc>
              <w:tc>
                <w:tcPr>
                  <w:tcW w:w="1089" w:type="dxa"/>
                  <w:vMerge w:val="continue"/>
                </w:tcPr>
                <w:p w14:paraId="7851E2D7">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1B551E94">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w:t>
                  </w:r>
                </w:p>
              </w:tc>
              <w:tc>
                <w:tcPr>
                  <w:tcW w:w="1298" w:type="dxa"/>
                  <w:vMerge w:val="continue"/>
                  <w:vAlign w:val="center"/>
                </w:tcPr>
                <w:p w14:paraId="49774AFD">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799FD6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2886E8F8">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476EEC44">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0C8E8857">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353D285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yellow"/>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J4</w:t>
                  </w:r>
                </w:p>
              </w:tc>
              <w:tc>
                <w:tcPr>
                  <w:tcW w:w="1293" w:type="dxa"/>
                  <w:gridSpan w:val="2"/>
                  <w:vAlign w:val="center"/>
                </w:tcPr>
                <w:p w14:paraId="723A2AC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24</w:t>
                  </w:r>
                </w:p>
              </w:tc>
              <w:tc>
                <w:tcPr>
                  <w:tcW w:w="1089" w:type="dxa"/>
                  <w:vMerge w:val="continue"/>
                </w:tcPr>
                <w:p w14:paraId="565C6E01">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371A8D5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1B29026A">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0CCAB8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4" w:type="dxa"/>
                  <w:vMerge w:val="continue"/>
                  <w:vAlign w:val="center"/>
                </w:tcPr>
                <w:p w14:paraId="509B6945">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29F33834">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7B13491C">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011DDC8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kern w:val="2"/>
                      <w:sz w:val="18"/>
                      <w:szCs w:val="18"/>
                      <w:highlight w:val="yellow"/>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DJ</w:t>
                  </w:r>
                </w:p>
              </w:tc>
              <w:tc>
                <w:tcPr>
                  <w:tcW w:w="1293" w:type="dxa"/>
                  <w:gridSpan w:val="2"/>
                  <w:vAlign w:val="center"/>
                </w:tcPr>
                <w:p w14:paraId="597D0F8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w:t>
                  </w:r>
                  <w:r>
                    <w:rPr>
                      <w:rFonts w:hint="eastAsia" w:cs="Times New Roman"/>
                      <w:i w:val="0"/>
                      <w:iCs w:val="0"/>
                      <w:color w:val="auto"/>
                      <w:kern w:val="0"/>
                      <w:sz w:val="18"/>
                      <w:szCs w:val="18"/>
                      <w:highlight w:val="none"/>
                      <w:u w:val="none"/>
                      <w:lang w:val="en-US" w:eastAsia="zh-CN" w:bidi="ar"/>
                    </w:rPr>
                    <w:t>7</w:t>
                  </w:r>
                </w:p>
              </w:tc>
              <w:tc>
                <w:tcPr>
                  <w:tcW w:w="1089" w:type="dxa"/>
                  <w:vMerge w:val="continue"/>
                </w:tcPr>
                <w:p w14:paraId="2133A7C0">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07F27B1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298" w:type="dxa"/>
                  <w:vMerge w:val="continue"/>
                  <w:vAlign w:val="center"/>
                </w:tcPr>
                <w:p w14:paraId="58AF4D04">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3832AB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15759025">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4429B612">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60148078">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70A2D0B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Z1</w:t>
                  </w:r>
                </w:p>
              </w:tc>
              <w:tc>
                <w:tcPr>
                  <w:tcW w:w="1293" w:type="dxa"/>
                  <w:gridSpan w:val="2"/>
                  <w:vAlign w:val="center"/>
                </w:tcPr>
                <w:p w14:paraId="0CE7BD5C">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21</w:t>
                  </w:r>
                </w:p>
              </w:tc>
              <w:tc>
                <w:tcPr>
                  <w:tcW w:w="1089" w:type="dxa"/>
                  <w:vMerge w:val="continue"/>
                </w:tcPr>
                <w:p w14:paraId="35336744">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24DB18B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w:t>
                  </w:r>
                </w:p>
              </w:tc>
              <w:tc>
                <w:tcPr>
                  <w:tcW w:w="1298" w:type="dxa"/>
                  <w:vMerge w:val="continue"/>
                  <w:vAlign w:val="center"/>
                </w:tcPr>
                <w:p w14:paraId="3ABBDB7B">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288369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443CEFD9">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33298AB6">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77B7501F">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093E22B8">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Z2</w:t>
                  </w:r>
                </w:p>
              </w:tc>
              <w:tc>
                <w:tcPr>
                  <w:tcW w:w="1293" w:type="dxa"/>
                  <w:gridSpan w:val="2"/>
                  <w:vAlign w:val="center"/>
                </w:tcPr>
                <w:p w14:paraId="14CF3F1D">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24</w:t>
                  </w:r>
                </w:p>
              </w:tc>
              <w:tc>
                <w:tcPr>
                  <w:tcW w:w="1089" w:type="dxa"/>
                  <w:vMerge w:val="continue"/>
                </w:tcPr>
                <w:p w14:paraId="4F4A312B">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719607F9">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7C40CF9B">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6B1D2C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7F5AAA67">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735A3EC6">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0CDE92A9">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164F687B">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Z3</w:t>
                  </w:r>
                </w:p>
              </w:tc>
              <w:tc>
                <w:tcPr>
                  <w:tcW w:w="1293" w:type="dxa"/>
                  <w:gridSpan w:val="2"/>
                  <w:vAlign w:val="center"/>
                </w:tcPr>
                <w:p w14:paraId="5E3AD2FA">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24</w:t>
                  </w:r>
                </w:p>
              </w:tc>
              <w:tc>
                <w:tcPr>
                  <w:tcW w:w="1089" w:type="dxa"/>
                  <w:vMerge w:val="continue"/>
                </w:tcPr>
                <w:p w14:paraId="6FFBB3C8">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42DE473F">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w:t>
                  </w:r>
                </w:p>
              </w:tc>
              <w:tc>
                <w:tcPr>
                  <w:tcW w:w="1298" w:type="dxa"/>
                  <w:vMerge w:val="continue"/>
                  <w:vAlign w:val="center"/>
                </w:tcPr>
                <w:p w14:paraId="231E8598">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37E2B4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2A31C905">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5F1AE519">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0B5C19DA">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5AB285E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Z4</w:t>
                  </w:r>
                </w:p>
              </w:tc>
              <w:tc>
                <w:tcPr>
                  <w:tcW w:w="1293" w:type="dxa"/>
                  <w:gridSpan w:val="2"/>
                  <w:vAlign w:val="center"/>
                </w:tcPr>
                <w:p w14:paraId="4ADE84C7">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27</w:t>
                  </w:r>
                </w:p>
              </w:tc>
              <w:tc>
                <w:tcPr>
                  <w:tcW w:w="1089" w:type="dxa"/>
                  <w:vMerge w:val="continue"/>
                </w:tcPr>
                <w:p w14:paraId="3BC6FEEF">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6C0F2D4E">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2</w:t>
                  </w:r>
                </w:p>
              </w:tc>
              <w:tc>
                <w:tcPr>
                  <w:tcW w:w="1298" w:type="dxa"/>
                  <w:vMerge w:val="continue"/>
                  <w:vAlign w:val="center"/>
                </w:tcPr>
                <w:p w14:paraId="56BED4CD">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2CE1E5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4FBB85FF">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4C30B243">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Merge w:val="continue"/>
                  <w:vAlign w:val="center"/>
                </w:tcPr>
                <w:p w14:paraId="43AA17DB">
                  <w:pPr>
                    <w:keepNext w:val="0"/>
                    <w:keepLines w:val="0"/>
                    <w:pageBreakBefore w:val="0"/>
                    <w:kinsoku/>
                    <w:overflowPunct/>
                    <w:topLinePunct w:val="0"/>
                    <w:autoSpaceDE/>
                    <w:autoSpaceDN/>
                    <w:bidi w:val="0"/>
                    <w:adjustRightInd/>
                    <w:snapToGrid/>
                    <w:jc w:val="center"/>
                    <w:rPr>
                      <w:rFonts w:hint="eastAsia"/>
                      <w:color w:val="auto"/>
                      <w:sz w:val="18"/>
                      <w:szCs w:val="18"/>
                      <w:highlight w:val="yellow"/>
                      <w:lang w:val="en-US" w:eastAsia="zh-CN"/>
                    </w:rPr>
                  </w:pPr>
                </w:p>
              </w:tc>
              <w:tc>
                <w:tcPr>
                  <w:tcW w:w="1751" w:type="dxa"/>
                  <w:vAlign w:val="center"/>
                </w:tcPr>
                <w:p w14:paraId="02805C76">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110-</w:t>
                  </w:r>
                  <w:r>
                    <w:rPr>
                      <w:rFonts w:hint="eastAsia" w:cs="Times New Roman"/>
                      <w:i w:val="0"/>
                      <w:iCs w:val="0"/>
                      <w:color w:val="auto"/>
                      <w:kern w:val="0"/>
                      <w:sz w:val="18"/>
                      <w:szCs w:val="18"/>
                      <w:highlight w:val="none"/>
                      <w:u w:val="none"/>
                      <w:lang w:val="en-US" w:eastAsia="zh-CN" w:bidi="ar"/>
                    </w:rPr>
                    <w:t>DD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ZR</w:t>
                  </w:r>
                </w:p>
              </w:tc>
              <w:tc>
                <w:tcPr>
                  <w:tcW w:w="1293" w:type="dxa"/>
                  <w:gridSpan w:val="2"/>
                  <w:vAlign w:val="center"/>
                </w:tcPr>
                <w:p w14:paraId="627D3981">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30</w:t>
                  </w:r>
                </w:p>
              </w:tc>
              <w:tc>
                <w:tcPr>
                  <w:tcW w:w="1089" w:type="dxa"/>
                  <w:vMerge w:val="continue"/>
                </w:tcPr>
                <w:p w14:paraId="462907D5">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yellow"/>
                      <w:lang w:val="en-US" w:eastAsia="zh-CN"/>
                    </w:rPr>
                  </w:pPr>
                </w:p>
              </w:tc>
              <w:tc>
                <w:tcPr>
                  <w:tcW w:w="757" w:type="dxa"/>
                  <w:vAlign w:val="center"/>
                </w:tcPr>
                <w:p w14:paraId="4CC934E5">
                  <w:pPr>
                    <w:keepNext w:val="0"/>
                    <w:keepLines w:val="0"/>
                    <w:pageBreakBefore w:val="0"/>
                    <w:widowControl/>
                    <w:suppressLineNumbers w:val="0"/>
                    <w:kinsoku/>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1</w:t>
                  </w:r>
                </w:p>
              </w:tc>
              <w:tc>
                <w:tcPr>
                  <w:tcW w:w="1298" w:type="dxa"/>
                  <w:vMerge w:val="continue"/>
                  <w:vAlign w:val="center"/>
                </w:tcPr>
                <w:p w14:paraId="708B9B79">
                  <w:pPr>
                    <w:keepNext w:val="0"/>
                    <w:keepLines w:val="0"/>
                    <w:pageBreakBefore w:val="0"/>
                    <w:kinsoku/>
                    <w:overflowPunct/>
                    <w:topLinePunct w:val="0"/>
                    <w:autoSpaceDE/>
                    <w:autoSpaceDN/>
                    <w:bidi w:val="0"/>
                    <w:adjustRightInd/>
                    <w:snapToGrid/>
                    <w:jc w:val="center"/>
                    <w:rPr>
                      <w:rFonts w:hint="eastAsia"/>
                      <w:color w:val="auto"/>
                      <w:sz w:val="18"/>
                      <w:szCs w:val="18"/>
                      <w:highlight w:val="yellow"/>
                    </w:rPr>
                  </w:pPr>
                </w:p>
              </w:tc>
            </w:tr>
            <w:tr w14:paraId="416B19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4" w:type="dxa"/>
                  <w:vMerge w:val="continue"/>
                  <w:vAlign w:val="center"/>
                </w:tcPr>
                <w:p w14:paraId="49089ED7">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472" w:type="dxa"/>
                  <w:vMerge w:val="continue"/>
                  <w:vAlign w:val="center"/>
                </w:tcPr>
                <w:p w14:paraId="4B38C406">
                  <w:pPr>
                    <w:keepNext w:val="0"/>
                    <w:keepLines w:val="0"/>
                    <w:pageBreakBefore w:val="0"/>
                    <w:kinsoku/>
                    <w:overflowPunct/>
                    <w:topLinePunct w:val="0"/>
                    <w:autoSpaceDE/>
                    <w:autoSpaceDN/>
                    <w:bidi w:val="0"/>
                    <w:adjustRightInd/>
                    <w:snapToGrid/>
                    <w:jc w:val="center"/>
                    <w:rPr>
                      <w:rFonts w:hint="eastAsia"/>
                      <w:color w:val="FF0000"/>
                      <w:sz w:val="18"/>
                      <w:szCs w:val="18"/>
                    </w:rPr>
                  </w:pPr>
                </w:p>
              </w:tc>
              <w:tc>
                <w:tcPr>
                  <w:tcW w:w="1197" w:type="dxa"/>
                  <w:gridSpan w:val="2"/>
                  <w:vAlign w:val="center"/>
                </w:tcPr>
                <w:p w14:paraId="2BB4DE77">
                  <w:pPr>
                    <w:keepNext w:val="0"/>
                    <w:keepLines w:val="0"/>
                    <w:pageBreakBefore w:val="0"/>
                    <w:kinsoku/>
                    <w:overflowPunct/>
                    <w:topLinePunct w:val="0"/>
                    <w:autoSpaceDE/>
                    <w:autoSpaceDN/>
                    <w:bidi w:val="0"/>
                    <w:adjustRightInd/>
                    <w:snapToGrid/>
                    <w:jc w:val="center"/>
                    <w:rPr>
                      <w:rFonts w:hint="eastAsia"/>
                      <w:color w:val="auto"/>
                      <w:sz w:val="18"/>
                      <w:szCs w:val="18"/>
                      <w:highlight w:val="none"/>
                      <w:lang w:val="en-US" w:eastAsia="zh-CN"/>
                    </w:rPr>
                  </w:pPr>
                  <w:r>
                    <w:rPr>
                      <w:rFonts w:hint="eastAsia"/>
                      <w:color w:val="auto"/>
                      <w:sz w:val="18"/>
                      <w:szCs w:val="18"/>
                      <w:highlight w:val="none"/>
                    </w:rPr>
                    <w:t>合计</w:t>
                  </w:r>
                </w:p>
              </w:tc>
              <w:tc>
                <w:tcPr>
                  <w:tcW w:w="3044" w:type="dxa"/>
                  <w:gridSpan w:val="3"/>
                  <w:vAlign w:val="center"/>
                </w:tcPr>
                <w:p w14:paraId="78A41172">
                  <w:pPr>
                    <w:keepNext w:val="0"/>
                    <w:keepLines w:val="0"/>
                    <w:pageBreakBefore w:val="0"/>
                    <w:kinsoku/>
                    <w:overflowPunct/>
                    <w:topLinePunct w:val="0"/>
                    <w:autoSpaceDE/>
                    <w:autoSpaceDN/>
                    <w:bidi w:val="0"/>
                    <w:adjustRightInd/>
                    <w:snapToGrid/>
                    <w:jc w:val="center"/>
                    <w:rPr>
                      <w:rFonts w:hint="eastAsia"/>
                      <w:color w:val="auto"/>
                      <w:sz w:val="18"/>
                      <w:szCs w:val="18"/>
                      <w:highlight w:val="none"/>
                    </w:rPr>
                  </w:pPr>
                  <w:r>
                    <w:rPr>
                      <w:rFonts w:hint="eastAsia"/>
                      <w:color w:val="auto"/>
                      <w:sz w:val="18"/>
                      <w:szCs w:val="18"/>
                      <w:highlight w:val="none"/>
                    </w:rPr>
                    <w:t>/</w:t>
                  </w:r>
                </w:p>
              </w:tc>
              <w:tc>
                <w:tcPr>
                  <w:tcW w:w="1089" w:type="dxa"/>
                  <w:vAlign w:val="center"/>
                </w:tcPr>
                <w:p w14:paraId="00F1D855">
                  <w:pPr>
                    <w:keepNext w:val="0"/>
                    <w:keepLines w:val="0"/>
                    <w:pageBreakBefore w:val="0"/>
                    <w:kinsoku/>
                    <w:overflowPunct/>
                    <w:topLinePunct w:val="0"/>
                    <w:autoSpaceDE/>
                    <w:autoSpaceDN/>
                    <w:bidi w:val="0"/>
                    <w:adjustRightInd/>
                    <w:snapToGrid/>
                    <w:jc w:val="center"/>
                    <w:rPr>
                      <w:rFonts w:hint="eastAsia" w:ascii="Times New Roman" w:hAnsi="Times New Roman" w:eastAsia="宋体" w:cs="Times New Roman"/>
                      <w:color w:val="auto"/>
                      <w:sz w:val="18"/>
                      <w:szCs w:val="18"/>
                      <w:highlight w:val="none"/>
                      <w:lang w:val="en-US" w:eastAsia="zh-CN"/>
                    </w:rPr>
                  </w:pPr>
                  <w:r>
                    <w:rPr>
                      <w:rFonts w:hint="eastAsia"/>
                      <w:color w:val="auto"/>
                      <w:sz w:val="18"/>
                      <w:szCs w:val="18"/>
                      <w:highlight w:val="none"/>
                    </w:rPr>
                    <w:t>/</w:t>
                  </w:r>
                </w:p>
              </w:tc>
              <w:tc>
                <w:tcPr>
                  <w:tcW w:w="757" w:type="dxa"/>
                  <w:vAlign w:val="center"/>
                </w:tcPr>
                <w:p w14:paraId="5E5736D4">
                  <w:pPr>
                    <w:keepNext w:val="0"/>
                    <w:keepLines w:val="0"/>
                    <w:pageBreakBefore w:val="0"/>
                    <w:kinsoku/>
                    <w:overflowPunct/>
                    <w:topLinePunct w:val="0"/>
                    <w:autoSpaceDE/>
                    <w:autoSpaceDN/>
                    <w:bidi w:val="0"/>
                    <w:adjustRightInd/>
                    <w:snapToGrid/>
                    <w:jc w:val="center"/>
                    <w:rPr>
                      <w:rFonts w:hint="default"/>
                      <w:color w:val="auto"/>
                      <w:sz w:val="18"/>
                      <w:szCs w:val="18"/>
                      <w:highlight w:val="none"/>
                      <w:lang w:val="en-US"/>
                    </w:rPr>
                  </w:pPr>
                  <w:r>
                    <w:rPr>
                      <w:rFonts w:hint="eastAsia"/>
                      <w:color w:val="auto"/>
                      <w:sz w:val="18"/>
                      <w:szCs w:val="18"/>
                      <w:highlight w:val="none"/>
                      <w:lang w:val="en-US" w:eastAsia="zh-CN"/>
                    </w:rPr>
                    <w:t>82</w:t>
                  </w:r>
                </w:p>
              </w:tc>
              <w:tc>
                <w:tcPr>
                  <w:tcW w:w="1298" w:type="dxa"/>
                  <w:vAlign w:val="center"/>
                </w:tcPr>
                <w:p w14:paraId="40CFAF6C">
                  <w:pPr>
                    <w:keepNext w:val="0"/>
                    <w:keepLines w:val="0"/>
                    <w:pageBreakBefore w:val="0"/>
                    <w:kinsoku/>
                    <w:overflowPunct/>
                    <w:topLinePunct w:val="0"/>
                    <w:autoSpaceDE/>
                    <w:autoSpaceDN/>
                    <w:bidi w:val="0"/>
                    <w:adjustRightInd/>
                    <w:snapToGrid/>
                    <w:jc w:val="center"/>
                    <w:rPr>
                      <w:rFonts w:hint="eastAsia"/>
                      <w:color w:val="auto"/>
                      <w:sz w:val="18"/>
                      <w:szCs w:val="18"/>
                      <w:highlight w:val="none"/>
                    </w:rPr>
                  </w:pPr>
                  <w:r>
                    <w:rPr>
                      <w:rFonts w:hint="eastAsia"/>
                      <w:color w:val="auto"/>
                      <w:sz w:val="18"/>
                      <w:szCs w:val="18"/>
                      <w:highlight w:val="none"/>
                    </w:rPr>
                    <w:t>/</w:t>
                  </w:r>
                </w:p>
              </w:tc>
            </w:tr>
          </w:tbl>
          <w:p w14:paraId="3C1D552C">
            <w:pPr>
              <w:tabs>
                <w:tab w:val="left" w:pos="3240"/>
              </w:tabs>
              <w:spacing w:line="360" w:lineRule="auto"/>
              <w:ind w:firstLine="420" w:firstLineChars="200"/>
              <w:rPr>
                <w:color w:val="auto"/>
                <w:szCs w:val="21"/>
              </w:rPr>
            </w:pPr>
            <w:r>
              <w:rPr>
                <w:color w:val="auto"/>
                <w:szCs w:val="21"/>
              </w:rPr>
              <w:t>本项目输电线路使用的铁塔</w:t>
            </w:r>
            <w:r>
              <w:rPr>
                <w:color w:val="auto"/>
                <w:szCs w:val="21"/>
                <w:highlight w:val="none"/>
              </w:rPr>
              <w:t>型式见附图</w:t>
            </w:r>
            <w:r>
              <w:rPr>
                <w:rFonts w:hint="eastAsia"/>
                <w:color w:val="auto"/>
                <w:szCs w:val="21"/>
                <w:highlight w:val="none"/>
                <w:lang w:val="en-US" w:eastAsia="zh-CN"/>
              </w:rPr>
              <w:t>7</w:t>
            </w:r>
            <w:r>
              <w:rPr>
                <w:rFonts w:hint="eastAsia"/>
                <w:color w:val="auto"/>
                <w:szCs w:val="21"/>
                <w:highlight w:val="none"/>
              </w:rPr>
              <w:t>，</w:t>
            </w:r>
            <w:r>
              <w:rPr>
                <w:color w:val="auto"/>
                <w:szCs w:val="21"/>
                <w:highlight w:val="none"/>
              </w:rPr>
              <w:t>基础见附图</w:t>
            </w:r>
            <w:r>
              <w:rPr>
                <w:rFonts w:hint="eastAsia"/>
                <w:color w:val="auto"/>
                <w:szCs w:val="21"/>
                <w:highlight w:val="none"/>
                <w:lang w:val="en-US" w:eastAsia="zh-CN"/>
              </w:rPr>
              <w:t>8</w:t>
            </w:r>
            <w:r>
              <w:rPr>
                <w:color w:val="auto"/>
                <w:szCs w:val="21"/>
                <w:highlight w:val="none"/>
              </w:rPr>
              <w:t>。</w:t>
            </w:r>
          </w:p>
          <w:p w14:paraId="50ABFFA9">
            <w:pPr>
              <w:spacing w:line="360" w:lineRule="auto"/>
              <w:rPr>
                <w:rFonts w:eastAsia="黑体"/>
                <w:color w:val="auto"/>
                <w:szCs w:val="21"/>
              </w:rPr>
            </w:pPr>
            <w:r>
              <w:rPr>
                <w:rFonts w:hint="eastAsia" w:eastAsia="黑体"/>
                <w:color w:val="auto"/>
                <w:szCs w:val="21"/>
                <w:lang w:val="en-US" w:eastAsia="zh-CN"/>
              </w:rPr>
              <w:t>五</w:t>
            </w:r>
            <w:r>
              <w:rPr>
                <w:rFonts w:eastAsia="黑体"/>
                <w:color w:val="auto"/>
                <w:szCs w:val="21"/>
              </w:rPr>
              <w:t>、本次评价</w:t>
            </w:r>
            <w:r>
              <w:rPr>
                <w:rFonts w:hint="eastAsia" w:eastAsia="黑体"/>
                <w:color w:val="auto"/>
                <w:szCs w:val="21"/>
              </w:rPr>
              <w:t>规模</w:t>
            </w:r>
          </w:p>
          <w:p w14:paraId="081DA80A">
            <w:pPr>
              <w:spacing w:line="360" w:lineRule="auto"/>
              <w:ind w:firstLine="420" w:firstLineChars="200"/>
              <w:rPr>
                <w:color w:val="auto"/>
                <w:szCs w:val="21"/>
              </w:rPr>
            </w:pPr>
            <w:r>
              <w:rPr>
                <w:rFonts w:hint="eastAsia" w:eastAsia="黑体"/>
                <w:color w:val="auto"/>
                <w:szCs w:val="21"/>
              </w:rPr>
              <w:t>本次评价规模如下：</w:t>
            </w:r>
          </w:p>
          <w:p w14:paraId="6FD76166">
            <w:pPr>
              <w:numPr>
                <w:ilvl w:val="0"/>
                <w:numId w:val="0"/>
              </w:numPr>
              <w:spacing w:line="360" w:lineRule="auto"/>
              <w:ind w:firstLine="422" w:firstLineChars="200"/>
              <w:rPr>
                <w:rFonts w:hint="eastAsia"/>
                <w:bCs/>
                <w:color w:val="FF0000"/>
                <w:szCs w:val="21"/>
              </w:rPr>
            </w:pPr>
            <w:r>
              <w:rPr>
                <w:rFonts w:hint="eastAsia" w:ascii="Times New Roman" w:hAnsi="Times New Roman" w:eastAsia="宋体" w:cs="Times New Roman"/>
                <w:b/>
                <w:bCs w:val="0"/>
                <w:color w:val="auto"/>
                <w:kern w:val="2"/>
                <w:sz w:val="21"/>
                <w:szCs w:val="21"/>
                <w:lang w:val="en-US" w:eastAsia="zh-CN" w:bidi="ar-SA"/>
              </w:rPr>
              <w:t>（1）</w:t>
            </w:r>
            <w:r>
              <w:rPr>
                <w:rFonts w:hint="eastAsia" w:cs="Times New Roman"/>
                <w:b/>
                <w:bCs w:val="0"/>
                <w:color w:val="auto"/>
                <w:kern w:val="2"/>
                <w:sz w:val="21"/>
                <w:szCs w:val="21"/>
                <w:lang w:val="en-US" w:eastAsia="zh-CN" w:bidi="ar-SA"/>
              </w:rPr>
              <w:t>司城</w:t>
            </w:r>
            <w:r>
              <w:rPr>
                <w:rFonts w:hint="eastAsia" w:ascii="Times New Roman" w:hAnsi="Times New Roman" w:eastAsia="宋体" w:cs="Times New Roman"/>
                <w:b/>
                <w:bCs w:val="0"/>
                <w:color w:val="auto"/>
                <w:kern w:val="2"/>
                <w:sz w:val="21"/>
                <w:szCs w:val="21"/>
                <w:lang w:val="en-US" w:eastAsia="zh-CN" w:bidi="ar-SA"/>
              </w:rPr>
              <w:t>110</w:t>
            </w:r>
            <w:r>
              <w:rPr>
                <w:rFonts w:hint="eastAsia" w:cs="Times New Roman"/>
                <w:b/>
                <w:bCs w:val="0"/>
                <w:color w:val="auto"/>
                <w:kern w:val="2"/>
                <w:sz w:val="21"/>
                <w:szCs w:val="21"/>
                <w:lang w:val="en-US" w:eastAsia="zh-CN" w:bidi="ar-SA"/>
              </w:rPr>
              <w:t>kV</w:t>
            </w:r>
            <w:r>
              <w:rPr>
                <w:rFonts w:hint="eastAsia" w:ascii="Times New Roman" w:hAnsi="Times New Roman" w:eastAsia="宋体" w:cs="Times New Roman"/>
                <w:b/>
                <w:bCs w:val="0"/>
                <w:color w:val="auto"/>
                <w:kern w:val="2"/>
                <w:sz w:val="21"/>
                <w:szCs w:val="21"/>
                <w:lang w:val="en-US" w:eastAsia="zh-CN" w:bidi="ar-SA"/>
              </w:rPr>
              <w:t>变电站新建工程</w:t>
            </w:r>
            <w:r>
              <w:rPr>
                <w:rFonts w:hint="eastAsia"/>
                <w:b/>
                <w:bCs/>
                <w:color w:val="auto"/>
                <w:szCs w:val="21"/>
              </w:rPr>
              <w:t>：</w:t>
            </w:r>
            <w:r>
              <w:rPr>
                <w:rFonts w:hint="eastAsia"/>
                <w:b w:val="0"/>
                <w:bCs w:val="0"/>
                <w:color w:val="auto"/>
                <w:szCs w:val="21"/>
                <w:lang w:val="en-US" w:eastAsia="zh-CN"/>
              </w:rPr>
              <w:t>按终期规模进行评价</w:t>
            </w:r>
            <w:r>
              <w:rPr>
                <w:rFonts w:hint="default" w:ascii="Times New Roman" w:hAnsi="Times New Roman" w:cs="Times New Roman"/>
                <w:bCs/>
                <w:color w:val="auto"/>
                <w:szCs w:val="21"/>
              </w:rPr>
              <w:t>①</w:t>
            </w:r>
            <w:r>
              <w:rPr>
                <w:bCs/>
                <w:color w:val="auto"/>
                <w:szCs w:val="21"/>
              </w:rPr>
              <w:t>主变容量：3×</w:t>
            </w:r>
            <w:r>
              <w:rPr>
                <w:rFonts w:hint="eastAsia"/>
                <w:bCs/>
                <w:color w:val="auto"/>
                <w:szCs w:val="21"/>
                <w:lang w:val="en-US" w:eastAsia="zh-CN"/>
              </w:rPr>
              <w:t>63</w:t>
            </w:r>
            <w:r>
              <w:rPr>
                <w:bCs/>
                <w:color w:val="auto"/>
                <w:szCs w:val="21"/>
              </w:rPr>
              <w:t>MVA；</w:t>
            </w:r>
            <w:r>
              <w:rPr>
                <w:rFonts w:hint="default" w:ascii="Times New Roman" w:hAnsi="Times New Roman" w:cs="Times New Roman"/>
                <w:bCs/>
                <w:color w:val="auto"/>
                <w:szCs w:val="21"/>
              </w:rPr>
              <w:t>②</w:t>
            </w:r>
            <w:r>
              <w:rPr>
                <w:rFonts w:hint="eastAsia"/>
                <w:bCs/>
                <w:color w:val="auto"/>
                <w:szCs w:val="21"/>
              </w:rPr>
              <w:t>11</w:t>
            </w:r>
            <w:r>
              <w:rPr>
                <w:bCs/>
                <w:color w:val="auto"/>
                <w:szCs w:val="21"/>
              </w:rPr>
              <w:t>0kV出线间隔：</w:t>
            </w:r>
            <w:r>
              <w:rPr>
                <w:rFonts w:hint="eastAsia"/>
                <w:bCs/>
                <w:color w:val="auto"/>
                <w:szCs w:val="21"/>
              </w:rPr>
              <w:t>4</w:t>
            </w:r>
            <w:r>
              <w:rPr>
                <w:bCs/>
                <w:color w:val="auto"/>
                <w:szCs w:val="21"/>
              </w:rPr>
              <w:t>回</w:t>
            </w:r>
            <w:r>
              <w:rPr>
                <w:rFonts w:hint="eastAsia"/>
                <w:bCs/>
                <w:color w:val="auto"/>
                <w:szCs w:val="21"/>
                <w:lang w:eastAsia="zh-CN"/>
              </w:rPr>
              <w:t>；</w:t>
            </w:r>
          </w:p>
          <w:p w14:paraId="6B11F60C">
            <w:pPr>
              <w:spacing w:line="360" w:lineRule="auto"/>
              <w:ind w:firstLine="422" w:firstLineChars="200"/>
              <w:rPr>
                <w:rFonts w:hint="eastAsia"/>
                <w:bCs/>
                <w:color w:val="auto"/>
                <w:szCs w:val="21"/>
              </w:rPr>
            </w:pPr>
            <w:r>
              <w:rPr>
                <w:rFonts w:hint="eastAsia"/>
                <w:b/>
                <w:bCs w:val="0"/>
                <w:color w:val="auto"/>
                <w:szCs w:val="21"/>
              </w:rPr>
              <w:t>（</w:t>
            </w:r>
            <w:r>
              <w:rPr>
                <w:rFonts w:hint="eastAsia"/>
                <w:b/>
                <w:bCs w:val="0"/>
                <w:color w:val="auto"/>
                <w:szCs w:val="21"/>
                <w:lang w:val="en-US" w:eastAsia="zh-CN"/>
              </w:rPr>
              <w:t>2</w:t>
            </w:r>
            <w:r>
              <w:rPr>
                <w:rFonts w:hint="eastAsia"/>
                <w:b/>
                <w:bCs w:val="0"/>
                <w:color w:val="auto"/>
                <w:szCs w:val="21"/>
              </w:rPr>
              <w:t>）</w:t>
            </w:r>
            <w:r>
              <w:rPr>
                <w:rFonts w:hint="eastAsia"/>
                <w:b/>
                <w:color w:val="auto"/>
                <w:szCs w:val="21"/>
                <w:lang w:val="en-US" w:eastAsia="zh-CN"/>
              </w:rPr>
              <w:t>盘兴</w:t>
            </w:r>
            <w:r>
              <w:rPr>
                <w:rFonts w:hint="eastAsia"/>
                <w:b/>
                <w:color w:val="auto"/>
                <w:szCs w:val="21"/>
                <w:lang w:eastAsia="zh-CN"/>
              </w:rPr>
              <w:t>～</w:t>
            </w:r>
            <w:r>
              <w:rPr>
                <w:rFonts w:hint="eastAsia"/>
                <w:b/>
                <w:bCs/>
                <w:color w:val="auto"/>
                <w:szCs w:val="21"/>
                <w:lang w:val="en-US" w:eastAsia="zh-CN"/>
              </w:rPr>
              <w:t>司城</w:t>
            </w:r>
            <w:r>
              <w:rPr>
                <w:rFonts w:hint="eastAsia"/>
                <w:b/>
                <w:color w:val="auto"/>
                <w:szCs w:val="21"/>
                <w:lang w:eastAsia="zh-CN"/>
              </w:rPr>
              <w:t>110</w:t>
            </w:r>
            <w:r>
              <w:rPr>
                <w:rFonts w:hint="eastAsia" w:cs="Times New Roman"/>
                <w:b/>
                <w:bCs w:val="0"/>
                <w:color w:val="auto"/>
                <w:kern w:val="2"/>
                <w:sz w:val="21"/>
                <w:szCs w:val="21"/>
                <w:lang w:val="en-US" w:eastAsia="zh-CN" w:bidi="ar-SA"/>
              </w:rPr>
              <w:t>kV</w:t>
            </w:r>
            <w:r>
              <w:rPr>
                <w:rFonts w:hint="eastAsia"/>
                <w:b/>
                <w:color w:val="auto"/>
                <w:szCs w:val="21"/>
                <w:lang w:eastAsia="zh-CN"/>
              </w:rPr>
              <w:t>线路工程</w:t>
            </w:r>
            <w:r>
              <w:rPr>
                <w:rFonts w:hint="eastAsia"/>
                <w:b/>
                <w:color w:val="auto"/>
                <w:szCs w:val="21"/>
              </w:rPr>
              <w:t>：</w:t>
            </w:r>
            <w:r>
              <w:rPr>
                <w:rFonts w:hint="eastAsia"/>
                <w:bCs/>
                <w:color w:val="auto"/>
                <w:szCs w:val="21"/>
                <w:lang w:eastAsia="zh-CN"/>
              </w:rPr>
              <w:t>线路长度约15km（0.3km+10km+4.7km），其中新建双回塔单边挂线段约0.3km，新建三角排列段线路约10km，利旧段（利旧已建杆塔）线路约4.7km</w:t>
            </w:r>
            <w:r>
              <w:rPr>
                <w:rFonts w:hint="eastAsia"/>
                <w:bCs/>
                <w:color w:val="auto"/>
                <w:szCs w:val="21"/>
              </w:rPr>
              <w:t>。</w:t>
            </w:r>
          </w:p>
          <w:p w14:paraId="7B2B7196">
            <w:pPr>
              <w:numPr>
                <w:ilvl w:val="0"/>
                <w:numId w:val="0"/>
              </w:numPr>
              <w:spacing w:line="360" w:lineRule="auto"/>
              <w:ind w:firstLine="422" w:firstLineChars="200"/>
              <w:rPr>
                <w:rFonts w:hint="eastAsia"/>
                <w:bCs/>
                <w:color w:val="auto"/>
                <w:szCs w:val="21"/>
                <w:lang w:val="en-US" w:eastAsia="zh-CN"/>
              </w:rPr>
            </w:pPr>
            <w:r>
              <w:rPr>
                <w:rFonts w:hint="eastAsia" w:ascii="Times New Roman" w:hAnsi="Times New Roman" w:eastAsia="宋体" w:cs="Times New Roman"/>
                <w:b/>
                <w:bCs w:val="0"/>
                <w:color w:val="auto"/>
                <w:kern w:val="2"/>
                <w:sz w:val="21"/>
                <w:szCs w:val="21"/>
                <w:lang w:val="en-US" w:eastAsia="zh-CN" w:bidi="ar-SA"/>
              </w:rPr>
              <w:t>（</w:t>
            </w:r>
            <w:r>
              <w:rPr>
                <w:rFonts w:hint="eastAsia" w:cs="Times New Roman"/>
                <w:b/>
                <w:bCs w:val="0"/>
                <w:color w:val="auto"/>
                <w:kern w:val="2"/>
                <w:sz w:val="21"/>
                <w:szCs w:val="21"/>
                <w:lang w:val="en-US" w:eastAsia="zh-CN" w:bidi="ar-SA"/>
              </w:rPr>
              <w:t>3</w:t>
            </w:r>
            <w:r>
              <w:rPr>
                <w:rFonts w:hint="eastAsia" w:ascii="Times New Roman" w:hAnsi="Times New Roman" w:eastAsia="宋体" w:cs="Times New Roman"/>
                <w:b/>
                <w:bCs w:val="0"/>
                <w:color w:val="auto"/>
                <w:kern w:val="2"/>
                <w:sz w:val="21"/>
                <w:szCs w:val="21"/>
                <w:lang w:val="en-US" w:eastAsia="zh-CN" w:bidi="ar-SA"/>
              </w:rPr>
              <w:t>）</w:t>
            </w:r>
            <w:r>
              <w:rPr>
                <w:rFonts w:hint="eastAsia"/>
                <w:b/>
                <w:color w:val="auto"/>
                <w:szCs w:val="21"/>
                <w:lang w:val="en-US" w:eastAsia="zh-CN"/>
              </w:rPr>
              <w:t>印合</w:t>
            </w:r>
            <w:r>
              <w:rPr>
                <w:rFonts w:hint="eastAsia"/>
                <w:b/>
                <w:color w:val="auto"/>
                <w:szCs w:val="21"/>
                <w:lang w:eastAsia="zh-CN"/>
              </w:rPr>
              <w:t>～</w:t>
            </w:r>
            <w:r>
              <w:rPr>
                <w:rFonts w:hint="eastAsia"/>
                <w:b/>
                <w:bCs/>
                <w:color w:val="auto"/>
                <w:szCs w:val="21"/>
                <w:lang w:val="en-US" w:eastAsia="zh-CN"/>
              </w:rPr>
              <w:t>司城</w:t>
            </w:r>
            <w:r>
              <w:rPr>
                <w:rFonts w:hint="eastAsia"/>
                <w:b/>
                <w:color w:val="auto"/>
                <w:szCs w:val="21"/>
                <w:lang w:eastAsia="zh-CN"/>
              </w:rPr>
              <w:t>110</w:t>
            </w:r>
            <w:r>
              <w:rPr>
                <w:rFonts w:hint="eastAsia" w:cs="Times New Roman"/>
                <w:b/>
                <w:bCs w:val="0"/>
                <w:color w:val="auto"/>
                <w:kern w:val="2"/>
                <w:sz w:val="21"/>
                <w:szCs w:val="21"/>
                <w:lang w:val="en-US" w:eastAsia="zh-CN" w:bidi="ar-SA"/>
              </w:rPr>
              <w:t>kV</w:t>
            </w:r>
            <w:r>
              <w:rPr>
                <w:rFonts w:hint="eastAsia"/>
                <w:b/>
                <w:color w:val="auto"/>
                <w:szCs w:val="21"/>
                <w:lang w:eastAsia="zh-CN"/>
              </w:rPr>
              <w:t>线路工程</w:t>
            </w:r>
            <w:r>
              <w:rPr>
                <w:rFonts w:hint="eastAsia"/>
                <w:b/>
                <w:color w:val="auto"/>
                <w:szCs w:val="21"/>
              </w:rPr>
              <w:t>：</w:t>
            </w:r>
            <w:r>
              <w:rPr>
                <w:rFonts w:hint="eastAsia"/>
                <w:bCs/>
                <w:color w:val="auto"/>
                <w:szCs w:val="21"/>
                <w:lang w:eastAsia="zh-CN"/>
              </w:rPr>
              <w:t>新建线路长度约25.58km（6km+19.58km），其中新建双回塔单边挂线段线路路径长约6km，新建三角排列段线路路径长约19.58km</w:t>
            </w:r>
            <w:r>
              <w:rPr>
                <w:rFonts w:hint="eastAsia"/>
                <w:bCs/>
                <w:color w:val="auto"/>
                <w:szCs w:val="21"/>
              </w:rPr>
              <w:t>。</w:t>
            </w:r>
          </w:p>
          <w:p w14:paraId="1E59EC6B">
            <w:pPr>
              <w:pStyle w:val="67"/>
              <w:spacing w:beforeLines="0" w:line="240" w:lineRule="auto"/>
              <w:ind w:left="0" w:leftChars="0" w:firstLine="0" w:firstLineChars="0"/>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表2-</w:t>
            </w:r>
            <w:r>
              <w:rPr>
                <w:rFonts w:hint="eastAsia" w:eastAsia="黑体" w:cs="Times New Roman"/>
                <w:color w:val="auto"/>
                <w:sz w:val="21"/>
                <w:szCs w:val="21"/>
                <w:highlight w:val="none"/>
                <w:lang w:val="en-US" w:eastAsia="zh-CN"/>
              </w:rPr>
              <w:t>4</w:t>
            </w:r>
            <w:r>
              <w:rPr>
                <w:rFonts w:hint="default" w:ascii="Times New Roman" w:hAnsi="Times New Roman" w:eastAsia="黑体" w:cs="Times New Roman"/>
                <w:color w:val="auto"/>
                <w:sz w:val="21"/>
                <w:szCs w:val="21"/>
                <w:highlight w:val="none"/>
              </w:rPr>
              <w:t xml:space="preserve">  本项目</w:t>
            </w:r>
            <w:r>
              <w:rPr>
                <w:rFonts w:hint="eastAsia" w:eastAsia="黑体" w:cs="Times New Roman"/>
                <w:color w:val="auto"/>
                <w:sz w:val="21"/>
                <w:szCs w:val="21"/>
                <w:highlight w:val="none"/>
                <w:lang w:val="en-US" w:eastAsia="zh-CN"/>
              </w:rPr>
              <w:t>新建架空</w:t>
            </w:r>
            <w:r>
              <w:rPr>
                <w:rFonts w:hint="default" w:ascii="Times New Roman" w:hAnsi="Times New Roman" w:eastAsia="黑体" w:cs="Times New Roman"/>
                <w:color w:val="auto"/>
                <w:sz w:val="21"/>
                <w:szCs w:val="21"/>
                <w:highlight w:val="none"/>
              </w:rPr>
              <w:t>线路设计参数、环境状况及评价规模一览表</w:t>
            </w:r>
          </w:p>
          <w:tbl>
            <w:tblPr>
              <w:tblStyle w:val="25"/>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861"/>
              <w:gridCol w:w="371"/>
              <w:gridCol w:w="418"/>
              <w:gridCol w:w="546"/>
              <w:gridCol w:w="1127"/>
              <w:gridCol w:w="659"/>
              <w:gridCol w:w="1499"/>
              <w:gridCol w:w="558"/>
              <w:gridCol w:w="1663"/>
            </w:tblGrid>
            <w:tr w14:paraId="7C2A22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09" w:type="dxa"/>
                  <w:gridSpan w:val="2"/>
                  <w:vMerge w:val="restart"/>
                  <w:tcBorders>
                    <w:tl2br w:val="nil"/>
                    <w:tr2bl w:val="nil"/>
                  </w:tcBorders>
                  <w:shd w:val="clear" w:color="auto" w:fill="auto"/>
                  <w:noWrap/>
                  <w:vAlign w:val="center"/>
                </w:tcPr>
                <w:p w14:paraId="7D1CD044">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线路</w:t>
                  </w:r>
                </w:p>
              </w:tc>
              <w:tc>
                <w:tcPr>
                  <w:tcW w:w="4620" w:type="dxa"/>
                  <w:gridSpan w:val="6"/>
                  <w:tcBorders>
                    <w:tl2br w:val="nil"/>
                    <w:tr2bl w:val="nil"/>
                  </w:tcBorders>
                  <w:shd w:val="clear" w:color="auto" w:fill="auto"/>
                  <w:vAlign w:val="center"/>
                </w:tcPr>
                <w:p w14:paraId="729AEC00">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设计参数</w:t>
                  </w:r>
                </w:p>
              </w:tc>
              <w:tc>
                <w:tcPr>
                  <w:tcW w:w="558" w:type="dxa"/>
                  <w:tcBorders>
                    <w:tl2br w:val="nil"/>
                    <w:tr2bl w:val="nil"/>
                  </w:tcBorders>
                  <w:shd w:val="clear" w:color="auto" w:fill="auto"/>
                  <w:vAlign w:val="center"/>
                </w:tcPr>
                <w:p w14:paraId="5C6BED68">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环境</w:t>
                  </w:r>
                </w:p>
                <w:p w14:paraId="775CFA1E">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状况</w:t>
                  </w:r>
                </w:p>
              </w:tc>
              <w:tc>
                <w:tcPr>
                  <w:tcW w:w="1663" w:type="dxa"/>
                  <w:vMerge w:val="restart"/>
                  <w:tcBorders>
                    <w:tl2br w:val="nil"/>
                    <w:tr2bl w:val="nil"/>
                  </w:tcBorders>
                  <w:shd w:val="clear" w:color="auto" w:fill="auto"/>
                  <w:vAlign w:val="center"/>
                </w:tcPr>
                <w:p w14:paraId="0A7FDE98">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评价规模</w:t>
                  </w:r>
                </w:p>
              </w:tc>
            </w:tr>
            <w:tr w14:paraId="460EE0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9" w:type="dxa"/>
                  <w:gridSpan w:val="2"/>
                  <w:vMerge w:val="continue"/>
                  <w:tcBorders>
                    <w:tl2br w:val="nil"/>
                    <w:tr2bl w:val="nil"/>
                  </w:tcBorders>
                  <w:vAlign w:val="center"/>
                </w:tcPr>
                <w:p w14:paraId="5BC569CF">
                  <w:pPr>
                    <w:widowControl/>
                    <w:ind w:left="-105" w:leftChars="-50" w:right="-105" w:rightChars="-50"/>
                    <w:jc w:val="left"/>
                    <w:rPr>
                      <w:rFonts w:hint="default" w:ascii="Times New Roman" w:hAnsi="Times New Roman" w:cs="Times New Roman"/>
                      <w:color w:val="auto"/>
                      <w:kern w:val="0"/>
                      <w:sz w:val="18"/>
                      <w:szCs w:val="18"/>
                      <w:highlight w:val="yellow"/>
                    </w:rPr>
                  </w:pPr>
                </w:p>
              </w:tc>
              <w:tc>
                <w:tcPr>
                  <w:tcW w:w="371" w:type="dxa"/>
                  <w:tcBorders>
                    <w:tl2br w:val="nil"/>
                    <w:tr2bl w:val="nil"/>
                  </w:tcBorders>
                  <w:shd w:val="clear" w:color="auto" w:fill="auto"/>
                  <w:vAlign w:val="center"/>
                </w:tcPr>
                <w:p w14:paraId="5D7FC3CC">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排列方式</w:t>
                  </w:r>
                </w:p>
              </w:tc>
              <w:tc>
                <w:tcPr>
                  <w:tcW w:w="418" w:type="dxa"/>
                  <w:tcBorders>
                    <w:tl2br w:val="nil"/>
                    <w:tr2bl w:val="nil"/>
                  </w:tcBorders>
                  <w:shd w:val="clear" w:color="auto" w:fill="auto"/>
                  <w:vAlign w:val="center"/>
                </w:tcPr>
                <w:p w14:paraId="36A76EFC">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导线型号</w:t>
                  </w:r>
                </w:p>
              </w:tc>
              <w:tc>
                <w:tcPr>
                  <w:tcW w:w="546" w:type="dxa"/>
                  <w:tcBorders>
                    <w:tl2br w:val="nil"/>
                    <w:tr2bl w:val="nil"/>
                  </w:tcBorders>
                  <w:shd w:val="clear" w:color="auto" w:fill="auto"/>
                  <w:vAlign w:val="center"/>
                </w:tcPr>
                <w:p w14:paraId="54435BD3">
                  <w:pPr>
                    <w:widowControl/>
                    <w:ind w:left="-105" w:leftChars="-50" w:right="-105" w:rightChars="-50"/>
                    <w:jc w:val="center"/>
                    <w:rPr>
                      <w:rFonts w:hint="default" w:ascii="Times New Roman" w:hAnsi="Times New Roman" w:cs="Times New Roman"/>
                      <w:color w:val="auto"/>
                      <w:kern w:val="0"/>
                      <w:sz w:val="18"/>
                      <w:szCs w:val="18"/>
                      <w:highlight w:val="none"/>
                    </w:rPr>
                  </w:pPr>
                  <w:r>
                    <w:rPr>
                      <w:rFonts w:hint="eastAsia" w:cs="Times New Roman"/>
                      <w:color w:val="auto"/>
                      <w:kern w:val="0"/>
                      <w:sz w:val="18"/>
                      <w:szCs w:val="18"/>
                      <w:highlight w:val="none"/>
                      <w:lang w:eastAsia="zh-CN"/>
                    </w:rPr>
                    <w:t>设计输送电流</w:t>
                  </w:r>
                  <w:r>
                    <w:rPr>
                      <w:rFonts w:hint="default" w:ascii="Times New Roman" w:hAnsi="Times New Roman" w:cs="Times New Roman"/>
                      <w:color w:val="auto"/>
                      <w:kern w:val="0"/>
                      <w:sz w:val="18"/>
                      <w:szCs w:val="18"/>
                      <w:highlight w:val="none"/>
                    </w:rPr>
                    <w:t>（A）</w:t>
                  </w:r>
                </w:p>
              </w:tc>
              <w:tc>
                <w:tcPr>
                  <w:tcW w:w="1127" w:type="dxa"/>
                  <w:tcBorders>
                    <w:tl2br w:val="nil"/>
                    <w:tr2bl w:val="nil"/>
                  </w:tcBorders>
                  <w:shd w:val="clear" w:color="auto" w:fill="auto"/>
                  <w:vAlign w:val="center"/>
                </w:tcPr>
                <w:p w14:paraId="7DABF39A">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分裂方式</w:t>
                  </w:r>
                </w:p>
                <w:p w14:paraId="1501A73C">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（分裂间距）</w:t>
                  </w:r>
                </w:p>
              </w:tc>
              <w:tc>
                <w:tcPr>
                  <w:tcW w:w="659" w:type="dxa"/>
                  <w:tcBorders>
                    <w:tl2br w:val="nil"/>
                    <w:tr2bl w:val="nil"/>
                  </w:tcBorders>
                  <w:shd w:val="clear" w:color="auto" w:fill="auto"/>
                  <w:vAlign w:val="center"/>
                </w:tcPr>
                <w:p w14:paraId="0BA66E09">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导线对地高度</w:t>
                  </w:r>
                </w:p>
              </w:tc>
              <w:tc>
                <w:tcPr>
                  <w:tcW w:w="1499" w:type="dxa"/>
                  <w:tcBorders>
                    <w:tl2br w:val="nil"/>
                    <w:tr2bl w:val="nil"/>
                  </w:tcBorders>
                  <w:shd w:val="clear" w:color="auto" w:fill="auto"/>
                  <w:vAlign w:val="center"/>
                </w:tcPr>
                <w:p w14:paraId="39641240">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最不利</w:t>
                  </w:r>
                </w:p>
                <w:p w14:paraId="4473E02A">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塔型</w:t>
                  </w:r>
                </w:p>
              </w:tc>
              <w:tc>
                <w:tcPr>
                  <w:tcW w:w="558" w:type="dxa"/>
                  <w:tcBorders>
                    <w:tl2br w:val="nil"/>
                    <w:tr2bl w:val="nil"/>
                  </w:tcBorders>
                  <w:shd w:val="clear" w:color="auto" w:fill="auto"/>
                  <w:vAlign w:val="center"/>
                </w:tcPr>
                <w:p w14:paraId="545588C4">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评价范围内有/无居民分布</w:t>
                  </w:r>
                </w:p>
              </w:tc>
              <w:tc>
                <w:tcPr>
                  <w:tcW w:w="1663" w:type="dxa"/>
                  <w:vMerge w:val="continue"/>
                  <w:tcBorders>
                    <w:tl2br w:val="nil"/>
                    <w:tr2bl w:val="nil"/>
                  </w:tcBorders>
                  <w:vAlign w:val="center"/>
                </w:tcPr>
                <w:p w14:paraId="1604E692">
                  <w:pPr>
                    <w:widowControl/>
                    <w:ind w:left="-105" w:leftChars="-50" w:right="-105" w:rightChars="-50"/>
                    <w:jc w:val="left"/>
                    <w:rPr>
                      <w:rFonts w:hint="default" w:ascii="Times New Roman" w:hAnsi="Times New Roman" w:cs="Times New Roman"/>
                      <w:color w:val="auto"/>
                      <w:kern w:val="0"/>
                      <w:sz w:val="18"/>
                      <w:szCs w:val="18"/>
                      <w:highlight w:val="yellow"/>
                    </w:rPr>
                  </w:pPr>
                </w:p>
              </w:tc>
            </w:tr>
            <w:tr w14:paraId="7DDD8E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restart"/>
                  <w:tcBorders>
                    <w:tl2br w:val="nil"/>
                    <w:tr2bl w:val="nil"/>
                  </w:tcBorders>
                  <w:vAlign w:val="center"/>
                </w:tcPr>
                <w:p w14:paraId="331D7158">
                  <w:pPr>
                    <w:widowControl/>
                    <w:ind w:left="-105" w:leftChars="-50" w:right="-105" w:rightChars="-50"/>
                    <w:jc w:val="center"/>
                    <w:rPr>
                      <w:rFonts w:hint="default" w:ascii="Times New Roman" w:hAnsi="Times New Roman" w:cs="Times New Roman"/>
                      <w:color w:val="auto"/>
                      <w:sz w:val="18"/>
                      <w:szCs w:val="18"/>
                      <w:highlight w:val="yellow"/>
                    </w:rPr>
                  </w:pPr>
                  <w:r>
                    <w:rPr>
                      <w:rFonts w:hint="eastAsia" w:cs="Times New Roman"/>
                      <w:color w:val="auto"/>
                      <w:sz w:val="18"/>
                      <w:szCs w:val="18"/>
                      <w:highlight w:val="none"/>
                      <w:lang w:val="en-US" w:eastAsia="zh-CN"/>
                    </w:rPr>
                    <w:t>盘兴</w:t>
                  </w:r>
                  <w:r>
                    <w:rPr>
                      <w:rFonts w:hint="default" w:ascii="Times New Roman" w:hAnsi="Times New Roman" w:cs="Times New Roman"/>
                      <w:color w:val="auto"/>
                      <w:sz w:val="18"/>
                      <w:szCs w:val="18"/>
                      <w:highlight w:val="none"/>
                      <w:lang w:eastAsia="zh-CN"/>
                    </w:rPr>
                    <w:t>～</w:t>
                  </w:r>
                  <w:r>
                    <w:rPr>
                      <w:rFonts w:hint="eastAsia" w:cs="Times New Roman"/>
                      <w:color w:val="auto"/>
                      <w:sz w:val="18"/>
                      <w:szCs w:val="18"/>
                      <w:highlight w:val="none"/>
                      <w:lang w:val="en-US" w:eastAsia="zh-CN"/>
                    </w:rPr>
                    <w:t>司城</w:t>
                  </w:r>
                  <w:r>
                    <w:rPr>
                      <w:rFonts w:hint="default" w:ascii="Times New Roman" w:hAnsi="Times New Roman" w:cs="Times New Roman"/>
                      <w:color w:val="auto"/>
                      <w:sz w:val="18"/>
                      <w:szCs w:val="18"/>
                      <w:highlight w:val="none"/>
                      <w:lang w:eastAsia="zh-CN"/>
                    </w:rPr>
                    <w:t>110</w:t>
                  </w:r>
                  <w:r>
                    <w:rPr>
                      <w:rFonts w:hint="default" w:ascii="Times New Roman" w:hAnsi="Times New Roman" w:cs="Times New Roman"/>
                      <w:color w:val="auto"/>
                      <w:sz w:val="18"/>
                      <w:szCs w:val="18"/>
                      <w:highlight w:val="none"/>
                      <w:lang w:val="en-US" w:eastAsia="zh-CN"/>
                    </w:rPr>
                    <w:t>kV</w:t>
                  </w:r>
                  <w:r>
                    <w:rPr>
                      <w:rFonts w:hint="default" w:ascii="Times New Roman" w:hAnsi="Times New Roman" w:cs="Times New Roman"/>
                      <w:color w:val="auto"/>
                      <w:sz w:val="18"/>
                      <w:szCs w:val="18"/>
                      <w:highlight w:val="none"/>
                      <w:lang w:eastAsia="zh-CN"/>
                    </w:rPr>
                    <w:t>线路工程（</w:t>
                  </w:r>
                  <w:r>
                    <w:rPr>
                      <w:rFonts w:hint="default" w:ascii="Times New Roman" w:hAnsi="Times New Roman" w:cs="Times New Roman"/>
                      <w:color w:val="auto"/>
                      <w:sz w:val="18"/>
                      <w:szCs w:val="18"/>
                      <w:highlight w:val="none"/>
                      <w:lang w:val="en-US" w:eastAsia="zh-CN"/>
                    </w:rPr>
                    <w:t>线路Ⅰ</w:t>
                  </w:r>
                  <w:r>
                    <w:rPr>
                      <w:rFonts w:hint="default" w:ascii="Times New Roman" w:hAnsi="Times New Roman" w:cs="Times New Roman"/>
                      <w:color w:val="auto"/>
                      <w:sz w:val="18"/>
                      <w:szCs w:val="18"/>
                      <w:highlight w:val="none"/>
                      <w:lang w:eastAsia="zh-CN"/>
                    </w:rPr>
                    <w:t>）</w:t>
                  </w:r>
                </w:p>
              </w:tc>
              <w:tc>
                <w:tcPr>
                  <w:tcW w:w="861" w:type="dxa"/>
                  <w:tcBorders>
                    <w:tl2br w:val="nil"/>
                    <w:tr2bl w:val="nil"/>
                  </w:tcBorders>
                  <w:vAlign w:val="center"/>
                </w:tcPr>
                <w:p w14:paraId="41B714DA">
                  <w:pPr>
                    <w:widowControl/>
                    <w:ind w:left="-105" w:leftChars="-50" w:right="-105" w:rightChars="-5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线路Ⅰ三角排列段</w:t>
                  </w:r>
                </w:p>
              </w:tc>
              <w:tc>
                <w:tcPr>
                  <w:tcW w:w="371" w:type="dxa"/>
                  <w:tcBorders>
                    <w:tl2br w:val="nil"/>
                    <w:tr2bl w:val="nil"/>
                  </w:tcBorders>
                  <w:vAlign w:val="center"/>
                </w:tcPr>
                <w:p w14:paraId="197193CC">
                  <w:pPr>
                    <w:widowControl/>
                    <w:ind w:left="-105" w:leftChars="-50" w:right="-105" w:rightChars="-50"/>
                    <w:jc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三角</w:t>
                  </w:r>
                </w:p>
                <w:p w14:paraId="58BC6A79">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排列</w:t>
                  </w:r>
                </w:p>
              </w:tc>
              <w:tc>
                <w:tcPr>
                  <w:tcW w:w="418" w:type="dxa"/>
                  <w:vMerge w:val="restart"/>
                  <w:tcBorders>
                    <w:tl2br w:val="nil"/>
                    <w:tr2bl w:val="nil"/>
                  </w:tcBorders>
                  <w:shd w:val="clear" w:color="auto" w:fill="auto"/>
                  <w:vAlign w:val="center"/>
                </w:tcPr>
                <w:p w14:paraId="12D8DBF0">
                  <w:pPr>
                    <w:widowControl/>
                    <w:wordWrap w:val="0"/>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cs="Times New Roman"/>
                      <w:color w:val="auto"/>
                      <w:sz w:val="18"/>
                      <w:szCs w:val="18"/>
                      <w:highlight w:val="none"/>
                      <w:lang w:val="en-US" w:eastAsia="zh-CN"/>
                    </w:rPr>
                    <w:t>2×JL3/G1A-240/30</w:t>
                  </w:r>
                </w:p>
              </w:tc>
              <w:tc>
                <w:tcPr>
                  <w:tcW w:w="546" w:type="dxa"/>
                  <w:vMerge w:val="restart"/>
                  <w:tcBorders>
                    <w:tl2br w:val="nil"/>
                    <w:tr2bl w:val="nil"/>
                  </w:tcBorders>
                  <w:shd w:val="clear" w:color="auto" w:fill="auto"/>
                  <w:vAlign w:val="center"/>
                </w:tcPr>
                <w:p w14:paraId="144AB1DC">
                  <w:pPr>
                    <w:widowControl/>
                    <w:ind w:left="-105" w:leftChars="-50" w:right="-105" w:rightChars="-50"/>
                    <w:jc w:val="center"/>
                    <w:rPr>
                      <w:rFonts w:hint="default" w:ascii="Times New Roman" w:hAnsi="Times New Roman" w:cs="Times New Roman"/>
                      <w:color w:val="auto"/>
                      <w:kern w:val="0"/>
                      <w:sz w:val="18"/>
                      <w:szCs w:val="18"/>
                      <w:highlight w:val="none"/>
                      <w:lang w:val="en-US"/>
                    </w:rPr>
                  </w:pPr>
                  <w:r>
                    <w:rPr>
                      <w:rFonts w:hint="eastAsia" w:cs="Times New Roman"/>
                      <w:bCs/>
                      <w:color w:val="auto"/>
                      <w:sz w:val="18"/>
                      <w:szCs w:val="18"/>
                      <w:highlight w:val="none"/>
                      <w:lang w:val="en-US" w:eastAsia="zh-CN"/>
                    </w:rPr>
                    <w:t>1160</w:t>
                  </w:r>
                </w:p>
              </w:tc>
              <w:tc>
                <w:tcPr>
                  <w:tcW w:w="1127" w:type="dxa"/>
                  <w:vMerge w:val="restart"/>
                  <w:tcBorders>
                    <w:tl2br w:val="nil"/>
                    <w:tr2bl w:val="nil"/>
                  </w:tcBorders>
                  <w:shd w:val="clear" w:color="auto" w:fill="auto"/>
                  <w:vAlign w:val="center"/>
                </w:tcPr>
                <w:p w14:paraId="72923BA0">
                  <w:pPr>
                    <w:widowControl/>
                    <w:ind w:left="0" w:leftChars="0" w:right="0" w:rightChars="0"/>
                    <w:jc w:val="center"/>
                    <w:rPr>
                      <w:rFonts w:hint="default" w:ascii="Times New Roman" w:hAnsi="Times New Roman" w:cs="Times New Roman"/>
                      <w:color w:val="auto"/>
                      <w:kern w:val="0"/>
                      <w:sz w:val="18"/>
                      <w:szCs w:val="18"/>
                      <w:highlight w:val="none"/>
                      <w:lang w:eastAsia="zh-CN"/>
                    </w:rPr>
                  </w:pPr>
                  <w:r>
                    <w:rPr>
                      <w:rFonts w:hint="default" w:ascii="Times New Roman" w:hAnsi="Times New Roman" w:cs="Times New Roman"/>
                      <w:color w:val="auto"/>
                      <w:kern w:val="0"/>
                      <w:sz w:val="18"/>
                      <w:szCs w:val="18"/>
                      <w:highlight w:val="none"/>
                      <w:lang w:val="en-US" w:eastAsia="zh-CN"/>
                    </w:rPr>
                    <w:t>双</w:t>
                  </w:r>
                  <w:r>
                    <w:rPr>
                      <w:rFonts w:hint="default" w:ascii="Times New Roman" w:hAnsi="Times New Roman" w:cs="Times New Roman"/>
                      <w:color w:val="auto"/>
                      <w:kern w:val="0"/>
                      <w:sz w:val="18"/>
                      <w:szCs w:val="18"/>
                      <w:highlight w:val="none"/>
                    </w:rPr>
                    <w:t>分裂</w:t>
                  </w:r>
                  <w:r>
                    <w:rPr>
                      <w:rFonts w:hint="default" w:ascii="Times New Roman" w:hAnsi="Times New Roman" w:cs="Times New Roman"/>
                      <w:color w:val="auto"/>
                      <w:kern w:val="0"/>
                      <w:sz w:val="18"/>
                      <w:szCs w:val="18"/>
                      <w:highlight w:val="none"/>
                      <w:lang w:eastAsia="zh-CN"/>
                    </w:rPr>
                    <w:t>（</w:t>
                  </w:r>
                  <w:r>
                    <w:rPr>
                      <w:rFonts w:hint="default" w:ascii="Times New Roman" w:hAnsi="Times New Roman" w:cs="Times New Roman"/>
                      <w:color w:val="auto"/>
                      <w:kern w:val="0"/>
                      <w:sz w:val="18"/>
                      <w:szCs w:val="18"/>
                      <w:highlight w:val="none"/>
                      <w:lang w:val="en-US" w:eastAsia="zh-CN"/>
                    </w:rPr>
                    <w:t>400mm</w:t>
                  </w:r>
                  <w:r>
                    <w:rPr>
                      <w:rFonts w:hint="default" w:ascii="Times New Roman" w:hAnsi="Times New Roman" w:cs="Times New Roman"/>
                      <w:color w:val="auto"/>
                      <w:kern w:val="0"/>
                      <w:sz w:val="18"/>
                      <w:szCs w:val="18"/>
                      <w:highlight w:val="none"/>
                      <w:lang w:eastAsia="zh-CN"/>
                    </w:rPr>
                    <w:t>）</w:t>
                  </w:r>
                </w:p>
              </w:tc>
              <w:tc>
                <w:tcPr>
                  <w:tcW w:w="659" w:type="dxa"/>
                  <w:vMerge w:val="restart"/>
                  <w:tcBorders>
                    <w:tl2br w:val="nil"/>
                    <w:tr2bl w:val="nil"/>
                  </w:tcBorders>
                  <w:shd w:val="clear" w:color="auto" w:fill="auto"/>
                  <w:vAlign w:val="center"/>
                </w:tcPr>
                <w:p w14:paraId="23A1CA57">
                  <w:pPr>
                    <w:widowControl/>
                    <w:ind w:left="0" w:leftChars="0" w:right="0" w:rightChars="0"/>
                    <w:jc w:val="center"/>
                    <w:rPr>
                      <w:rFonts w:hint="default" w:ascii="Times New Roman" w:hAnsi="Times New Roman" w:cs="Times New Roman"/>
                      <w:color w:val="auto"/>
                      <w:kern w:val="0"/>
                      <w:sz w:val="18"/>
                      <w:szCs w:val="18"/>
                      <w:highlight w:val="yellow"/>
                    </w:rPr>
                  </w:pPr>
                  <w:r>
                    <w:rPr>
                      <w:rFonts w:hint="default" w:ascii="Times New Roman" w:hAnsi="Times New Roman" w:cs="Times New Roman"/>
                      <w:color w:val="auto"/>
                      <w:kern w:val="0"/>
                      <w:sz w:val="18"/>
                      <w:szCs w:val="18"/>
                      <w:highlight w:val="none"/>
                    </w:rPr>
                    <w:t>按设计规程规定的最低高度</w:t>
                  </w:r>
                </w:p>
              </w:tc>
              <w:tc>
                <w:tcPr>
                  <w:tcW w:w="1499" w:type="dxa"/>
                  <w:tcBorders>
                    <w:tl2br w:val="nil"/>
                    <w:tr2bl w:val="nil"/>
                  </w:tcBorders>
                  <w:vAlign w:val="center"/>
                </w:tcPr>
                <w:p w14:paraId="6E29019A">
                  <w:pPr>
                    <w:widowControl/>
                    <w:ind w:left="0" w:leftChars="0" w:right="0" w:rightChars="0"/>
                    <w:jc w:val="center"/>
                    <w:rPr>
                      <w:rFonts w:hint="default" w:ascii="Times New Roman" w:hAnsi="Times New Roman" w:cs="Times New Roman"/>
                      <w:color w:val="auto"/>
                      <w:kern w:val="0"/>
                      <w:sz w:val="18"/>
                      <w:szCs w:val="18"/>
                      <w:highlight w:val="yellow"/>
                      <w:lang w:val="en-US"/>
                    </w:rPr>
                  </w:pPr>
                  <w:r>
                    <w:rPr>
                      <w:rFonts w:hint="default" w:ascii="Times New Roman" w:hAnsi="Times New Roman" w:cs="Times New Roman"/>
                      <w:color w:val="auto"/>
                      <w:kern w:val="0"/>
                      <w:sz w:val="18"/>
                      <w:szCs w:val="18"/>
                      <w:highlight w:val="none"/>
                      <w:lang w:val="en-US" w:eastAsia="zh-CN"/>
                    </w:rPr>
                    <w:t>110-</w:t>
                  </w:r>
                  <w:r>
                    <w:rPr>
                      <w:rFonts w:hint="eastAsia" w:cs="Times New Roman"/>
                      <w:color w:val="auto"/>
                      <w:kern w:val="0"/>
                      <w:sz w:val="18"/>
                      <w:szCs w:val="18"/>
                      <w:highlight w:val="none"/>
                      <w:lang w:val="en-US" w:eastAsia="zh-CN"/>
                    </w:rPr>
                    <w:t>EC</w:t>
                  </w:r>
                  <w:r>
                    <w:rPr>
                      <w:rFonts w:hint="default" w:ascii="Times New Roman" w:hAnsi="Times New Roman" w:cs="Times New Roman"/>
                      <w:color w:val="auto"/>
                      <w:kern w:val="0"/>
                      <w:sz w:val="18"/>
                      <w:szCs w:val="18"/>
                      <w:highlight w:val="none"/>
                      <w:lang w:val="en-US" w:eastAsia="zh-CN"/>
                    </w:rPr>
                    <w:t>21</w:t>
                  </w:r>
                  <w:r>
                    <w:rPr>
                      <w:rFonts w:hint="eastAsia" w:cs="Times New Roman"/>
                      <w:color w:val="auto"/>
                      <w:kern w:val="0"/>
                      <w:sz w:val="18"/>
                      <w:szCs w:val="18"/>
                      <w:highlight w:val="none"/>
                      <w:lang w:val="en-US" w:eastAsia="zh-CN"/>
                    </w:rPr>
                    <w:t>D</w:t>
                  </w:r>
                  <w:r>
                    <w:rPr>
                      <w:rFonts w:hint="default" w:ascii="Times New Roman" w:hAnsi="Times New Roman" w:cs="Times New Roman"/>
                      <w:color w:val="auto"/>
                      <w:kern w:val="0"/>
                      <w:sz w:val="18"/>
                      <w:szCs w:val="18"/>
                      <w:highlight w:val="none"/>
                      <w:lang w:val="en-US" w:eastAsia="zh-CN"/>
                    </w:rPr>
                    <w:t>-DJ</w:t>
                  </w:r>
                </w:p>
              </w:tc>
              <w:tc>
                <w:tcPr>
                  <w:tcW w:w="558" w:type="dxa"/>
                  <w:tcBorders>
                    <w:tl2br w:val="nil"/>
                    <w:tr2bl w:val="nil"/>
                  </w:tcBorders>
                  <w:shd w:val="clear" w:color="auto" w:fill="auto"/>
                  <w:vAlign w:val="center"/>
                </w:tcPr>
                <w:p w14:paraId="0C00219D">
                  <w:pPr>
                    <w:widowControl/>
                    <w:ind w:left="0" w:leftChars="0" w:right="0" w:rightChars="0"/>
                    <w:jc w:val="center"/>
                    <w:rPr>
                      <w:rFonts w:hint="default" w:ascii="Times New Roman" w:hAnsi="Times New Roman" w:cs="Times New Roman"/>
                      <w:color w:val="auto"/>
                      <w:kern w:val="0"/>
                      <w:sz w:val="18"/>
                      <w:szCs w:val="18"/>
                      <w:highlight w:val="none"/>
                      <w:lang w:val="en-US" w:eastAsia="zh-CN"/>
                    </w:rPr>
                  </w:pPr>
                  <w:r>
                    <w:rPr>
                      <w:rFonts w:hint="eastAsia" w:ascii="Times New Roman" w:hAnsi="Times New Roman" w:cs="Times New Roman"/>
                      <w:color w:val="auto"/>
                      <w:kern w:val="0"/>
                      <w:sz w:val="18"/>
                      <w:szCs w:val="18"/>
                      <w:highlight w:val="none"/>
                      <w:lang w:val="en-US" w:eastAsia="zh-CN"/>
                    </w:rPr>
                    <w:t>有</w:t>
                  </w:r>
                </w:p>
              </w:tc>
              <w:tc>
                <w:tcPr>
                  <w:tcW w:w="1663" w:type="dxa"/>
                  <w:tcBorders>
                    <w:tl2br w:val="nil"/>
                    <w:tr2bl w:val="nil"/>
                  </w:tcBorders>
                  <w:shd w:val="clear" w:color="auto" w:fill="auto"/>
                  <w:vAlign w:val="center"/>
                </w:tcPr>
                <w:p w14:paraId="5F229B7F">
                  <w:pPr>
                    <w:widowControl/>
                    <w:ind w:left="0" w:leftChars="0" w:right="0" w:rightChars="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导线对地高度按设计规程规定的最低要求（即居民区导线对地最低高度7m，非居民区导线对地最低高度6m）进行评价。</w:t>
                  </w:r>
                </w:p>
              </w:tc>
            </w:tr>
            <w:tr w14:paraId="1DA260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continue"/>
                  <w:tcBorders>
                    <w:tl2br w:val="nil"/>
                    <w:tr2bl w:val="nil"/>
                  </w:tcBorders>
                  <w:vAlign w:val="center"/>
                </w:tcPr>
                <w:p w14:paraId="5876BEAC">
                  <w:pPr>
                    <w:widowControl/>
                    <w:ind w:left="-105" w:leftChars="-50" w:right="-105" w:rightChars="-50"/>
                    <w:jc w:val="center"/>
                    <w:rPr>
                      <w:rFonts w:hint="default" w:ascii="Times New Roman" w:hAnsi="Times New Roman" w:cs="Times New Roman"/>
                      <w:color w:val="auto"/>
                      <w:sz w:val="18"/>
                      <w:szCs w:val="18"/>
                      <w:highlight w:val="yellow"/>
                      <w:lang w:val="en-US" w:eastAsia="zh-CN"/>
                    </w:rPr>
                  </w:pPr>
                </w:p>
              </w:tc>
              <w:tc>
                <w:tcPr>
                  <w:tcW w:w="861" w:type="dxa"/>
                  <w:tcBorders>
                    <w:tl2br w:val="nil"/>
                    <w:tr2bl w:val="nil"/>
                  </w:tcBorders>
                  <w:vAlign w:val="center"/>
                </w:tcPr>
                <w:p w14:paraId="45EC75F1">
                  <w:pPr>
                    <w:widowControl/>
                    <w:ind w:left="-105" w:leftChars="-50" w:right="-105" w:rightChars="-50"/>
                    <w:jc w:val="center"/>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线路Ⅰ</w:t>
                  </w:r>
                  <w:r>
                    <w:rPr>
                      <w:rFonts w:hint="eastAsia" w:cs="Times New Roman"/>
                      <w:color w:val="auto"/>
                      <w:sz w:val="18"/>
                      <w:szCs w:val="18"/>
                      <w:highlight w:val="none"/>
                      <w:lang w:val="en-US" w:eastAsia="zh-CN"/>
                    </w:rPr>
                    <w:t>双回塔单边挂线段</w:t>
                  </w:r>
                </w:p>
              </w:tc>
              <w:tc>
                <w:tcPr>
                  <w:tcW w:w="371" w:type="dxa"/>
                  <w:tcBorders>
                    <w:tl2br w:val="nil"/>
                    <w:tr2bl w:val="nil"/>
                  </w:tcBorders>
                  <w:vAlign w:val="center"/>
                </w:tcPr>
                <w:p w14:paraId="01BE45E0">
                  <w:pPr>
                    <w:widowControl/>
                    <w:ind w:left="-105" w:leftChars="-50" w:right="-105" w:rightChars="-50"/>
                    <w:jc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垂直</w:t>
                  </w:r>
                </w:p>
                <w:p w14:paraId="7E8F79B3">
                  <w:pPr>
                    <w:widowControl/>
                    <w:ind w:left="-105" w:leftChars="-50" w:right="-105" w:rightChars="-50"/>
                    <w:jc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排列</w:t>
                  </w:r>
                </w:p>
              </w:tc>
              <w:tc>
                <w:tcPr>
                  <w:tcW w:w="418" w:type="dxa"/>
                  <w:vMerge w:val="continue"/>
                  <w:tcBorders>
                    <w:tl2br w:val="nil"/>
                    <w:tr2bl w:val="nil"/>
                  </w:tcBorders>
                  <w:shd w:val="clear" w:color="auto" w:fill="auto"/>
                  <w:vAlign w:val="center"/>
                </w:tcPr>
                <w:p w14:paraId="6F6F9A8F">
                  <w:pPr>
                    <w:widowControl/>
                    <w:wordWrap w:val="0"/>
                    <w:ind w:left="-105" w:leftChars="-50" w:right="-105" w:rightChars="-50"/>
                    <w:jc w:val="center"/>
                    <w:rPr>
                      <w:rFonts w:hint="default" w:ascii="Times New Roman" w:hAnsi="Times New Roman" w:cs="Times New Roman"/>
                      <w:color w:val="auto"/>
                      <w:sz w:val="18"/>
                      <w:szCs w:val="18"/>
                      <w:highlight w:val="none"/>
                    </w:rPr>
                  </w:pPr>
                </w:p>
              </w:tc>
              <w:tc>
                <w:tcPr>
                  <w:tcW w:w="546" w:type="dxa"/>
                  <w:vMerge w:val="continue"/>
                  <w:tcBorders>
                    <w:tl2br w:val="nil"/>
                    <w:tr2bl w:val="nil"/>
                  </w:tcBorders>
                  <w:shd w:val="clear" w:color="auto" w:fill="auto"/>
                  <w:vAlign w:val="center"/>
                </w:tcPr>
                <w:p w14:paraId="09A13A84">
                  <w:pPr>
                    <w:widowControl/>
                    <w:ind w:left="-105" w:leftChars="-50" w:right="-105" w:rightChars="-50"/>
                    <w:jc w:val="center"/>
                    <w:rPr>
                      <w:rFonts w:hint="default" w:ascii="Times New Roman" w:hAnsi="Times New Roman" w:cs="Times New Roman"/>
                      <w:bCs/>
                      <w:color w:val="auto"/>
                      <w:sz w:val="18"/>
                      <w:szCs w:val="18"/>
                      <w:highlight w:val="yellow"/>
                      <w:lang w:val="en-US" w:eastAsia="zh-CN"/>
                    </w:rPr>
                  </w:pPr>
                </w:p>
              </w:tc>
              <w:tc>
                <w:tcPr>
                  <w:tcW w:w="1127" w:type="dxa"/>
                  <w:vMerge w:val="continue"/>
                  <w:tcBorders>
                    <w:tl2br w:val="nil"/>
                    <w:tr2bl w:val="nil"/>
                  </w:tcBorders>
                  <w:shd w:val="clear" w:color="auto" w:fill="auto"/>
                  <w:vAlign w:val="center"/>
                </w:tcPr>
                <w:p w14:paraId="01603298">
                  <w:pPr>
                    <w:widowControl/>
                    <w:ind w:left="0" w:leftChars="0" w:right="0" w:rightChars="0"/>
                    <w:jc w:val="center"/>
                    <w:rPr>
                      <w:rFonts w:hint="default" w:ascii="Times New Roman" w:hAnsi="Times New Roman" w:cs="Times New Roman"/>
                      <w:color w:val="auto"/>
                      <w:kern w:val="0"/>
                      <w:sz w:val="18"/>
                      <w:szCs w:val="18"/>
                      <w:highlight w:val="none"/>
                      <w:lang w:val="en-US" w:eastAsia="zh-CN"/>
                    </w:rPr>
                  </w:pPr>
                </w:p>
              </w:tc>
              <w:tc>
                <w:tcPr>
                  <w:tcW w:w="659" w:type="dxa"/>
                  <w:vMerge w:val="continue"/>
                  <w:tcBorders>
                    <w:tl2br w:val="nil"/>
                    <w:tr2bl w:val="nil"/>
                  </w:tcBorders>
                  <w:shd w:val="clear" w:color="auto" w:fill="auto"/>
                  <w:vAlign w:val="center"/>
                </w:tcPr>
                <w:p w14:paraId="07787AAF">
                  <w:pPr>
                    <w:widowControl/>
                    <w:ind w:left="0" w:leftChars="0" w:right="0" w:rightChars="0"/>
                    <w:jc w:val="center"/>
                    <w:rPr>
                      <w:rFonts w:hint="default" w:ascii="Times New Roman" w:hAnsi="Times New Roman" w:cs="Times New Roman"/>
                      <w:color w:val="auto"/>
                      <w:kern w:val="0"/>
                      <w:sz w:val="18"/>
                      <w:szCs w:val="18"/>
                      <w:highlight w:val="yellow"/>
                    </w:rPr>
                  </w:pPr>
                </w:p>
              </w:tc>
              <w:tc>
                <w:tcPr>
                  <w:tcW w:w="1499" w:type="dxa"/>
                  <w:tcBorders>
                    <w:tl2br w:val="nil"/>
                    <w:tr2bl w:val="nil"/>
                  </w:tcBorders>
                  <w:vAlign w:val="center"/>
                </w:tcPr>
                <w:p w14:paraId="1D0E2519">
                  <w:pPr>
                    <w:widowControl/>
                    <w:ind w:left="0" w:leftChars="0" w:right="0" w:rightChars="0"/>
                    <w:jc w:val="center"/>
                    <w:rPr>
                      <w:rFonts w:hint="default" w:ascii="Times New Roman" w:hAnsi="Times New Roman" w:cs="Times New Roman"/>
                      <w:color w:val="auto"/>
                      <w:kern w:val="0"/>
                      <w:sz w:val="18"/>
                      <w:szCs w:val="18"/>
                      <w:highlight w:val="yellow"/>
                      <w:lang w:val="en-US" w:eastAsia="zh-CN"/>
                    </w:rPr>
                  </w:pPr>
                  <w:r>
                    <w:rPr>
                      <w:rFonts w:hint="default" w:ascii="Times New Roman" w:hAnsi="Times New Roman" w:cs="Times New Roman"/>
                      <w:color w:val="auto"/>
                      <w:kern w:val="0"/>
                      <w:sz w:val="18"/>
                      <w:szCs w:val="18"/>
                      <w:highlight w:val="none"/>
                      <w:lang w:val="en-US" w:eastAsia="zh-CN"/>
                    </w:rPr>
                    <w:t>110-</w:t>
                  </w:r>
                  <w:r>
                    <w:rPr>
                      <w:rFonts w:hint="eastAsia" w:ascii="Times New Roman" w:hAnsi="Times New Roman" w:cs="Times New Roman"/>
                      <w:color w:val="auto"/>
                      <w:kern w:val="0"/>
                      <w:sz w:val="18"/>
                      <w:szCs w:val="18"/>
                      <w:highlight w:val="none"/>
                      <w:lang w:val="en-US" w:eastAsia="zh-CN"/>
                    </w:rPr>
                    <w:t>ED</w:t>
                  </w:r>
                  <w:r>
                    <w:rPr>
                      <w:rFonts w:hint="default" w:ascii="Times New Roman" w:hAnsi="Times New Roman" w:cs="Times New Roman"/>
                      <w:color w:val="auto"/>
                      <w:kern w:val="0"/>
                      <w:sz w:val="18"/>
                      <w:szCs w:val="18"/>
                      <w:highlight w:val="none"/>
                      <w:lang w:val="en-US" w:eastAsia="zh-CN"/>
                    </w:rPr>
                    <w:t>21S-DJ</w:t>
                  </w:r>
                </w:p>
              </w:tc>
              <w:tc>
                <w:tcPr>
                  <w:tcW w:w="558" w:type="dxa"/>
                  <w:tcBorders>
                    <w:tl2br w:val="nil"/>
                    <w:tr2bl w:val="nil"/>
                  </w:tcBorders>
                  <w:shd w:val="clear" w:color="auto" w:fill="auto"/>
                  <w:vAlign w:val="center"/>
                </w:tcPr>
                <w:p w14:paraId="48ACF548">
                  <w:pPr>
                    <w:widowControl/>
                    <w:ind w:left="0" w:leftChars="0" w:right="0" w:rightChars="0"/>
                    <w:jc w:val="center"/>
                    <w:rPr>
                      <w:rFonts w:hint="default" w:ascii="Times New Roman" w:hAnsi="Times New Roman"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无</w:t>
                  </w:r>
                </w:p>
              </w:tc>
              <w:tc>
                <w:tcPr>
                  <w:tcW w:w="1663" w:type="dxa"/>
                  <w:tcBorders>
                    <w:tl2br w:val="nil"/>
                    <w:tr2bl w:val="nil"/>
                  </w:tcBorders>
                  <w:shd w:val="clear" w:color="auto" w:fill="auto"/>
                  <w:vAlign w:val="center"/>
                </w:tcPr>
                <w:p w14:paraId="2F232DFF">
                  <w:pPr>
                    <w:widowControl/>
                    <w:ind w:left="0" w:leftChars="0" w:right="0" w:rightChars="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导线对地高度按设计规程规定的最低要求（即非居民区导线对地最低高度6m）进行评价</w:t>
                  </w:r>
                  <w:r>
                    <w:rPr>
                      <w:rFonts w:hint="default" w:ascii="Times New Roman" w:hAnsi="Times New Roman" w:cs="Times New Roman"/>
                      <w:color w:val="auto"/>
                      <w:kern w:val="0"/>
                      <w:sz w:val="18"/>
                      <w:szCs w:val="18"/>
                      <w:highlight w:val="none"/>
                      <w:lang w:eastAsia="zh-CN"/>
                    </w:rPr>
                    <w:t>。</w:t>
                  </w:r>
                </w:p>
              </w:tc>
            </w:tr>
            <w:tr w14:paraId="36275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continue"/>
                  <w:tcBorders>
                    <w:tl2br w:val="nil"/>
                    <w:tr2bl w:val="nil"/>
                  </w:tcBorders>
                  <w:vAlign w:val="center"/>
                </w:tcPr>
                <w:p w14:paraId="72FE352B">
                  <w:pPr>
                    <w:widowControl/>
                    <w:ind w:left="-105" w:leftChars="-50" w:right="-105" w:rightChars="-50"/>
                    <w:jc w:val="center"/>
                    <w:rPr>
                      <w:rFonts w:hint="default" w:ascii="Times New Roman" w:hAnsi="Times New Roman" w:cs="Times New Roman"/>
                      <w:color w:val="auto"/>
                      <w:sz w:val="18"/>
                      <w:szCs w:val="18"/>
                      <w:highlight w:val="yellow"/>
                      <w:lang w:val="en-US" w:eastAsia="zh-CN"/>
                    </w:rPr>
                  </w:pPr>
                </w:p>
              </w:tc>
              <w:tc>
                <w:tcPr>
                  <w:tcW w:w="861" w:type="dxa"/>
                  <w:tcBorders>
                    <w:tl2br w:val="nil"/>
                    <w:tr2bl w:val="nil"/>
                  </w:tcBorders>
                  <w:vAlign w:val="center"/>
                </w:tcPr>
                <w:p w14:paraId="4676CE07">
                  <w:pPr>
                    <w:widowControl/>
                    <w:ind w:left="-105" w:leftChars="-50" w:right="-105" w:rightChars="-50"/>
                    <w:jc w:val="center"/>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线路Ⅰ</w:t>
                  </w:r>
                  <w:r>
                    <w:rPr>
                      <w:rFonts w:hint="eastAsia" w:cs="Times New Roman"/>
                      <w:color w:val="auto"/>
                      <w:sz w:val="18"/>
                      <w:szCs w:val="18"/>
                      <w:highlight w:val="none"/>
                      <w:lang w:val="en-US" w:eastAsia="zh-CN"/>
                    </w:rPr>
                    <w:t>利旧段</w:t>
                  </w:r>
                </w:p>
              </w:tc>
              <w:tc>
                <w:tcPr>
                  <w:tcW w:w="371" w:type="dxa"/>
                  <w:tcBorders>
                    <w:tl2br w:val="nil"/>
                    <w:tr2bl w:val="nil"/>
                  </w:tcBorders>
                  <w:vAlign w:val="center"/>
                </w:tcPr>
                <w:p w14:paraId="71B5F03D">
                  <w:pPr>
                    <w:widowControl/>
                    <w:ind w:left="-105" w:leftChars="-50" w:right="-105" w:rightChars="-50"/>
                    <w:jc w:val="center"/>
                    <w:rPr>
                      <w:rFonts w:hint="default" w:ascii="Times New Roman" w:hAnsi="Times New Roman"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垂直逆相序排列</w:t>
                  </w:r>
                </w:p>
              </w:tc>
              <w:tc>
                <w:tcPr>
                  <w:tcW w:w="418" w:type="dxa"/>
                  <w:vMerge w:val="continue"/>
                  <w:tcBorders>
                    <w:tl2br w:val="nil"/>
                    <w:tr2bl w:val="nil"/>
                  </w:tcBorders>
                  <w:shd w:val="clear" w:color="auto" w:fill="auto"/>
                  <w:vAlign w:val="center"/>
                </w:tcPr>
                <w:p w14:paraId="7817BB1E">
                  <w:pPr>
                    <w:widowControl/>
                    <w:wordWrap w:val="0"/>
                    <w:ind w:left="-105" w:leftChars="-50" w:right="-105" w:rightChars="-50"/>
                    <w:jc w:val="center"/>
                    <w:rPr>
                      <w:rFonts w:hint="default" w:ascii="Times New Roman" w:hAnsi="Times New Roman" w:cs="Times New Roman"/>
                      <w:color w:val="auto"/>
                      <w:sz w:val="18"/>
                      <w:szCs w:val="18"/>
                      <w:highlight w:val="none"/>
                    </w:rPr>
                  </w:pPr>
                </w:p>
              </w:tc>
              <w:tc>
                <w:tcPr>
                  <w:tcW w:w="546" w:type="dxa"/>
                  <w:vMerge w:val="continue"/>
                  <w:tcBorders>
                    <w:tl2br w:val="nil"/>
                    <w:tr2bl w:val="nil"/>
                  </w:tcBorders>
                  <w:shd w:val="clear" w:color="auto" w:fill="auto"/>
                  <w:vAlign w:val="center"/>
                </w:tcPr>
                <w:p w14:paraId="53C5A672">
                  <w:pPr>
                    <w:widowControl/>
                    <w:ind w:left="-105" w:leftChars="-50" w:right="-105" w:rightChars="-50"/>
                    <w:jc w:val="center"/>
                    <w:rPr>
                      <w:rFonts w:hint="default" w:ascii="Times New Roman" w:hAnsi="Times New Roman" w:cs="Times New Roman"/>
                      <w:bCs/>
                      <w:color w:val="auto"/>
                      <w:sz w:val="18"/>
                      <w:szCs w:val="18"/>
                      <w:highlight w:val="yellow"/>
                      <w:lang w:val="en-US" w:eastAsia="zh-CN"/>
                    </w:rPr>
                  </w:pPr>
                </w:p>
              </w:tc>
              <w:tc>
                <w:tcPr>
                  <w:tcW w:w="1127" w:type="dxa"/>
                  <w:vMerge w:val="continue"/>
                  <w:tcBorders>
                    <w:tl2br w:val="nil"/>
                    <w:tr2bl w:val="nil"/>
                  </w:tcBorders>
                  <w:shd w:val="clear" w:color="auto" w:fill="auto"/>
                  <w:vAlign w:val="center"/>
                </w:tcPr>
                <w:p w14:paraId="46601632">
                  <w:pPr>
                    <w:widowControl/>
                    <w:ind w:left="0" w:leftChars="0" w:right="0" w:rightChars="0"/>
                    <w:jc w:val="center"/>
                    <w:rPr>
                      <w:rFonts w:hint="default" w:ascii="Times New Roman" w:hAnsi="Times New Roman" w:cs="Times New Roman"/>
                      <w:color w:val="auto"/>
                      <w:kern w:val="0"/>
                      <w:sz w:val="18"/>
                      <w:szCs w:val="18"/>
                      <w:highlight w:val="none"/>
                      <w:lang w:val="en-US" w:eastAsia="zh-CN"/>
                    </w:rPr>
                  </w:pPr>
                </w:p>
              </w:tc>
              <w:tc>
                <w:tcPr>
                  <w:tcW w:w="659" w:type="dxa"/>
                  <w:tcBorders>
                    <w:tl2br w:val="nil"/>
                    <w:tr2bl w:val="nil"/>
                  </w:tcBorders>
                  <w:shd w:val="clear" w:color="auto" w:fill="auto"/>
                  <w:vAlign w:val="center"/>
                </w:tcPr>
                <w:p w14:paraId="53DFD843">
                  <w:pPr>
                    <w:widowControl/>
                    <w:ind w:left="0" w:leftChars="0" w:right="0" w:rightChars="0"/>
                    <w:jc w:val="center"/>
                    <w:rPr>
                      <w:rFonts w:hint="default" w:ascii="Times New Roman" w:hAnsi="Times New Roman" w:cs="Times New Roman"/>
                      <w:color w:val="auto"/>
                      <w:kern w:val="0"/>
                      <w:sz w:val="18"/>
                      <w:szCs w:val="18"/>
                      <w:highlight w:val="yellow"/>
                    </w:rPr>
                  </w:pPr>
                  <w:r>
                    <w:rPr>
                      <w:rFonts w:hint="default" w:ascii="Times New Roman" w:hAnsi="Times New Roman" w:cs="Times New Roman"/>
                      <w:color w:val="auto"/>
                      <w:kern w:val="0"/>
                      <w:sz w:val="18"/>
                      <w:szCs w:val="18"/>
                      <w:highlight w:val="none"/>
                    </w:rPr>
                    <w:t>导</w:t>
                  </w:r>
                  <w:r>
                    <w:rPr>
                      <w:rFonts w:hint="default" w:ascii="Times New Roman" w:hAnsi="Times New Roman" w:cs="Times New Roman"/>
                      <w:color w:val="auto"/>
                      <w:kern w:val="0"/>
                      <w:sz w:val="18"/>
                      <w:szCs w:val="18"/>
                      <w:highlight w:val="none"/>
                      <w:lang w:val="en-US" w:eastAsia="zh-CN"/>
                    </w:rPr>
                    <w:t>线</w:t>
                  </w:r>
                  <w:r>
                    <w:rPr>
                      <w:rFonts w:hint="eastAsia" w:ascii="Times New Roman" w:hAnsi="Times New Roman" w:cs="Times New Roman"/>
                      <w:color w:val="auto"/>
                      <w:kern w:val="0"/>
                      <w:sz w:val="18"/>
                      <w:szCs w:val="18"/>
                      <w:highlight w:val="none"/>
                      <w:lang w:val="en-US" w:eastAsia="zh-CN"/>
                    </w:rPr>
                    <w:t>设计架设最低</w:t>
                  </w:r>
                  <w:r>
                    <w:rPr>
                      <w:rFonts w:hint="default" w:ascii="Times New Roman" w:hAnsi="Times New Roman" w:cs="Times New Roman"/>
                      <w:color w:val="auto"/>
                      <w:kern w:val="0"/>
                      <w:sz w:val="18"/>
                      <w:szCs w:val="18"/>
                      <w:highlight w:val="none"/>
                      <w:lang w:val="en-US" w:eastAsia="zh-CN"/>
                    </w:rPr>
                    <w:t>高度</w:t>
                  </w:r>
                </w:p>
              </w:tc>
              <w:tc>
                <w:tcPr>
                  <w:tcW w:w="1499" w:type="dxa"/>
                  <w:tcBorders>
                    <w:tl2br w:val="nil"/>
                    <w:tr2bl w:val="nil"/>
                  </w:tcBorders>
                  <w:vAlign w:val="center"/>
                </w:tcPr>
                <w:p w14:paraId="7FFF30DC">
                  <w:pPr>
                    <w:widowControl/>
                    <w:ind w:left="0" w:leftChars="0" w:right="0" w:rightChars="0"/>
                    <w:jc w:val="center"/>
                    <w:rPr>
                      <w:rFonts w:hint="eastAsia" w:ascii="Times New Roman" w:hAnsi="Times New Roman" w:cs="Times New Roman"/>
                      <w:color w:val="auto"/>
                      <w:kern w:val="0"/>
                      <w:sz w:val="18"/>
                      <w:szCs w:val="18"/>
                      <w:highlight w:val="yellow"/>
                      <w:lang w:val="en-US" w:eastAsia="zh-CN"/>
                    </w:rPr>
                  </w:pPr>
                  <w:r>
                    <w:rPr>
                      <w:rFonts w:hint="default" w:ascii="Times New Roman" w:hAnsi="Times New Roman" w:eastAsia="宋体" w:cs="Times New Roman"/>
                      <w:i w:val="0"/>
                      <w:iCs w:val="0"/>
                      <w:color w:val="auto"/>
                      <w:kern w:val="0"/>
                      <w:sz w:val="18"/>
                      <w:szCs w:val="18"/>
                      <w:highlight w:val="none"/>
                      <w:u w:val="none"/>
                      <w:lang w:val="en-US" w:eastAsia="zh-CN" w:bidi="ar"/>
                    </w:rPr>
                    <w:t>110-E</w:t>
                  </w:r>
                  <w:r>
                    <w:rPr>
                      <w:rFonts w:hint="eastAsia" w:cs="Times New Roman"/>
                      <w:i w:val="0"/>
                      <w:iCs w:val="0"/>
                      <w:color w:val="auto"/>
                      <w:kern w:val="0"/>
                      <w:sz w:val="18"/>
                      <w:szCs w:val="18"/>
                      <w:highlight w:val="none"/>
                      <w:u w:val="none"/>
                      <w:lang w:val="en-US" w:eastAsia="zh-CN" w:bidi="ar"/>
                    </w:rPr>
                    <w:t>D</w:t>
                  </w:r>
                  <w:r>
                    <w:rPr>
                      <w:rFonts w:hint="default" w:ascii="Times New Roman" w:hAnsi="Times New Roman" w:eastAsia="宋体" w:cs="Times New Roman"/>
                      <w:i w:val="0"/>
                      <w:iCs w:val="0"/>
                      <w:color w:val="auto"/>
                      <w:kern w:val="0"/>
                      <w:sz w:val="18"/>
                      <w:szCs w:val="18"/>
                      <w:highlight w:val="none"/>
                      <w:u w:val="none"/>
                      <w:lang w:val="en-US" w:eastAsia="zh-CN" w:bidi="ar"/>
                    </w:rPr>
                    <w:t>21</w:t>
                  </w:r>
                  <w:r>
                    <w:rPr>
                      <w:rFonts w:hint="eastAsia" w:cs="Times New Roman"/>
                      <w:i w:val="0"/>
                      <w:iCs w:val="0"/>
                      <w:color w:val="auto"/>
                      <w:kern w:val="0"/>
                      <w:sz w:val="18"/>
                      <w:szCs w:val="18"/>
                      <w:highlight w:val="none"/>
                      <w:u w:val="none"/>
                      <w:lang w:val="en-US" w:eastAsia="zh-CN" w:bidi="ar"/>
                    </w:rPr>
                    <w:t>S</w:t>
                  </w:r>
                  <w:r>
                    <w:rPr>
                      <w:rFonts w:hint="default" w:ascii="Times New Roman" w:hAnsi="Times New Roman" w:eastAsia="宋体" w:cs="Times New Roman"/>
                      <w:i w:val="0"/>
                      <w:iCs w:val="0"/>
                      <w:color w:val="auto"/>
                      <w:kern w:val="0"/>
                      <w:sz w:val="18"/>
                      <w:szCs w:val="18"/>
                      <w:highlight w:val="none"/>
                      <w:u w:val="none"/>
                      <w:lang w:val="en-US" w:eastAsia="zh-CN" w:bidi="ar"/>
                    </w:rPr>
                    <w:t>-</w:t>
                  </w:r>
                  <w:r>
                    <w:rPr>
                      <w:rFonts w:hint="eastAsia" w:cs="Times New Roman"/>
                      <w:i w:val="0"/>
                      <w:iCs w:val="0"/>
                      <w:color w:val="auto"/>
                      <w:kern w:val="0"/>
                      <w:sz w:val="18"/>
                      <w:szCs w:val="18"/>
                      <w:highlight w:val="none"/>
                      <w:u w:val="none"/>
                      <w:lang w:val="en-US" w:eastAsia="zh-CN" w:bidi="ar"/>
                    </w:rPr>
                    <w:t>J1G</w:t>
                  </w:r>
                </w:p>
              </w:tc>
              <w:tc>
                <w:tcPr>
                  <w:tcW w:w="558" w:type="dxa"/>
                  <w:tcBorders>
                    <w:tl2br w:val="nil"/>
                    <w:tr2bl w:val="nil"/>
                  </w:tcBorders>
                  <w:shd w:val="clear" w:color="auto" w:fill="auto"/>
                  <w:vAlign w:val="center"/>
                </w:tcPr>
                <w:p w14:paraId="5D505314">
                  <w:pPr>
                    <w:widowControl/>
                    <w:ind w:left="0" w:leftChars="0" w:right="0" w:rightChars="0"/>
                    <w:jc w:val="center"/>
                    <w:rPr>
                      <w:rFonts w:hint="default" w:ascii="Times New Roman" w:hAnsi="Times New Roman" w:cs="Times New Roman"/>
                      <w:color w:val="auto"/>
                      <w:kern w:val="0"/>
                      <w:sz w:val="18"/>
                      <w:szCs w:val="18"/>
                      <w:highlight w:val="none"/>
                      <w:lang w:val="en-US" w:eastAsia="zh-CN"/>
                    </w:rPr>
                  </w:pPr>
                  <w:r>
                    <w:rPr>
                      <w:rFonts w:hint="eastAsia" w:ascii="Times New Roman" w:hAnsi="Times New Roman" w:cs="Times New Roman"/>
                      <w:color w:val="auto"/>
                      <w:kern w:val="0"/>
                      <w:sz w:val="18"/>
                      <w:szCs w:val="18"/>
                      <w:highlight w:val="none"/>
                      <w:lang w:val="en-US" w:eastAsia="zh-CN"/>
                    </w:rPr>
                    <w:t>有</w:t>
                  </w:r>
                </w:p>
              </w:tc>
              <w:tc>
                <w:tcPr>
                  <w:tcW w:w="1663" w:type="dxa"/>
                  <w:tcBorders>
                    <w:tl2br w:val="nil"/>
                    <w:tr2bl w:val="nil"/>
                  </w:tcBorders>
                  <w:shd w:val="clear" w:color="auto" w:fill="auto"/>
                  <w:vAlign w:val="center"/>
                </w:tcPr>
                <w:p w14:paraId="1F24D581">
                  <w:pPr>
                    <w:widowControl/>
                    <w:ind w:left="0" w:leftChars="0" w:right="0" w:rightChars="0"/>
                    <w:jc w:val="center"/>
                    <w:rPr>
                      <w:rFonts w:hint="default" w:ascii="Times New Roman" w:hAnsi="Times New Roman" w:cs="Times New Roman"/>
                      <w:color w:val="auto"/>
                      <w:kern w:val="0"/>
                      <w:sz w:val="18"/>
                      <w:szCs w:val="18"/>
                      <w:highlight w:val="yellow"/>
                    </w:rPr>
                  </w:pPr>
                  <w:r>
                    <w:rPr>
                      <w:rFonts w:hint="default" w:ascii="Times New Roman" w:hAnsi="Times New Roman" w:cs="Times New Roman"/>
                      <w:color w:val="auto"/>
                      <w:kern w:val="0"/>
                      <w:sz w:val="18"/>
                      <w:szCs w:val="18"/>
                      <w:highlight w:val="none"/>
                    </w:rPr>
                    <w:t>导</w:t>
                  </w:r>
                  <w:r>
                    <w:rPr>
                      <w:rFonts w:hint="default" w:ascii="Times New Roman" w:hAnsi="Times New Roman" w:cs="Times New Roman"/>
                      <w:color w:val="auto"/>
                      <w:kern w:val="0"/>
                      <w:sz w:val="18"/>
                      <w:szCs w:val="18"/>
                      <w:highlight w:val="none"/>
                      <w:lang w:val="en-US" w:eastAsia="zh-CN"/>
                    </w:rPr>
                    <w:t>线</w:t>
                  </w:r>
                  <w:r>
                    <w:rPr>
                      <w:rFonts w:hint="eastAsia" w:cs="Times New Roman"/>
                      <w:color w:val="auto"/>
                      <w:kern w:val="0"/>
                      <w:sz w:val="18"/>
                      <w:szCs w:val="18"/>
                      <w:highlight w:val="none"/>
                      <w:lang w:val="en-US" w:eastAsia="zh-CN"/>
                    </w:rPr>
                    <w:t>设计</w:t>
                  </w:r>
                  <w:r>
                    <w:rPr>
                      <w:rFonts w:hint="default" w:ascii="Times New Roman" w:hAnsi="Times New Roman" w:cs="Times New Roman"/>
                      <w:color w:val="auto"/>
                      <w:kern w:val="0"/>
                      <w:sz w:val="18"/>
                      <w:szCs w:val="18"/>
                      <w:highlight w:val="none"/>
                      <w:lang w:val="en-US" w:eastAsia="zh-CN"/>
                    </w:rPr>
                    <w:t>架设最低高度</w:t>
                  </w:r>
                  <w:r>
                    <w:rPr>
                      <w:rFonts w:hint="default" w:ascii="Times New Roman" w:hAnsi="Times New Roman" w:cs="Times New Roman"/>
                      <w:color w:val="auto"/>
                      <w:kern w:val="0"/>
                      <w:sz w:val="18"/>
                      <w:szCs w:val="18"/>
                      <w:highlight w:val="none"/>
                    </w:rPr>
                    <w:t>（即导线对地最低高度</w:t>
                  </w:r>
                  <w:r>
                    <w:rPr>
                      <w:rFonts w:hint="eastAsia" w:cs="Times New Roman"/>
                      <w:color w:val="auto"/>
                      <w:kern w:val="0"/>
                      <w:sz w:val="18"/>
                      <w:szCs w:val="18"/>
                      <w:highlight w:val="none"/>
                      <w:lang w:val="en-US" w:eastAsia="zh-CN"/>
                    </w:rPr>
                    <w:t>9</w:t>
                  </w:r>
                  <w:r>
                    <w:rPr>
                      <w:rFonts w:hint="default" w:ascii="Times New Roman" w:hAnsi="Times New Roman" w:cs="Times New Roman"/>
                      <w:color w:val="auto"/>
                      <w:kern w:val="0"/>
                      <w:sz w:val="18"/>
                      <w:szCs w:val="18"/>
                      <w:highlight w:val="none"/>
                    </w:rPr>
                    <w:t>m）进行评价</w:t>
                  </w:r>
                  <w:r>
                    <w:rPr>
                      <w:rFonts w:hint="eastAsia" w:ascii="Times New Roman" w:hAnsi="Times New Roman" w:cs="Times New Roman"/>
                      <w:color w:val="auto"/>
                      <w:kern w:val="0"/>
                      <w:sz w:val="18"/>
                      <w:szCs w:val="18"/>
                      <w:highlight w:val="none"/>
                      <w:lang w:eastAsia="zh-CN"/>
                    </w:rPr>
                    <w:t>。</w:t>
                  </w:r>
                </w:p>
              </w:tc>
            </w:tr>
            <w:tr w14:paraId="6CB846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restart"/>
                  <w:tcBorders>
                    <w:tl2br w:val="nil"/>
                    <w:tr2bl w:val="nil"/>
                  </w:tcBorders>
                  <w:vAlign w:val="center"/>
                </w:tcPr>
                <w:p w14:paraId="2639B589">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印合</w:t>
                  </w:r>
                  <w:r>
                    <w:rPr>
                      <w:rFonts w:hint="default" w:ascii="Times New Roman" w:hAnsi="Times New Roman" w:eastAsia="宋体" w:cs="Times New Roman"/>
                      <w:color w:val="auto"/>
                      <w:kern w:val="0"/>
                      <w:sz w:val="18"/>
                      <w:szCs w:val="18"/>
                      <w:highlight w:val="none"/>
                      <w:lang w:val="en-US" w:eastAsia="zh-CN"/>
                    </w:rPr>
                    <w:t>～</w:t>
                  </w:r>
                  <w:r>
                    <w:rPr>
                      <w:rFonts w:hint="eastAsia" w:cs="Times New Roman"/>
                      <w:color w:val="auto"/>
                      <w:kern w:val="0"/>
                      <w:sz w:val="18"/>
                      <w:szCs w:val="18"/>
                      <w:highlight w:val="none"/>
                      <w:lang w:val="en-US" w:eastAsia="zh-CN"/>
                    </w:rPr>
                    <w:t>司城</w:t>
                  </w:r>
                  <w:r>
                    <w:rPr>
                      <w:rFonts w:hint="default" w:ascii="Times New Roman" w:hAnsi="Times New Roman" w:eastAsia="宋体" w:cs="Times New Roman"/>
                      <w:color w:val="auto"/>
                      <w:kern w:val="0"/>
                      <w:sz w:val="18"/>
                      <w:szCs w:val="18"/>
                      <w:highlight w:val="none"/>
                      <w:lang w:val="en-US" w:eastAsia="zh-CN"/>
                    </w:rPr>
                    <w:t>110</w:t>
                  </w:r>
                  <w:r>
                    <w:rPr>
                      <w:rFonts w:hint="default" w:ascii="Times New Roman" w:hAnsi="Times New Roman" w:cs="Times New Roman"/>
                      <w:color w:val="auto"/>
                      <w:sz w:val="18"/>
                      <w:szCs w:val="18"/>
                      <w:highlight w:val="none"/>
                      <w:lang w:val="en-US" w:eastAsia="zh-CN"/>
                    </w:rPr>
                    <w:t>kV</w:t>
                  </w:r>
                  <w:r>
                    <w:rPr>
                      <w:rFonts w:hint="default" w:ascii="Times New Roman" w:hAnsi="Times New Roman" w:eastAsia="宋体" w:cs="Times New Roman"/>
                      <w:color w:val="auto"/>
                      <w:kern w:val="0"/>
                      <w:sz w:val="18"/>
                      <w:szCs w:val="18"/>
                      <w:highlight w:val="none"/>
                      <w:lang w:val="en-US" w:eastAsia="zh-CN"/>
                    </w:rPr>
                    <w:t>线路工程</w:t>
                  </w:r>
                  <w:r>
                    <w:rPr>
                      <w:rFonts w:hint="default" w:ascii="Times New Roman" w:hAnsi="Times New Roman" w:cs="Times New Roman"/>
                      <w:color w:val="auto"/>
                      <w:kern w:val="0"/>
                      <w:sz w:val="18"/>
                      <w:szCs w:val="18"/>
                      <w:highlight w:val="none"/>
                      <w:lang w:val="en-US" w:eastAsia="zh-CN"/>
                    </w:rPr>
                    <w:t>（线路Ⅱ）</w:t>
                  </w:r>
                </w:p>
              </w:tc>
              <w:tc>
                <w:tcPr>
                  <w:tcW w:w="861" w:type="dxa"/>
                  <w:tcBorders>
                    <w:tl2br w:val="nil"/>
                    <w:tr2bl w:val="nil"/>
                  </w:tcBorders>
                  <w:vAlign w:val="center"/>
                </w:tcPr>
                <w:p w14:paraId="29105091">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cs="Times New Roman"/>
                      <w:color w:val="auto"/>
                      <w:sz w:val="18"/>
                      <w:szCs w:val="18"/>
                      <w:highlight w:val="none"/>
                      <w:lang w:val="en-US" w:eastAsia="zh-CN"/>
                    </w:rPr>
                    <w:t>线路Ⅱ</w:t>
                  </w:r>
                  <w:r>
                    <w:rPr>
                      <w:rFonts w:hint="eastAsia" w:cs="Times New Roman"/>
                      <w:color w:val="auto"/>
                      <w:sz w:val="18"/>
                      <w:szCs w:val="18"/>
                      <w:highlight w:val="none"/>
                      <w:lang w:val="en-US" w:eastAsia="zh-CN"/>
                    </w:rPr>
                    <w:t>双回塔单边挂线段</w:t>
                  </w:r>
                </w:p>
              </w:tc>
              <w:tc>
                <w:tcPr>
                  <w:tcW w:w="371" w:type="dxa"/>
                  <w:tcBorders>
                    <w:tl2br w:val="nil"/>
                    <w:tr2bl w:val="nil"/>
                  </w:tcBorders>
                  <w:vAlign w:val="center"/>
                </w:tcPr>
                <w:p w14:paraId="16570B60">
                  <w:pPr>
                    <w:widowControl/>
                    <w:ind w:left="-105" w:leftChars="-50" w:right="-105" w:rightChars="-50"/>
                    <w:jc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垂直</w:t>
                  </w:r>
                </w:p>
                <w:p w14:paraId="210F84CD">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lang w:val="en-US" w:eastAsia="zh-CN"/>
                    </w:rPr>
                    <w:t>排列</w:t>
                  </w:r>
                </w:p>
              </w:tc>
              <w:tc>
                <w:tcPr>
                  <w:tcW w:w="418" w:type="dxa"/>
                  <w:vMerge w:val="restart"/>
                  <w:tcBorders>
                    <w:tl2br w:val="nil"/>
                    <w:tr2bl w:val="nil"/>
                  </w:tcBorders>
                  <w:shd w:val="clear" w:color="auto" w:fill="auto"/>
                  <w:vAlign w:val="center"/>
                </w:tcPr>
                <w:p w14:paraId="16BDF3B9">
                  <w:pPr>
                    <w:widowControl/>
                    <w:wordWrap w:val="0"/>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sz w:val="18"/>
                      <w:szCs w:val="18"/>
                      <w:highlight w:val="none"/>
                      <w:lang w:val="en-US" w:eastAsia="zh-CN"/>
                    </w:rPr>
                    <w:t>JL3/G1A-</w:t>
                  </w:r>
                  <w:r>
                    <w:rPr>
                      <w:rFonts w:hint="eastAsia" w:cs="Times New Roman"/>
                      <w:color w:val="auto"/>
                      <w:sz w:val="18"/>
                      <w:szCs w:val="18"/>
                      <w:highlight w:val="none"/>
                      <w:lang w:val="en-US" w:eastAsia="zh-CN"/>
                    </w:rPr>
                    <w:t>300</w:t>
                  </w:r>
                  <w:r>
                    <w:rPr>
                      <w:rFonts w:hint="default" w:ascii="Times New Roman" w:hAnsi="Times New Roman" w:cs="Times New Roman"/>
                      <w:color w:val="auto"/>
                      <w:sz w:val="18"/>
                      <w:szCs w:val="18"/>
                      <w:highlight w:val="none"/>
                      <w:lang w:val="en-US" w:eastAsia="zh-CN"/>
                    </w:rPr>
                    <w:t>/</w:t>
                  </w:r>
                  <w:r>
                    <w:rPr>
                      <w:rFonts w:hint="eastAsia" w:cs="Times New Roman"/>
                      <w:color w:val="auto"/>
                      <w:sz w:val="18"/>
                      <w:szCs w:val="18"/>
                      <w:highlight w:val="none"/>
                      <w:lang w:val="en-US" w:eastAsia="zh-CN"/>
                    </w:rPr>
                    <w:t>4</w:t>
                  </w:r>
                  <w:r>
                    <w:rPr>
                      <w:rFonts w:hint="default" w:ascii="Times New Roman" w:hAnsi="Times New Roman" w:cs="Times New Roman"/>
                      <w:color w:val="auto"/>
                      <w:sz w:val="18"/>
                      <w:szCs w:val="18"/>
                      <w:highlight w:val="none"/>
                      <w:lang w:val="en-US" w:eastAsia="zh-CN"/>
                    </w:rPr>
                    <w:t>0</w:t>
                  </w:r>
                </w:p>
              </w:tc>
              <w:tc>
                <w:tcPr>
                  <w:tcW w:w="546" w:type="dxa"/>
                  <w:vMerge w:val="restart"/>
                  <w:tcBorders>
                    <w:tl2br w:val="nil"/>
                    <w:tr2bl w:val="nil"/>
                  </w:tcBorders>
                  <w:shd w:val="clear" w:color="auto" w:fill="auto"/>
                  <w:vAlign w:val="center"/>
                </w:tcPr>
                <w:p w14:paraId="7F13F758">
                  <w:pPr>
                    <w:widowControl/>
                    <w:ind w:left="-105" w:leftChars="-50" w:right="-105" w:rightChars="-50"/>
                    <w:jc w:val="center"/>
                    <w:rPr>
                      <w:rFonts w:hint="default" w:ascii="Times New Roman" w:hAnsi="Times New Roman" w:eastAsia="宋体" w:cs="Times New Roman"/>
                      <w:color w:val="auto"/>
                      <w:kern w:val="0"/>
                      <w:sz w:val="18"/>
                      <w:szCs w:val="18"/>
                      <w:highlight w:val="yellow"/>
                      <w:lang w:val="en-US" w:eastAsia="zh-CN"/>
                    </w:rPr>
                  </w:pPr>
                  <w:r>
                    <w:rPr>
                      <w:rFonts w:hint="eastAsia" w:cs="Times New Roman"/>
                      <w:color w:val="auto"/>
                      <w:kern w:val="0"/>
                      <w:sz w:val="18"/>
                      <w:szCs w:val="18"/>
                      <w:highlight w:val="none"/>
                      <w:lang w:val="en-US" w:eastAsia="zh-CN"/>
                    </w:rPr>
                    <w:t>636</w:t>
                  </w:r>
                </w:p>
              </w:tc>
              <w:tc>
                <w:tcPr>
                  <w:tcW w:w="1127" w:type="dxa"/>
                  <w:vMerge w:val="restart"/>
                  <w:tcBorders>
                    <w:tl2br w:val="nil"/>
                    <w:tr2bl w:val="nil"/>
                  </w:tcBorders>
                  <w:shd w:val="clear" w:color="auto" w:fill="auto"/>
                  <w:vAlign w:val="center"/>
                </w:tcPr>
                <w:p w14:paraId="15D493E7">
                  <w:pPr>
                    <w:widowControl/>
                    <w:ind w:left="-105" w:leftChars="-50" w:right="-105" w:rightChars="-50"/>
                    <w:jc w:val="center"/>
                    <w:rPr>
                      <w:rFonts w:hint="default" w:ascii="Times New Roman" w:hAnsi="Times New Roman" w:cs="Times New Roman"/>
                      <w:color w:val="auto"/>
                      <w:kern w:val="0"/>
                      <w:sz w:val="18"/>
                      <w:szCs w:val="18"/>
                      <w:highlight w:val="none"/>
                      <w:lang w:val="en-US"/>
                    </w:rPr>
                  </w:pPr>
                  <w:r>
                    <w:rPr>
                      <w:rFonts w:hint="eastAsia" w:cs="Times New Roman"/>
                      <w:color w:val="auto"/>
                      <w:kern w:val="0"/>
                      <w:sz w:val="18"/>
                      <w:szCs w:val="18"/>
                      <w:highlight w:val="none"/>
                      <w:lang w:val="en-US" w:eastAsia="zh-CN"/>
                    </w:rPr>
                    <w:t>单分裂</w:t>
                  </w:r>
                </w:p>
              </w:tc>
              <w:tc>
                <w:tcPr>
                  <w:tcW w:w="659" w:type="dxa"/>
                  <w:vMerge w:val="restart"/>
                  <w:tcBorders>
                    <w:tl2br w:val="nil"/>
                    <w:tr2bl w:val="nil"/>
                  </w:tcBorders>
                  <w:shd w:val="clear" w:color="auto" w:fill="auto"/>
                  <w:vAlign w:val="center"/>
                </w:tcPr>
                <w:p w14:paraId="5D09AB17">
                  <w:pPr>
                    <w:keepNext w:val="0"/>
                    <w:keepLines w:val="0"/>
                    <w:pageBreakBefore w:val="0"/>
                    <w:widowControl/>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color w:val="auto"/>
                      <w:kern w:val="0"/>
                      <w:sz w:val="18"/>
                      <w:szCs w:val="18"/>
                      <w:highlight w:val="yellow"/>
                    </w:rPr>
                  </w:pPr>
                  <w:r>
                    <w:rPr>
                      <w:rFonts w:hint="default" w:ascii="Times New Roman" w:hAnsi="Times New Roman" w:cs="Times New Roman"/>
                      <w:color w:val="auto"/>
                      <w:kern w:val="0"/>
                      <w:sz w:val="18"/>
                      <w:szCs w:val="18"/>
                      <w:highlight w:val="none"/>
                    </w:rPr>
                    <w:t>按设计规程规定的最低高度</w:t>
                  </w:r>
                </w:p>
              </w:tc>
              <w:tc>
                <w:tcPr>
                  <w:tcW w:w="1499" w:type="dxa"/>
                  <w:tcBorders>
                    <w:tl2br w:val="nil"/>
                    <w:tr2bl w:val="nil"/>
                  </w:tcBorders>
                  <w:vAlign w:val="center"/>
                </w:tcPr>
                <w:p w14:paraId="429F93A4">
                  <w:pPr>
                    <w:widowControl/>
                    <w:ind w:left="-105" w:leftChars="-50" w:right="-105" w:rightChars="-50"/>
                    <w:jc w:val="center"/>
                    <w:rPr>
                      <w:rFonts w:hint="default" w:ascii="Times New Roman" w:hAnsi="Times New Roman" w:cs="Times New Roman"/>
                      <w:color w:val="auto"/>
                      <w:kern w:val="0"/>
                      <w:sz w:val="18"/>
                      <w:szCs w:val="18"/>
                      <w:highlight w:val="yellow"/>
                      <w:lang w:val="en-US"/>
                    </w:rPr>
                  </w:pPr>
                  <w:r>
                    <w:rPr>
                      <w:rFonts w:hint="default" w:ascii="Times New Roman" w:hAnsi="Times New Roman" w:cs="Times New Roman"/>
                      <w:color w:val="auto"/>
                      <w:kern w:val="0"/>
                      <w:sz w:val="18"/>
                      <w:szCs w:val="18"/>
                      <w:highlight w:val="none"/>
                      <w:lang w:val="en-US" w:eastAsia="zh-CN"/>
                    </w:rPr>
                    <w:t>110-</w:t>
                  </w:r>
                  <w:r>
                    <w:rPr>
                      <w:rFonts w:hint="eastAsia" w:cs="Times New Roman"/>
                      <w:color w:val="auto"/>
                      <w:kern w:val="0"/>
                      <w:sz w:val="18"/>
                      <w:szCs w:val="18"/>
                      <w:highlight w:val="none"/>
                      <w:lang w:val="en-US" w:eastAsia="zh-CN"/>
                    </w:rPr>
                    <w:t>D</w:t>
                  </w:r>
                  <w:r>
                    <w:rPr>
                      <w:rFonts w:hint="eastAsia" w:ascii="Times New Roman" w:hAnsi="Times New Roman" w:cs="Times New Roman"/>
                      <w:color w:val="auto"/>
                      <w:kern w:val="0"/>
                      <w:sz w:val="18"/>
                      <w:szCs w:val="18"/>
                      <w:highlight w:val="none"/>
                      <w:lang w:val="en-US" w:eastAsia="zh-CN"/>
                    </w:rPr>
                    <w:t>D</w:t>
                  </w:r>
                  <w:r>
                    <w:rPr>
                      <w:rFonts w:hint="default" w:ascii="Times New Roman" w:hAnsi="Times New Roman" w:cs="Times New Roman"/>
                      <w:color w:val="auto"/>
                      <w:kern w:val="0"/>
                      <w:sz w:val="18"/>
                      <w:szCs w:val="18"/>
                      <w:highlight w:val="none"/>
                      <w:lang w:val="en-US" w:eastAsia="zh-CN"/>
                    </w:rPr>
                    <w:t>21S-</w:t>
                  </w:r>
                  <w:r>
                    <w:rPr>
                      <w:rFonts w:hint="eastAsia" w:cs="Times New Roman"/>
                      <w:color w:val="auto"/>
                      <w:kern w:val="0"/>
                      <w:sz w:val="18"/>
                      <w:szCs w:val="18"/>
                      <w:highlight w:val="none"/>
                      <w:lang w:val="en-US" w:eastAsia="zh-CN"/>
                    </w:rPr>
                    <w:t>J4</w:t>
                  </w:r>
                </w:p>
              </w:tc>
              <w:tc>
                <w:tcPr>
                  <w:tcW w:w="558" w:type="dxa"/>
                  <w:tcBorders>
                    <w:tl2br w:val="nil"/>
                    <w:tr2bl w:val="nil"/>
                  </w:tcBorders>
                  <w:shd w:val="clear" w:color="auto" w:fill="auto"/>
                  <w:vAlign w:val="center"/>
                </w:tcPr>
                <w:p w14:paraId="7BC8A198">
                  <w:pPr>
                    <w:widowControl/>
                    <w:ind w:left="-105" w:leftChars="-50" w:right="-105" w:rightChars="-50"/>
                    <w:jc w:val="center"/>
                    <w:rPr>
                      <w:rFonts w:hint="default" w:ascii="Times New Roman" w:hAnsi="Times New Roman" w:cs="Times New Roman"/>
                      <w:color w:val="auto"/>
                      <w:kern w:val="0"/>
                      <w:sz w:val="18"/>
                      <w:szCs w:val="18"/>
                      <w:highlight w:val="none"/>
                    </w:rPr>
                  </w:pPr>
                  <w:r>
                    <w:rPr>
                      <w:rFonts w:hint="eastAsia" w:cs="Times New Roman"/>
                      <w:color w:val="auto"/>
                      <w:kern w:val="0"/>
                      <w:sz w:val="18"/>
                      <w:szCs w:val="18"/>
                      <w:highlight w:val="none"/>
                      <w:lang w:val="en-US" w:eastAsia="zh-CN"/>
                    </w:rPr>
                    <w:t>有</w:t>
                  </w:r>
                </w:p>
              </w:tc>
              <w:tc>
                <w:tcPr>
                  <w:tcW w:w="1663" w:type="dxa"/>
                  <w:tcBorders>
                    <w:tl2br w:val="nil"/>
                    <w:tr2bl w:val="nil"/>
                  </w:tcBorders>
                  <w:shd w:val="clear" w:color="auto" w:fill="auto"/>
                  <w:vAlign w:val="center"/>
                </w:tcPr>
                <w:p w14:paraId="4AC0D194">
                  <w:pPr>
                    <w:widowControl/>
                    <w:ind w:left="-105" w:leftChars="-50"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导线对地高度按设计规程规定的最低要求（即居民区导线对地最低高度7m，非居民区导线对地最低高度6m）进行评价。</w:t>
                  </w:r>
                </w:p>
              </w:tc>
            </w:tr>
            <w:tr w14:paraId="1802D7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8" w:type="dxa"/>
                  <w:vMerge w:val="continue"/>
                  <w:tcBorders>
                    <w:tl2br w:val="nil"/>
                    <w:tr2bl w:val="nil"/>
                  </w:tcBorders>
                  <w:vAlign w:val="center"/>
                </w:tcPr>
                <w:p w14:paraId="0144FB56">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p>
              </w:tc>
              <w:tc>
                <w:tcPr>
                  <w:tcW w:w="861" w:type="dxa"/>
                  <w:tcBorders>
                    <w:tl2br w:val="nil"/>
                    <w:tr2bl w:val="nil"/>
                  </w:tcBorders>
                  <w:vAlign w:val="center"/>
                </w:tcPr>
                <w:p w14:paraId="58B35DCD">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cs="Times New Roman"/>
                      <w:color w:val="auto"/>
                      <w:sz w:val="18"/>
                      <w:szCs w:val="18"/>
                      <w:highlight w:val="none"/>
                      <w:lang w:val="en-US" w:eastAsia="zh-CN"/>
                    </w:rPr>
                    <w:t>线路Ⅱ三角排列段</w:t>
                  </w:r>
                </w:p>
              </w:tc>
              <w:tc>
                <w:tcPr>
                  <w:tcW w:w="371" w:type="dxa"/>
                  <w:tcBorders>
                    <w:tl2br w:val="nil"/>
                    <w:tr2bl w:val="nil"/>
                  </w:tcBorders>
                  <w:vAlign w:val="center"/>
                </w:tcPr>
                <w:p w14:paraId="78174709">
                  <w:pPr>
                    <w:widowControl/>
                    <w:ind w:left="-105" w:leftChars="-50" w:right="-105" w:rightChars="-50"/>
                    <w:jc w:val="center"/>
                    <w:rPr>
                      <w:rFonts w:hint="default" w:ascii="Times New Roman" w:hAnsi="Times New Roman"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三角</w:t>
                  </w:r>
                </w:p>
                <w:p w14:paraId="19B0685C">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排列</w:t>
                  </w:r>
                </w:p>
              </w:tc>
              <w:tc>
                <w:tcPr>
                  <w:tcW w:w="418" w:type="dxa"/>
                  <w:vMerge w:val="continue"/>
                  <w:tcBorders>
                    <w:tl2br w:val="nil"/>
                    <w:tr2bl w:val="nil"/>
                  </w:tcBorders>
                  <w:shd w:val="clear" w:color="auto" w:fill="auto"/>
                  <w:vAlign w:val="center"/>
                </w:tcPr>
                <w:p w14:paraId="17C08A85">
                  <w:pPr>
                    <w:widowControl/>
                    <w:ind w:left="-105" w:leftChars="-50" w:right="-105" w:rightChars="-50"/>
                    <w:jc w:val="center"/>
                    <w:rPr>
                      <w:rFonts w:hint="default" w:ascii="Times New Roman" w:hAnsi="Times New Roman" w:eastAsia="宋体" w:cs="Times New Roman"/>
                      <w:color w:val="auto"/>
                      <w:kern w:val="0"/>
                      <w:sz w:val="18"/>
                      <w:szCs w:val="18"/>
                      <w:highlight w:val="yellow"/>
                      <w:lang w:val="en-US" w:eastAsia="zh-CN"/>
                    </w:rPr>
                  </w:pPr>
                </w:p>
              </w:tc>
              <w:tc>
                <w:tcPr>
                  <w:tcW w:w="546" w:type="dxa"/>
                  <w:vMerge w:val="continue"/>
                  <w:tcBorders>
                    <w:tl2br w:val="nil"/>
                    <w:tr2bl w:val="nil"/>
                  </w:tcBorders>
                  <w:shd w:val="clear" w:color="auto" w:fill="auto"/>
                  <w:vAlign w:val="center"/>
                </w:tcPr>
                <w:p w14:paraId="557310AC">
                  <w:pPr>
                    <w:widowControl/>
                    <w:ind w:left="-105" w:leftChars="-50" w:right="-105" w:rightChars="-50"/>
                    <w:jc w:val="center"/>
                    <w:rPr>
                      <w:rFonts w:hint="default" w:ascii="Times New Roman" w:hAnsi="Times New Roman" w:eastAsia="宋体" w:cs="Times New Roman"/>
                      <w:color w:val="auto"/>
                      <w:kern w:val="0"/>
                      <w:sz w:val="18"/>
                      <w:szCs w:val="18"/>
                      <w:highlight w:val="yellow"/>
                      <w:lang w:val="en-US" w:eastAsia="zh-CN"/>
                    </w:rPr>
                  </w:pPr>
                </w:p>
              </w:tc>
              <w:tc>
                <w:tcPr>
                  <w:tcW w:w="1127" w:type="dxa"/>
                  <w:vMerge w:val="continue"/>
                  <w:tcBorders>
                    <w:tl2br w:val="nil"/>
                    <w:tr2bl w:val="nil"/>
                  </w:tcBorders>
                  <w:shd w:val="clear" w:color="auto" w:fill="auto"/>
                  <w:vAlign w:val="center"/>
                </w:tcPr>
                <w:p w14:paraId="547C6CD1">
                  <w:pPr>
                    <w:widowControl/>
                    <w:ind w:left="-105" w:leftChars="-50" w:right="-105" w:rightChars="-50"/>
                    <w:jc w:val="center"/>
                    <w:rPr>
                      <w:rFonts w:hint="default" w:ascii="Times New Roman" w:hAnsi="Times New Roman" w:eastAsia="宋体" w:cs="Times New Roman"/>
                      <w:color w:val="auto"/>
                      <w:kern w:val="0"/>
                      <w:sz w:val="18"/>
                      <w:szCs w:val="18"/>
                      <w:highlight w:val="yellow"/>
                      <w:lang w:val="en-US" w:eastAsia="zh-CN"/>
                    </w:rPr>
                  </w:pPr>
                </w:p>
              </w:tc>
              <w:tc>
                <w:tcPr>
                  <w:tcW w:w="659" w:type="dxa"/>
                  <w:vMerge w:val="continue"/>
                  <w:tcBorders>
                    <w:tl2br w:val="nil"/>
                    <w:tr2bl w:val="nil"/>
                  </w:tcBorders>
                  <w:shd w:val="clear" w:color="auto" w:fill="auto"/>
                  <w:vAlign w:val="center"/>
                </w:tcPr>
                <w:p w14:paraId="731A4E5A">
                  <w:pPr>
                    <w:widowControl/>
                    <w:ind w:left="-105" w:leftChars="-50" w:right="-105" w:rightChars="-50"/>
                    <w:jc w:val="center"/>
                    <w:rPr>
                      <w:rFonts w:hint="default" w:ascii="Times New Roman" w:hAnsi="Times New Roman" w:eastAsia="宋体" w:cs="Times New Roman"/>
                      <w:color w:val="auto"/>
                      <w:kern w:val="0"/>
                      <w:sz w:val="18"/>
                      <w:szCs w:val="18"/>
                      <w:highlight w:val="yellow"/>
                      <w:lang w:val="en-US" w:eastAsia="zh-CN"/>
                    </w:rPr>
                  </w:pPr>
                </w:p>
              </w:tc>
              <w:tc>
                <w:tcPr>
                  <w:tcW w:w="1499" w:type="dxa"/>
                  <w:tcBorders>
                    <w:tl2br w:val="nil"/>
                    <w:tr2bl w:val="nil"/>
                  </w:tcBorders>
                  <w:vAlign w:val="center"/>
                </w:tcPr>
                <w:p w14:paraId="79D6A9CC">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w:t>
                  </w:r>
                  <w:r>
                    <w:rPr>
                      <w:rFonts w:hint="default" w:ascii="Times New Roman" w:hAnsi="Times New Roman" w:cs="Times New Roman"/>
                      <w:color w:val="auto"/>
                      <w:kern w:val="0"/>
                      <w:sz w:val="18"/>
                      <w:szCs w:val="18"/>
                      <w:highlight w:val="none"/>
                      <w:lang w:val="en-US" w:eastAsia="zh-CN"/>
                    </w:rPr>
                    <w:t>10-</w:t>
                  </w:r>
                  <w:r>
                    <w:rPr>
                      <w:rFonts w:hint="eastAsia" w:ascii="Times New Roman" w:hAnsi="Times New Roman" w:cs="Times New Roman"/>
                      <w:color w:val="auto"/>
                      <w:kern w:val="0"/>
                      <w:sz w:val="18"/>
                      <w:szCs w:val="18"/>
                      <w:highlight w:val="none"/>
                      <w:lang w:val="en-US" w:eastAsia="zh-CN"/>
                    </w:rPr>
                    <w:t>D</w:t>
                  </w:r>
                  <w:r>
                    <w:rPr>
                      <w:rFonts w:hint="eastAsia" w:cs="Times New Roman"/>
                      <w:color w:val="auto"/>
                      <w:kern w:val="0"/>
                      <w:sz w:val="18"/>
                      <w:szCs w:val="18"/>
                      <w:highlight w:val="none"/>
                      <w:lang w:val="en-US" w:eastAsia="zh-CN"/>
                    </w:rPr>
                    <w:t>C</w:t>
                  </w:r>
                  <w:r>
                    <w:rPr>
                      <w:rFonts w:hint="default" w:ascii="Times New Roman" w:hAnsi="Times New Roman" w:cs="Times New Roman"/>
                      <w:color w:val="auto"/>
                      <w:kern w:val="0"/>
                      <w:sz w:val="18"/>
                      <w:szCs w:val="18"/>
                      <w:highlight w:val="none"/>
                      <w:lang w:val="en-US" w:eastAsia="zh-CN"/>
                    </w:rPr>
                    <w:t>21</w:t>
                  </w:r>
                  <w:r>
                    <w:rPr>
                      <w:rFonts w:hint="eastAsia" w:cs="Times New Roman"/>
                      <w:color w:val="auto"/>
                      <w:kern w:val="0"/>
                      <w:sz w:val="18"/>
                      <w:szCs w:val="18"/>
                      <w:highlight w:val="none"/>
                      <w:lang w:val="en-US" w:eastAsia="zh-CN"/>
                    </w:rPr>
                    <w:t>D</w:t>
                  </w:r>
                  <w:r>
                    <w:rPr>
                      <w:rFonts w:hint="default" w:ascii="Times New Roman" w:hAnsi="Times New Roman" w:cs="Times New Roman"/>
                      <w:color w:val="auto"/>
                      <w:kern w:val="0"/>
                      <w:sz w:val="18"/>
                      <w:szCs w:val="18"/>
                      <w:highlight w:val="none"/>
                      <w:lang w:val="en-US" w:eastAsia="zh-CN"/>
                    </w:rPr>
                    <w:t>-DJ</w:t>
                  </w:r>
                  <w:r>
                    <w:rPr>
                      <w:rFonts w:hint="eastAsia" w:cs="Times New Roman"/>
                      <w:color w:val="auto"/>
                      <w:kern w:val="0"/>
                      <w:sz w:val="18"/>
                      <w:szCs w:val="18"/>
                      <w:highlight w:val="none"/>
                      <w:lang w:val="en-US" w:eastAsia="zh-CN"/>
                    </w:rPr>
                    <w:t>C</w:t>
                  </w:r>
                </w:p>
              </w:tc>
              <w:tc>
                <w:tcPr>
                  <w:tcW w:w="558" w:type="dxa"/>
                  <w:tcBorders>
                    <w:tl2br w:val="nil"/>
                    <w:tr2bl w:val="nil"/>
                  </w:tcBorders>
                  <w:shd w:val="clear" w:color="auto" w:fill="auto"/>
                  <w:vAlign w:val="center"/>
                </w:tcPr>
                <w:p w14:paraId="62E17506">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lang w:val="en-US" w:eastAsia="zh-CN"/>
                    </w:rPr>
                    <w:t>有</w:t>
                  </w:r>
                </w:p>
              </w:tc>
              <w:tc>
                <w:tcPr>
                  <w:tcW w:w="1663" w:type="dxa"/>
                  <w:tcBorders>
                    <w:tl2br w:val="nil"/>
                    <w:tr2bl w:val="nil"/>
                  </w:tcBorders>
                  <w:shd w:val="clear" w:color="auto" w:fill="auto"/>
                  <w:vAlign w:val="center"/>
                </w:tcPr>
                <w:p w14:paraId="243EB398">
                  <w:pPr>
                    <w:widowControl/>
                    <w:ind w:left="-105" w:leftChars="-50" w:right="-105" w:rightChars="-5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cs="Times New Roman"/>
                      <w:color w:val="auto"/>
                      <w:kern w:val="0"/>
                      <w:sz w:val="18"/>
                      <w:szCs w:val="18"/>
                      <w:highlight w:val="none"/>
                    </w:rPr>
                    <w:t>导线对地高度按设计规程规定的最低要求（即居民区导线对地最低高度7m，非居民区导线对地最低高度6m）进行评价。</w:t>
                  </w:r>
                </w:p>
              </w:tc>
            </w:tr>
          </w:tbl>
          <w:p w14:paraId="48AF242A">
            <w:pPr>
              <w:spacing w:line="360" w:lineRule="auto"/>
              <w:rPr>
                <w:rFonts w:eastAsia="黑体"/>
                <w:color w:val="auto"/>
                <w:szCs w:val="21"/>
              </w:rPr>
            </w:pPr>
            <w:r>
              <w:rPr>
                <w:rFonts w:hint="eastAsia" w:eastAsia="黑体"/>
                <w:color w:val="auto"/>
                <w:szCs w:val="21"/>
                <w:lang w:val="en-US" w:eastAsia="zh-CN"/>
              </w:rPr>
              <w:t>六</w:t>
            </w:r>
            <w:r>
              <w:rPr>
                <w:rFonts w:eastAsia="黑体"/>
                <w:color w:val="auto"/>
                <w:szCs w:val="21"/>
              </w:rPr>
              <w:t>、</w:t>
            </w:r>
            <w:r>
              <w:rPr>
                <w:rFonts w:hint="eastAsia" w:eastAsia="黑体"/>
                <w:color w:val="auto"/>
                <w:szCs w:val="21"/>
              </w:rPr>
              <w:t>项目</w:t>
            </w:r>
            <w:r>
              <w:rPr>
                <w:rFonts w:eastAsia="黑体"/>
                <w:color w:val="auto"/>
                <w:szCs w:val="21"/>
              </w:rPr>
              <w:t>主要经济技术指标及原辅材料</w:t>
            </w:r>
          </w:p>
          <w:p w14:paraId="35B3163E">
            <w:pPr>
              <w:spacing w:line="360" w:lineRule="auto"/>
              <w:ind w:firstLine="422" w:firstLineChars="200"/>
              <w:rPr>
                <w:b/>
                <w:color w:val="auto"/>
                <w:szCs w:val="21"/>
              </w:rPr>
            </w:pPr>
            <w:r>
              <w:rPr>
                <w:b/>
                <w:color w:val="auto"/>
                <w:szCs w:val="21"/>
              </w:rPr>
              <w:t>1、</w:t>
            </w:r>
            <w:r>
              <w:rPr>
                <w:rFonts w:hint="eastAsia"/>
                <w:b/>
                <w:color w:val="auto"/>
                <w:szCs w:val="21"/>
              </w:rPr>
              <w:t>主要原辅材料消耗表</w:t>
            </w:r>
          </w:p>
          <w:p w14:paraId="2BE452DE">
            <w:pPr>
              <w:spacing w:line="360" w:lineRule="auto"/>
              <w:ind w:firstLine="420" w:firstLineChars="200"/>
              <w:rPr>
                <w:color w:val="auto"/>
                <w:szCs w:val="21"/>
              </w:rPr>
            </w:pPr>
            <w:r>
              <w:rPr>
                <w:rFonts w:hint="eastAsia"/>
                <w:color w:val="auto"/>
                <w:szCs w:val="21"/>
              </w:rPr>
              <w:t>本项目原辅材料主要在建设期消耗，建成后无原辅材料消耗。本项目主要原辅材料及能源消耗见下表。</w:t>
            </w:r>
          </w:p>
          <w:p w14:paraId="790F394D">
            <w:pPr>
              <w:tabs>
                <w:tab w:val="left" w:pos="3240"/>
              </w:tabs>
              <w:wordWrap w:val="0"/>
              <w:jc w:val="center"/>
              <w:rPr>
                <w:rFonts w:eastAsia="黑体"/>
                <w:color w:val="auto"/>
                <w:szCs w:val="21"/>
              </w:rPr>
            </w:pPr>
            <w:r>
              <w:rPr>
                <w:rFonts w:hint="eastAsia" w:eastAsia="黑体"/>
                <w:color w:val="auto"/>
                <w:szCs w:val="21"/>
              </w:rPr>
              <w:t>表</w:t>
            </w:r>
            <w:r>
              <w:rPr>
                <w:rFonts w:eastAsia="黑体"/>
                <w:color w:val="auto"/>
                <w:szCs w:val="21"/>
              </w:rPr>
              <w:t>2-</w:t>
            </w:r>
            <w:r>
              <w:rPr>
                <w:rFonts w:hint="eastAsia" w:eastAsia="黑体"/>
                <w:color w:val="auto"/>
                <w:szCs w:val="21"/>
                <w:lang w:val="en-US" w:eastAsia="zh-CN"/>
              </w:rPr>
              <w:t>6</w:t>
            </w:r>
            <w:r>
              <w:rPr>
                <w:rFonts w:eastAsia="黑体"/>
                <w:color w:val="auto"/>
                <w:szCs w:val="21"/>
              </w:rPr>
              <w:t xml:space="preserve">  </w:t>
            </w:r>
            <w:r>
              <w:rPr>
                <w:rFonts w:hint="eastAsia" w:eastAsia="黑体"/>
                <w:color w:val="auto"/>
                <w:szCs w:val="21"/>
              </w:rPr>
              <w:t>本项目施工期原辅材料一览表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
              <w:gridCol w:w="655"/>
              <w:gridCol w:w="471"/>
              <w:gridCol w:w="1019"/>
              <w:gridCol w:w="1337"/>
              <w:gridCol w:w="1474"/>
              <w:gridCol w:w="1205"/>
              <w:gridCol w:w="1307"/>
              <w:gridCol w:w="806"/>
            </w:tblGrid>
            <w:tr w14:paraId="0BBCA9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1374BCBC">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序号</w:t>
                  </w:r>
                </w:p>
              </w:tc>
              <w:tc>
                <w:tcPr>
                  <w:tcW w:w="377" w:type="pct"/>
                  <w:vAlign w:val="center"/>
                </w:tcPr>
                <w:p w14:paraId="21403D6A">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名称</w:t>
                  </w:r>
                </w:p>
              </w:tc>
              <w:tc>
                <w:tcPr>
                  <w:tcW w:w="271" w:type="pct"/>
                  <w:vAlign w:val="center"/>
                </w:tcPr>
                <w:p w14:paraId="0B140075">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单位</w:t>
                  </w:r>
                </w:p>
              </w:tc>
              <w:tc>
                <w:tcPr>
                  <w:tcW w:w="587" w:type="pct"/>
                  <w:vAlign w:val="center"/>
                </w:tcPr>
                <w:p w14:paraId="6F4F9FF2">
                  <w:pPr>
                    <w:keepNext w:val="0"/>
                    <w:keepLines w:val="0"/>
                    <w:pageBreakBefore w:val="0"/>
                    <w:widowControl w:val="0"/>
                    <w:tabs>
                      <w:tab w:val="left" w:pos="3240"/>
                    </w:tabs>
                    <w:kinsoku/>
                    <w:wordWrap/>
                    <w:overflowPunct/>
                    <w:topLinePunct w:val="0"/>
                    <w:autoSpaceDE/>
                    <w:autoSpaceDN/>
                    <w:bidi w:val="0"/>
                    <w:adjustRightInd/>
                    <w:snapToGrid/>
                    <w:spacing w:line="300" w:lineRule="exact"/>
                    <w:jc w:val="center"/>
                    <w:textAlignment w:val="auto"/>
                    <w:rPr>
                      <w:rFonts w:hint="eastAsia" w:eastAsia="宋体"/>
                      <w:color w:val="auto"/>
                      <w:sz w:val="18"/>
                      <w:szCs w:val="18"/>
                      <w:lang w:eastAsia="zh-CN"/>
                    </w:rPr>
                  </w:pPr>
                  <w:r>
                    <w:rPr>
                      <w:rFonts w:hint="eastAsia"/>
                      <w:color w:val="auto"/>
                      <w:sz w:val="18"/>
                      <w:szCs w:val="18"/>
                      <w:lang w:val="en-US" w:eastAsia="zh-CN"/>
                    </w:rPr>
                    <w:t>司城</w:t>
                  </w:r>
                  <w:r>
                    <w:rPr>
                      <w:rFonts w:hint="eastAsia"/>
                      <w:color w:val="auto"/>
                      <w:sz w:val="18"/>
                      <w:szCs w:val="18"/>
                      <w:lang w:eastAsia="zh-CN"/>
                    </w:rPr>
                    <w:t>110kV变电站新建工程</w:t>
                  </w:r>
                </w:p>
              </w:tc>
              <w:tc>
                <w:tcPr>
                  <w:tcW w:w="770" w:type="pct"/>
                  <w:vAlign w:val="center"/>
                </w:tcPr>
                <w:p w14:paraId="1348A194">
                  <w:pPr>
                    <w:keepNext w:val="0"/>
                    <w:keepLines w:val="0"/>
                    <w:pageBreakBefore w:val="0"/>
                    <w:widowControl w:val="0"/>
                    <w:tabs>
                      <w:tab w:val="left" w:pos="3240"/>
                    </w:tabs>
                    <w:kinsoku/>
                    <w:wordWrap/>
                    <w:overflowPunct/>
                    <w:topLinePunct w:val="0"/>
                    <w:autoSpaceDE/>
                    <w:autoSpaceDN/>
                    <w:bidi w:val="0"/>
                    <w:adjustRightInd/>
                    <w:snapToGrid/>
                    <w:spacing w:line="300" w:lineRule="exact"/>
                    <w:jc w:val="center"/>
                    <w:textAlignment w:val="auto"/>
                    <w:rPr>
                      <w:rFonts w:hint="eastAsia"/>
                      <w:color w:val="auto"/>
                      <w:sz w:val="18"/>
                      <w:szCs w:val="18"/>
                      <w:lang w:val="en-US" w:eastAsia="zh-CN"/>
                    </w:rPr>
                  </w:pPr>
                  <w:r>
                    <w:rPr>
                      <w:rFonts w:hint="eastAsia"/>
                      <w:color w:val="auto"/>
                      <w:sz w:val="18"/>
                      <w:szCs w:val="18"/>
                      <w:lang w:val="en-US" w:eastAsia="zh-CN"/>
                    </w:rPr>
                    <w:t>印合110kV变电站110kV间隔扩建工程</w:t>
                  </w:r>
                </w:p>
              </w:tc>
              <w:tc>
                <w:tcPr>
                  <w:tcW w:w="849" w:type="pct"/>
                  <w:vAlign w:val="center"/>
                </w:tcPr>
                <w:p w14:paraId="6A821761">
                  <w:pPr>
                    <w:keepNext w:val="0"/>
                    <w:keepLines w:val="0"/>
                    <w:pageBreakBefore w:val="0"/>
                    <w:widowControl w:val="0"/>
                    <w:tabs>
                      <w:tab w:val="left" w:pos="3240"/>
                    </w:tabs>
                    <w:kinsoku/>
                    <w:wordWrap/>
                    <w:overflowPunct/>
                    <w:topLinePunct w:val="0"/>
                    <w:autoSpaceDE/>
                    <w:autoSpaceDN/>
                    <w:bidi w:val="0"/>
                    <w:adjustRightInd/>
                    <w:snapToGrid/>
                    <w:spacing w:line="300" w:lineRule="exact"/>
                    <w:jc w:val="center"/>
                    <w:textAlignment w:val="auto"/>
                    <w:rPr>
                      <w:rFonts w:hint="eastAsia" w:eastAsia="宋体"/>
                      <w:color w:val="auto"/>
                      <w:sz w:val="18"/>
                      <w:szCs w:val="18"/>
                      <w:lang w:eastAsia="zh-CN"/>
                    </w:rPr>
                  </w:pPr>
                  <w:r>
                    <w:rPr>
                      <w:rFonts w:hint="eastAsia"/>
                      <w:color w:val="auto"/>
                      <w:sz w:val="18"/>
                      <w:szCs w:val="18"/>
                      <w:lang w:val="en-US" w:eastAsia="zh-CN"/>
                    </w:rPr>
                    <w:t>盘兴220kV变电站二次完善工程</w:t>
                  </w:r>
                </w:p>
              </w:tc>
              <w:tc>
                <w:tcPr>
                  <w:tcW w:w="694" w:type="pct"/>
                  <w:vAlign w:val="center"/>
                </w:tcPr>
                <w:p w14:paraId="3D226341">
                  <w:pPr>
                    <w:keepNext w:val="0"/>
                    <w:keepLines w:val="0"/>
                    <w:pageBreakBefore w:val="0"/>
                    <w:widowControl w:val="0"/>
                    <w:tabs>
                      <w:tab w:val="left" w:pos="3240"/>
                    </w:tabs>
                    <w:kinsoku/>
                    <w:wordWrap/>
                    <w:overflowPunct/>
                    <w:topLinePunct w:val="0"/>
                    <w:autoSpaceDE/>
                    <w:autoSpaceDN/>
                    <w:bidi w:val="0"/>
                    <w:adjustRightInd/>
                    <w:snapToGrid/>
                    <w:spacing w:line="300" w:lineRule="exact"/>
                    <w:jc w:val="center"/>
                    <w:textAlignment w:val="auto"/>
                    <w:rPr>
                      <w:rFonts w:hint="eastAsia"/>
                      <w:color w:val="auto"/>
                      <w:sz w:val="18"/>
                      <w:szCs w:val="18"/>
                    </w:rPr>
                  </w:pPr>
                  <w:r>
                    <w:rPr>
                      <w:rFonts w:hint="eastAsia"/>
                      <w:color w:val="auto"/>
                      <w:sz w:val="18"/>
                      <w:szCs w:val="18"/>
                      <w:lang w:val="en-US" w:eastAsia="zh-CN"/>
                    </w:rPr>
                    <w:t>盘兴</w:t>
                  </w:r>
                  <w:r>
                    <w:rPr>
                      <w:rFonts w:hint="eastAsia"/>
                      <w:color w:val="auto"/>
                      <w:sz w:val="18"/>
                      <w:szCs w:val="18"/>
                      <w:lang w:eastAsia="zh-CN"/>
                    </w:rPr>
                    <w:t>～</w:t>
                  </w:r>
                  <w:r>
                    <w:rPr>
                      <w:rFonts w:hint="eastAsia"/>
                      <w:color w:val="auto"/>
                      <w:sz w:val="18"/>
                      <w:szCs w:val="18"/>
                      <w:lang w:val="en-US" w:eastAsia="zh-CN"/>
                    </w:rPr>
                    <w:t>司城</w:t>
                  </w:r>
                  <w:r>
                    <w:rPr>
                      <w:rFonts w:hint="eastAsia"/>
                      <w:color w:val="auto"/>
                      <w:sz w:val="18"/>
                      <w:szCs w:val="18"/>
                      <w:lang w:eastAsia="zh-CN"/>
                    </w:rPr>
                    <w:t>110kV线路工程</w:t>
                  </w:r>
                </w:p>
              </w:tc>
              <w:tc>
                <w:tcPr>
                  <w:tcW w:w="753" w:type="pct"/>
                  <w:vAlign w:val="center"/>
                </w:tcPr>
                <w:p w14:paraId="2A5BFED5">
                  <w:pPr>
                    <w:keepNext w:val="0"/>
                    <w:keepLines w:val="0"/>
                    <w:pageBreakBefore w:val="0"/>
                    <w:widowControl w:val="0"/>
                    <w:tabs>
                      <w:tab w:val="left" w:pos="3240"/>
                    </w:tabs>
                    <w:kinsoku/>
                    <w:wordWrap/>
                    <w:overflowPunct/>
                    <w:topLinePunct w:val="0"/>
                    <w:autoSpaceDE/>
                    <w:autoSpaceDN/>
                    <w:bidi w:val="0"/>
                    <w:adjustRightInd/>
                    <w:snapToGrid/>
                    <w:spacing w:line="300" w:lineRule="exact"/>
                    <w:jc w:val="center"/>
                    <w:textAlignment w:val="auto"/>
                    <w:rPr>
                      <w:rFonts w:hint="eastAsia"/>
                      <w:color w:val="auto"/>
                      <w:sz w:val="18"/>
                      <w:szCs w:val="18"/>
                      <w:lang w:val="en-US" w:eastAsia="zh-CN"/>
                    </w:rPr>
                  </w:pPr>
                  <w:r>
                    <w:rPr>
                      <w:rFonts w:hint="eastAsia"/>
                      <w:color w:val="auto"/>
                      <w:sz w:val="18"/>
                      <w:szCs w:val="18"/>
                      <w:lang w:val="en-US" w:eastAsia="zh-CN"/>
                    </w:rPr>
                    <w:t>印合</w:t>
                  </w:r>
                  <w:r>
                    <w:rPr>
                      <w:rFonts w:hint="eastAsia"/>
                      <w:color w:val="auto"/>
                      <w:sz w:val="18"/>
                      <w:szCs w:val="18"/>
                      <w:lang w:eastAsia="zh-CN"/>
                    </w:rPr>
                    <w:t>～</w:t>
                  </w:r>
                  <w:r>
                    <w:rPr>
                      <w:rFonts w:hint="eastAsia"/>
                      <w:color w:val="auto"/>
                      <w:sz w:val="18"/>
                      <w:szCs w:val="18"/>
                      <w:lang w:val="en-US" w:eastAsia="zh-CN"/>
                    </w:rPr>
                    <w:t>司城</w:t>
                  </w:r>
                  <w:r>
                    <w:rPr>
                      <w:rFonts w:hint="eastAsia"/>
                      <w:color w:val="auto"/>
                      <w:sz w:val="18"/>
                      <w:szCs w:val="18"/>
                      <w:lang w:eastAsia="zh-CN"/>
                    </w:rPr>
                    <w:t>110kV线路工程</w:t>
                  </w:r>
                </w:p>
              </w:tc>
              <w:tc>
                <w:tcPr>
                  <w:tcW w:w="464" w:type="pct"/>
                  <w:vAlign w:val="center"/>
                </w:tcPr>
                <w:p w14:paraId="7A86A9B6">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z w:val="18"/>
                      <w:szCs w:val="18"/>
                      <w:lang w:val="en-US" w:eastAsia="zh-CN"/>
                    </w:rPr>
                  </w:pPr>
                  <w:r>
                    <w:rPr>
                      <w:rFonts w:hint="eastAsia"/>
                      <w:color w:val="auto"/>
                      <w:sz w:val="18"/>
                      <w:szCs w:val="18"/>
                    </w:rPr>
                    <w:t>合计</w:t>
                  </w:r>
                </w:p>
              </w:tc>
            </w:tr>
            <w:tr w14:paraId="4EF113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22FDEEAE">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1</w:t>
                  </w:r>
                </w:p>
              </w:tc>
              <w:tc>
                <w:tcPr>
                  <w:tcW w:w="377" w:type="pct"/>
                  <w:vAlign w:val="center"/>
                </w:tcPr>
                <w:p w14:paraId="6DCB2384">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导线</w:t>
                  </w:r>
                </w:p>
              </w:tc>
              <w:tc>
                <w:tcPr>
                  <w:tcW w:w="271" w:type="pct"/>
                  <w:vAlign w:val="center"/>
                </w:tcPr>
                <w:p w14:paraId="66690139">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t</w:t>
                  </w:r>
                </w:p>
              </w:tc>
              <w:tc>
                <w:tcPr>
                  <w:tcW w:w="587" w:type="pct"/>
                  <w:vAlign w:val="center"/>
                </w:tcPr>
                <w:p w14:paraId="605F5C39">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highlight w:val="none"/>
                    </w:rPr>
                    <w:t>0.</w:t>
                  </w:r>
                  <w:r>
                    <w:rPr>
                      <w:rFonts w:hint="eastAsia"/>
                      <w:color w:val="auto"/>
                      <w:sz w:val="18"/>
                      <w:szCs w:val="18"/>
                      <w:highlight w:val="none"/>
                      <w:lang w:val="en-US" w:eastAsia="zh-CN"/>
                    </w:rPr>
                    <w:t>8</w:t>
                  </w:r>
                </w:p>
              </w:tc>
              <w:tc>
                <w:tcPr>
                  <w:tcW w:w="770" w:type="pct"/>
                  <w:vAlign w:val="center"/>
                </w:tcPr>
                <w:p w14:paraId="6353B6C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lang w:val="en-US" w:eastAsia="zh-CN"/>
                    </w:rPr>
                    <w:t>0.1</w:t>
                  </w:r>
                </w:p>
              </w:tc>
              <w:tc>
                <w:tcPr>
                  <w:tcW w:w="849" w:type="pct"/>
                  <w:vAlign w:val="center"/>
                </w:tcPr>
                <w:p w14:paraId="40BB2B6B">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rPr>
                    <w:t>0.4</w:t>
                  </w:r>
                </w:p>
              </w:tc>
              <w:tc>
                <w:tcPr>
                  <w:tcW w:w="694" w:type="pct"/>
                  <w:vAlign w:val="center"/>
                </w:tcPr>
                <w:p w14:paraId="0208E15A">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89.5</w:t>
                  </w:r>
                </w:p>
              </w:tc>
              <w:tc>
                <w:tcPr>
                  <w:tcW w:w="753" w:type="pct"/>
                  <w:vAlign w:val="center"/>
                </w:tcPr>
                <w:p w14:paraId="5C939DAD">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93.5</w:t>
                  </w:r>
                </w:p>
              </w:tc>
              <w:tc>
                <w:tcPr>
                  <w:tcW w:w="464" w:type="pct"/>
                  <w:vAlign w:val="center"/>
                </w:tcPr>
                <w:p w14:paraId="122CED15">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184.3</w:t>
                  </w:r>
                </w:p>
              </w:tc>
            </w:tr>
            <w:tr w14:paraId="4073F8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0FE081B8">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2</w:t>
                  </w:r>
                </w:p>
              </w:tc>
              <w:tc>
                <w:tcPr>
                  <w:tcW w:w="377" w:type="pct"/>
                  <w:vAlign w:val="center"/>
                </w:tcPr>
                <w:p w14:paraId="13334E29">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地线</w:t>
                  </w:r>
                </w:p>
              </w:tc>
              <w:tc>
                <w:tcPr>
                  <w:tcW w:w="271" w:type="pct"/>
                  <w:vAlign w:val="center"/>
                </w:tcPr>
                <w:p w14:paraId="5082EE73">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t</w:t>
                  </w:r>
                </w:p>
              </w:tc>
              <w:tc>
                <w:tcPr>
                  <w:tcW w:w="587" w:type="pct"/>
                  <w:vAlign w:val="center"/>
                </w:tcPr>
                <w:p w14:paraId="0B4BC4DE">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 w:val="18"/>
                      <w:szCs w:val="18"/>
                      <w:lang w:eastAsia="zh-CN"/>
                    </w:rPr>
                  </w:pPr>
                  <w:r>
                    <w:rPr>
                      <w:rFonts w:hint="eastAsia"/>
                      <w:color w:val="auto"/>
                      <w:sz w:val="18"/>
                      <w:szCs w:val="18"/>
                      <w:highlight w:val="none"/>
                    </w:rPr>
                    <w:t>0.</w:t>
                  </w:r>
                  <w:r>
                    <w:rPr>
                      <w:rFonts w:hint="eastAsia"/>
                      <w:color w:val="auto"/>
                      <w:sz w:val="18"/>
                      <w:szCs w:val="18"/>
                      <w:highlight w:val="none"/>
                      <w:lang w:val="en-US" w:eastAsia="zh-CN"/>
                    </w:rPr>
                    <w:t>45</w:t>
                  </w:r>
                </w:p>
              </w:tc>
              <w:tc>
                <w:tcPr>
                  <w:tcW w:w="770" w:type="pct"/>
                  <w:vAlign w:val="center"/>
                </w:tcPr>
                <w:p w14:paraId="5148479C">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lang w:val="en-US" w:eastAsia="zh-CN"/>
                    </w:rPr>
                    <w:t>0.03</w:t>
                  </w:r>
                </w:p>
              </w:tc>
              <w:tc>
                <w:tcPr>
                  <w:tcW w:w="849" w:type="pct"/>
                  <w:vAlign w:val="center"/>
                </w:tcPr>
                <w:p w14:paraId="6B6483F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rPr>
                    <w:t>0.2</w:t>
                  </w:r>
                  <w:r>
                    <w:rPr>
                      <w:rFonts w:hint="eastAsia"/>
                      <w:color w:val="auto"/>
                      <w:sz w:val="18"/>
                      <w:szCs w:val="18"/>
                      <w:lang w:val="en-US" w:eastAsia="zh-CN"/>
                    </w:rPr>
                    <w:t>0</w:t>
                  </w:r>
                </w:p>
              </w:tc>
              <w:tc>
                <w:tcPr>
                  <w:tcW w:w="694" w:type="pct"/>
                  <w:vAlign w:val="center"/>
                </w:tcPr>
                <w:p w14:paraId="1ED86932">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18.7</w:t>
                  </w:r>
                </w:p>
              </w:tc>
              <w:tc>
                <w:tcPr>
                  <w:tcW w:w="753" w:type="pct"/>
                  <w:vAlign w:val="center"/>
                </w:tcPr>
                <w:p w14:paraId="1C94655A">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highlight w:val="none"/>
                      <w:lang w:val="en-US"/>
                    </w:rPr>
                  </w:pPr>
                  <w:r>
                    <w:rPr>
                      <w:rFonts w:hint="eastAsia" w:ascii="Times New Roman" w:hAnsi="Times New Roman" w:cs="Times New Roman"/>
                      <w:color w:val="auto"/>
                      <w:kern w:val="2"/>
                      <w:sz w:val="18"/>
                      <w:szCs w:val="18"/>
                      <w:highlight w:val="none"/>
                      <w:lang w:val="en-US" w:eastAsia="zh-CN" w:bidi="ar-SA"/>
                    </w:rPr>
                    <w:t>35.1</w:t>
                  </w:r>
                </w:p>
              </w:tc>
              <w:tc>
                <w:tcPr>
                  <w:tcW w:w="464" w:type="pct"/>
                  <w:vAlign w:val="center"/>
                </w:tcPr>
                <w:p w14:paraId="17B598F2">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highlight w:val="none"/>
                      <w:lang w:val="en-US" w:eastAsia="zh-CN"/>
                    </w:rPr>
                  </w:pPr>
                  <w:r>
                    <w:rPr>
                      <w:rFonts w:hint="eastAsia"/>
                      <w:color w:val="auto"/>
                      <w:sz w:val="18"/>
                      <w:szCs w:val="18"/>
                      <w:highlight w:val="none"/>
                      <w:lang w:val="en-US" w:eastAsia="zh-CN"/>
                    </w:rPr>
                    <w:t>54.48</w:t>
                  </w:r>
                </w:p>
              </w:tc>
            </w:tr>
            <w:tr w14:paraId="67B65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33401003">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3</w:t>
                  </w:r>
                </w:p>
              </w:tc>
              <w:tc>
                <w:tcPr>
                  <w:tcW w:w="377" w:type="pct"/>
                  <w:vAlign w:val="center"/>
                </w:tcPr>
                <w:p w14:paraId="5A5FDC22">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杆塔钢材</w:t>
                  </w:r>
                </w:p>
              </w:tc>
              <w:tc>
                <w:tcPr>
                  <w:tcW w:w="271" w:type="pct"/>
                  <w:vAlign w:val="center"/>
                </w:tcPr>
                <w:p w14:paraId="4B70AC57">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t</w:t>
                  </w:r>
                </w:p>
              </w:tc>
              <w:tc>
                <w:tcPr>
                  <w:tcW w:w="587" w:type="pct"/>
                  <w:vAlign w:val="center"/>
                </w:tcPr>
                <w:p w14:paraId="2BC72CDE">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highlight w:val="none"/>
                    </w:rPr>
                    <w:t>/</w:t>
                  </w:r>
                </w:p>
              </w:tc>
              <w:tc>
                <w:tcPr>
                  <w:tcW w:w="770" w:type="pct"/>
                  <w:vAlign w:val="center"/>
                </w:tcPr>
                <w:p w14:paraId="587318EA">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z w:val="18"/>
                      <w:szCs w:val="18"/>
                    </w:rPr>
                  </w:pPr>
                  <w:r>
                    <w:rPr>
                      <w:rFonts w:hint="eastAsia"/>
                      <w:color w:val="auto"/>
                      <w:sz w:val="18"/>
                      <w:szCs w:val="18"/>
                      <w:highlight w:val="none"/>
                    </w:rPr>
                    <w:t>/</w:t>
                  </w:r>
                </w:p>
              </w:tc>
              <w:tc>
                <w:tcPr>
                  <w:tcW w:w="849" w:type="pct"/>
                  <w:vAlign w:val="center"/>
                </w:tcPr>
                <w:p w14:paraId="650860A5">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rPr>
                    <w:t>/</w:t>
                  </w:r>
                </w:p>
              </w:tc>
              <w:tc>
                <w:tcPr>
                  <w:tcW w:w="694" w:type="pct"/>
                  <w:vAlign w:val="center"/>
                </w:tcPr>
                <w:p w14:paraId="701F7CC4">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319.2</w:t>
                  </w:r>
                </w:p>
              </w:tc>
              <w:tc>
                <w:tcPr>
                  <w:tcW w:w="753" w:type="pct"/>
                  <w:vAlign w:val="center"/>
                </w:tcPr>
                <w:p w14:paraId="01422156">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762.9</w:t>
                  </w:r>
                </w:p>
              </w:tc>
              <w:tc>
                <w:tcPr>
                  <w:tcW w:w="464" w:type="pct"/>
                  <w:vAlign w:val="center"/>
                </w:tcPr>
                <w:p w14:paraId="26D23D2C">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1082.1</w:t>
                  </w:r>
                </w:p>
              </w:tc>
            </w:tr>
            <w:tr w14:paraId="3D6FF1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4136ACC1">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4</w:t>
                  </w:r>
                </w:p>
              </w:tc>
              <w:tc>
                <w:tcPr>
                  <w:tcW w:w="377" w:type="pct"/>
                  <w:vAlign w:val="center"/>
                </w:tcPr>
                <w:p w14:paraId="10AB409B">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基础钢材</w:t>
                  </w:r>
                </w:p>
              </w:tc>
              <w:tc>
                <w:tcPr>
                  <w:tcW w:w="271" w:type="pct"/>
                  <w:vAlign w:val="center"/>
                </w:tcPr>
                <w:p w14:paraId="39F791BE">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t</w:t>
                  </w:r>
                </w:p>
              </w:tc>
              <w:tc>
                <w:tcPr>
                  <w:tcW w:w="587" w:type="pct"/>
                  <w:vAlign w:val="center"/>
                </w:tcPr>
                <w:p w14:paraId="26A410F6">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highlight w:val="none"/>
                      <w:lang w:val="en-US" w:eastAsia="zh-CN"/>
                    </w:rPr>
                    <w:t>1.2</w:t>
                  </w:r>
                </w:p>
              </w:tc>
              <w:tc>
                <w:tcPr>
                  <w:tcW w:w="770" w:type="pct"/>
                  <w:vAlign w:val="center"/>
                </w:tcPr>
                <w:p w14:paraId="59002EB1">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z w:val="18"/>
                      <w:szCs w:val="18"/>
                    </w:rPr>
                  </w:pPr>
                  <w:r>
                    <w:rPr>
                      <w:rFonts w:hint="eastAsia"/>
                      <w:color w:val="auto"/>
                      <w:sz w:val="18"/>
                      <w:szCs w:val="18"/>
                    </w:rPr>
                    <w:t>0.</w:t>
                  </w:r>
                  <w:r>
                    <w:rPr>
                      <w:rFonts w:hint="eastAsia"/>
                      <w:color w:val="auto"/>
                      <w:sz w:val="18"/>
                      <w:szCs w:val="18"/>
                      <w:lang w:val="en-US" w:eastAsia="zh-CN"/>
                    </w:rPr>
                    <w:t>30</w:t>
                  </w:r>
                </w:p>
              </w:tc>
              <w:tc>
                <w:tcPr>
                  <w:tcW w:w="849" w:type="pct"/>
                  <w:vAlign w:val="center"/>
                </w:tcPr>
                <w:p w14:paraId="77138C50">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highlight w:val="none"/>
                    </w:rPr>
                    <w:t>/</w:t>
                  </w:r>
                </w:p>
              </w:tc>
              <w:tc>
                <w:tcPr>
                  <w:tcW w:w="694" w:type="pct"/>
                  <w:vAlign w:val="center"/>
                </w:tcPr>
                <w:p w14:paraId="4CB3B827">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51.2</w:t>
                  </w:r>
                </w:p>
              </w:tc>
              <w:tc>
                <w:tcPr>
                  <w:tcW w:w="753" w:type="pct"/>
                  <w:vAlign w:val="center"/>
                </w:tcPr>
                <w:p w14:paraId="09EEC16E">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108.1</w:t>
                  </w:r>
                </w:p>
              </w:tc>
              <w:tc>
                <w:tcPr>
                  <w:tcW w:w="464" w:type="pct"/>
                  <w:vAlign w:val="center"/>
                </w:tcPr>
                <w:p w14:paraId="3A94F498">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160.8</w:t>
                  </w:r>
                </w:p>
              </w:tc>
            </w:tr>
            <w:tr w14:paraId="783B05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65B54479">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5</w:t>
                  </w:r>
                </w:p>
              </w:tc>
              <w:tc>
                <w:tcPr>
                  <w:tcW w:w="377" w:type="pct"/>
                  <w:vAlign w:val="center"/>
                </w:tcPr>
                <w:p w14:paraId="6D1DB5D4">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接地钢材</w:t>
                  </w:r>
                </w:p>
              </w:tc>
              <w:tc>
                <w:tcPr>
                  <w:tcW w:w="271" w:type="pct"/>
                  <w:vAlign w:val="center"/>
                </w:tcPr>
                <w:p w14:paraId="399BA814">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t</w:t>
                  </w:r>
                </w:p>
              </w:tc>
              <w:tc>
                <w:tcPr>
                  <w:tcW w:w="587" w:type="pct"/>
                  <w:vAlign w:val="center"/>
                </w:tcPr>
                <w:p w14:paraId="6E71DFDB">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highlight w:val="none"/>
                      <w:lang w:val="en-US" w:eastAsia="zh-CN"/>
                    </w:rPr>
                    <w:t>0.85</w:t>
                  </w:r>
                </w:p>
              </w:tc>
              <w:tc>
                <w:tcPr>
                  <w:tcW w:w="770" w:type="pct"/>
                  <w:vAlign w:val="center"/>
                </w:tcPr>
                <w:p w14:paraId="024746FA">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z w:val="18"/>
                      <w:szCs w:val="18"/>
                    </w:rPr>
                  </w:pPr>
                  <w:r>
                    <w:rPr>
                      <w:rFonts w:hint="eastAsia"/>
                      <w:color w:val="auto"/>
                      <w:sz w:val="18"/>
                      <w:szCs w:val="18"/>
                    </w:rPr>
                    <w:t>0.</w:t>
                  </w:r>
                  <w:r>
                    <w:rPr>
                      <w:rFonts w:hint="eastAsia"/>
                      <w:color w:val="auto"/>
                      <w:sz w:val="18"/>
                      <w:szCs w:val="18"/>
                      <w:lang w:val="en-US" w:eastAsia="zh-CN"/>
                    </w:rPr>
                    <w:t>10</w:t>
                  </w:r>
                </w:p>
              </w:tc>
              <w:tc>
                <w:tcPr>
                  <w:tcW w:w="849" w:type="pct"/>
                  <w:vAlign w:val="center"/>
                </w:tcPr>
                <w:p w14:paraId="6A8AE30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highlight w:val="none"/>
                    </w:rPr>
                    <w:t>/</w:t>
                  </w:r>
                </w:p>
              </w:tc>
              <w:tc>
                <w:tcPr>
                  <w:tcW w:w="694" w:type="pct"/>
                  <w:vAlign w:val="center"/>
                </w:tcPr>
                <w:p w14:paraId="5BDCF488">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4.9</w:t>
                  </w:r>
                </w:p>
              </w:tc>
              <w:tc>
                <w:tcPr>
                  <w:tcW w:w="753" w:type="pct"/>
                  <w:vAlign w:val="center"/>
                </w:tcPr>
                <w:p w14:paraId="0AAD7765">
                  <w:pPr>
                    <w:pStyle w:val="78"/>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18"/>
                      <w:szCs w:val="18"/>
                      <w:lang w:val="en-US" w:eastAsia="zh-CN"/>
                    </w:rPr>
                  </w:pPr>
                  <w:r>
                    <w:rPr>
                      <w:rFonts w:hint="eastAsia" w:ascii="Times New Roman" w:hAnsi="Times New Roman" w:cs="Times New Roman"/>
                      <w:color w:val="auto"/>
                      <w:kern w:val="2"/>
                      <w:sz w:val="18"/>
                      <w:szCs w:val="18"/>
                      <w:highlight w:val="none"/>
                      <w:lang w:val="en-US" w:eastAsia="zh-CN" w:bidi="ar-SA"/>
                    </w:rPr>
                    <w:t>12.5</w:t>
                  </w:r>
                </w:p>
              </w:tc>
              <w:tc>
                <w:tcPr>
                  <w:tcW w:w="464" w:type="pct"/>
                  <w:vAlign w:val="center"/>
                </w:tcPr>
                <w:p w14:paraId="3673D43F">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18.35</w:t>
                  </w:r>
                </w:p>
              </w:tc>
            </w:tr>
            <w:tr w14:paraId="5509DE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46986E79">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6</w:t>
                  </w:r>
                </w:p>
              </w:tc>
              <w:tc>
                <w:tcPr>
                  <w:tcW w:w="377" w:type="pct"/>
                  <w:vAlign w:val="center"/>
                </w:tcPr>
                <w:p w14:paraId="2426EA42">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绝缘子</w:t>
                  </w:r>
                </w:p>
              </w:tc>
              <w:tc>
                <w:tcPr>
                  <w:tcW w:w="271" w:type="pct"/>
                  <w:vAlign w:val="center"/>
                </w:tcPr>
                <w:p w14:paraId="583175ED">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片</w:t>
                  </w:r>
                </w:p>
              </w:tc>
              <w:tc>
                <w:tcPr>
                  <w:tcW w:w="587" w:type="pct"/>
                  <w:vAlign w:val="center"/>
                </w:tcPr>
                <w:p w14:paraId="09FCA274">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highlight w:val="none"/>
                      <w:lang w:val="en-US" w:eastAsia="zh-CN"/>
                    </w:rPr>
                    <w:t>520</w:t>
                  </w:r>
                </w:p>
              </w:tc>
              <w:tc>
                <w:tcPr>
                  <w:tcW w:w="770" w:type="pct"/>
                  <w:vAlign w:val="center"/>
                </w:tcPr>
                <w:p w14:paraId="5E0EDFC7">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lang w:val="en-US" w:eastAsia="zh-CN"/>
                    </w:rPr>
                  </w:pPr>
                  <w:r>
                    <w:rPr>
                      <w:rFonts w:hint="eastAsia"/>
                      <w:color w:val="auto"/>
                      <w:sz w:val="18"/>
                      <w:szCs w:val="18"/>
                      <w:lang w:val="en-US" w:eastAsia="zh-CN"/>
                    </w:rPr>
                    <w:t>27</w:t>
                  </w:r>
                </w:p>
              </w:tc>
              <w:tc>
                <w:tcPr>
                  <w:tcW w:w="849" w:type="pct"/>
                  <w:vAlign w:val="center"/>
                </w:tcPr>
                <w:p w14:paraId="6E244995">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highlight w:val="none"/>
                    </w:rPr>
                    <w:t>/</w:t>
                  </w:r>
                </w:p>
              </w:tc>
              <w:tc>
                <w:tcPr>
                  <w:tcW w:w="694" w:type="pct"/>
                  <w:vAlign w:val="center"/>
                </w:tcPr>
                <w:p w14:paraId="25E69504">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lang w:val="en-US" w:eastAsia="zh-CN"/>
                    </w:rPr>
                  </w:pPr>
                  <w:r>
                    <w:rPr>
                      <w:rFonts w:hint="eastAsia"/>
                      <w:color w:val="auto"/>
                      <w:sz w:val="18"/>
                      <w:szCs w:val="18"/>
                      <w:lang w:val="en-US" w:eastAsia="zh-CN"/>
                    </w:rPr>
                    <w:t>6043</w:t>
                  </w:r>
                </w:p>
              </w:tc>
              <w:tc>
                <w:tcPr>
                  <w:tcW w:w="753" w:type="pct"/>
                  <w:vAlign w:val="center"/>
                </w:tcPr>
                <w:p w14:paraId="4EE7A3F5">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lang w:val="en-US" w:eastAsia="zh-CN"/>
                    </w:rPr>
                  </w:pPr>
                  <w:r>
                    <w:rPr>
                      <w:rFonts w:hint="eastAsia"/>
                      <w:color w:val="auto"/>
                      <w:sz w:val="18"/>
                      <w:szCs w:val="18"/>
                      <w:highlight w:val="none"/>
                      <w:lang w:val="en-US" w:eastAsia="zh-CN"/>
                    </w:rPr>
                    <w:t>7808</w:t>
                  </w:r>
                </w:p>
              </w:tc>
              <w:tc>
                <w:tcPr>
                  <w:tcW w:w="464" w:type="pct"/>
                  <w:vAlign w:val="center"/>
                </w:tcPr>
                <w:p w14:paraId="4F2A2AA5">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14398</w:t>
                  </w:r>
                </w:p>
              </w:tc>
            </w:tr>
            <w:tr w14:paraId="18AD7A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 w:type="pct"/>
                  <w:vAlign w:val="center"/>
                </w:tcPr>
                <w:p w14:paraId="656A5008">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color w:val="auto"/>
                      <w:sz w:val="18"/>
                      <w:szCs w:val="18"/>
                    </w:rPr>
                    <w:t>7</w:t>
                  </w:r>
                </w:p>
              </w:tc>
              <w:tc>
                <w:tcPr>
                  <w:tcW w:w="377" w:type="pct"/>
                  <w:vAlign w:val="center"/>
                </w:tcPr>
                <w:p w14:paraId="63699277">
                  <w:pPr>
                    <w:keepNext w:val="0"/>
                    <w:keepLines w:val="0"/>
                    <w:pageBreakBefore w:val="0"/>
                    <w:widowControl w:val="0"/>
                    <w:kinsoku/>
                    <w:wordWrap/>
                    <w:overflowPunct/>
                    <w:topLinePunct w:val="0"/>
                    <w:autoSpaceDE/>
                    <w:autoSpaceDN/>
                    <w:bidi w:val="0"/>
                    <w:adjustRightInd/>
                    <w:snapToGrid/>
                    <w:jc w:val="center"/>
                    <w:textAlignment w:val="auto"/>
                    <w:rPr>
                      <w:color w:val="auto"/>
                      <w:sz w:val="18"/>
                      <w:szCs w:val="18"/>
                    </w:rPr>
                  </w:pPr>
                  <w:r>
                    <w:rPr>
                      <w:rFonts w:hint="eastAsia"/>
                      <w:color w:val="auto"/>
                      <w:sz w:val="18"/>
                      <w:szCs w:val="18"/>
                    </w:rPr>
                    <w:t>混凝土</w:t>
                  </w:r>
                </w:p>
              </w:tc>
              <w:tc>
                <w:tcPr>
                  <w:tcW w:w="271" w:type="pct"/>
                  <w:vAlign w:val="center"/>
                </w:tcPr>
                <w:p w14:paraId="12D45A9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lang w:val="en-US" w:eastAsia="zh-CN"/>
                    </w:rPr>
                    <w:t>m</w:t>
                  </w:r>
                  <w:r>
                    <w:rPr>
                      <w:rFonts w:hint="eastAsia"/>
                      <w:color w:val="auto"/>
                      <w:sz w:val="18"/>
                      <w:szCs w:val="18"/>
                      <w:vertAlign w:val="superscript"/>
                      <w:lang w:val="en-US" w:eastAsia="zh-CN"/>
                    </w:rPr>
                    <w:t>3</w:t>
                  </w:r>
                </w:p>
              </w:tc>
              <w:tc>
                <w:tcPr>
                  <w:tcW w:w="587" w:type="pct"/>
                  <w:vAlign w:val="center"/>
                </w:tcPr>
                <w:p w14:paraId="15A89448">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 w:val="18"/>
                      <w:szCs w:val="18"/>
                      <w:lang w:eastAsia="zh-CN"/>
                    </w:rPr>
                  </w:pPr>
                  <w:r>
                    <w:rPr>
                      <w:rFonts w:hint="eastAsia"/>
                      <w:color w:val="auto"/>
                      <w:sz w:val="18"/>
                      <w:szCs w:val="18"/>
                      <w:highlight w:val="none"/>
                      <w:lang w:val="en-US" w:eastAsia="zh-CN"/>
                    </w:rPr>
                    <w:t>21.3</w:t>
                  </w:r>
                </w:p>
              </w:tc>
              <w:tc>
                <w:tcPr>
                  <w:tcW w:w="770" w:type="pct"/>
                  <w:vAlign w:val="center"/>
                </w:tcPr>
                <w:p w14:paraId="53BE1154">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rPr>
                    <w:t>2.</w:t>
                  </w:r>
                  <w:r>
                    <w:rPr>
                      <w:rFonts w:hint="eastAsia"/>
                      <w:color w:val="auto"/>
                      <w:sz w:val="18"/>
                      <w:szCs w:val="18"/>
                      <w:lang w:val="en-US" w:eastAsia="zh-CN"/>
                    </w:rPr>
                    <w:t>5</w:t>
                  </w:r>
                </w:p>
              </w:tc>
              <w:tc>
                <w:tcPr>
                  <w:tcW w:w="849" w:type="pct"/>
                  <w:vAlign w:val="center"/>
                </w:tcPr>
                <w:p w14:paraId="730A8DCA">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 w:val="18"/>
                      <w:szCs w:val="18"/>
                      <w:lang w:val="en-US" w:eastAsia="zh-CN"/>
                    </w:rPr>
                  </w:pPr>
                  <w:r>
                    <w:rPr>
                      <w:rFonts w:hint="eastAsia"/>
                      <w:color w:val="auto"/>
                      <w:sz w:val="18"/>
                      <w:szCs w:val="18"/>
                      <w:lang w:val="en-US" w:eastAsia="zh-CN"/>
                    </w:rPr>
                    <w:t>0.5</w:t>
                  </w:r>
                </w:p>
              </w:tc>
              <w:tc>
                <w:tcPr>
                  <w:tcW w:w="694" w:type="pct"/>
                  <w:vAlign w:val="center"/>
                </w:tcPr>
                <w:p w14:paraId="7C0B4413">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lang w:val="en-US" w:eastAsia="zh-CN"/>
                    </w:rPr>
                  </w:pPr>
                  <w:r>
                    <w:rPr>
                      <w:rFonts w:hint="eastAsia"/>
                      <w:color w:val="auto"/>
                      <w:sz w:val="18"/>
                      <w:szCs w:val="18"/>
                      <w:lang w:val="en-US" w:eastAsia="zh-CN"/>
                    </w:rPr>
                    <w:t>961.5</w:t>
                  </w:r>
                </w:p>
              </w:tc>
              <w:tc>
                <w:tcPr>
                  <w:tcW w:w="753" w:type="pct"/>
                  <w:vAlign w:val="center"/>
                </w:tcPr>
                <w:p w14:paraId="58657242">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lang w:val="en-US" w:eastAsia="zh-CN"/>
                    </w:rPr>
                  </w:pPr>
                  <w:r>
                    <w:rPr>
                      <w:rFonts w:hint="eastAsia"/>
                      <w:color w:val="auto"/>
                      <w:sz w:val="18"/>
                      <w:szCs w:val="18"/>
                      <w:highlight w:val="none"/>
                      <w:lang w:val="en-US" w:eastAsia="zh-CN"/>
                    </w:rPr>
                    <w:t>1943.9</w:t>
                  </w:r>
                </w:p>
              </w:tc>
              <w:tc>
                <w:tcPr>
                  <w:tcW w:w="464" w:type="pct"/>
                  <w:vAlign w:val="center"/>
                </w:tcPr>
                <w:p w14:paraId="2C015BE0">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sz w:val="18"/>
                      <w:szCs w:val="18"/>
                      <w:highlight w:val="none"/>
                      <w:lang w:val="en-US" w:eastAsia="zh-CN"/>
                    </w:rPr>
                  </w:pPr>
                  <w:r>
                    <w:rPr>
                      <w:rFonts w:hint="eastAsia"/>
                      <w:color w:val="auto"/>
                      <w:sz w:val="18"/>
                      <w:szCs w:val="18"/>
                      <w:highlight w:val="none"/>
                      <w:lang w:val="en-US" w:eastAsia="zh-CN"/>
                    </w:rPr>
                    <w:t>2929.7</w:t>
                  </w:r>
                </w:p>
              </w:tc>
            </w:tr>
          </w:tbl>
          <w:p w14:paraId="7930E4BA">
            <w:pPr>
              <w:spacing w:line="360" w:lineRule="auto"/>
              <w:ind w:firstLine="422" w:firstLineChars="200"/>
              <w:rPr>
                <w:b/>
                <w:color w:val="auto"/>
                <w:szCs w:val="21"/>
              </w:rPr>
            </w:pPr>
            <w:r>
              <w:rPr>
                <w:rFonts w:hint="eastAsia"/>
                <w:b/>
                <w:color w:val="auto"/>
                <w:szCs w:val="21"/>
              </w:rPr>
              <w:t>2</w:t>
            </w:r>
            <w:r>
              <w:rPr>
                <w:b/>
                <w:color w:val="auto"/>
                <w:szCs w:val="21"/>
              </w:rPr>
              <w:t>、</w:t>
            </w:r>
            <w:r>
              <w:rPr>
                <w:rFonts w:hint="eastAsia"/>
                <w:b/>
                <w:color w:val="auto"/>
                <w:szCs w:val="21"/>
              </w:rPr>
              <w:t>主要经济技术指标</w:t>
            </w:r>
          </w:p>
          <w:p w14:paraId="792BF80E">
            <w:pPr>
              <w:spacing w:line="360" w:lineRule="auto"/>
              <w:ind w:firstLine="420" w:firstLineChars="200"/>
              <w:rPr>
                <w:color w:val="auto"/>
                <w:szCs w:val="21"/>
              </w:rPr>
            </w:pPr>
            <w:r>
              <w:rPr>
                <w:rFonts w:hint="eastAsia"/>
                <w:color w:val="auto"/>
                <w:szCs w:val="21"/>
              </w:rPr>
              <w:t>本项目主要经济</w:t>
            </w:r>
            <w:r>
              <w:rPr>
                <w:rFonts w:hint="eastAsia"/>
                <w:color w:val="auto"/>
                <w:szCs w:val="21"/>
                <w:lang w:eastAsia="zh-CN"/>
              </w:rPr>
              <w:t>技术指标</w:t>
            </w:r>
            <w:r>
              <w:rPr>
                <w:rFonts w:hint="eastAsia"/>
                <w:color w:val="auto"/>
                <w:szCs w:val="21"/>
              </w:rPr>
              <w:t>见下表。</w:t>
            </w:r>
          </w:p>
          <w:p w14:paraId="5B66859B">
            <w:pPr>
              <w:tabs>
                <w:tab w:val="left" w:pos="3240"/>
              </w:tabs>
              <w:jc w:val="center"/>
              <w:rPr>
                <w:rFonts w:eastAsia="黑体"/>
                <w:color w:val="auto"/>
                <w:szCs w:val="21"/>
              </w:rPr>
            </w:pPr>
            <w:r>
              <w:rPr>
                <w:rFonts w:eastAsia="黑体"/>
                <w:color w:val="auto"/>
                <w:szCs w:val="21"/>
              </w:rPr>
              <w:t>表</w:t>
            </w:r>
            <w:r>
              <w:rPr>
                <w:rFonts w:hint="eastAsia" w:eastAsia="黑体"/>
                <w:color w:val="auto"/>
                <w:szCs w:val="21"/>
              </w:rPr>
              <w:t>2-</w:t>
            </w:r>
            <w:r>
              <w:rPr>
                <w:rFonts w:hint="eastAsia" w:eastAsia="黑体"/>
                <w:color w:val="auto"/>
                <w:szCs w:val="21"/>
                <w:lang w:val="en-US" w:eastAsia="zh-CN"/>
              </w:rPr>
              <w:t>7</w:t>
            </w:r>
            <w:r>
              <w:rPr>
                <w:rFonts w:eastAsia="黑体"/>
                <w:color w:val="auto"/>
                <w:szCs w:val="21"/>
              </w:rPr>
              <w:t xml:space="preserve">  本项目主要技术经济</w:t>
            </w:r>
            <w:r>
              <w:rPr>
                <w:rFonts w:hint="eastAsia" w:eastAsia="黑体"/>
                <w:color w:val="auto"/>
                <w:szCs w:val="21"/>
              </w:rPr>
              <w:t>指标</w:t>
            </w:r>
          </w:p>
          <w:tbl>
            <w:tblPr>
              <w:tblStyle w:val="25"/>
              <w:tblW w:w="499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595"/>
              <w:gridCol w:w="607"/>
              <w:gridCol w:w="600"/>
              <w:gridCol w:w="938"/>
              <w:gridCol w:w="1178"/>
              <w:gridCol w:w="1252"/>
              <w:gridCol w:w="1008"/>
              <w:gridCol w:w="1127"/>
              <w:gridCol w:w="783"/>
            </w:tblGrid>
            <w:tr w14:paraId="2C3C43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3" w:type="pct"/>
                  <w:vAlign w:val="center"/>
                </w:tcPr>
                <w:p w14:paraId="31033042">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序号</w:t>
                  </w:r>
                </w:p>
              </w:tc>
              <w:tc>
                <w:tcPr>
                  <w:tcW w:w="693" w:type="pct"/>
                  <w:gridSpan w:val="2"/>
                  <w:vAlign w:val="center"/>
                </w:tcPr>
                <w:p w14:paraId="366B6DCB">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名称</w:t>
                  </w:r>
                </w:p>
              </w:tc>
              <w:tc>
                <w:tcPr>
                  <w:tcW w:w="346" w:type="pct"/>
                  <w:vAlign w:val="center"/>
                </w:tcPr>
                <w:p w14:paraId="1A279906">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单位</w:t>
                  </w:r>
                </w:p>
              </w:tc>
              <w:tc>
                <w:tcPr>
                  <w:tcW w:w="541" w:type="pct"/>
                  <w:vAlign w:val="center"/>
                </w:tcPr>
                <w:p w14:paraId="33F4672D">
                  <w:pPr>
                    <w:keepNext w:val="0"/>
                    <w:keepLines w:val="0"/>
                    <w:pageBreakBefore w:val="0"/>
                    <w:tabs>
                      <w:tab w:val="left" w:pos="3240"/>
                    </w:tabs>
                    <w:kinsoku/>
                    <w:wordWrap/>
                    <w:overflowPunct/>
                    <w:topLinePunct w:val="0"/>
                    <w:autoSpaceDE/>
                    <w:autoSpaceDN/>
                    <w:bidi w:val="0"/>
                    <w:adjustRightInd/>
                    <w:snapToGrid/>
                    <w:spacing w:line="300" w:lineRule="exact"/>
                    <w:jc w:val="center"/>
                    <w:rPr>
                      <w:rFonts w:hint="eastAsia"/>
                      <w:color w:val="auto"/>
                      <w:sz w:val="18"/>
                      <w:szCs w:val="18"/>
                      <w:lang w:val="en-US" w:eastAsia="zh-CN"/>
                    </w:rPr>
                  </w:pPr>
                  <w:r>
                    <w:rPr>
                      <w:rFonts w:hint="eastAsia"/>
                      <w:color w:val="auto"/>
                      <w:sz w:val="18"/>
                      <w:szCs w:val="18"/>
                      <w:lang w:val="en-US" w:eastAsia="zh-CN"/>
                    </w:rPr>
                    <w:t>司城</w:t>
                  </w:r>
                  <w:r>
                    <w:rPr>
                      <w:rFonts w:hint="eastAsia"/>
                      <w:color w:val="auto"/>
                      <w:sz w:val="18"/>
                      <w:szCs w:val="18"/>
                      <w:lang w:eastAsia="zh-CN"/>
                    </w:rPr>
                    <w:t>110kV变电站新建工程</w:t>
                  </w:r>
                </w:p>
              </w:tc>
              <w:tc>
                <w:tcPr>
                  <w:tcW w:w="679" w:type="pct"/>
                  <w:vAlign w:val="center"/>
                </w:tcPr>
                <w:p w14:paraId="5843FFBD">
                  <w:pPr>
                    <w:keepNext w:val="0"/>
                    <w:keepLines w:val="0"/>
                    <w:pageBreakBefore w:val="0"/>
                    <w:tabs>
                      <w:tab w:val="left" w:pos="3240"/>
                    </w:tabs>
                    <w:kinsoku/>
                    <w:wordWrap/>
                    <w:overflowPunct/>
                    <w:topLinePunct w:val="0"/>
                    <w:autoSpaceDE/>
                    <w:autoSpaceDN/>
                    <w:bidi w:val="0"/>
                    <w:adjustRightInd/>
                    <w:snapToGrid/>
                    <w:spacing w:line="300" w:lineRule="exact"/>
                    <w:jc w:val="center"/>
                    <w:rPr>
                      <w:rFonts w:hint="eastAsia" w:eastAsia="宋体"/>
                      <w:color w:val="auto"/>
                      <w:sz w:val="18"/>
                      <w:szCs w:val="18"/>
                      <w:lang w:eastAsia="zh-CN"/>
                    </w:rPr>
                  </w:pPr>
                  <w:r>
                    <w:rPr>
                      <w:rFonts w:hint="eastAsia"/>
                      <w:color w:val="auto"/>
                      <w:sz w:val="18"/>
                      <w:szCs w:val="18"/>
                      <w:lang w:val="en-US" w:eastAsia="zh-CN"/>
                    </w:rPr>
                    <w:t>印合110kV变电站110kV间隔扩建工程</w:t>
                  </w:r>
                </w:p>
              </w:tc>
              <w:tc>
                <w:tcPr>
                  <w:tcW w:w="722" w:type="pct"/>
                  <w:vAlign w:val="center"/>
                </w:tcPr>
                <w:p w14:paraId="05410FD2">
                  <w:pPr>
                    <w:keepNext w:val="0"/>
                    <w:keepLines w:val="0"/>
                    <w:pageBreakBefore w:val="0"/>
                    <w:tabs>
                      <w:tab w:val="left" w:pos="3240"/>
                    </w:tabs>
                    <w:kinsoku/>
                    <w:wordWrap/>
                    <w:overflowPunct/>
                    <w:topLinePunct w:val="0"/>
                    <w:autoSpaceDE/>
                    <w:autoSpaceDN/>
                    <w:bidi w:val="0"/>
                    <w:adjustRightInd/>
                    <w:snapToGrid/>
                    <w:spacing w:line="300" w:lineRule="exact"/>
                    <w:jc w:val="center"/>
                    <w:rPr>
                      <w:rFonts w:hint="eastAsia"/>
                      <w:color w:val="auto"/>
                      <w:sz w:val="18"/>
                      <w:szCs w:val="18"/>
                      <w:lang w:val="en-US" w:eastAsia="zh-CN"/>
                    </w:rPr>
                  </w:pPr>
                  <w:r>
                    <w:rPr>
                      <w:rFonts w:hint="eastAsia"/>
                      <w:color w:val="auto"/>
                      <w:sz w:val="18"/>
                      <w:szCs w:val="18"/>
                      <w:lang w:val="en-US" w:eastAsia="zh-CN"/>
                    </w:rPr>
                    <w:t>盘兴220kV变电站二次完善工程</w:t>
                  </w:r>
                </w:p>
              </w:tc>
              <w:tc>
                <w:tcPr>
                  <w:tcW w:w="581" w:type="pct"/>
                  <w:vAlign w:val="center"/>
                </w:tcPr>
                <w:p w14:paraId="4A4AC834">
                  <w:pPr>
                    <w:keepNext w:val="0"/>
                    <w:keepLines w:val="0"/>
                    <w:pageBreakBefore w:val="0"/>
                    <w:tabs>
                      <w:tab w:val="left" w:pos="3240"/>
                    </w:tabs>
                    <w:kinsoku/>
                    <w:wordWrap/>
                    <w:overflowPunct/>
                    <w:topLinePunct w:val="0"/>
                    <w:autoSpaceDE/>
                    <w:autoSpaceDN/>
                    <w:bidi w:val="0"/>
                    <w:adjustRightInd/>
                    <w:snapToGrid/>
                    <w:spacing w:line="300" w:lineRule="exact"/>
                    <w:jc w:val="center"/>
                    <w:rPr>
                      <w:rFonts w:hint="eastAsia" w:eastAsia="宋体"/>
                      <w:color w:val="auto"/>
                      <w:sz w:val="18"/>
                      <w:szCs w:val="18"/>
                      <w:lang w:eastAsia="zh-CN"/>
                    </w:rPr>
                  </w:pPr>
                  <w:r>
                    <w:rPr>
                      <w:rFonts w:hint="eastAsia"/>
                      <w:color w:val="auto"/>
                      <w:sz w:val="18"/>
                      <w:szCs w:val="18"/>
                      <w:lang w:val="en-US" w:eastAsia="zh-CN"/>
                    </w:rPr>
                    <w:t>盘兴</w:t>
                  </w:r>
                  <w:r>
                    <w:rPr>
                      <w:rFonts w:hint="eastAsia"/>
                      <w:color w:val="auto"/>
                      <w:sz w:val="18"/>
                      <w:szCs w:val="18"/>
                      <w:lang w:eastAsia="zh-CN"/>
                    </w:rPr>
                    <w:t>～</w:t>
                  </w:r>
                  <w:r>
                    <w:rPr>
                      <w:rFonts w:hint="eastAsia"/>
                      <w:color w:val="auto"/>
                      <w:sz w:val="18"/>
                      <w:szCs w:val="18"/>
                      <w:lang w:val="en-US" w:eastAsia="zh-CN"/>
                    </w:rPr>
                    <w:t>司城</w:t>
                  </w:r>
                  <w:r>
                    <w:rPr>
                      <w:rFonts w:hint="eastAsia"/>
                      <w:color w:val="auto"/>
                      <w:sz w:val="18"/>
                      <w:szCs w:val="18"/>
                      <w:lang w:eastAsia="zh-CN"/>
                    </w:rPr>
                    <w:t>110kV线路工程</w:t>
                  </w:r>
                </w:p>
              </w:tc>
              <w:tc>
                <w:tcPr>
                  <w:tcW w:w="650" w:type="pct"/>
                  <w:vAlign w:val="center"/>
                </w:tcPr>
                <w:p w14:paraId="71885DA9">
                  <w:pPr>
                    <w:keepNext w:val="0"/>
                    <w:keepLines w:val="0"/>
                    <w:pageBreakBefore w:val="0"/>
                    <w:tabs>
                      <w:tab w:val="left" w:pos="3240"/>
                    </w:tabs>
                    <w:kinsoku/>
                    <w:wordWrap/>
                    <w:overflowPunct/>
                    <w:topLinePunct w:val="0"/>
                    <w:autoSpaceDE/>
                    <w:autoSpaceDN/>
                    <w:bidi w:val="0"/>
                    <w:adjustRightInd/>
                    <w:snapToGrid/>
                    <w:spacing w:line="300" w:lineRule="exact"/>
                    <w:jc w:val="center"/>
                    <w:rPr>
                      <w:rFonts w:hint="eastAsia"/>
                      <w:color w:val="auto"/>
                      <w:sz w:val="18"/>
                      <w:szCs w:val="18"/>
                      <w:lang w:val="en-US" w:eastAsia="zh-CN"/>
                    </w:rPr>
                  </w:pPr>
                  <w:r>
                    <w:rPr>
                      <w:rFonts w:hint="eastAsia"/>
                      <w:color w:val="auto"/>
                      <w:sz w:val="18"/>
                      <w:szCs w:val="18"/>
                      <w:lang w:val="en-US" w:eastAsia="zh-CN"/>
                    </w:rPr>
                    <w:t>印合</w:t>
                  </w:r>
                  <w:r>
                    <w:rPr>
                      <w:rFonts w:hint="eastAsia"/>
                      <w:color w:val="auto"/>
                      <w:sz w:val="18"/>
                      <w:szCs w:val="18"/>
                      <w:lang w:eastAsia="zh-CN"/>
                    </w:rPr>
                    <w:t>～</w:t>
                  </w:r>
                  <w:r>
                    <w:rPr>
                      <w:rFonts w:hint="eastAsia"/>
                      <w:color w:val="auto"/>
                      <w:sz w:val="18"/>
                      <w:szCs w:val="18"/>
                      <w:lang w:val="en-US" w:eastAsia="zh-CN"/>
                    </w:rPr>
                    <w:t>司城</w:t>
                  </w:r>
                  <w:r>
                    <w:rPr>
                      <w:rFonts w:hint="eastAsia"/>
                      <w:color w:val="auto"/>
                      <w:sz w:val="18"/>
                      <w:szCs w:val="18"/>
                      <w:lang w:eastAsia="zh-CN"/>
                    </w:rPr>
                    <w:t>110kV线路工程</w:t>
                  </w:r>
                </w:p>
              </w:tc>
              <w:tc>
                <w:tcPr>
                  <w:tcW w:w="451" w:type="pct"/>
                  <w:vAlign w:val="center"/>
                </w:tcPr>
                <w:p w14:paraId="5F14F3C1">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合计</w:t>
                  </w:r>
                </w:p>
              </w:tc>
            </w:tr>
            <w:tr w14:paraId="3B7AD7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33" w:type="pct"/>
                  <w:vMerge w:val="restart"/>
                  <w:vAlign w:val="center"/>
                </w:tcPr>
                <w:p w14:paraId="36B09E68">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1</w:t>
                  </w:r>
                </w:p>
              </w:tc>
              <w:tc>
                <w:tcPr>
                  <w:tcW w:w="343" w:type="pct"/>
                  <w:vMerge w:val="restart"/>
                  <w:vAlign w:val="center"/>
                </w:tcPr>
                <w:p w14:paraId="1AA0A99D">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占地</w:t>
                  </w:r>
                  <w:r>
                    <w:rPr>
                      <w:color w:val="auto"/>
                      <w:sz w:val="18"/>
                      <w:szCs w:val="18"/>
                    </w:rPr>
                    <w:t>面积</w:t>
                  </w:r>
                </w:p>
              </w:tc>
              <w:tc>
                <w:tcPr>
                  <w:tcW w:w="350" w:type="pct"/>
                  <w:vAlign w:val="center"/>
                </w:tcPr>
                <w:p w14:paraId="403EB657">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永久</w:t>
                  </w:r>
                </w:p>
              </w:tc>
              <w:tc>
                <w:tcPr>
                  <w:tcW w:w="346" w:type="pct"/>
                  <w:vAlign w:val="center"/>
                </w:tcPr>
                <w:p w14:paraId="650E78CF">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m</w:t>
                  </w:r>
                  <w:r>
                    <w:rPr>
                      <w:color w:val="auto"/>
                      <w:sz w:val="18"/>
                      <w:szCs w:val="18"/>
                      <w:vertAlign w:val="superscript"/>
                    </w:rPr>
                    <w:t>2</w:t>
                  </w:r>
                </w:p>
              </w:tc>
              <w:tc>
                <w:tcPr>
                  <w:tcW w:w="541" w:type="pct"/>
                  <w:vAlign w:val="center"/>
                </w:tcPr>
                <w:p w14:paraId="4ABB32EC">
                  <w:pPr>
                    <w:keepNext w:val="0"/>
                    <w:keepLines w:val="0"/>
                    <w:pageBreakBefore w:val="0"/>
                    <w:kinsoku/>
                    <w:wordWrap/>
                    <w:overflowPunct/>
                    <w:topLinePunct w:val="0"/>
                    <w:autoSpaceDE/>
                    <w:autoSpaceDN/>
                    <w:bidi w:val="0"/>
                    <w:adjustRightInd/>
                    <w:snapToGrid/>
                    <w:jc w:val="center"/>
                    <w:rPr>
                      <w:rFonts w:hint="default"/>
                      <w:color w:val="auto"/>
                      <w:sz w:val="18"/>
                      <w:szCs w:val="18"/>
                      <w:lang w:val="en-US"/>
                    </w:rPr>
                  </w:pPr>
                  <w:r>
                    <w:rPr>
                      <w:rFonts w:hint="eastAsia"/>
                      <w:color w:val="auto"/>
                      <w:sz w:val="18"/>
                      <w:szCs w:val="18"/>
                      <w:lang w:val="en-US" w:eastAsia="zh-CN"/>
                    </w:rPr>
                    <w:t>8141</w:t>
                  </w:r>
                </w:p>
              </w:tc>
              <w:tc>
                <w:tcPr>
                  <w:tcW w:w="679" w:type="pct"/>
                  <w:vAlign w:val="center"/>
                </w:tcPr>
                <w:p w14:paraId="33F56A24">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w:t>
                  </w:r>
                </w:p>
              </w:tc>
              <w:tc>
                <w:tcPr>
                  <w:tcW w:w="722" w:type="pct"/>
                  <w:vAlign w:val="center"/>
                </w:tcPr>
                <w:p w14:paraId="7491DFE3">
                  <w:pPr>
                    <w:keepNext w:val="0"/>
                    <w:keepLines w:val="0"/>
                    <w:pageBreakBefore w:val="0"/>
                    <w:kinsoku/>
                    <w:wordWrap/>
                    <w:overflowPunct/>
                    <w:topLinePunct w:val="0"/>
                    <w:autoSpaceDE/>
                    <w:autoSpaceDN/>
                    <w:bidi w:val="0"/>
                    <w:adjustRightInd/>
                    <w:snapToGrid/>
                    <w:jc w:val="center"/>
                    <w:rPr>
                      <w:rFonts w:hint="eastAsia"/>
                      <w:color w:val="auto"/>
                      <w:sz w:val="18"/>
                      <w:szCs w:val="18"/>
                      <w:lang w:val="en-US" w:eastAsia="zh-CN"/>
                    </w:rPr>
                  </w:pPr>
                  <w:r>
                    <w:rPr>
                      <w:rFonts w:hint="eastAsia"/>
                      <w:color w:val="auto"/>
                      <w:sz w:val="18"/>
                      <w:szCs w:val="18"/>
                    </w:rPr>
                    <w:t>/</w:t>
                  </w:r>
                </w:p>
              </w:tc>
              <w:tc>
                <w:tcPr>
                  <w:tcW w:w="581" w:type="pct"/>
                  <w:vAlign w:val="center"/>
                </w:tcPr>
                <w:p w14:paraId="42633FB8">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rPr>
                  </w:pPr>
                  <w:r>
                    <w:rPr>
                      <w:rFonts w:hint="eastAsia"/>
                      <w:color w:val="auto"/>
                      <w:sz w:val="18"/>
                      <w:szCs w:val="18"/>
                      <w:highlight w:val="none"/>
                      <w:lang w:val="en-US" w:eastAsia="zh-CN"/>
                    </w:rPr>
                    <w:t>3260</w:t>
                  </w:r>
                </w:p>
              </w:tc>
              <w:tc>
                <w:tcPr>
                  <w:tcW w:w="650" w:type="pct"/>
                  <w:vAlign w:val="center"/>
                </w:tcPr>
                <w:p w14:paraId="1332E62D">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eastAsia="zh-CN"/>
                    </w:rPr>
                  </w:pPr>
                  <w:r>
                    <w:rPr>
                      <w:rFonts w:hint="eastAsia"/>
                      <w:color w:val="auto"/>
                      <w:sz w:val="18"/>
                      <w:szCs w:val="18"/>
                      <w:highlight w:val="none"/>
                      <w:lang w:val="en-US" w:eastAsia="zh-CN"/>
                    </w:rPr>
                    <w:t>8500</w:t>
                  </w:r>
                </w:p>
              </w:tc>
              <w:tc>
                <w:tcPr>
                  <w:tcW w:w="451" w:type="pct"/>
                  <w:vAlign w:val="center"/>
                </w:tcPr>
                <w:p w14:paraId="338B71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19901</w:t>
                  </w:r>
                </w:p>
              </w:tc>
            </w:tr>
            <w:tr w14:paraId="4D4D0B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3" w:type="pct"/>
                  <w:vMerge w:val="continue"/>
                  <w:vAlign w:val="center"/>
                </w:tcPr>
                <w:p w14:paraId="3759D1DC">
                  <w:pPr>
                    <w:keepNext w:val="0"/>
                    <w:keepLines w:val="0"/>
                    <w:pageBreakBefore w:val="0"/>
                    <w:kinsoku/>
                    <w:wordWrap/>
                    <w:overflowPunct/>
                    <w:topLinePunct w:val="0"/>
                    <w:autoSpaceDE/>
                    <w:autoSpaceDN/>
                    <w:bidi w:val="0"/>
                    <w:adjustRightInd/>
                    <w:snapToGrid/>
                    <w:jc w:val="center"/>
                    <w:rPr>
                      <w:color w:val="auto"/>
                      <w:sz w:val="18"/>
                      <w:szCs w:val="18"/>
                    </w:rPr>
                  </w:pPr>
                </w:p>
              </w:tc>
              <w:tc>
                <w:tcPr>
                  <w:tcW w:w="343" w:type="pct"/>
                  <w:vMerge w:val="continue"/>
                  <w:vAlign w:val="center"/>
                </w:tcPr>
                <w:p w14:paraId="111BEA83">
                  <w:pPr>
                    <w:keepNext w:val="0"/>
                    <w:keepLines w:val="0"/>
                    <w:pageBreakBefore w:val="0"/>
                    <w:kinsoku/>
                    <w:wordWrap/>
                    <w:overflowPunct/>
                    <w:topLinePunct w:val="0"/>
                    <w:autoSpaceDE/>
                    <w:autoSpaceDN/>
                    <w:bidi w:val="0"/>
                    <w:adjustRightInd/>
                    <w:snapToGrid/>
                    <w:jc w:val="center"/>
                    <w:rPr>
                      <w:color w:val="auto"/>
                      <w:sz w:val="18"/>
                      <w:szCs w:val="18"/>
                    </w:rPr>
                  </w:pPr>
                </w:p>
              </w:tc>
              <w:tc>
                <w:tcPr>
                  <w:tcW w:w="350" w:type="pct"/>
                  <w:vAlign w:val="center"/>
                </w:tcPr>
                <w:p w14:paraId="17DB3429">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临时</w:t>
                  </w:r>
                </w:p>
              </w:tc>
              <w:tc>
                <w:tcPr>
                  <w:tcW w:w="346" w:type="pct"/>
                  <w:vAlign w:val="center"/>
                </w:tcPr>
                <w:p w14:paraId="3F4159CB">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m</w:t>
                  </w:r>
                  <w:r>
                    <w:rPr>
                      <w:color w:val="auto"/>
                      <w:sz w:val="18"/>
                      <w:szCs w:val="18"/>
                      <w:vertAlign w:val="superscript"/>
                    </w:rPr>
                    <w:t>2</w:t>
                  </w:r>
                </w:p>
              </w:tc>
              <w:tc>
                <w:tcPr>
                  <w:tcW w:w="541" w:type="pct"/>
                  <w:vAlign w:val="center"/>
                </w:tcPr>
                <w:p w14:paraId="03172F3C">
                  <w:pPr>
                    <w:keepNext w:val="0"/>
                    <w:keepLines w:val="0"/>
                    <w:pageBreakBefore w:val="0"/>
                    <w:kinsoku/>
                    <w:wordWrap/>
                    <w:overflowPunct/>
                    <w:topLinePunct w:val="0"/>
                    <w:autoSpaceDE/>
                    <w:autoSpaceDN/>
                    <w:bidi w:val="0"/>
                    <w:adjustRightInd/>
                    <w:snapToGrid/>
                    <w:jc w:val="center"/>
                    <w:rPr>
                      <w:rFonts w:hint="eastAsia"/>
                      <w:color w:val="auto"/>
                      <w:sz w:val="18"/>
                      <w:szCs w:val="18"/>
                    </w:rPr>
                  </w:pPr>
                  <w:r>
                    <w:rPr>
                      <w:rFonts w:hint="eastAsia"/>
                      <w:color w:val="auto"/>
                      <w:sz w:val="18"/>
                      <w:szCs w:val="18"/>
                      <w:lang w:val="en-US" w:eastAsia="zh-CN"/>
                    </w:rPr>
                    <w:t>/</w:t>
                  </w:r>
                </w:p>
              </w:tc>
              <w:tc>
                <w:tcPr>
                  <w:tcW w:w="679" w:type="pct"/>
                  <w:vAlign w:val="center"/>
                </w:tcPr>
                <w:p w14:paraId="08BA0473">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w:t>
                  </w:r>
                </w:p>
              </w:tc>
              <w:tc>
                <w:tcPr>
                  <w:tcW w:w="722" w:type="pct"/>
                  <w:vAlign w:val="center"/>
                </w:tcPr>
                <w:p w14:paraId="633AAE3A">
                  <w:pPr>
                    <w:keepNext w:val="0"/>
                    <w:keepLines w:val="0"/>
                    <w:pageBreakBefore w:val="0"/>
                    <w:kinsoku/>
                    <w:wordWrap/>
                    <w:overflowPunct/>
                    <w:topLinePunct w:val="0"/>
                    <w:autoSpaceDE/>
                    <w:autoSpaceDN/>
                    <w:bidi w:val="0"/>
                    <w:adjustRightInd/>
                    <w:snapToGrid/>
                    <w:jc w:val="center"/>
                    <w:rPr>
                      <w:rFonts w:hint="eastAsia"/>
                      <w:color w:val="auto"/>
                      <w:sz w:val="18"/>
                      <w:szCs w:val="18"/>
                      <w:lang w:val="en-US" w:eastAsia="zh-CN"/>
                    </w:rPr>
                  </w:pPr>
                  <w:r>
                    <w:rPr>
                      <w:rFonts w:hint="eastAsia"/>
                      <w:color w:val="auto"/>
                      <w:sz w:val="18"/>
                      <w:szCs w:val="18"/>
                    </w:rPr>
                    <w:t>/</w:t>
                  </w:r>
                </w:p>
              </w:tc>
              <w:tc>
                <w:tcPr>
                  <w:tcW w:w="581" w:type="pct"/>
                  <w:vAlign w:val="center"/>
                </w:tcPr>
                <w:p w14:paraId="00765744">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21410</w:t>
                  </w:r>
                </w:p>
              </w:tc>
              <w:tc>
                <w:tcPr>
                  <w:tcW w:w="650" w:type="pct"/>
                  <w:vAlign w:val="center"/>
                </w:tcPr>
                <w:p w14:paraId="5C65F840">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eastAsia="zh-CN"/>
                    </w:rPr>
                  </w:pPr>
                  <w:r>
                    <w:rPr>
                      <w:rFonts w:hint="eastAsia"/>
                      <w:color w:val="auto"/>
                      <w:sz w:val="18"/>
                      <w:szCs w:val="18"/>
                      <w:highlight w:val="none"/>
                      <w:lang w:val="en-US" w:eastAsia="zh-CN"/>
                    </w:rPr>
                    <w:t>23160</w:t>
                  </w:r>
                </w:p>
              </w:tc>
              <w:tc>
                <w:tcPr>
                  <w:tcW w:w="451" w:type="pct"/>
                  <w:vAlign w:val="center"/>
                </w:tcPr>
                <w:p w14:paraId="37BCD0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olor w:val="auto"/>
                      <w:sz w:val="18"/>
                      <w:szCs w:val="18"/>
                      <w:highlight w:val="none"/>
                      <w:lang w:val="en-US" w:eastAsia="zh-CN"/>
                    </w:rPr>
                  </w:pPr>
                  <w:r>
                    <w:rPr>
                      <w:rFonts w:hint="eastAsia" w:cs="Times New Roman"/>
                      <w:i w:val="0"/>
                      <w:iCs w:val="0"/>
                      <w:color w:val="auto"/>
                      <w:kern w:val="0"/>
                      <w:sz w:val="18"/>
                      <w:szCs w:val="18"/>
                      <w:highlight w:val="none"/>
                      <w:u w:val="none"/>
                      <w:lang w:val="en-US" w:eastAsia="zh-CN" w:bidi="ar"/>
                    </w:rPr>
                    <w:t>53570</w:t>
                  </w:r>
                </w:p>
              </w:tc>
            </w:tr>
            <w:tr w14:paraId="1F0FCC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33" w:type="pct"/>
                  <w:vAlign w:val="center"/>
                </w:tcPr>
                <w:p w14:paraId="7EE6932B">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2</w:t>
                  </w:r>
                </w:p>
              </w:tc>
              <w:tc>
                <w:tcPr>
                  <w:tcW w:w="693" w:type="pct"/>
                  <w:gridSpan w:val="2"/>
                  <w:vAlign w:val="center"/>
                </w:tcPr>
                <w:p w14:paraId="12A56FAE">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挖方</w:t>
                  </w:r>
                </w:p>
              </w:tc>
              <w:tc>
                <w:tcPr>
                  <w:tcW w:w="346" w:type="pct"/>
                  <w:vAlign w:val="center"/>
                </w:tcPr>
                <w:p w14:paraId="64383C07">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m</w:t>
                  </w:r>
                  <w:r>
                    <w:rPr>
                      <w:color w:val="auto"/>
                      <w:sz w:val="18"/>
                      <w:szCs w:val="18"/>
                      <w:vertAlign w:val="superscript"/>
                    </w:rPr>
                    <w:t>3</w:t>
                  </w:r>
                </w:p>
              </w:tc>
              <w:tc>
                <w:tcPr>
                  <w:tcW w:w="541" w:type="pct"/>
                  <w:vAlign w:val="center"/>
                </w:tcPr>
                <w:p w14:paraId="49750E39">
                  <w:pPr>
                    <w:keepNext w:val="0"/>
                    <w:keepLines w:val="0"/>
                    <w:pageBreakBefore w:val="0"/>
                    <w:kinsoku/>
                    <w:wordWrap/>
                    <w:overflowPunct/>
                    <w:topLinePunct w:val="0"/>
                    <w:autoSpaceDE/>
                    <w:autoSpaceDN/>
                    <w:bidi w:val="0"/>
                    <w:adjustRightInd/>
                    <w:snapToGrid/>
                    <w:jc w:val="center"/>
                    <w:rPr>
                      <w:rFonts w:hint="default"/>
                      <w:color w:val="auto"/>
                      <w:sz w:val="18"/>
                      <w:szCs w:val="18"/>
                      <w:lang w:val="en-US" w:eastAsia="zh-CN"/>
                    </w:rPr>
                  </w:pPr>
                  <w:r>
                    <w:rPr>
                      <w:rFonts w:hint="eastAsia"/>
                      <w:color w:val="auto"/>
                      <w:sz w:val="18"/>
                      <w:szCs w:val="18"/>
                      <w:lang w:val="en-US" w:eastAsia="zh-CN"/>
                    </w:rPr>
                    <w:t>11786</w:t>
                  </w:r>
                </w:p>
              </w:tc>
              <w:tc>
                <w:tcPr>
                  <w:tcW w:w="679" w:type="pct"/>
                  <w:vAlign w:val="center"/>
                </w:tcPr>
                <w:p w14:paraId="5073FB87">
                  <w:pPr>
                    <w:keepNext w:val="0"/>
                    <w:keepLines w:val="0"/>
                    <w:pageBreakBefore w:val="0"/>
                    <w:kinsoku/>
                    <w:wordWrap/>
                    <w:overflowPunct/>
                    <w:topLinePunct w:val="0"/>
                    <w:autoSpaceDE/>
                    <w:autoSpaceDN/>
                    <w:bidi w:val="0"/>
                    <w:adjustRightInd/>
                    <w:snapToGrid/>
                    <w:jc w:val="center"/>
                    <w:rPr>
                      <w:rFonts w:hint="eastAsia" w:eastAsia="宋体"/>
                      <w:color w:val="auto"/>
                      <w:sz w:val="18"/>
                      <w:szCs w:val="18"/>
                      <w:lang w:eastAsia="zh-CN"/>
                    </w:rPr>
                  </w:pPr>
                  <w:r>
                    <w:rPr>
                      <w:rFonts w:hint="eastAsia"/>
                      <w:color w:val="auto"/>
                      <w:sz w:val="18"/>
                      <w:szCs w:val="18"/>
                      <w:lang w:val="en-US" w:eastAsia="zh-CN"/>
                    </w:rPr>
                    <w:t>/</w:t>
                  </w:r>
                </w:p>
              </w:tc>
              <w:tc>
                <w:tcPr>
                  <w:tcW w:w="722" w:type="pct"/>
                  <w:vAlign w:val="center"/>
                </w:tcPr>
                <w:p w14:paraId="47816241">
                  <w:pPr>
                    <w:keepNext w:val="0"/>
                    <w:keepLines w:val="0"/>
                    <w:pageBreakBefore w:val="0"/>
                    <w:kinsoku/>
                    <w:wordWrap/>
                    <w:overflowPunct/>
                    <w:topLinePunct w:val="0"/>
                    <w:autoSpaceDE/>
                    <w:autoSpaceDN/>
                    <w:bidi w:val="0"/>
                    <w:adjustRightInd/>
                    <w:snapToGrid/>
                    <w:jc w:val="center"/>
                    <w:rPr>
                      <w:rFonts w:hint="eastAsia"/>
                      <w:color w:val="auto"/>
                      <w:sz w:val="18"/>
                      <w:szCs w:val="18"/>
                      <w:lang w:val="en-US" w:eastAsia="zh-CN"/>
                    </w:rPr>
                  </w:pPr>
                  <w:r>
                    <w:rPr>
                      <w:rFonts w:hint="eastAsia"/>
                      <w:color w:val="auto"/>
                      <w:sz w:val="18"/>
                      <w:szCs w:val="18"/>
                      <w:lang w:val="en-US" w:eastAsia="zh-CN"/>
                    </w:rPr>
                    <w:t>/</w:t>
                  </w:r>
                </w:p>
              </w:tc>
              <w:tc>
                <w:tcPr>
                  <w:tcW w:w="581" w:type="pct"/>
                  <w:vAlign w:val="center"/>
                </w:tcPr>
                <w:p w14:paraId="16DB1320">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5220</w:t>
                  </w:r>
                </w:p>
              </w:tc>
              <w:tc>
                <w:tcPr>
                  <w:tcW w:w="650" w:type="pct"/>
                  <w:vAlign w:val="center"/>
                </w:tcPr>
                <w:p w14:paraId="0E3B769B">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eastAsia="zh-CN"/>
                    </w:rPr>
                  </w:pPr>
                  <w:r>
                    <w:rPr>
                      <w:rFonts w:hint="eastAsia"/>
                      <w:color w:val="auto"/>
                      <w:sz w:val="18"/>
                      <w:szCs w:val="18"/>
                      <w:highlight w:val="none"/>
                      <w:lang w:val="en-US" w:eastAsia="zh-CN"/>
                    </w:rPr>
                    <w:t>6735</w:t>
                  </w:r>
                </w:p>
              </w:tc>
              <w:tc>
                <w:tcPr>
                  <w:tcW w:w="451" w:type="pct"/>
                  <w:vAlign w:val="center"/>
                </w:tcPr>
                <w:p w14:paraId="64688D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23741</w:t>
                  </w:r>
                </w:p>
              </w:tc>
            </w:tr>
            <w:tr w14:paraId="291E76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3" w:type="pct"/>
                  <w:vAlign w:val="center"/>
                </w:tcPr>
                <w:p w14:paraId="787A22D5">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3</w:t>
                  </w:r>
                </w:p>
              </w:tc>
              <w:tc>
                <w:tcPr>
                  <w:tcW w:w="693" w:type="pct"/>
                  <w:gridSpan w:val="2"/>
                  <w:vAlign w:val="center"/>
                </w:tcPr>
                <w:p w14:paraId="7706FF65">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填方</w:t>
                  </w:r>
                </w:p>
              </w:tc>
              <w:tc>
                <w:tcPr>
                  <w:tcW w:w="346" w:type="pct"/>
                  <w:vAlign w:val="center"/>
                </w:tcPr>
                <w:p w14:paraId="7C1960CA">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m</w:t>
                  </w:r>
                  <w:r>
                    <w:rPr>
                      <w:color w:val="auto"/>
                      <w:sz w:val="18"/>
                      <w:szCs w:val="18"/>
                      <w:vertAlign w:val="superscript"/>
                    </w:rPr>
                    <w:t>3</w:t>
                  </w:r>
                </w:p>
              </w:tc>
              <w:tc>
                <w:tcPr>
                  <w:tcW w:w="541" w:type="pct"/>
                  <w:vAlign w:val="center"/>
                </w:tcPr>
                <w:p w14:paraId="06862B76">
                  <w:pPr>
                    <w:keepNext w:val="0"/>
                    <w:keepLines w:val="0"/>
                    <w:pageBreakBefore w:val="0"/>
                    <w:kinsoku/>
                    <w:wordWrap/>
                    <w:overflowPunct/>
                    <w:topLinePunct w:val="0"/>
                    <w:autoSpaceDE/>
                    <w:autoSpaceDN/>
                    <w:bidi w:val="0"/>
                    <w:adjustRightInd/>
                    <w:snapToGrid/>
                    <w:jc w:val="center"/>
                    <w:rPr>
                      <w:rFonts w:hint="eastAsia"/>
                      <w:color w:val="auto"/>
                      <w:sz w:val="18"/>
                      <w:szCs w:val="18"/>
                      <w:lang w:val="en-US" w:eastAsia="zh-CN"/>
                    </w:rPr>
                  </w:pPr>
                  <w:r>
                    <w:rPr>
                      <w:rFonts w:hint="eastAsia"/>
                      <w:color w:val="auto"/>
                      <w:sz w:val="18"/>
                      <w:szCs w:val="18"/>
                      <w:lang w:val="en-US" w:eastAsia="zh-CN"/>
                    </w:rPr>
                    <w:t>11786</w:t>
                  </w:r>
                </w:p>
              </w:tc>
              <w:tc>
                <w:tcPr>
                  <w:tcW w:w="679" w:type="pct"/>
                  <w:vAlign w:val="center"/>
                </w:tcPr>
                <w:p w14:paraId="2A12B78D">
                  <w:pPr>
                    <w:keepNext w:val="0"/>
                    <w:keepLines w:val="0"/>
                    <w:pageBreakBefore w:val="0"/>
                    <w:kinsoku/>
                    <w:wordWrap/>
                    <w:overflowPunct/>
                    <w:topLinePunct w:val="0"/>
                    <w:autoSpaceDE/>
                    <w:autoSpaceDN/>
                    <w:bidi w:val="0"/>
                    <w:adjustRightInd/>
                    <w:snapToGrid/>
                    <w:jc w:val="center"/>
                    <w:rPr>
                      <w:rFonts w:hint="eastAsia" w:eastAsia="宋体"/>
                      <w:color w:val="auto"/>
                      <w:sz w:val="18"/>
                      <w:szCs w:val="18"/>
                      <w:lang w:eastAsia="zh-CN"/>
                    </w:rPr>
                  </w:pPr>
                  <w:r>
                    <w:rPr>
                      <w:rFonts w:hint="eastAsia"/>
                      <w:color w:val="auto"/>
                      <w:sz w:val="18"/>
                      <w:szCs w:val="18"/>
                      <w:lang w:val="en-US" w:eastAsia="zh-CN"/>
                    </w:rPr>
                    <w:t>/</w:t>
                  </w:r>
                </w:p>
              </w:tc>
              <w:tc>
                <w:tcPr>
                  <w:tcW w:w="722" w:type="pct"/>
                  <w:vAlign w:val="center"/>
                </w:tcPr>
                <w:p w14:paraId="47152FF9">
                  <w:pPr>
                    <w:keepNext w:val="0"/>
                    <w:keepLines w:val="0"/>
                    <w:pageBreakBefore w:val="0"/>
                    <w:kinsoku/>
                    <w:wordWrap/>
                    <w:overflowPunct/>
                    <w:topLinePunct w:val="0"/>
                    <w:autoSpaceDE/>
                    <w:autoSpaceDN/>
                    <w:bidi w:val="0"/>
                    <w:adjustRightInd/>
                    <w:snapToGrid/>
                    <w:jc w:val="center"/>
                    <w:rPr>
                      <w:rFonts w:hint="eastAsia"/>
                      <w:color w:val="auto"/>
                      <w:sz w:val="18"/>
                      <w:szCs w:val="18"/>
                      <w:lang w:val="en-US" w:eastAsia="zh-CN"/>
                    </w:rPr>
                  </w:pPr>
                  <w:r>
                    <w:rPr>
                      <w:rFonts w:hint="eastAsia"/>
                      <w:color w:val="auto"/>
                      <w:sz w:val="18"/>
                      <w:szCs w:val="18"/>
                      <w:lang w:val="en-US" w:eastAsia="zh-CN"/>
                    </w:rPr>
                    <w:t>/</w:t>
                  </w:r>
                </w:p>
              </w:tc>
              <w:tc>
                <w:tcPr>
                  <w:tcW w:w="581" w:type="pct"/>
                  <w:vAlign w:val="center"/>
                </w:tcPr>
                <w:p w14:paraId="50F6DE1E">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4370</w:t>
                  </w:r>
                </w:p>
              </w:tc>
              <w:tc>
                <w:tcPr>
                  <w:tcW w:w="650" w:type="pct"/>
                  <w:vAlign w:val="center"/>
                </w:tcPr>
                <w:p w14:paraId="27BBD1F8">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eastAsia="zh-CN"/>
                    </w:rPr>
                  </w:pPr>
                  <w:r>
                    <w:rPr>
                      <w:rFonts w:hint="eastAsia"/>
                      <w:color w:val="auto"/>
                      <w:sz w:val="18"/>
                      <w:szCs w:val="18"/>
                      <w:highlight w:val="none"/>
                      <w:lang w:val="en-US" w:eastAsia="zh-CN"/>
                    </w:rPr>
                    <w:t>5810</w:t>
                  </w:r>
                </w:p>
              </w:tc>
              <w:tc>
                <w:tcPr>
                  <w:tcW w:w="451" w:type="pct"/>
                  <w:vAlign w:val="center"/>
                </w:tcPr>
                <w:p w14:paraId="01F503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21966</w:t>
                  </w:r>
                </w:p>
              </w:tc>
            </w:tr>
            <w:tr w14:paraId="47040D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3" w:type="pct"/>
                  <w:vAlign w:val="center"/>
                </w:tcPr>
                <w:p w14:paraId="74F93021">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4</w:t>
                  </w:r>
                </w:p>
              </w:tc>
              <w:tc>
                <w:tcPr>
                  <w:tcW w:w="693" w:type="pct"/>
                  <w:gridSpan w:val="2"/>
                  <w:vAlign w:val="center"/>
                </w:tcPr>
                <w:p w14:paraId="6921EE83">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借方</w:t>
                  </w:r>
                </w:p>
              </w:tc>
              <w:tc>
                <w:tcPr>
                  <w:tcW w:w="346" w:type="pct"/>
                  <w:vAlign w:val="center"/>
                </w:tcPr>
                <w:p w14:paraId="124F0962">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color w:val="auto"/>
                      <w:sz w:val="18"/>
                      <w:szCs w:val="18"/>
                      <w:highlight w:val="none"/>
                    </w:rPr>
                    <w:t>m</w:t>
                  </w:r>
                  <w:r>
                    <w:rPr>
                      <w:color w:val="auto"/>
                      <w:sz w:val="18"/>
                      <w:szCs w:val="18"/>
                      <w:highlight w:val="none"/>
                      <w:vertAlign w:val="superscript"/>
                    </w:rPr>
                    <w:t>3</w:t>
                  </w:r>
                </w:p>
              </w:tc>
              <w:tc>
                <w:tcPr>
                  <w:tcW w:w="541" w:type="pct"/>
                  <w:vAlign w:val="center"/>
                </w:tcPr>
                <w:p w14:paraId="3CEAB25C">
                  <w:pPr>
                    <w:keepNext w:val="0"/>
                    <w:keepLines w:val="0"/>
                    <w:pageBreakBefore w:val="0"/>
                    <w:kinsoku/>
                    <w:wordWrap/>
                    <w:overflowPunct/>
                    <w:topLinePunct w:val="0"/>
                    <w:autoSpaceDE/>
                    <w:autoSpaceDN/>
                    <w:bidi w:val="0"/>
                    <w:adjustRightInd/>
                    <w:snapToGrid/>
                    <w:jc w:val="center"/>
                    <w:rPr>
                      <w:rFonts w:hint="eastAsia"/>
                      <w:color w:val="auto"/>
                      <w:sz w:val="18"/>
                      <w:szCs w:val="18"/>
                      <w:highlight w:val="none"/>
                    </w:rPr>
                  </w:pPr>
                  <w:r>
                    <w:rPr>
                      <w:rFonts w:hint="eastAsia"/>
                      <w:color w:val="auto"/>
                      <w:sz w:val="18"/>
                      <w:szCs w:val="18"/>
                      <w:highlight w:val="none"/>
                    </w:rPr>
                    <w:t>/</w:t>
                  </w:r>
                </w:p>
              </w:tc>
              <w:tc>
                <w:tcPr>
                  <w:tcW w:w="679" w:type="pct"/>
                  <w:vAlign w:val="center"/>
                </w:tcPr>
                <w:p w14:paraId="2DA913EE">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w:t>
                  </w:r>
                </w:p>
              </w:tc>
              <w:tc>
                <w:tcPr>
                  <w:tcW w:w="722" w:type="pct"/>
                  <w:vAlign w:val="center"/>
                </w:tcPr>
                <w:p w14:paraId="6192D580">
                  <w:pPr>
                    <w:keepNext w:val="0"/>
                    <w:keepLines w:val="0"/>
                    <w:pageBreakBefore w:val="0"/>
                    <w:kinsoku/>
                    <w:wordWrap/>
                    <w:overflowPunct/>
                    <w:topLinePunct w:val="0"/>
                    <w:autoSpaceDE/>
                    <w:autoSpaceDN/>
                    <w:bidi w:val="0"/>
                    <w:adjustRightInd/>
                    <w:snapToGrid/>
                    <w:jc w:val="center"/>
                    <w:rPr>
                      <w:rFonts w:hint="eastAsia"/>
                      <w:color w:val="auto"/>
                      <w:sz w:val="18"/>
                      <w:szCs w:val="18"/>
                      <w:highlight w:val="none"/>
                    </w:rPr>
                  </w:pPr>
                  <w:r>
                    <w:rPr>
                      <w:rFonts w:hint="eastAsia"/>
                      <w:color w:val="auto"/>
                      <w:sz w:val="18"/>
                      <w:szCs w:val="18"/>
                      <w:highlight w:val="none"/>
                    </w:rPr>
                    <w:t>/</w:t>
                  </w:r>
                </w:p>
              </w:tc>
              <w:tc>
                <w:tcPr>
                  <w:tcW w:w="581" w:type="pct"/>
                  <w:vAlign w:val="center"/>
                </w:tcPr>
                <w:p w14:paraId="282EFFBC">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w:t>
                  </w:r>
                </w:p>
              </w:tc>
              <w:tc>
                <w:tcPr>
                  <w:tcW w:w="650" w:type="pct"/>
                  <w:vAlign w:val="center"/>
                </w:tcPr>
                <w:p w14:paraId="2D4C5671">
                  <w:pPr>
                    <w:keepNext w:val="0"/>
                    <w:keepLines w:val="0"/>
                    <w:pageBreakBefore w:val="0"/>
                    <w:kinsoku/>
                    <w:wordWrap/>
                    <w:overflowPunct/>
                    <w:topLinePunct w:val="0"/>
                    <w:autoSpaceDE/>
                    <w:autoSpaceDN/>
                    <w:bidi w:val="0"/>
                    <w:adjustRightInd/>
                    <w:snapToGrid/>
                    <w:jc w:val="center"/>
                    <w:rPr>
                      <w:rFonts w:hint="eastAsia"/>
                      <w:color w:val="auto"/>
                      <w:sz w:val="18"/>
                      <w:szCs w:val="18"/>
                      <w:highlight w:val="none"/>
                    </w:rPr>
                  </w:pPr>
                  <w:r>
                    <w:rPr>
                      <w:rFonts w:hint="eastAsia"/>
                      <w:color w:val="auto"/>
                      <w:sz w:val="18"/>
                      <w:szCs w:val="18"/>
                      <w:highlight w:val="none"/>
                    </w:rPr>
                    <w:t>/</w:t>
                  </w:r>
                </w:p>
              </w:tc>
              <w:tc>
                <w:tcPr>
                  <w:tcW w:w="451" w:type="pct"/>
                  <w:vAlign w:val="center"/>
                </w:tcPr>
                <w:p w14:paraId="6A52B1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color w:val="auto"/>
                      <w:sz w:val="18"/>
                      <w:szCs w:val="18"/>
                      <w:highlight w:val="none"/>
                      <w:lang w:val="en-US"/>
                    </w:rPr>
                  </w:pPr>
                  <w:r>
                    <w:rPr>
                      <w:rFonts w:hint="eastAsia"/>
                      <w:color w:val="auto"/>
                      <w:sz w:val="18"/>
                      <w:szCs w:val="18"/>
                      <w:highlight w:val="none"/>
                    </w:rPr>
                    <w:t>/</w:t>
                  </w:r>
                </w:p>
              </w:tc>
            </w:tr>
            <w:tr w14:paraId="5BAB7C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3" w:type="pct"/>
                  <w:vAlign w:val="center"/>
                </w:tcPr>
                <w:p w14:paraId="5DEEE047">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rPr>
                    <w:t>5</w:t>
                  </w:r>
                </w:p>
              </w:tc>
              <w:tc>
                <w:tcPr>
                  <w:tcW w:w="693" w:type="pct"/>
                  <w:gridSpan w:val="2"/>
                  <w:vAlign w:val="center"/>
                </w:tcPr>
                <w:p w14:paraId="341D7BE9">
                  <w:pPr>
                    <w:keepNext w:val="0"/>
                    <w:keepLines w:val="0"/>
                    <w:pageBreakBefore w:val="0"/>
                    <w:kinsoku/>
                    <w:wordWrap/>
                    <w:overflowPunct/>
                    <w:topLinePunct w:val="0"/>
                    <w:autoSpaceDE/>
                    <w:autoSpaceDN/>
                    <w:bidi w:val="0"/>
                    <w:adjustRightInd/>
                    <w:snapToGrid/>
                    <w:jc w:val="center"/>
                    <w:rPr>
                      <w:color w:val="auto"/>
                      <w:sz w:val="18"/>
                      <w:szCs w:val="18"/>
                    </w:rPr>
                  </w:pPr>
                  <w:r>
                    <w:rPr>
                      <w:rFonts w:hint="eastAsia"/>
                      <w:color w:val="auto"/>
                      <w:sz w:val="18"/>
                      <w:szCs w:val="18"/>
                      <w:lang w:val="en-US" w:eastAsia="zh-CN"/>
                    </w:rPr>
                    <w:t>余方</w:t>
                  </w:r>
                </w:p>
              </w:tc>
              <w:tc>
                <w:tcPr>
                  <w:tcW w:w="346" w:type="pct"/>
                  <w:vAlign w:val="center"/>
                </w:tcPr>
                <w:p w14:paraId="78E330AB">
                  <w:pPr>
                    <w:keepNext w:val="0"/>
                    <w:keepLines w:val="0"/>
                    <w:pageBreakBefore w:val="0"/>
                    <w:kinsoku/>
                    <w:wordWrap/>
                    <w:overflowPunct/>
                    <w:topLinePunct w:val="0"/>
                    <w:autoSpaceDE/>
                    <w:autoSpaceDN/>
                    <w:bidi w:val="0"/>
                    <w:adjustRightInd/>
                    <w:snapToGrid/>
                    <w:jc w:val="center"/>
                    <w:rPr>
                      <w:color w:val="auto"/>
                      <w:sz w:val="18"/>
                      <w:szCs w:val="18"/>
                    </w:rPr>
                  </w:pPr>
                  <w:r>
                    <w:rPr>
                      <w:color w:val="auto"/>
                      <w:sz w:val="18"/>
                      <w:szCs w:val="18"/>
                    </w:rPr>
                    <w:t>m</w:t>
                  </w:r>
                  <w:r>
                    <w:rPr>
                      <w:color w:val="auto"/>
                      <w:sz w:val="18"/>
                      <w:szCs w:val="18"/>
                      <w:vertAlign w:val="superscript"/>
                    </w:rPr>
                    <w:t>3</w:t>
                  </w:r>
                </w:p>
              </w:tc>
              <w:tc>
                <w:tcPr>
                  <w:tcW w:w="541" w:type="pct"/>
                  <w:vAlign w:val="center"/>
                </w:tcPr>
                <w:p w14:paraId="0E0DFED9">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lang w:val="en-US" w:eastAsia="zh-CN"/>
                    </w:rPr>
                  </w:pPr>
                  <w:r>
                    <w:rPr>
                      <w:rFonts w:hint="eastAsia"/>
                      <w:color w:val="auto"/>
                      <w:sz w:val="18"/>
                      <w:szCs w:val="18"/>
                      <w:lang w:val="en-US" w:eastAsia="zh-CN"/>
                    </w:rPr>
                    <w:t>/</w:t>
                  </w:r>
                </w:p>
              </w:tc>
              <w:tc>
                <w:tcPr>
                  <w:tcW w:w="679" w:type="pct"/>
                  <w:vAlign w:val="center"/>
                </w:tcPr>
                <w:p w14:paraId="16E0DC9B">
                  <w:pPr>
                    <w:keepNext w:val="0"/>
                    <w:keepLines w:val="0"/>
                    <w:pageBreakBefore w:val="0"/>
                    <w:kinsoku/>
                    <w:wordWrap/>
                    <w:overflowPunct/>
                    <w:topLinePunct w:val="0"/>
                    <w:autoSpaceDE/>
                    <w:autoSpaceDN/>
                    <w:bidi w:val="0"/>
                    <w:adjustRightInd/>
                    <w:snapToGrid/>
                    <w:jc w:val="center"/>
                    <w:rPr>
                      <w:rFonts w:hint="eastAsia" w:eastAsia="宋体"/>
                      <w:color w:val="auto"/>
                      <w:sz w:val="18"/>
                      <w:szCs w:val="18"/>
                      <w:lang w:eastAsia="zh-CN"/>
                    </w:rPr>
                  </w:pPr>
                  <w:r>
                    <w:rPr>
                      <w:rFonts w:hint="eastAsia"/>
                      <w:color w:val="auto"/>
                      <w:sz w:val="18"/>
                      <w:szCs w:val="18"/>
                      <w:lang w:val="en-US" w:eastAsia="zh-CN"/>
                    </w:rPr>
                    <w:t>/</w:t>
                  </w:r>
                </w:p>
              </w:tc>
              <w:tc>
                <w:tcPr>
                  <w:tcW w:w="722" w:type="pct"/>
                  <w:vAlign w:val="center"/>
                </w:tcPr>
                <w:p w14:paraId="1D97403C">
                  <w:pPr>
                    <w:keepNext w:val="0"/>
                    <w:keepLines w:val="0"/>
                    <w:pageBreakBefore w:val="0"/>
                    <w:kinsoku/>
                    <w:wordWrap/>
                    <w:overflowPunct/>
                    <w:topLinePunct w:val="0"/>
                    <w:autoSpaceDE/>
                    <w:autoSpaceDN/>
                    <w:bidi w:val="0"/>
                    <w:adjustRightInd/>
                    <w:snapToGrid/>
                    <w:jc w:val="center"/>
                    <w:rPr>
                      <w:rFonts w:hint="eastAsia"/>
                      <w:color w:val="auto"/>
                      <w:sz w:val="18"/>
                      <w:szCs w:val="18"/>
                      <w:lang w:val="en-US" w:eastAsia="zh-CN"/>
                    </w:rPr>
                  </w:pPr>
                  <w:r>
                    <w:rPr>
                      <w:rFonts w:hint="eastAsia"/>
                      <w:color w:val="auto"/>
                      <w:sz w:val="18"/>
                      <w:szCs w:val="18"/>
                      <w:lang w:val="en-US" w:eastAsia="zh-CN"/>
                    </w:rPr>
                    <w:t>/</w:t>
                  </w:r>
                </w:p>
              </w:tc>
              <w:tc>
                <w:tcPr>
                  <w:tcW w:w="581" w:type="pct"/>
                  <w:vAlign w:val="center"/>
                </w:tcPr>
                <w:p w14:paraId="41B142DD">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850</w:t>
                  </w:r>
                </w:p>
              </w:tc>
              <w:tc>
                <w:tcPr>
                  <w:tcW w:w="650" w:type="pct"/>
                  <w:vAlign w:val="center"/>
                </w:tcPr>
                <w:p w14:paraId="6241F0A1">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eastAsia="zh-CN"/>
                    </w:rPr>
                  </w:pPr>
                  <w:r>
                    <w:rPr>
                      <w:rFonts w:hint="eastAsia"/>
                      <w:color w:val="auto"/>
                      <w:sz w:val="18"/>
                      <w:szCs w:val="18"/>
                      <w:highlight w:val="none"/>
                      <w:lang w:val="en-US" w:eastAsia="zh-CN"/>
                    </w:rPr>
                    <w:t>925</w:t>
                  </w:r>
                </w:p>
              </w:tc>
              <w:tc>
                <w:tcPr>
                  <w:tcW w:w="451" w:type="pct"/>
                  <w:vAlign w:val="center"/>
                </w:tcPr>
                <w:p w14:paraId="4FDC99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1775</w:t>
                  </w:r>
                </w:p>
              </w:tc>
            </w:tr>
            <w:tr w14:paraId="353D10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3" w:type="pct"/>
                  <w:vAlign w:val="center"/>
                </w:tcPr>
                <w:p w14:paraId="0530247B">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6</w:t>
                  </w:r>
                </w:p>
              </w:tc>
              <w:tc>
                <w:tcPr>
                  <w:tcW w:w="693" w:type="pct"/>
                  <w:gridSpan w:val="2"/>
                  <w:vAlign w:val="center"/>
                </w:tcPr>
                <w:p w14:paraId="7F409D53">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rFonts w:hint="eastAsia"/>
                      <w:color w:val="auto"/>
                      <w:sz w:val="18"/>
                      <w:szCs w:val="18"/>
                      <w:highlight w:val="none"/>
                    </w:rPr>
                    <w:t>总投资</w:t>
                  </w:r>
                </w:p>
              </w:tc>
              <w:tc>
                <w:tcPr>
                  <w:tcW w:w="346" w:type="pct"/>
                  <w:vAlign w:val="center"/>
                </w:tcPr>
                <w:p w14:paraId="3A2DE6FD">
                  <w:pPr>
                    <w:keepNext w:val="0"/>
                    <w:keepLines w:val="0"/>
                    <w:pageBreakBefore w:val="0"/>
                    <w:kinsoku/>
                    <w:wordWrap/>
                    <w:overflowPunct/>
                    <w:topLinePunct w:val="0"/>
                    <w:autoSpaceDE/>
                    <w:autoSpaceDN/>
                    <w:bidi w:val="0"/>
                    <w:adjustRightInd/>
                    <w:snapToGrid/>
                    <w:jc w:val="center"/>
                    <w:rPr>
                      <w:color w:val="auto"/>
                      <w:sz w:val="18"/>
                      <w:szCs w:val="18"/>
                      <w:highlight w:val="none"/>
                    </w:rPr>
                  </w:pPr>
                  <w:r>
                    <w:rPr>
                      <w:color w:val="auto"/>
                      <w:sz w:val="18"/>
                      <w:szCs w:val="18"/>
                      <w:highlight w:val="none"/>
                    </w:rPr>
                    <w:t>万</w:t>
                  </w:r>
                  <w:r>
                    <w:rPr>
                      <w:rFonts w:hint="eastAsia"/>
                      <w:color w:val="auto"/>
                      <w:sz w:val="18"/>
                      <w:szCs w:val="18"/>
                      <w:highlight w:val="none"/>
                    </w:rPr>
                    <w:t>元</w:t>
                  </w:r>
                </w:p>
              </w:tc>
              <w:tc>
                <w:tcPr>
                  <w:tcW w:w="541" w:type="pct"/>
                  <w:vAlign w:val="center"/>
                </w:tcPr>
                <w:p w14:paraId="77D763DB">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eastAsia="zh-CN"/>
                    </w:rPr>
                  </w:pPr>
                  <w:r>
                    <w:rPr>
                      <w:rFonts w:hint="eastAsia"/>
                      <w:color w:val="auto"/>
                      <w:sz w:val="18"/>
                      <w:szCs w:val="18"/>
                      <w:highlight w:val="none"/>
                      <w:lang w:val="en-US" w:eastAsia="zh-CN"/>
                    </w:rPr>
                    <w:t>6508</w:t>
                  </w:r>
                </w:p>
              </w:tc>
              <w:tc>
                <w:tcPr>
                  <w:tcW w:w="679" w:type="pct"/>
                  <w:vAlign w:val="center"/>
                </w:tcPr>
                <w:p w14:paraId="67A37E0C">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184</w:t>
                  </w:r>
                </w:p>
              </w:tc>
              <w:tc>
                <w:tcPr>
                  <w:tcW w:w="722" w:type="pct"/>
                  <w:vAlign w:val="center"/>
                </w:tcPr>
                <w:p w14:paraId="4C50D0FC">
                  <w:pPr>
                    <w:keepNext w:val="0"/>
                    <w:keepLines w:val="0"/>
                    <w:pageBreakBefore w:val="0"/>
                    <w:kinsoku/>
                    <w:wordWrap/>
                    <w:overflowPunct/>
                    <w:topLinePunct w:val="0"/>
                    <w:autoSpaceDE/>
                    <w:autoSpaceDN/>
                    <w:bidi w:val="0"/>
                    <w:adjustRightInd/>
                    <w:snapToGrid/>
                    <w:jc w:val="center"/>
                    <w:rPr>
                      <w:rFonts w:hint="default"/>
                      <w:color w:val="auto"/>
                      <w:sz w:val="18"/>
                      <w:szCs w:val="18"/>
                      <w:highlight w:val="none"/>
                      <w:lang w:val="en-US" w:eastAsia="zh-CN"/>
                    </w:rPr>
                  </w:pPr>
                  <w:r>
                    <w:rPr>
                      <w:rFonts w:hint="eastAsia"/>
                      <w:color w:val="auto"/>
                      <w:sz w:val="18"/>
                      <w:szCs w:val="18"/>
                      <w:highlight w:val="none"/>
                      <w:lang w:val="en-US" w:eastAsia="zh-CN"/>
                    </w:rPr>
                    <w:t>67</w:t>
                  </w:r>
                </w:p>
              </w:tc>
              <w:tc>
                <w:tcPr>
                  <w:tcW w:w="581" w:type="pct"/>
                  <w:vAlign w:val="center"/>
                </w:tcPr>
                <w:p w14:paraId="6618D788">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2573</w:t>
                  </w:r>
                </w:p>
              </w:tc>
              <w:tc>
                <w:tcPr>
                  <w:tcW w:w="650" w:type="pct"/>
                  <w:vAlign w:val="center"/>
                </w:tcPr>
                <w:p w14:paraId="672AB257">
                  <w:pPr>
                    <w:keepNext w:val="0"/>
                    <w:keepLines w:val="0"/>
                    <w:pageBreakBefore w:val="0"/>
                    <w:kinsoku/>
                    <w:wordWrap/>
                    <w:overflowPunct/>
                    <w:topLinePunct w:val="0"/>
                    <w:autoSpaceDE/>
                    <w:autoSpaceDN/>
                    <w:bidi w:val="0"/>
                    <w:adjustRightInd/>
                    <w:snapToGrid/>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4267</w:t>
                  </w:r>
                </w:p>
              </w:tc>
              <w:tc>
                <w:tcPr>
                  <w:tcW w:w="451" w:type="pct"/>
                  <w:vAlign w:val="center"/>
                </w:tcPr>
                <w:p w14:paraId="57970D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color w:val="auto"/>
                      <w:sz w:val="18"/>
                      <w:szCs w:val="18"/>
                      <w:highlight w:val="none"/>
                      <w:lang w:val="en-US"/>
                    </w:rPr>
                  </w:pPr>
                  <w:r>
                    <w:rPr>
                      <w:rFonts w:hint="eastAsia" w:cs="Times New Roman"/>
                      <w:i w:val="0"/>
                      <w:iCs w:val="0"/>
                      <w:color w:val="auto"/>
                      <w:kern w:val="0"/>
                      <w:sz w:val="18"/>
                      <w:szCs w:val="18"/>
                      <w:highlight w:val="none"/>
                      <w:u w:val="none"/>
                      <w:lang w:val="en-US" w:eastAsia="zh-CN" w:bidi="ar"/>
                    </w:rPr>
                    <w:t>13599</w:t>
                  </w:r>
                </w:p>
              </w:tc>
            </w:tr>
          </w:tbl>
          <w:p w14:paraId="1201DC6C">
            <w:pPr>
              <w:spacing w:line="360" w:lineRule="auto"/>
              <w:rPr>
                <w:rFonts w:eastAsia="黑体"/>
                <w:color w:val="auto"/>
                <w:szCs w:val="21"/>
              </w:rPr>
            </w:pPr>
            <w:r>
              <w:rPr>
                <w:rFonts w:hint="eastAsia" w:eastAsia="黑体"/>
                <w:color w:val="auto"/>
                <w:szCs w:val="21"/>
                <w:lang w:val="en-US" w:eastAsia="zh-CN"/>
              </w:rPr>
              <w:t>七</w:t>
            </w:r>
            <w:r>
              <w:rPr>
                <w:rFonts w:hint="eastAsia" w:eastAsia="黑体"/>
                <w:color w:val="auto"/>
                <w:szCs w:val="21"/>
              </w:rPr>
              <w:t>、变电站基本情况</w:t>
            </w:r>
          </w:p>
          <w:p w14:paraId="6449D37D">
            <w:pPr>
              <w:spacing w:line="360" w:lineRule="auto"/>
              <w:ind w:firstLine="420" w:firstLineChars="200"/>
              <w:rPr>
                <w:color w:val="auto"/>
                <w:szCs w:val="21"/>
              </w:rPr>
            </w:pPr>
            <w:r>
              <w:rPr>
                <w:color w:val="auto"/>
                <w:szCs w:val="21"/>
              </w:rPr>
              <w:t>1</w:t>
            </w:r>
            <w:r>
              <w:rPr>
                <w:rFonts w:hint="eastAsia"/>
                <w:color w:val="auto"/>
                <w:szCs w:val="21"/>
              </w:rPr>
              <w:t>、给排水工程</w:t>
            </w:r>
          </w:p>
          <w:p w14:paraId="3EF6C5BC">
            <w:pPr>
              <w:spacing w:line="360" w:lineRule="auto"/>
              <w:ind w:firstLine="420" w:firstLineChars="200"/>
              <w:rPr>
                <w:color w:val="auto"/>
                <w:szCs w:val="21"/>
              </w:rPr>
            </w:pPr>
            <w:r>
              <w:rPr>
                <w:rFonts w:hint="eastAsia"/>
                <w:color w:val="auto"/>
                <w:szCs w:val="21"/>
              </w:rPr>
              <w:t>变电站给水由</w:t>
            </w:r>
            <w:r>
              <w:rPr>
                <w:rFonts w:hint="eastAsia"/>
                <w:color w:val="auto"/>
                <w:szCs w:val="21"/>
                <w:lang w:val="en-US" w:eastAsia="zh-CN"/>
              </w:rPr>
              <w:t>附近</w:t>
            </w:r>
            <w:r>
              <w:rPr>
                <w:rFonts w:hint="eastAsia"/>
                <w:color w:val="auto"/>
                <w:szCs w:val="21"/>
              </w:rPr>
              <w:t>市政给水管网接入，可满足变电站消防用水要求。</w:t>
            </w:r>
          </w:p>
          <w:p w14:paraId="1019355D">
            <w:pPr>
              <w:spacing w:line="360" w:lineRule="auto"/>
              <w:ind w:firstLine="420" w:firstLineChars="200"/>
              <w:rPr>
                <w:rFonts w:hint="eastAsia"/>
                <w:color w:val="auto"/>
                <w:szCs w:val="21"/>
                <w:lang w:eastAsia="zh-CN"/>
              </w:rPr>
            </w:pPr>
            <w:r>
              <w:rPr>
                <w:rFonts w:hint="eastAsia"/>
                <w:color w:val="auto"/>
                <w:szCs w:val="21"/>
              </w:rPr>
              <w:t>变电站的排水主要包括生活污水和雨水。变电站采用雨污分流制，雨水就近排入站外雨水沟；生活污水排入化粪池</w:t>
            </w:r>
            <w:r>
              <w:rPr>
                <w:rFonts w:hint="default" w:ascii="Times New Roman" w:hAnsi="Times New Roman" w:cs="Times New Roman"/>
                <w:color w:val="000000" w:themeColor="text1"/>
                <w:szCs w:val="21"/>
                <w:highlight w:val="none"/>
                <w14:textFill>
                  <w14:solidFill>
                    <w14:schemeClr w14:val="tx1"/>
                  </w14:solidFill>
                </w14:textFill>
              </w:rPr>
              <w:t>（2m</w:t>
            </w:r>
            <w:r>
              <w:rPr>
                <w:rFonts w:hint="default" w:ascii="Times New Roman" w:hAnsi="Times New Roman" w:cs="Times New Roman"/>
                <w:color w:val="000000" w:themeColor="text1"/>
                <w:szCs w:val="21"/>
                <w:highlight w:val="none"/>
                <w:vertAlign w:val="superscript"/>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w:t>
            </w:r>
            <w:r>
              <w:rPr>
                <w:rFonts w:hint="eastAsia"/>
                <w:color w:val="auto"/>
                <w:szCs w:val="21"/>
              </w:rPr>
              <w:t>处理后，再经运维单位人工定时清掏，不外排</w:t>
            </w:r>
            <w:r>
              <w:rPr>
                <w:rFonts w:hint="eastAsia"/>
                <w:color w:val="auto"/>
                <w:szCs w:val="21"/>
                <w:lang w:eastAsia="zh-CN"/>
              </w:rPr>
              <w:t>。</w:t>
            </w:r>
          </w:p>
          <w:p w14:paraId="124D814C">
            <w:pPr>
              <w:spacing w:line="360" w:lineRule="auto"/>
              <w:ind w:firstLine="420" w:firstLineChars="200"/>
              <w:rPr>
                <w:color w:val="auto"/>
                <w:szCs w:val="21"/>
              </w:rPr>
            </w:pPr>
            <w:r>
              <w:rPr>
                <w:rFonts w:hint="eastAsia" w:ascii="宋体" w:hAnsi="宋体"/>
                <w:color w:val="auto"/>
                <w:szCs w:val="21"/>
              </w:rPr>
              <w:t>①</w:t>
            </w:r>
            <w:r>
              <w:rPr>
                <w:rFonts w:hint="eastAsia"/>
                <w:color w:val="auto"/>
                <w:szCs w:val="21"/>
              </w:rPr>
              <w:t>废事故油</w:t>
            </w:r>
          </w:p>
          <w:p w14:paraId="1305BC1B">
            <w:pPr>
              <w:spacing w:line="360" w:lineRule="auto"/>
              <w:ind w:firstLine="420" w:firstLineChars="200"/>
              <w:rPr>
                <w:bCs/>
                <w:color w:val="auto"/>
                <w:szCs w:val="21"/>
              </w:rPr>
            </w:pPr>
            <w:r>
              <w:rPr>
                <w:rFonts w:hint="eastAsia"/>
                <w:bCs/>
                <w:color w:val="auto"/>
                <w:szCs w:val="21"/>
              </w:rPr>
              <w:t>事故油主要是在变压器发生故障或检修时产生，</w:t>
            </w:r>
            <w:r>
              <w:rPr>
                <w:rFonts w:hint="eastAsia"/>
                <w:color w:val="auto"/>
              </w:rPr>
              <w:t>事故油排入事故油池收集，</w:t>
            </w:r>
            <w:r>
              <w:rPr>
                <w:rFonts w:hint="eastAsia"/>
                <w:color w:val="auto"/>
                <w:lang w:val="en-US" w:eastAsia="zh-CN"/>
              </w:rPr>
              <w:t>经</w:t>
            </w:r>
            <w:r>
              <w:rPr>
                <w:rFonts w:hint="eastAsia"/>
                <w:color w:val="auto"/>
              </w:rPr>
              <w:t>油水分离后事故油回收利用</w:t>
            </w:r>
            <w:r>
              <w:rPr>
                <w:rFonts w:hint="eastAsia"/>
                <w:color w:val="auto"/>
                <w:lang w:val="en-US" w:eastAsia="zh-CN"/>
              </w:rPr>
              <w:t>，不外排。</w:t>
            </w:r>
            <w:r>
              <w:rPr>
                <w:rFonts w:hint="eastAsia"/>
                <w:color w:val="auto"/>
              </w:rPr>
              <w:t>其中事故油中可回收部分由建设单位回收再利用，不可回收部分（即废事故油）采用专用密封容器盛装后运送至国网巴中供电公司枣林危废暂存间，定期交由有危险废物处置资质的单位进行处置，不外排。</w:t>
            </w:r>
          </w:p>
          <w:p w14:paraId="29590917">
            <w:pPr>
              <w:spacing w:line="360" w:lineRule="auto"/>
              <w:ind w:firstLine="420" w:firstLineChars="200"/>
              <w:rPr>
                <w:bCs/>
                <w:color w:val="auto"/>
                <w:szCs w:val="21"/>
              </w:rPr>
            </w:pPr>
            <w:r>
              <w:rPr>
                <w:rFonts w:hint="eastAsia" w:ascii="宋体" w:hAnsi="宋体"/>
                <w:bCs/>
                <w:color w:val="auto"/>
                <w:szCs w:val="21"/>
              </w:rPr>
              <w:t>②</w:t>
            </w:r>
            <w:r>
              <w:rPr>
                <w:rFonts w:hint="eastAsia"/>
                <w:bCs/>
                <w:color w:val="auto"/>
                <w:szCs w:val="21"/>
              </w:rPr>
              <w:t>消防用水</w:t>
            </w:r>
          </w:p>
          <w:p w14:paraId="15D7A385">
            <w:pPr>
              <w:spacing w:line="360" w:lineRule="auto"/>
              <w:ind w:firstLine="420" w:firstLineChars="200"/>
              <w:rPr>
                <w:bCs/>
                <w:color w:val="auto"/>
                <w:szCs w:val="21"/>
              </w:rPr>
            </w:pPr>
            <w:r>
              <w:rPr>
                <w:rFonts w:hint="eastAsia"/>
                <w:bCs/>
                <w:color w:val="auto"/>
                <w:szCs w:val="21"/>
              </w:rPr>
              <w:t>消防用水由市政给水管网供给</w:t>
            </w:r>
            <w:r>
              <w:rPr>
                <w:rFonts w:hint="eastAsia"/>
                <w:bCs/>
                <w:color w:val="auto"/>
                <w:szCs w:val="21"/>
                <w:lang w:eastAsia="zh-CN"/>
              </w:rPr>
              <w:t>，当发生火灾时，利用</w:t>
            </w:r>
            <w:r>
              <w:rPr>
                <w:rFonts w:hint="eastAsia"/>
                <w:bCs/>
                <w:color w:val="auto"/>
                <w:szCs w:val="21"/>
                <w:lang w:val="en-US" w:eastAsia="zh-CN"/>
              </w:rPr>
              <w:t>室外消防系统</w:t>
            </w:r>
            <w:r>
              <w:rPr>
                <w:rFonts w:hint="eastAsia"/>
                <w:bCs/>
                <w:color w:val="auto"/>
                <w:szCs w:val="21"/>
                <w:lang w:eastAsia="zh-CN"/>
              </w:rPr>
              <w:t>进行灭火，同时还配置推车式化学灭火器</w:t>
            </w:r>
            <w:r>
              <w:rPr>
                <w:rFonts w:hint="eastAsia"/>
                <w:bCs/>
                <w:color w:val="auto"/>
                <w:szCs w:val="21"/>
                <w:lang w:val="en-US" w:eastAsia="zh-CN"/>
              </w:rPr>
              <w:t>以及消防砂池</w:t>
            </w:r>
            <w:r>
              <w:rPr>
                <w:rFonts w:hint="eastAsia"/>
                <w:bCs/>
                <w:color w:val="auto"/>
                <w:szCs w:val="21"/>
                <w:lang w:eastAsia="zh-CN"/>
              </w:rPr>
              <w:t>。主变压器的灭火系统为独立系统，主变压器发生火灾时使用干粉灭火器和消防砂进行灭火，不产生含油消防废水。</w:t>
            </w:r>
          </w:p>
          <w:p w14:paraId="23217E65">
            <w:pPr>
              <w:spacing w:line="360" w:lineRule="auto"/>
              <w:ind w:firstLine="420" w:firstLineChars="200"/>
              <w:rPr>
                <w:color w:val="auto"/>
                <w:szCs w:val="21"/>
              </w:rPr>
            </w:pPr>
            <w:r>
              <w:rPr>
                <w:color w:val="auto"/>
                <w:szCs w:val="21"/>
              </w:rPr>
              <w:t>2</w:t>
            </w:r>
            <w:r>
              <w:rPr>
                <w:rFonts w:hint="eastAsia"/>
                <w:color w:val="auto"/>
                <w:szCs w:val="21"/>
              </w:rPr>
              <w:t>、进站道路：</w:t>
            </w:r>
          </w:p>
          <w:p w14:paraId="2F422D2A">
            <w:pPr>
              <w:spacing w:line="360" w:lineRule="auto"/>
              <w:ind w:firstLine="420" w:firstLineChars="200"/>
              <w:rPr>
                <w:color w:val="auto"/>
                <w:szCs w:val="21"/>
              </w:rPr>
            </w:pPr>
            <w:r>
              <w:rPr>
                <w:rFonts w:hint="eastAsia"/>
                <w:color w:val="auto"/>
                <w:szCs w:val="21"/>
              </w:rPr>
              <w:t>进站道路由</w:t>
            </w:r>
            <w:r>
              <w:rPr>
                <w:rFonts w:hint="eastAsia"/>
                <w:color w:val="auto"/>
                <w:szCs w:val="21"/>
                <w:lang w:val="en-US" w:eastAsia="zh-CN"/>
              </w:rPr>
              <w:t>站址西北</w:t>
            </w:r>
            <w:r>
              <w:rPr>
                <w:rFonts w:hint="eastAsia"/>
                <w:color w:val="auto"/>
                <w:szCs w:val="21"/>
                <w:lang w:eastAsia="zh-CN"/>
              </w:rPr>
              <w:t>侧村道</w:t>
            </w:r>
            <w:r>
              <w:rPr>
                <w:rFonts w:hint="eastAsia"/>
                <w:color w:val="auto"/>
                <w:szCs w:val="21"/>
              </w:rPr>
              <w:t>引接，长约</w:t>
            </w:r>
            <w:r>
              <w:rPr>
                <w:rFonts w:hint="eastAsia"/>
                <w:color w:val="auto"/>
                <w:szCs w:val="21"/>
                <w:lang w:val="en-US" w:eastAsia="zh-CN"/>
              </w:rPr>
              <w:t>98</w:t>
            </w:r>
            <w:r>
              <w:rPr>
                <w:rFonts w:hint="eastAsia"/>
                <w:color w:val="auto"/>
                <w:szCs w:val="21"/>
              </w:rPr>
              <w:t>m，</w:t>
            </w:r>
            <w:r>
              <w:rPr>
                <w:rFonts w:hint="eastAsia"/>
                <w:color w:val="auto"/>
                <w:szCs w:val="21"/>
                <w:lang w:val="en-US" w:eastAsia="zh-CN"/>
              </w:rPr>
              <w:t>进站</w:t>
            </w:r>
            <w:r>
              <w:rPr>
                <w:rFonts w:hint="eastAsia"/>
                <w:color w:val="auto"/>
                <w:szCs w:val="21"/>
              </w:rPr>
              <w:t>道路采用</w:t>
            </w:r>
            <w:r>
              <w:rPr>
                <w:rFonts w:hint="eastAsia"/>
                <w:color w:val="auto"/>
                <w:szCs w:val="21"/>
                <w:lang w:val="en-US" w:eastAsia="zh-CN"/>
              </w:rPr>
              <w:t>郊区</w:t>
            </w:r>
            <w:r>
              <w:rPr>
                <w:rFonts w:hint="eastAsia"/>
                <w:color w:val="auto"/>
                <w:szCs w:val="21"/>
              </w:rPr>
              <w:t>型沥青混凝土路面，路面设计宽度4m。</w:t>
            </w:r>
          </w:p>
          <w:p w14:paraId="77FF2665">
            <w:pPr>
              <w:spacing w:line="360" w:lineRule="auto"/>
              <w:ind w:firstLine="420" w:firstLineChars="200"/>
              <w:rPr>
                <w:color w:val="auto"/>
                <w:szCs w:val="21"/>
              </w:rPr>
            </w:pPr>
            <w:r>
              <w:rPr>
                <w:color w:val="auto"/>
                <w:szCs w:val="21"/>
              </w:rPr>
              <w:t>3</w:t>
            </w:r>
            <w:r>
              <w:rPr>
                <w:rFonts w:hint="eastAsia"/>
                <w:color w:val="auto"/>
                <w:szCs w:val="21"/>
              </w:rPr>
              <w:t>、环保工程</w:t>
            </w:r>
          </w:p>
          <w:p w14:paraId="0B4915F3">
            <w:pPr>
              <w:spacing w:line="360" w:lineRule="auto"/>
              <w:ind w:firstLine="420" w:firstLineChars="200"/>
              <w:rPr>
                <w:bCs/>
                <w:color w:val="auto"/>
              </w:rPr>
            </w:pPr>
            <w:r>
              <w:rPr>
                <w:rFonts w:hint="eastAsia"/>
                <w:bCs/>
                <w:color w:val="auto"/>
              </w:rPr>
              <w:t>每台主变下方分别设置</w:t>
            </w:r>
            <w:r>
              <w:rPr>
                <w:bCs/>
                <w:color w:val="auto"/>
              </w:rPr>
              <w:t>1</w:t>
            </w:r>
            <w:r>
              <w:rPr>
                <w:rFonts w:hint="eastAsia"/>
                <w:bCs/>
                <w:color w:val="auto"/>
              </w:rPr>
              <w:t>个事故油坑，事故油坑</w:t>
            </w:r>
            <w:r>
              <w:rPr>
                <w:rFonts w:hint="eastAsia"/>
                <w:bCs/>
                <w:color w:val="auto"/>
                <w:lang w:eastAsia="zh-CN"/>
              </w:rPr>
              <w:t>有效容积</w:t>
            </w:r>
            <w:r>
              <w:rPr>
                <w:rFonts w:hint="eastAsia"/>
                <w:bCs/>
                <w:color w:val="auto"/>
              </w:rPr>
              <w:t>为5</w:t>
            </w:r>
            <w:r>
              <w:rPr>
                <w:bCs/>
                <w:color w:val="auto"/>
              </w:rPr>
              <w:t>m</w:t>
            </w:r>
            <w:r>
              <w:rPr>
                <w:bCs/>
                <w:color w:val="auto"/>
                <w:vertAlign w:val="superscript"/>
              </w:rPr>
              <w:t>3</w:t>
            </w:r>
            <w:r>
              <w:rPr>
                <w:rFonts w:hint="eastAsia"/>
                <w:bCs/>
                <w:color w:val="auto"/>
              </w:rPr>
              <w:t>，用于第一步收集事故状态下的变压器油。</w:t>
            </w:r>
            <w:r>
              <w:rPr>
                <w:rFonts w:hint="eastAsia"/>
                <w:color w:val="auto"/>
                <w:szCs w:val="21"/>
              </w:rPr>
              <w:t>变电站</w:t>
            </w:r>
            <w:r>
              <w:rPr>
                <w:rFonts w:hint="eastAsia"/>
                <w:color w:val="auto"/>
                <w:szCs w:val="21"/>
                <w:lang w:val="en-US" w:eastAsia="zh-CN"/>
              </w:rPr>
              <w:t>东北</w:t>
            </w:r>
            <w:r>
              <w:rPr>
                <w:rFonts w:hint="eastAsia"/>
                <w:bCs/>
                <w:color w:val="auto"/>
              </w:rPr>
              <w:t>侧空地处</w:t>
            </w:r>
            <w:r>
              <w:rPr>
                <w:rFonts w:hint="eastAsia"/>
                <w:color w:val="auto"/>
              </w:rPr>
              <w:t>设有</w:t>
            </w:r>
            <w:r>
              <w:rPr>
                <w:color w:val="auto"/>
              </w:rPr>
              <w:t>1</w:t>
            </w:r>
            <w:r>
              <w:rPr>
                <w:rFonts w:hint="eastAsia"/>
                <w:color w:val="auto"/>
              </w:rPr>
              <w:t>座事故油池（具有油水分离功能），</w:t>
            </w:r>
            <w:r>
              <w:rPr>
                <w:rFonts w:hint="eastAsia"/>
                <w:color w:val="auto"/>
                <w:lang w:eastAsia="zh-CN"/>
              </w:rPr>
              <w:t>有效容积</w:t>
            </w:r>
            <w:r>
              <w:rPr>
                <w:rFonts w:hint="eastAsia"/>
                <w:color w:val="auto"/>
              </w:rPr>
              <w:t>30</w:t>
            </w:r>
            <w:r>
              <w:rPr>
                <w:color w:val="auto"/>
              </w:rPr>
              <w:t>m</w:t>
            </w:r>
            <w:r>
              <w:rPr>
                <w:color w:val="auto"/>
                <w:vertAlign w:val="superscript"/>
              </w:rPr>
              <w:t>3</w:t>
            </w:r>
            <w:r>
              <w:rPr>
                <w:rFonts w:hint="eastAsia"/>
                <w:bCs/>
                <w:color w:val="auto"/>
              </w:rPr>
              <w:t>，用于暂存事故状况下的变压器油。事故油坑和事故油池间用油管连接。</w:t>
            </w:r>
          </w:p>
          <w:p w14:paraId="553D52DB">
            <w:pPr>
              <w:spacing w:line="360" w:lineRule="auto"/>
              <w:ind w:firstLine="420" w:firstLineChars="200"/>
              <w:rPr>
                <w:bCs/>
                <w:color w:val="auto"/>
              </w:rPr>
            </w:pPr>
            <w:r>
              <w:rPr>
                <w:rFonts w:hint="eastAsia"/>
                <w:bCs/>
                <w:color w:val="auto"/>
              </w:rPr>
              <w:t>变电站</w:t>
            </w:r>
            <w:r>
              <w:rPr>
                <w:rFonts w:hint="eastAsia"/>
                <w:bCs/>
                <w:color w:val="auto"/>
                <w:lang w:val="en-US" w:eastAsia="zh-CN"/>
              </w:rPr>
              <w:t>南</w:t>
            </w:r>
            <w:r>
              <w:rPr>
                <w:rFonts w:hint="eastAsia"/>
                <w:bCs/>
                <w:color w:val="auto"/>
              </w:rPr>
              <w:t>侧设一座化粪池，用于收集门卫生活污水，容积为2m</w:t>
            </w:r>
            <w:r>
              <w:rPr>
                <w:rFonts w:hint="eastAsia"/>
                <w:bCs/>
                <w:color w:val="auto"/>
                <w:vertAlign w:val="superscript"/>
              </w:rPr>
              <w:t>3</w:t>
            </w:r>
            <w:r>
              <w:rPr>
                <w:rFonts w:hint="eastAsia"/>
                <w:bCs/>
                <w:color w:val="auto"/>
              </w:rPr>
              <w:t>。</w:t>
            </w:r>
          </w:p>
          <w:p w14:paraId="05DB65CD">
            <w:pPr>
              <w:spacing w:line="360" w:lineRule="auto"/>
              <w:rPr>
                <w:rFonts w:eastAsia="黑体"/>
                <w:color w:val="auto"/>
                <w:szCs w:val="21"/>
              </w:rPr>
            </w:pPr>
            <w:r>
              <w:rPr>
                <w:rFonts w:hint="eastAsia" w:eastAsia="黑体"/>
                <w:color w:val="auto"/>
                <w:szCs w:val="21"/>
                <w:lang w:val="en-US" w:eastAsia="zh-CN"/>
              </w:rPr>
              <w:t>八</w:t>
            </w:r>
            <w:r>
              <w:rPr>
                <w:rFonts w:eastAsia="黑体"/>
                <w:color w:val="auto"/>
                <w:szCs w:val="21"/>
              </w:rPr>
              <w:t>、</w:t>
            </w:r>
            <w:r>
              <w:rPr>
                <w:rFonts w:hint="eastAsia" w:eastAsia="黑体"/>
                <w:color w:val="auto"/>
                <w:szCs w:val="21"/>
              </w:rPr>
              <w:t>运行管理措施</w:t>
            </w:r>
          </w:p>
          <w:p w14:paraId="69B5E3A7">
            <w:pPr>
              <w:spacing w:line="360" w:lineRule="auto"/>
              <w:ind w:firstLine="420" w:firstLineChars="200"/>
              <w:rPr>
                <w:color w:val="auto"/>
                <w:szCs w:val="21"/>
              </w:rPr>
            </w:pPr>
            <w:r>
              <w:rPr>
                <w:rFonts w:hint="eastAsia"/>
                <w:color w:val="auto"/>
                <w:szCs w:val="21"/>
              </w:rPr>
              <w:t>本项目</w:t>
            </w:r>
            <w:r>
              <w:rPr>
                <w:rFonts w:hint="eastAsia"/>
                <w:bCs/>
                <w:color w:val="auto"/>
              </w:rPr>
              <w:t>变电站</w:t>
            </w:r>
            <w:r>
              <w:rPr>
                <w:rFonts w:hint="eastAsia"/>
                <w:color w:val="auto"/>
                <w:szCs w:val="21"/>
              </w:rPr>
              <w:t>不单独设置</w:t>
            </w:r>
            <w:r>
              <w:rPr>
                <w:bCs/>
                <w:color w:val="auto"/>
              </w:rPr>
              <w:t>工作人员</w:t>
            </w:r>
            <w:r>
              <w:rPr>
                <w:rFonts w:hint="eastAsia"/>
                <w:bCs/>
                <w:color w:val="auto"/>
              </w:rPr>
              <w:t>，</w:t>
            </w:r>
            <w:r>
              <w:rPr>
                <w:rFonts w:hint="eastAsia"/>
                <w:color w:val="auto"/>
                <w:szCs w:val="21"/>
              </w:rPr>
              <w:t>变电站正常</w:t>
            </w:r>
            <w:r>
              <w:rPr>
                <w:rFonts w:hint="eastAsia"/>
                <w:color w:val="auto"/>
                <w:szCs w:val="21"/>
                <w:lang w:eastAsia="zh-CN"/>
              </w:rPr>
              <w:t>运行</w:t>
            </w:r>
            <w:r>
              <w:rPr>
                <w:rFonts w:hint="eastAsia"/>
                <w:color w:val="auto"/>
                <w:szCs w:val="21"/>
              </w:rPr>
              <w:t>期间，仅1名门卫常驻站内；输电线路建成后无日常运行人员，由建设单位定期维护巡检。</w:t>
            </w:r>
          </w:p>
          <w:p w14:paraId="4F71C236">
            <w:pPr>
              <w:spacing w:line="360" w:lineRule="auto"/>
              <w:rPr>
                <w:rFonts w:eastAsia="黑体"/>
                <w:color w:val="auto"/>
                <w:szCs w:val="21"/>
              </w:rPr>
            </w:pPr>
            <w:r>
              <w:rPr>
                <w:rFonts w:hint="eastAsia" w:eastAsia="黑体"/>
                <w:color w:val="auto"/>
                <w:szCs w:val="21"/>
                <w:lang w:val="en-US" w:eastAsia="zh-CN"/>
              </w:rPr>
              <w:t>九</w:t>
            </w:r>
            <w:r>
              <w:rPr>
                <w:rFonts w:hint="eastAsia" w:eastAsia="黑体"/>
                <w:color w:val="auto"/>
                <w:szCs w:val="21"/>
              </w:rPr>
              <w:t>、项目拆迁及安置</w:t>
            </w:r>
          </w:p>
          <w:p w14:paraId="4B7F0BD7">
            <w:pPr>
              <w:spacing w:line="360" w:lineRule="auto"/>
              <w:ind w:firstLine="420" w:firstLineChars="200"/>
              <w:rPr>
                <w:rFonts w:eastAsia="黑体"/>
                <w:color w:val="FF0000"/>
                <w:szCs w:val="21"/>
              </w:rPr>
            </w:pPr>
            <w:r>
              <w:rPr>
                <w:rFonts w:hint="eastAsia"/>
                <w:color w:val="auto"/>
                <w:szCs w:val="21"/>
              </w:rPr>
              <w:t>由“环境影响分析”及“专项报告”的预测结果可以看出，本项目新建变电站和新建输电线路投运后，周边环境敏感目标处的电磁环境和声环境质量均能满足相应的标准要求，因此本项目不涉及环保拆迁。</w:t>
            </w:r>
          </w:p>
        </w:tc>
      </w:tr>
      <w:tr w14:paraId="32B270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vAlign w:val="center"/>
          </w:tcPr>
          <w:p w14:paraId="6A49B2BB">
            <w:pPr>
              <w:jc w:val="center"/>
              <w:rPr>
                <w:color w:val="FF0000"/>
                <w:szCs w:val="21"/>
              </w:rPr>
            </w:pPr>
            <w:r>
              <w:rPr>
                <w:color w:val="auto"/>
                <w:szCs w:val="21"/>
              </w:rPr>
              <w:t>总平面及现场布置</w:t>
            </w:r>
          </w:p>
        </w:tc>
        <w:tc>
          <w:tcPr>
            <w:tcW w:w="8761" w:type="dxa"/>
            <w:gridSpan w:val="2"/>
            <w:vAlign w:val="center"/>
          </w:tcPr>
          <w:p w14:paraId="1AF7A9E5">
            <w:pPr>
              <w:spacing w:line="360" w:lineRule="auto"/>
              <w:rPr>
                <w:rFonts w:eastAsia="黑体"/>
                <w:color w:val="auto"/>
                <w:szCs w:val="21"/>
              </w:rPr>
            </w:pPr>
            <w:r>
              <w:rPr>
                <w:rFonts w:hint="eastAsia" w:eastAsia="黑体"/>
                <w:color w:val="auto"/>
                <w:szCs w:val="21"/>
              </w:rPr>
              <w:t>一</w:t>
            </w:r>
            <w:r>
              <w:rPr>
                <w:rFonts w:eastAsia="黑体"/>
                <w:color w:val="auto"/>
                <w:szCs w:val="21"/>
              </w:rPr>
              <w:t>、</w:t>
            </w:r>
            <w:r>
              <w:rPr>
                <w:rFonts w:hint="eastAsia" w:eastAsia="黑体"/>
                <w:color w:val="auto"/>
                <w:szCs w:val="21"/>
              </w:rPr>
              <w:t>变电站</w:t>
            </w:r>
            <w:r>
              <w:rPr>
                <w:rFonts w:eastAsia="黑体"/>
                <w:color w:val="auto"/>
                <w:szCs w:val="21"/>
              </w:rPr>
              <w:t>平面布置情况</w:t>
            </w:r>
          </w:p>
          <w:p w14:paraId="2669B16F">
            <w:pPr>
              <w:spacing w:line="360" w:lineRule="auto"/>
              <w:ind w:firstLine="420" w:firstLineChars="200"/>
              <w:rPr>
                <w:rFonts w:hint="eastAsia"/>
                <w:color w:val="auto"/>
                <w:szCs w:val="21"/>
                <w:highlight w:val="none"/>
              </w:rPr>
            </w:pPr>
            <w:r>
              <w:rPr>
                <w:rFonts w:hint="eastAsia"/>
                <w:color w:val="auto"/>
                <w:szCs w:val="21"/>
                <w:highlight w:val="none"/>
                <w:lang w:val="en-US" w:eastAsia="zh-CN"/>
              </w:rPr>
              <w:t>1、变电站平面布置情况</w:t>
            </w:r>
          </w:p>
          <w:p w14:paraId="3C12148C">
            <w:pPr>
              <w:spacing w:line="360" w:lineRule="auto"/>
              <w:ind w:firstLine="420" w:firstLineChars="200"/>
              <w:rPr>
                <w:color w:val="auto"/>
                <w:szCs w:val="21"/>
              </w:rPr>
            </w:pPr>
            <w:r>
              <w:rPr>
                <w:rFonts w:hint="eastAsia"/>
                <w:color w:val="auto"/>
                <w:szCs w:val="21"/>
                <w:highlight w:val="none"/>
              </w:rPr>
              <w:t>变电站为户外HGIS变电站，110kV HGIS配电装置场地布置在站区</w:t>
            </w:r>
            <w:r>
              <w:rPr>
                <w:rFonts w:hint="eastAsia"/>
                <w:color w:val="auto"/>
                <w:szCs w:val="21"/>
                <w:highlight w:val="none"/>
                <w:lang w:val="en-US" w:eastAsia="zh-CN"/>
              </w:rPr>
              <w:t>西北</w:t>
            </w:r>
            <w:r>
              <w:rPr>
                <w:rFonts w:hint="eastAsia"/>
                <w:color w:val="auto"/>
                <w:szCs w:val="21"/>
                <w:highlight w:val="none"/>
              </w:rPr>
              <w:t>侧</w:t>
            </w:r>
            <w:r>
              <w:rPr>
                <w:rFonts w:hint="eastAsia"/>
                <w:color w:val="auto"/>
                <w:szCs w:val="21"/>
                <w:highlight w:val="none"/>
                <w:lang w:eastAsia="zh-CN"/>
              </w:rPr>
              <w:t>、</w:t>
            </w:r>
            <w:r>
              <w:rPr>
                <w:rFonts w:hint="default" w:ascii="Times New Roman" w:hAnsi="Times New Roman" w:cs="Times New Roman"/>
                <w:color w:val="000000" w:themeColor="text1"/>
                <w:szCs w:val="21"/>
                <w:highlight w:val="none"/>
                <w14:textFill>
                  <w14:solidFill>
                    <w14:schemeClr w14:val="tx1"/>
                  </w14:solidFill>
                </w14:textFill>
              </w:rPr>
              <w:t>3台</w:t>
            </w:r>
            <w:r>
              <w:rPr>
                <w:rFonts w:hint="eastAsia"/>
                <w:color w:val="auto"/>
                <w:szCs w:val="21"/>
                <w:highlight w:val="none"/>
              </w:rPr>
              <w:t>主变布置在站区中部</w:t>
            </w:r>
            <w:r>
              <w:rPr>
                <w:rFonts w:hint="eastAsia"/>
                <w:color w:val="auto"/>
                <w:szCs w:val="21"/>
                <w:highlight w:val="none"/>
                <w:lang w:eastAsia="zh-CN"/>
              </w:rPr>
              <w:t>，向</w:t>
            </w:r>
            <w:r>
              <w:rPr>
                <w:rFonts w:hint="eastAsia"/>
                <w:color w:val="auto"/>
                <w:szCs w:val="21"/>
                <w:highlight w:val="none"/>
                <w:lang w:val="en-US" w:eastAsia="zh-CN"/>
              </w:rPr>
              <w:t>西北</w:t>
            </w:r>
            <w:r>
              <w:rPr>
                <w:rFonts w:hint="eastAsia"/>
                <w:color w:val="auto"/>
                <w:szCs w:val="21"/>
                <w:highlight w:val="none"/>
                <w:lang w:eastAsia="zh-CN"/>
              </w:rPr>
              <w:t>架空出线；</w:t>
            </w:r>
            <w:r>
              <w:rPr>
                <w:rFonts w:hint="eastAsia"/>
                <w:color w:val="auto"/>
                <w:szCs w:val="21"/>
                <w:highlight w:val="none"/>
              </w:rPr>
              <w:t>设配电装置室1栋，</w:t>
            </w:r>
            <w:r>
              <w:rPr>
                <w:rFonts w:hint="eastAsia"/>
                <w:color w:val="auto"/>
                <w:szCs w:val="21"/>
                <w:highlight w:val="none"/>
                <w:lang w:eastAsia="zh-CN"/>
              </w:rPr>
              <w:t>35kV和10kV采用户内高压开关柜布置于配电装置室内，布置于站区东南侧</w:t>
            </w:r>
            <w:r>
              <w:rPr>
                <w:rFonts w:hint="eastAsia" w:ascii="Times New Roman" w:hAnsi="Times New Roman" w:eastAsia="宋体" w:cs="Times New Roman"/>
                <w:color w:val="auto"/>
                <w:szCs w:val="21"/>
                <w:highlight w:val="none"/>
                <w:lang w:val="en-US" w:eastAsia="zh-CN"/>
              </w:rPr>
              <w:t>，采用电缆出线方式向西南及东北方向出线；</w:t>
            </w:r>
            <w:r>
              <w:rPr>
                <w:rFonts w:hint="eastAsia"/>
                <w:color w:val="auto"/>
                <w:szCs w:val="21"/>
                <w:highlight w:val="none"/>
                <w:lang w:val="en-US" w:eastAsia="zh-CN"/>
              </w:rPr>
              <w:t>辅助用房布置于</w:t>
            </w:r>
            <w:r>
              <w:rPr>
                <w:rFonts w:hint="eastAsia"/>
                <w:color w:val="auto"/>
                <w:szCs w:val="21"/>
                <w:highlight w:val="none"/>
              </w:rPr>
              <w:t>站区西</w:t>
            </w:r>
            <w:r>
              <w:rPr>
                <w:rFonts w:hint="eastAsia"/>
                <w:color w:val="auto"/>
                <w:szCs w:val="21"/>
                <w:highlight w:val="none"/>
                <w:lang w:val="en-US" w:eastAsia="zh-CN"/>
              </w:rPr>
              <w:t>北</w:t>
            </w:r>
            <w:r>
              <w:rPr>
                <w:rFonts w:hint="eastAsia"/>
                <w:color w:val="auto"/>
                <w:szCs w:val="21"/>
                <w:highlight w:val="none"/>
              </w:rPr>
              <w:t>角</w:t>
            </w:r>
            <w:r>
              <w:rPr>
                <w:rFonts w:hint="eastAsia"/>
                <w:color w:val="auto"/>
                <w:szCs w:val="21"/>
                <w:highlight w:val="none"/>
                <w:lang w:eastAsia="zh-CN"/>
              </w:rPr>
              <w:t>；10kV电容器组场地位于站区东北及西南侧；变电站进站大门设于站区西北侧，进站道路从变电站西北侧紧邻的省道（万阿路）上引接，进站道路约98米</w:t>
            </w:r>
            <w:r>
              <w:rPr>
                <w:rFonts w:hint="eastAsia"/>
                <w:color w:val="auto"/>
                <w:szCs w:val="21"/>
                <w:lang w:val="en-US" w:eastAsia="zh-CN"/>
              </w:rPr>
              <w:t>。</w:t>
            </w:r>
          </w:p>
          <w:p w14:paraId="5875C6AE">
            <w:pPr>
              <w:spacing w:line="360" w:lineRule="auto"/>
              <w:ind w:firstLine="420" w:firstLineChars="200"/>
              <w:rPr>
                <w:color w:val="auto"/>
                <w:szCs w:val="21"/>
              </w:rPr>
            </w:pPr>
            <w:r>
              <w:rPr>
                <w:rFonts w:hint="eastAsia"/>
                <w:color w:val="auto"/>
                <w:szCs w:val="21"/>
              </w:rPr>
              <w:t>变电站环保设施布置情况：事故油池设置在站区</w:t>
            </w:r>
            <w:r>
              <w:rPr>
                <w:rFonts w:hint="eastAsia"/>
                <w:bCs/>
                <w:color w:val="auto"/>
                <w:lang w:val="en-US" w:eastAsia="zh-CN"/>
              </w:rPr>
              <w:t>1#主变东</w:t>
            </w:r>
            <w:r>
              <w:rPr>
                <w:rFonts w:hint="eastAsia"/>
                <w:bCs/>
                <w:color w:val="auto"/>
              </w:rPr>
              <w:t>侧</w:t>
            </w:r>
            <w:r>
              <w:rPr>
                <w:rFonts w:hint="eastAsia"/>
                <w:bCs/>
                <w:color w:val="auto"/>
                <w:lang w:val="en-US" w:eastAsia="zh-CN"/>
              </w:rPr>
              <w:t>旁</w:t>
            </w:r>
            <w:r>
              <w:rPr>
                <w:rFonts w:hint="eastAsia"/>
                <w:color w:val="auto"/>
                <w:szCs w:val="21"/>
              </w:rPr>
              <w:t>空地</w:t>
            </w:r>
            <w:r>
              <w:rPr>
                <w:rFonts w:hint="eastAsia"/>
                <w:color w:val="auto"/>
                <w:szCs w:val="21"/>
                <w:lang w:val="en-US" w:eastAsia="zh-CN"/>
              </w:rPr>
              <w:t>处</w:t>
            </w:r>
            <w:r>
              <w:rPr>
                <w:rFonts w:hint="eastAsia"/>
                <w:color w:val="auto"/>
                <w:szCs w:val="21"/>
              </w:rPr>
              <w:t>，通过事故油管与主变下方的事故油坑连接，便于收集事故状态下产生的事故油；化粪池位于站区</w:t>
            </w:r>
            <w:r>
              <w:rPr>
                <w:rFonts w:hint="eastAsia"/>
                <w:color w:val="auto"/>
                <w:szCs w:val="21"/>
                <w:lang w:val="en-US" w:eastAsia="zh-CN"/>
              </w:rPr>
              <w:t>西</w:t>
            </w:r>
            <w:r>
              <w:rPr>
                <w:rFonts w:hint="eastAsia"/>
                <w:color w:val="auto"/>
                <w:szCs w:val="21"/>
              </w:rPr>
              <w:t>侧。</w:t>
            </w:r>
          </w:p>
          <w:p w14:paraId="0EC5C010">
            <w:pPr>
              <w:spacing w:line="360" w:lineRule="auto"/>
              <w:ind w:firstLine="420" w:firstLineChars="200"/>
              <w:rPr>
                <w:rFonts w:hint="eastAsia"/>
                <w:color w:val="auto"/>
                <w:szCs w:val="21"/>
                <w:highlight w:val="none"/>
              </w:rPr>
            </w:pPr>
            <w:r>
              <w:rPr>
                <w:rFonts w:hint="eastAsia"/>
                <w:color w:val="auto"/>
                <w:szCs w:val="21"/>
              </w:rPr>
              <w:t>变电站的平面布置具有以下特点：①平面布置整齐紧凑，进出线方便，功能分区明显，满足工艺流程要求；②靠近现有道路，减少进站道路的长度，站内外道路方便运输；</w:t>
            </w:r>
            <w:r>
              <w:rPr>
                <w:rFonts w:hint="eastAsia" w:ascii="宋体" w:hAnsi="宋体" w:cs="宋体"/>
                <w:color w:val="auto"/>
                <w:szCs w:val="21"/>
              </w:rPr>
              <w:t>③满足</w:t>
            </w:r>
            <w:r>
              <w:rPr>
                <w:color w:val="auto"/>
              </w:rPr>
              <w:t>《火力发电厂与变电站设计防火标准》（GB50229-2019）</w:t>
            </w:r>
            <w:r>
              <w:rPr>
                <w:rFonts w:eastAsiaTheme="minorEastAsia"/>
                <w:color w:val="auto"/>
                <w:szCs w:val="21"/>
              </w:rPr>
              <w:t>等国</w:t>
            </w:r>
            <w:r>
              <w:rPr>
                <w:rFonts w:eastAsiaTheme="minorEastAsia"/>
                <w:color w:val="auto"/>
                <w:szCs w:val="21"/>
                <w:highlight w:val="none"/>
              </w:rPr>
              <w:t>家现行规程规范要求</w:t>
            </w:r>
            <w:r>
              <w:rPr>
                <w:rFonts w:hint="eastAsia"/>
                <w:color w:val="auto"/>
                <w:szCs w:val="21"/>
                <w:highlight w:val="none"/>
              </w:rPr>
              <w:t>。</w:t>
            </w:r>
            <w:r>
              <w:rPr>
                <w:rFonts w:hint="eastAsia"/>
                <w:bCs/>
                <w:color w:val="auto"/>
                <w:szCs w:val="21"/>
                <w:highlight w:val="none"/>
              </w:rPr>
              <w:t>从环保角度分析，该总图布置合理</w:t>
            </w:r>
            <w:r>
              <w:rPr>
                <w:rFonts w:hint="eastAsia"/>
                <w:color w:val="auto"/>
                <w:szCs w:val="21"/>
                <w:highlight w:val="none"/>
              </w:rPr>
              <w:t>。</w:t>
            </w:r>
            <w:r>
              <w:rPr>
                <w:rFonts w:hint="eastAsia"/>
                <w:color w:val="auto"/>
                <w:szCs w:val="21"/>
                <w:highlight w:val="none"/>
                <w:lang w:val="en-US" w:eastAsia="zh-CN"/>
              </w:rPr>
              <w:t>司城</w:t>
            </w:r>
            <w:r>
              <w:rPr>
                <w:rFonts w:hint="eastAsia"/>
                <w:color w:val="auto"/>
                <w:szCs w:val="21"/>
                <w:highlight w:val="none"/>
              </w:rPr>
              <w:t>110kV变电站的平面布置图见附图</w:t>
            </w:r>
            <w:r>
              <w:rPr>
                <w:rFonts w:hint="eastAsia"/>
                <w:color w:val="auto"/>
                <w:szCs w:val="21"/>
                <w:highlight w:val="none"/>
                <w:lang w:val="en-US" w:eastAsia="zh-CN"/>
              </w:rPr>
              <w:t>2</w:t>
            </w:r>
            <w:r>
              <w:rPr>
                <w:rFonts w:hint="eastAsia"/>
                <w:color w:val="auto"/>
                <w:szCs w:val="21"/>
                <w:highlight w:val="none"/>
              </w:rPr>
              <w:t>。</w:t>
            </w:r>
          </w:p>
          <w:p w14:paraId="4B853FA4">
            <w:pPr>
              <w:spacing w:line="360" w:lineRule="auto"/>
              <w:ind w:firstLine="42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default" w:ascii="Times New Roman" w:hAnsi="Times New Roman" w:cs="Times New Roman" w:eastAsiaTheme="minorEastAsia"/>
                <w:color w:val="auto"/>
                <w:szCs w:val="21"/>
                <w:highlight w:val="none"/>
                <w:lang w:eastAsia="zh-CN"/>
              </w:rPr>
              <w:t>变电站</w:t>
            </w:r>
            <w:r>
              <w:rPr>
                <w:rFonts w:hint="default" w:ascii="Times New Roman" w:hAnsi="Times New Roman" w:cs="Times New Roman" w:eastAsiaTheme="minorEastAsia"/>
                <w:color w:val="auto"/>
                <w:szCs w:val="21"/>
                <w:highlight w:val="none"/>
                <w:lang w:val="en-US" w:eastAsia="zh-CN"/>
              </w:rPr>
              <w:t>外环境关系</w:t>
            </w:r>
          </w:p>
          <w:p w14:paraId="430C5546">
            <w:pPr>
              <w:spacing w:line="360" w:lineRule="auto"/>
              <w:ind w:firstLine="420" w:firstLineChars="200"/>
              <w:rPr>
                <w:rFonts w:hint="eastAsia"/>
                <w:color w:val="auto"/>
                <w:szCs w:val="21"/>
                <w:highlight w:val="none"/>
              </w:rPr>
            </w:pPr>
            <w:r>
              <w:rPr>
                <w:rFonts w:hint="default" w:ascii="Times New Roman" w:hAnsi="Times New Roman" w:cs="Times New Roman"/>
                <w:color w:val="000000" w:themeColor="text1"/>
                <w:szCs w:val="21"/>
                <w:highlight w:val="none"/>
                <w14:textFill>
                  <w14:solidFill>
                    <w14:schemeClr w14:val="tx1"/>
                  </w14:solidFill>
                </w14:textFill>
              </w:rPr>
              <w:t>根据现场勘查，变电站电磁环境评价范围内（站界外30m）</w:t>
            </w:r>
            <w:r>
              <w:rPr>
                <w:rFonts w:hint="eastAsia" w:cs="Times New Roman"/>
                <w:color w:val="000000" w:themeColor="text1"/>
                <w:szCs w:val="21"/>
                <w:highlight w:val="none"/>
                <w:lang w:val="en-US" w:eastAsia="zh-CN"/>
                <w14:textFill>
                  <w14:solidFill>
                    <w14:schemeClr w14:val="tx1"/>
                  </w14:solidFill>
                </w14:textFill>
              </w:rPr>
              <w:t>内无敏感目标，</w:t>
            </w:r>
            <w:r>
              <w:rPr>
                <w:rFonts w:hint="default" w:ascii="Times New Roman" w:hAnsi="Times New Roman" w:cs="Times New Roman"/>
                <w:color w:val="000000" w:themeColor="text1"/>
                <w:szCs w:val="21"/>
                <w:highlight w:val="none"/>
                <w14:textFill>
                  <w14:solidFill>
                    <w14:schemeClr w14:val="tx1"/>
                  </w14:solidFill>
                </w14:textFill>
              </w:rPr>
              <w:t>声环境评价范围内（站界外</w:t>
            </w:r>
            <w:r>
              <w:rPr>
                <w:rFonts w:hint="eastAsia" w:cs="Times New Roman"/>
                <w:color w:val="000000" w:themeColor="text1"/>
                <w:szCs w:val="21"/>
                <w:highlight w:val="none"/>
                <w:lang w:val="en-US" w:eastAsia="zh-CN"/>
                <w14:textFill>
                  <w14:solidFill>
                    <w14:schemeClr w14:val="tx1"/>
                  </w14:solidFill>
                </w14:textFill>
              </w:rPr>
              <w:t>20</w:t>
            </w:r>
            <w:r>
              <w:rPr>
                <w:rFonts w:hint="default" w:ascii="Times New Roman" w:hAnsi="Times New Roman" w:cs="Times New Roman"/>
                <w:color w:val="000000" w:themeColor="text1"/>
                <w:szCs w:val="21"/>
                <w:highlight w:val="none"/>
                <w14:textFill>
                  <w14:solidFill>
                    <w14:schemeClr w14:val="tx1"/>
                  </w14:solidFill>
                </w14:textFill>
              </w:rPr>
              <w:t>0m）</w:t>
            </w:r>
            <w:r>
              <w:rPr>
                <w:rFonts w:hint="eastAsia" w:cs="Times New Roman"/>
                <w:color w:val="000000" w:themeColor="text1"/>
                <w:szCs w:val="21"/>
                <w:highlight w:val="none"/>
                <w:lang w:val="en-US" w:eastAsia="zh-CN"/>
                <w14:textFill>
                  <w14:solidFill>
                    <w14:schemeClr w14:val="tx1"/>
                  </w14:solidFill>
                </w14:textFill>
              </w:rPr>
              <w:t>共有6处</w:t>
            </w:r>
            <w:r>
              <w:rPr>
                <w:rFonts w:hint="default" w:ascii="Times New Roman" w:hAnsi="Times New Roman" w:cs="Times New Roman"/>
                <w:color w:val="000000" w:themeColor="text1"/>
                <w:szCs w:val="21"/>
                <w:highlight w:val="none"/>
                <w14:textFill>
                  <w14:solidFill>
                    <w14:schemeClr w14:val="tx1"/>
                  </w14:solidFill>
                </w14:textFill>
              </w:rPr>
              <w:t>环境敏感目标，</w:t>
            </w:r>
            <w:r>
              <w:rPr>
                <w:rFonts w:hint="eastAsia" w:cs="Times New Roman"/>
                <w:color w:val="000000" w:themeColor="text1"/>
                <w:szCs w:val="21"/>
                <w:highlight w:val="none"/>
                <w:lang w:val="en-US" w:eastAsia="zh-CN"/>
                <w14:textFill>
                  <w14:solidFill>
                    <w14:schemeClr w14:val="tx1"/>
                  </w14:solidFill>
                </w14:textFill>
              </w:rPr>
              <w:t>分别为站界西北侧约52m处***等农户（27-1#敏感目标）、约100m处的**等农户（27-2#敏感目标）；站界东北侧约177m处的马***等农户（25#敏感目标）；站界南侧约103m处的***（28-1#敏感目标）、约180m处的***农户（28-2#敏感目标）以及站界北侧约174m处的***等农户（26#敏感目标）</w:t>
            </w:r>
            <w:r>
              <w:rPr>
                <w:rFonts w:hint="default" w:ascii="Times New Roman" w:hAnsi="Times New Roman" w:cs="Times New Roman"/>
                <w:color w:val="000000" w:themeColor="text1"/>
                <w:szCs w:val="21"/>
                <w:highlight w:val="none"/>
                <w14:textFill>
                  <w14:solidFill>
                    <w14:schemeClr w14:val="tx1"/>
                  </w14:solidFill>
                </w14:textFill>
              </w:rPr>
              <w:t>。站界</w:t>
            </w:r>
            <w:r>
              <w:rPr>
                <w:rFonts w:hint="eastAsia" w:cs="Times New Roman"/>
                <w:color w:val="000000" w:themeColor="text1"/>
                <w:szCs w:val="21"/>
                <w:highlight w:val="none"/>
                <w:lang w:val="en-US" w:eastAsia="zh-CN"/>
                <w14:textFill>
                  <w14:solidFill>
                    <w14:schemeClr w14:val="tx1"/>
                  </w14:solidFill>
                </w14:textFill>
              </w:rPr>
              <w:t>南</w:t>
            </w:r>
            <w:r>
              <w:rPr>
                <w:rFonts w:hint="default" w:ascii="Times New Roman" w:hAnsi="Times New Roman" w:cs="Times New Roman"/>
                <w:color w:val="000000" w:themeColor="text1"/>
                <w:szCs w:val="21"/>
                <w:highlight w:val="none"/>
                <w14:textFill>
                  <w14:solidFill>
                    <w14:schemeClr w14:val="tx1"/>
                  </w14:solidFill>
                </w14:textFill>
              </w:rPr>
              <w:t>侧</w:t>
            </w:r>
            <w:r>
              <w:rPr>
                <w:rFonts w:hint="eastAsia" w:cs="Times New Roman"/>
                <w:color w:val="000000" w:themeColor="text1"/>
                <w:szCs w:val="21"/>
                <w:highlight w:val="none"/>
                <w:lang w:val="en-US" w:eastAsia="zh-CN"/>
                <w14:textFill>
                  <w14:solidFill>
                    <w14:schemeClr w14:val="tx1"/>
                  </w14:solidFill>
                </w14:textFill>
              </w:rPr>
              <w:t>约23m为G244国道</w:t>
            </w:r>
            <w:r>
              <w:rPr>
                <w:rFonts w:hint="default" w:ascii="Times New Roman" w:hAnsi="Times New Roman" w:cs="Times New Roman"/>
                <w:color w:val="000000" w:themeColor="text1"/>
                <w:szCs w:val="21"/>
                <w:highlight w:val="none"/>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西南侧约6m处为S302省道，</w:t>
            </w:r>
            <w:r>
              <w:rPr>
                <w:rFonts w:hint="default" w:ascii="Times New Roman" w:hAnsi="Times New Roman" w:cs="Times New Roman"/>
                <w:color w:val="000000" w:themeColor="text1"/>
                <w:szCs w:val="21"/>
                <w:highlight w:val="none"/>
                <w14:textFill>
                  <w14:solidFill>
                    <w14:schemeClr w14:val="tx1"/>
                  </w14:solidFill>
                </w14:textFill>
              </w:rPr>
              <w:t>其余均为</w:t>
            </w:r>
            <w:r>
              <w:rPr>
                <w:rFonts w:hint="eastAsia" w:cs="Times New Roman"/>
                <w:color w:val="000000" w:themeColor="text1"/>
                <w:szCs w:val="21"/>
                <w:highlight w:val="none"/>
                <w:lang w:val="en-US" w:eastAsia="zh-CN"/>
                <w14:textFill>
                  <w14:solidFill>
                    <w14:schemeClr w14:val="tx1"/>
                  </w14:solidFill>
                </w14:textFill>
              </w:rPr>
              <w:t>未利用地、</w:t>
            </w:r>
            <w:r>
              <w:rPr>
                <w:rFonts w:hint="default" w:ascii="Times New Roman" w:hAnsi="Times New Roman" w:cs="Times New Roman"/>
                <w:color w:val="000000" w:themeColor="text1"/>
                <w:szCs w:val="21"/>
                <w:highlight w:val="none"/>
                <w14:textFill>
                  <w14:solidFill>
                    <w14:schemeClr w14:val="tx1"/>
                  </w14:solidFill>
                </w14:textFill>
              </w:rPr>
              <w:t>耕地和林地。</w:t>
            </w:r>
            <w:r>
              <w:rPr>
                <w:rFonts w:hint="eastAsia" w:cs="Times New Roman"/>
                <w:color w:val="000000" w:themeColor="text1"/>
                <w:szCs w:val="21"/>
                <w:highlight w:val="none"/>
                <w:lang w:val="en-US" w:eastAsia="zh-CN"/>
                <w14:textFill>
                  <w14:solidFill>
                    <w14:schemeClr w14:val="tx1"/>
                  </w14:solidFill>
                </w14:textFill>
              </w:rPr>
              <w:t>司城</w:t>
            </w:r>
            <w:r>
              <w:rPr>
                <w:rFonts w:hint="default" w:ascii="Times New Roman" w:hAnsi="Times New Roman" w:cs="Times New Roman"/>
                <w:color w:val="000000" w:themeColor="text1"/>
                <w:szCs w:val="21"/>
                <w:highlight w:val="none"/>
                <w14:textFill>
                  <w14:solidFill>
                    <w14:schemeClr w14:val="tx1"/>
                  </w14:solidFill>
                </w14:textFill>
              </w:rPr>
              <w:t>110kV变电站外环境关系相对较简单。</w:t>
            </w:r>
            <w:r>
              <w:rPr>
                <w:rFonts w:hint="eastAsia" w:cs="Times New Roman"/>
                <w:color w:val="000000" w:themeColor="text1"/>
                <w:szCs w:val="21"/>
                <w:highlight w:val="none"/>
                <w:lang w:val="en-US" w:eastAsia="zh-CN"/>
                <w14:textFill>
                  <w14:solidFill>
                    <w14:schemeClr w14:val="tx1"/>
                  </w14:solidFill>
                </w14:textFill>
              </w:rPr>
              <w:t>司城</w:t>
            </w:r>
            <w:r>
              <w:rPr>
                <w:rFonts w:hint="default" w:ascii="Times New Roman" w:hAnsi="Times New Roman" w:cs="Times New Roman"/>
                <w:color w:val="000000" w:themeColor="text1"/>
                <w:szCs w:val="21"/>
                <w:highlight w:val="none"/>
                <w14:textFill>
                  <w14:solidFill>
                    <w14:schemeClr w14:val="tx1"/>
                  </w14:solidFill>
                </w14:textFill>
              </w:rPr>
              <w:t>110kV变电站的外环境关系图见附图</w:t>
            </w:r>
            <w:r>
              <w:rPr>
                <w:rFonts w:hint="eastAsia" w:cs="Times New Roman"/>
                <w:color w:val="000000" w:themeColor="text1"/>
                <w:szCs w:val="21"/>
                <w:highlight w:val="none"/>
                <w:lang w:val="en-US" w:eastAsia="zh-CN"/>
                <w14:textFill>
                  <w14:solidFill>
                    <w14:schemeClr w14:val="tx1"/>
                  </w14:solidFill>
                </w14:textFill>
              </w:rPr>
              <w:t>3</w:t>
            </w:r>
            <w:r>
              <w:rPr>
                <w:rFonts w:hint="default" w:ascii="Times New Roman" w:hAnsi="Times New Roman" w:cs="Times New Roman" w:eastAsiaTheme="minorEastAsia"/>
                <w:color w:val="auto"/>
                <w:szCs w:val="21"/>
                <w:highlight w:val="none"/>
                <w:lang w:val="en-US" w:eastAsia="zh-CN"/>
              </w:rPr>
              <w:t>。</w:t>
            </w:r>
          </w:p>
          <w:p w14:paraId="542144B5">
            <w:pPr>
              <w:spacing w:line="360" w:lineRule="auto"/>
              <w:rPr>
                <w:rFonts w:eastAsia="黑体"/>
                <w:color w:val="auto"/>
                <w:szCs w:val="21"/>
              </w:rPr>
            </w:pPr>
            <w:r>
              <w:rPr>
                <w:rFonts w:hint="eastAsia" w:eastAsia="黑体"/>
                <w:color w:val="auto"/>
                <w:szCs w:val="21"/>
              </w:rPr>
              <w:t>二</w:t>
            </w:r>
            <w:r>
              <w:rPr>
                <w:rFonts w:eastAsia="黑体"/>
                <w:color w:val="auto"/>
                <w:szCs w:val="21"/>
              </w:rPr>
              <w:t>、输电线路工程</w:t>
            </w:r>
          </w:p>
          <w:p w14:paraId="6E462917">
            <w:pPr>
              <w:spacing w:line="360" w:lineRule="auto"/>
              <w:ind w:firstLine="422" w:firstLineChars="200"/>
              <w:rPr>
                <w:b/>
                <w:color w:val="auto"/>
                <w:szCs w:val="21"/>
              </w:rPr>
            </w:pPr>
            <w:r>
              <w:rPr>
                <w:rFonts w:hint="eastAsia"/>
                <w:b/>
                <w:color w:val="auto"/>
                <w:szCs w:val="21"/>
              </w:rPr>
              <w:t>1</w:t>
            </w:r>
            <w:r>
              <w:rPr>
                <w:b/>
                <w:color w:val="auto"/>
                <w:szCs w:val="21"/>
              </w:rPr>
              <w:t>、输电线路</w:t>
            </w:r>
            <w:r>
              <w:rPr>
                <w:rFonts w:hint="eastAsia"/>
                <w:b/>
                <w:color w:val="auto"/>
                <w:szCs w:val="21"/>
              </w:rPr>
              <w:t>路径</w:t>
            </w:r>
          </w:p>
          <w:p w14:paraId="637C1A9C">
            <w:pPr>
              <w:spacing w:line="360" w:lineRule="auto"/>
              <w:ind w:firstLine="420" w:firstLineChars="200"/>
              <w:rPr>
                <w:rFonts w:hint="eastAsia" w:eastAsia="宋体"/>
                <w:color w:val="auto"/>
                <w:szCs w:val="21"/>
                <w:highlight w:val="yellow"/>
                <w:lang w:eastAsia="zh-CN"/>
              </w:rPr>
            </w:pPr>
            <w:r>
              <w:rPr>
                <w:rFonts w:hint="eastAsia"/>
                <w:bCs/>
                <w:color w:val="auto"/>
                <w:highlight w:val="none"/>
              </w:rPr>
              <w:t>根据</w:t>
            </w:r>
            <w:r>
              <w:rPr>
                <w:rFonts w:hint="eastAsia"/>
                <w:bCs/>
                <w:color w:val="auto"/>
                <w:highlight w:val="none"/>
                <w:lang w:eastAsia="zh-CN"/>
              </w:rPr>
              <w:t>四川南充电力设计有限公司编制的《巴中恩阳司城110千伏输变电工程初步设计说明书》</w:t>
            </w:r>
            <w:r>
              <w:rPr>
                <w:rFonts w:hint="eastAsia"/>
                <w:bCs/>
                <w:color w:val="auto"/>
                <w:highlight w:val="none"/>
                <w:lang w:val="en-US" w:eastAsia="zh-CN"/>
              </w:rPr>
              <w:t>以及</w:t>
            </w:r>
            <w:r>
              <w:rPr>
                <w:rFonts w:hint="eastAsia"/>
                <w:bCs/>
                <w:color w:val="auto"/>
                <w:highlight w:val="none"/>
              </w:rPr>
              <w:t>国网四川省电力公司出具的</w:t>
            </w:r>
            <w:r>
              <w:rPr>
                <w:rFonts w:hint="eastAsia"/>
                <w:bCs/>
                <w:color w:val="auto"/>
                <w:highlight w:val="none"/>
                <w:lang w:eastAsia="zh-CN"/>
              </w:rPr>
              <w:t>《</w:t>
            </w:r>
            <w:r>
              <w:rPr>
                <w:rFonts w:hint="eastAsia"/>
                <w:bCs/>
                <w:color w:val="auto"/>
                <w:highlight w:val="none"/>
              </w:rPr>
              <w:t>关于巴中恩阳司城110千伏输变电工程初步设计的批复</w:t>
            </w:r>
            <w:r>
              <w:rPr>
                <w:rFonts w:hint="eastAsia"/>
                <w:bCs/>
                <w:color w:val="auto"/>
                <w:highlight w:val="none"/>
                <w:lang w:eastAsia="zh-CN"/>
              </w:rPr>
              <w:t>》</w:t>
            </w:r>
            <w:r>
              <w:rPr>
                <w:rFonts w:hint="eastAsia"/>
                <w:color w:val="auto"/>
                <w:szCs w:val="21"/>
                <w:highlight w:val="none"/>
              </w:rPr>
              <w:t>（</w:t>
            </w:r>
            <w:r>
              <w:rPr>
                <w:rFonts w:hint="eastAsia"/>
                <w:color w:val="auto"/>
                <w:szCs w:val="21"/>
                <w:highlight w:val="none"/>
                <w:lang w:val="en-US" w:eastAsia="zh-CN"/>
              </w:rPr>
              <w:t>川电建设</w:t>
            </w:r>
            <w:r>
              <w:rPr>
                <w:rFonts w:hint="eastAsia"/>
                <w:color w:val="auto"/>
                <w:szCs w:val="21"/>
                <w:highlight w:val="none"/>
              </w:rPr>
              <w:t>〔202</w:t>
            </w:r>
            <w:r>
              <w:rPr>
                <w:rFonts w:hint="eastAsia"/>
                <w:color w:val="auto"/>
                <w:szCs w:val="21"/>
                <w:highlight w:val="none"/>
                <w:lang w:val="en-US" w:eastAsia="zh-CN"/>
              </w:rPr>
              <w:t>6</w:t>
            </w:r>
            <w:r>
              <w:rPr>
                <w:rFonts w:hint="eastAsia"/>
                <w:color w:val="auto"/>
                <w:szCs w:val="21"/>
                <w:highlight w:val="none"/>
              </w:rPr>
              <w:t>〕</w:t>
            </w:r>
            <w:r>
              <w:rPr>
                <w:rFonts w:hint="eastAsia"/>
                <w:color w:val="auto"/>
                <w:szCs w:val="21"/>
                <w:highlight w:val="none"/>
                <w:lang w:val="en-US" w:eastAsia="zh-CN"/>
              </w:rPr>
              <w:t>74</w:t>
            </w:r>
            <w:r>
              <w:rPr>
                <w:rFonts w:hint="eastAsia"/>
                <w:color w:val="auto"/>
                <w:szCs w:val="21"/>
                <w:highlight w:val="none"/>
              </w:rPr>
              <w:t>号）可知</w:t>
            </w:r>
            <w:r>
              <w:rPr>
                <w:rFonts w:hint="eastAsia"/>
                <w:color w:val="auto"/>
                <w:szCs w:val="21"/>
                <w:highlight w:val="none"/>
                <w:lang w:eastAsia="zh-CN"/>
              </w:rPr>
              <w:t>：</w:t>
            </w:r>
          </w:p>
          <w:p w14:paraId="4076B51E">
            <w:pPr>
              <w:spacing w:line="360" w:lineRule="auto"/>
              <w:ind w:firstLine="420" w:firstLineChars="200"/>
              <w:rPr>
                <w:rFonts w:hint="eastAsia" w:cs="Times New Roman"/>
                <w:bCs/>
                <w:color w:val="auto"/>
                <w:lang w:val="en-US" w:eastAsia="zh-CN"/>
              </w:rPr>
            </w:pPr>
            <w:r>
              <w:rPr>
                <w:rFonts w:hint="eastAsia" w:cs="Times New Roman"/>
                <w:bCs/>
                <w:color w:val="auto"/>
                <w:lang w:val="en-US" w:eastAsia="zh-CN"/>
              </w:rPr>
              <w:t>盘兴</w:t>
            </w:r>
            <w:r>
              <w:rPr>
                <w:rFonts w:hint="eastAsia" w:ascii="Times New Roman" w:hAnsi="Times New Roman" w:cs="Times New Roman"/>
                <w:bCs/>
                <w:color w:val="auto"/>
                <w:lang w:eastAsia="zh-CN"/>
              </w:rPr>
              <w:t>～</w:t>
            </w:r>
            <w:r>
              <w:rPr>
                <w:rFonts w:hint="eastAsia" w:cs="Times New Roman"/>
                <w:bCs/>
                <w:color w:val="auto"/>
                <w:lang w:val="en-US" w:eastAsia="zh-CN"/>
              </w:rPr>
              <w:t>司城</w:t>
            </w:r>
            <w:r>
              <w:rPr>
                <w:rFonts w:hint="eastAsia" w:ascii="Times New Roman" w:hAnsi="Times New Roman" w:cs="Times New Roman"/>
                <w:bCs/>
                <w:color w:val="auto"/>
                <w:lang w:eastAsia="zh-CN"/>
              </w:rPr>
              <w:t>110kV线路工程：</w:t>
            </w:r>
            <w:r>
              <w:rPr>
                <w:rFonts w:hint="eastAsia" w:cs="Times New Roman"/>
                <w:bCs/>
                <w:color w:val="auto"/>
                <w:lang w:val="en-US" w:eastAsia="zh-CN"/>
              </w:rPr>
              <w:t>线路起于220kV盘兴变电站，架空出线向北，利旧盘兴—印合线路同塔双回架设，经八大王沟、八代王沟，跨越S302省道至王家咀后向西架设，依次跨越G5012恩广高速（隧道上方跨越）、G244国道后在枣儿塘村附近向南架设，跨越S2成巴高速（隧道上方跨越）、G5012恩广高速（隧道上方跨越）后至齐家湾附近由巴州区进入恩阳区，进入恩阳区后继续向西南方向架设，途经杨家湾、肖家院子至刘家湾附近拟建110kV司城变电站。</w:t>
            </w:r>
          </w:p>
          <w:p w14:paraId="5D29663E">
            <w:pPr>
              <w:spacing w:line="360" w:lineRule="auto"/>
              <w:ind w:firstLine="420" w:firstLineChars="200"/>
              <w:rPr>
                <w:color w:val="FF0000"/>
                <w:szCs w:val="21"/>
              </w:rPr>
            </w:pPr>
            <w:r>
              <w:rPr>
                <w:rFonts w:hint="eastAsia"/>
                <w:color w:val="auto"/>
                <w:szCs w:val="21"/>
                <w:lang w:val="en-US" w:eastAsia="zh-CN"/>
              </w:rPr>
              <w:t>印合</w:t>
            </w:r>
            <w:r>
              <w:rPr>
                <w:rFonts w:hint="eastAsia"/>
                <w:color w:val="auto"/>
                <w:szCs w:val="21"/>
                <w:lang w:eastAsia="zh-CN"/>
              </w:rPr>
              <w:t>～</w:t>
            </w:r>
            <w:r>
              <w:rPr>
                <w:rFonts w:hint="eastAsia"/>
                <w:color w:val="auto"/>
                <w:szCs w:val="21"/>
                <w:lang w:val="en-US" w:eastAsia="zh-CN"/>
              </w:rPr>
              <w:t>司城</w:t>
            </w:r>
            <w:r>
              <w:rPr>
                <w:rFonts w:hint="eastAsia"/>
                <w:color w:val="auto"/>
                <w:szCs w:val="21"/>
                <w:lang w:eastAsia="zh-CN"/>
              </w:rPr>
              <w:t>110kV线路工程：</w:t>
            </w:r>
            <w:r>
              <w:rPr>
                <w:rFonts w:hint="eastAsia"/>
                <w:color w:val="auto"/>
                <w:szCs w:val="21"/>
                <w:lang w:val="en-US" w:eastAsia="zh-CN"/>
              </w:rPr>
              <w:t>线路起于110kV印合变电站，向北架空出线，再架空向南走线，沿恩阳河东岸经过圈子石、方天坝至正直镇东侧，再经花石梁、韩家梁、岩洞湾附近线路由南江县进入巴州区，经福星乡、太平咀到达何家山附近进入恩阳区，在天星寨村附近跨越S2成巴高速，线路继续向南经陈家湾、喻家梁至刘家湾附近拟建110kV司城变电站。</w:t>
            </w:r>
          </w:p>
          <w:p w14:paraId="00CC9850">
            <w:pPr>
              <w:spacing w:line="360" w:lineRule="auto"/>
              <w:ind w:firstLine="422" w:firstLineChars="200"/>
              <w:rPr>
                <w:b/>
                <w:color w:val="auto"/>
                <w:szCs w:val="21"/>
              </w:rPr>
            </w:pPr>
            <w:r>
              <w:rPr>
                <w:rFonts w:hint="eastAsia"/>
                <w:b/>
                <w:color w:val="auto"/>
                <w:szCs w:val="21"/>
              </w:rPr>
              <w:t>2、外环境</w:t>
            </w:r>
            <w:r>
              <w:rPr>
                <w:b/>
                <w:color w:val="auto"/>
                <w:szCs w:val="21"/>
              </w:rPr>
              <w:t>关系</w:t>
            </w:r>
          </w:p>
          <w:p w14:paraId="2FE05F05">
            <w:pPr>
              <w:spacing w:line="360" w:lineRule="auto"/>
              <w:ind w:firstLine="420" w:firstLineChars="200"/>
              <w:rPr>
                <w:rFonts w:hint="eastAsia"/>
                <w:color w:val="auto"/>
                <w:szCs w:val="21"/>
              </w:rPr>
            </w:pPr>
            <w:r>
              <w:rPr>
                <w:rFonts w:hint="eastAsia"/>
                <w:color w:val="auto"/>
                <w:szCs w:val="21"/>
              </w:rPr>
              <w:t>根据设计资料及现场调查，本线路所经区域地形为丘陵、山地、高山，线路经过区域土地类型为林地、耕地、未利用地等。本项目评价范围内植被</w:t>
            </w:r>
            <w:r>
              <w:rPr>
                <w:rFonts w:hint="eastAsia"/>
                <w:color w:val="auto"/>
                <w:szCs w:val="21"/>
                <w:highlight w:val="none"/>
              </w:rPr>
              <w:t>属于“</w:t>
            </w:r>
            <w:r>
              <w:rPr>
                <w:rFonts w:hint="default" w:ascii="Times New Roman" w:hAnsi="Times New Roman" w:cs="Times New Roman"/>
                <w:color w:val="000000" w:themeColor="text1"/>
                <w:szCs w:val="21"/>
                <w:highlight w:val="none"/>
                <w14:textFill>
                  <w14:solidFill>
                    <w14:schemeClr w14:val="tx1"/>
                  </w14:solidFill>
                </w14:textFill>
              </w:rPr>
              <w:t>川北深丘植被小区</w:t>
            </w:r>
            <w:r>
              <w:rPr>
                <w:rFonts w:hint="eastAsia"/>
                <w:color w:val="auto"/>
                <w:szCs w:val="21"/>
                <w:highlight w:val="none"/>
              </w:rPr>
              <w:t>”</w:t>
            </w:r>
            <w:r>
              <w:rPr>
                <w:rFonts w:hint="eastAsia"/>
                <w:color w:val="auto"/>
                <w:szCs w:val="21"/>
              </w:rPr>
              <w:t>。本项目所在区域植被主要为</w:t>
            </w:r>
            <w:r>
              <w:rPr>
                <w:rFonts w:hint="eastAsia"/>
                <w:color w:val="auto"/>
                <w:szCs w:val="21"/>
                <w:lang w:val="en-US" w:eastAsia="zh-CN"/>
              </w:rPr>
              <w:t>自然</w:t>
            </w:r>
            <w:r>
              <w:rPr>
                <w:rFonts w:hint="eastAsia"/>
                <w:color w:val="auto"/>
                <w:szCs w:val="21"/>
              </w:rPr>
              <w:t>植被，其次为</w:t>
            </w:r>
            <w:r>
              <w:rPr>
                <w:rFonts w:hint="eastAsia"/>
                <w:color w:val="auto"/>
                <w:szCs w:val="21"/>
                <w:lang w:val="en-US" w:eastAsia="zh-CN"/>
              </w:rPr>
              <w:t>栽培</w:t>
            </w:r>
            <w:r>
              <w:rPr>
                <w:rFonts w:hint="eastAsia"/>
                <w:color w:val="auto"/>
                <w:szCs w:val="21"/>
              </w:rPr>
              <w:t>植被，</w:t>
            </w:r>
            <w:r>
              <w:rPr>
                <w:rFonts w:hint="eastAsia" w:cs="Times New Roman"/>
                <w:color w:val="auto"/>
                <w:szCs w:val="21"/>
                <w:highlight w:val="none"/>
                <w:shd w:val="clear" w:color="auto" w:fill="FFFFFF"/>
                <w:lang w:val="en-US" w:eastAsia="zh-CN"/>
              </w:rPr>
              <w:t>自然植被代表性物种</w:t>
            </w:r>
            <w:r>
              <w:rPr>
                <w:rFonts w:hint="default" w:ascii="Times New Roman" w:hAnsi="Times New Roman" w:cs="Times New Roman"/>
                <w:color w:val="auto"/>
                <w:szCs w:val="21"/>
                <w:highlight w:val="none"/>
                <w:shd w:val="clear" w:color="auto" w:fill="FFFFFF"/>
              </w:rPr>
              <w:t>有杉树</w:t>
            </w:r>
            <w:r>
              <w:rPr>
                <w:rFonts w:hint="default" w:ascii="Times New Roman" w:hAnsi="Times New Roman" w:cs="Times New Roman"/>
                <w:i/>
                <w:iCs/>
                <w:color w:val="auto"/>
                <w:szCs w:val="21"/>
                <w:highlight w:val="none"/>
                <w:shd w:val="clear" w:color="auto" w:fill="FFFFFF"/>
              </w:rPr>
              <w:t>（Cunninghamia lanceolata (Lamb.) Hook）</w:t>
            </w:r>
            <w:r>
              <w:rPr>
                <w:rFonts w:hint="eastAsia" w:cs="Times New Roman"/>
                <w:color w:val="auto"/>
                <w:szCs w:val="21"/>
                <w:highlight w:val="none"/>
                <w:shd w:val="clear" w:color="auto" w:fill="FFFFFF"/>
                <w:lang w:eastAsia="zh-CN"/>
              </w:rPr>
              <w:t>、毛竹</w:t>
            </w:r>
            <w:r>
              <w:rPr>
                <w:rFonts w:hint="eastAsia" w:cs="Times New Roman"/>
                <w:i/>
                <w:iCs/>
                <w:color w:val="auto"/>
                <w:szCs w:val="21"/>
                <w:highlight w:val="none"/>
                <w:shd w:val="clear" w:color="auto" w:fill="FFFFFF"/>
                <w:lang w:eastAsia="zh-CN"/>
              </w:rPr>
              <w:t>（Phyllostachys edulis (Carrière) J. Houz.）</w:t>
            </w:r>
            <w:r>
              <w:rPr>
                <w:rFonts w:hint="eastAsia" w:cs="Times New Roman"/>
                <w:color w:val="auto"/>
                <w:szCs w:val="21"/>
                <w:highlight w:val="none"/>
                <w:shd w:val="clear" w:color="auto" w:fill="FFFFFF"/>
                <w:lang w:eastAsia="zh-CN"/>
              </w:rPr>
              <w:t>、</w:t>
            </w:r>
            <w:r>
              <w:rPr>
                <w:rFonts w:hint="default" w:ascii="Times New Roman" w:hAnsi="Times New Roman" w:cs="Times New Roman"/>
                <w:color w:val="auto"/>
                <w:szCs w:val="21"/>
                <w:highlight w:val="none"/>
                <w:shd w:val="clear" w:color="auto" w:fill="FFFFFF"/>
              </w:rPr>
              <w:t>茅草</w:t>
            </w:r>
            <w:r>
              <w:rPr>
                <w:rFonts w:hint="default" w:ascii="Times New Roman" w:hAnsi="Times New Roman" w:cs="Times New Roman"/>
                <w:i/>
                <w:iCs/>
                <w:color w:val="auto"/>
                <w:szCs w:val="21"/>
                <w:highlight w:val="none"/>
                <w:shd w:val="clear" w:color="auto" w:fill="FFFFFF"/>
              </w:rPr>
              <w:t>（Imperata cylindrica (L.) Beauv.）</w:t>
            </w:r>
            <w:r>
              <w:rPr>
                <w:rFonts w:hint="default" w:ascii="Times New Roman" w:hAnsi="Times New Roman" w:cs="Times New Roman"/>
                <w:color w:val="auto"/>
                <w:szCs w:val="21"/>
                <w:highlight w:val="none"/>
                <w:shd w:val="clear" w:color="auto" w:fill="FFFFFF"/>
              </w:rPr>
              <w:t>等；栽培植被</w:t>
            </w:r>
            <w:r>
              <w:rPr>
                <w:rFonts w:hint="eastAsia" w:cs="Times New Roman"/>
                <w:color w:val="auto"/>
                <w:szCs w:val="21"/>
                <w:highlight w:val="none"/>
                <w:shd w:val="clear" w:color="auto" w:fill="FFFFFF"/>
                <w:lang w:val="en-US" w:eastAsia="zh-CN"/>
              </w:rPr>
              <w:t>代表性物种</w:t>
            </w:r>
            <w:r>
              <w:rPr>
                <w:rFonts w:hint="default" w:ascii="Times New Roman" w:hAnsi="Times New Roman" w:cs="Times New Roman"/>
                <w:color w:val="auto"/>
                <w:szCs w:val="21"/>
                <w:highlight w:val="none"/>
                <w:shd w:val="clear" w:color="auto" w:fill="FFFFFF"/>
              </w:rPr>
              <w:t>为玉米</w:t>
            </w:r>
            <w:r>
              <w:rPr>
                <w:rFonts w:hint="default" w:ascii="Times New Roman" w:hAnsi="Times New Roman" w:cs="Times New Roman"/>
                <w:i/>
                <w:iCs/>
                <w:color w:val="auto"/>
                <w:szCs w:val="21"/>
                <w:highlight w:val="none"/>
                <w:shd w:val="clear" w:color="auto" w:fill="FFFFFF"/>
              </w:rPr>
              <w:t>（Zea mays L.）</w:t>
            </w:r>
            <w:r>
              <w:rPr>
                <w:rFonts w:hint="default" w:ascii="Times New Roman" w:hAnsi="Times New Roman" w:cs="Times New Roman"/>
                <w:color w:val="auto"/>
                <w:szCs w:val="21"/>
                <w:highlight w:val="none"/>
                <w:shd w:val="clear" w:color="auto" w:fill="FFFFFF"/>
              </w:rPr>
              <w:t>、南瓜</w:t>
            </w:r>
            <w:r>
              <w:rPr>
                <w:rFonts w:hint="default" w:ascii="Times New Roman" w:hAnsi="Times New Roman" w:cs="Times New Roman"/>
                <w:i/>
                <w:iCs/>
                <w:color w:val="auto"/>
                <w:szCs w:val="21"/>
                <w:highlight w:val="none"/>
                <w:shd w:val="clear" w:color="auto" w:fill="FFFFFF"/>
              </w:rPr>
              <w:t>（Cucurbita moschata）</w:t>
            </w:r>
            <w:r>
              <w:rPr>
                <w:rFonts w:hint="eastAsia" w:cs="Times New Roman"/>
                <w:color w:val="auto"/>
                <w:szCs w:val="21"/>
                <w:highlight w:val="none"/>
                <w:shd w:val="clear" w:color="auto" w:fill="FFFFFF"/>
                <w:lang w:eastAsia="zh-CN"/>
              </w:rPr>
              <w:t>、</w:t>
            </w:r>
            <w:r>
              <w:rPr>
                <w:rFonts w:hint="default" w:ascii="Times New Roman" w:hAnsi="Times New Roman" w:cs="Times New Roman"/>
                <w:color w:val="auto"/>
                <w:szCs w:val="21"/>
                <w:highlight w:val="none"/>
                <w:shd w:val="clear" w:color="auto" w:fill="FFFFFF"/>
              </w:rPr>
              <w:t>枇杷树</w:t>
            </w:r>
            <w:r>
              <w:rPr>
                <w:rFonts w:hint="default" w:ascii="Times New Roman" w:hAnsi="Times New Roman" w:cs="Times New Roman"/>
                <w:i/>
                <w:iCs/>
                <w:color w:val="auto"/>
                <w:szCs w:val="21"/>
                <w:highlight w:val="none"/>
                <w:shd w:val="clear" w:color="auto" w:fill="FFFFFF"/>
              </w:rPr>
              <w:t>（Eriobotrya japonica (Thunb.) Lindl.）</w:t>
            </w:r>
            <w:r>
              <w:rPr>
                <w:rFonts w:hint="default" w:ascii="Times New Roman" w:hAnsi="Times New Roman" w:cs="Times New Roman"/>
                <w:color w:val="auto"/>
                <w:szCs w:val="21"/>
                <w:highlight w:val="none"/>
                <w:shd w:val="clear" w:color="auto" w:fill="FFFFFF"/>
              </w:rPr>
              <w:t>等</w:t>
            </w:r>
            <w:r>
              <w:rPr>
                <w:rFonts w:hint="eastAsia"/>
                <w:color w:val="auto"/>
                <w:szCs w:val="21"/>
              </w:rPr>
              <w:t>。线路路径外环境关系</w:t>
            </w:r>
            <w:r>
              <w:rPr>
                <w:rFonts w:hint="eastAsia"/>
                <w:color w:val="auto"/>
                <w:szCs w:val="21"/>
                <w:highlight w:val="none"/>
              </w:rPr>
              <w:t>见附图</w:t>
            </w:r>
            <w:r>
              <w:rPr>
                <w:rFonts w:hint="eastAsia"/>
                <w:color w:val="auto"/>
                <w:szCs w:val="21"/>
                <w:highlight w:val="none"/>
                <w:lang w:val="en-US" w:eastAsia="zh-CN"/>
              </w:rPr>
              <w:t>5</w:t>
            </w:r>
            <w:r>
              <w:rPr>
                <w:rFonts w:hint="eastAsia"/>
                <w:color w:val="auto"/>
                <w:szCs w:val="21"/>
                <w:highlight w:val="none"/>
              </w:rPr>
              <w:t>。</w:t>
            </w:r>
          </w:p>
          <w:p w14:paraId="2149A1A0">
            <w:pPr>
              <w:spacing w:line="360" w:lineRule="auto"/>
              <w:ind w:firstLine="422" w:firstLineChars="200"/>
              <w:rPr>
                <w:b/>
                <w:color w:val="auto"/>
                <w:szCs w:val="21"/>
              </w:rPr>
            </w:pPr>
            <w:r>
              <w:rPr>
                <w:rFonts w:hint="eastAsia"/>
                <w:b/>
                <w:color w:val="auto"/>
                <w:szCs w:val="21"/>
              </w:rPr>
              <w:t>3、</w:t>
            </w:r>
            <w:r>
              <w:rPr>
                <w:b/>
                <w:color w:val="auto"/>
                <w:szCs w:val="21"/>
              </w:rPr>
              <w:t>线路交叉</w:t>
            </w:r>
            <w:r>
              <w:rPr>
                <w:rFonts w:hint="eastAsia"/>
                <w:b/>
                <w:color w:val="auto"/>
                <w:szCs w:val="21"/>
              </w:rPr>
              <w:t>钻</w:t>
            </w:r>
            <w:r>
              <w:rPr>
                <w:b/>
                <w:color w:val="auto"/>
                <w:szCs w:val="21"/>
              </w:rPr>
              <w:t>跨越情况</w:t>
            </w:r>
          </w:p>
          <w:p w14:paraId="2F9A0131">
            <w:pPr>
              <w:spacing w:line="360" w:lineRule="auto"/>
              <w:ind w:firstLine="420" w:firstLineChars="200"/>
              <w:rPr>
                <w:color w:val="auto"/>
                <w:szCs w:val="21"/>
              </w:rPr>
            </w:pPr>
            <w:r>
              <w:rPr>
                <w:rFonts w:hint="eastAsia"/>
                <w:bCs/>
                <w:color w:val="auto"/>
              </w:rPr>
              <w:t>根据</w:t>
            </w:r>
            <w:r>
              <w:rPr>
                <w:rFonts w:hint="eastAsia"/>
                <w:bCs/>
                <w:color w:val="auto"/>
                <w:lang w:eastAsia="zh-CN"/>
              </w:rPr>
              <w:t>四川南充电力设计有限公司</w:t>
            </w:r>
            <w:r>
              <w:rPr>
                <w:rFonts w:hint="eastAsia"/>
                <w:bCs/>
                <w:color w:val="auto"/>
              </w:rPr>
              <w:t>编制的</w:t>
            </w:r>
            <w:r>
              <w:rPr>
                <w:rFonts w:hint="eastAsia"/>
                <w:bCs/>
                <w:color w:val="auto"/>
                <w:sz w:val="21"/>
                <w:szCs w:val="24"/>
              </w:rPr>
              <w:t>《</w:t>
            </w:r>
            <w:r>
              <w:rPr>
                <w:rFonts w:hint="eastAsia"/>
                <w:color w:val="auto"/>
                <w:szCs w:val="21"/>
                <w:lang w:val="en-US" w:eastAsia="zh-CN"/>
              </w:rPr>
              <w:t>巴中恩阳司城110千伏输变电工程初步设计说明书</w:t>
            </w:r>
            <w:r>
              <w:rPr>
                <w:rFonts w:hint="eastAsia"/>
                <w:bCs/>
                <w:color w:val="auto"/>
              </w:rPr>
              <w:t>》</w:t>
            </w:r>
            <w:r>
              <w:rPr>
                <w:rFonts w:hint="eastAsia"/>
                <w:bCs/>
                <w:color w:val="auto"/>
                <w:lang w:eastAsia="zh-CN"/>
              </w:rPr>
              <w:t>，</w:t>
            </w:r>
            <w:r>
              <w:rPr>
                <w:color w:val="auto"/>
                <w:szCs w:val="21"/>
              </w:rPr>
              <w:t>本项目输电线路交叉跨越</w:t>
            </w:r>
            <w:r>
              <w:rPr>
                <w:rFonts w:hint="eastAsia"/>
                <w:color w:val="auto"/>
                <w:szCs w:val="21"/>
              </w:rPr>
              <w:t>其他</w:t>
            </w:r>
            <w:r>
              <w:rPr>
                <w:color w:val="auto"/>
                <w:szCs w:val="21"/>
              </w:rPr>
              <w:t>线路时，已按照《110kV～750kV架空输电线路设计规范》（GB50545-2010）规定对跨越</w:t>
            </w:r>
            <w:r>
              <w:rPr>
                <w:rFonts w:hint="eastAsia"/>
                <w:color w:val="auto"/>
                <w:szCs w:val="21"/>
              </w:rPr>
              <w:t>河流、</w:t>
            </w:r>
            <w:r>
              <w:rPr>
                <w:color w:val="auto"/>
                <w:szCs w:val="21"/>
              </w:rPr>
              <w:t>公路、送电线路等保留了足够的净空。根据现场调查，本工程线路已尽量避让集中民房，不跨越民房。线路的实际架设导线对地及交叉跨越物的最小距离按照《110kV～750kV架空输电线路设计规范》（GB50545-2010）规定执行，见</w:t>
            </w:r>
            <w:r>
              <w:rPr>
                <w:rFonts w:hint="eastAsia"/>
                <w:color w:val="auto"/>
                <w:szCs w:val="21"/>
              </w:rPr>
              <w:t>下</w:t>
            </w:r>
            <w:r>
              <w:rPr>
                <w:color w:val="auto"/>
                <w:szCs w:val="21"/>
              </w:rPr>
              <w:t>表。</w:t>
            </w:r>
          </w:p>
          <w:p w14:paraId="0858E909">
            <w:pPr>
              <w:tabs>
                <w:tab w:val="left" w:pos="3240"/>
              </w:tabs>
              <w:jc w:val="center"/>
              <w:rPr>
                <w:rFonts w:eastAsia="黑体"/>
                <w:color w:val="auto"/>
                <w:szCs w:val="21"/>
              </w:rPr>
            </w:pPr>
            <w:r>
              <w:rPr>
                <w:rFonts w:eastAsia="黑体"/>
                <w:color w:val="auto"/>
                <w:szCs w:val="21"/>
              </w:rPr>
              <w:t>表2-</w:t>
            </w:r>
            <w:r>
              <w:rPr>
                <w:rFonts w:hint="eastAsia" w:eastAsia="黑体"/>
                <w:color w:val="auto"/>
                <w:szCs w:val="21"/>
                <w:lang w:val="en-US" w:eastAsia="zh-CN"/>
              </w:rPr>
              <w:t>8</w:t>
            </w:r>
            <w:r>
              <w:rPr>
                <w:rFonts w:eastAsia="黑体"/>
                <w:color w:val="auto"/>
                <w:szCs w:val="21"/>
              </w:rPr>
              <w:t xml:space="preserve">  </w:t>
            </w:r>
            <w:r>
              <w:rPr>
                <w:rFonts w:hint="eastAsia" w:eastAsia="黑体"/>
                <w:color w:val="auto"/>
                <w:szCs w:val="21"/>
              </w:rPr>
              <w:t>11</w:t>
            </w:r>
            <w:r>
              <w:rPr>
                <w:rFonts w:eastAsia="黑体"/>
                <w:color w:val="auto"/>
                <w:szCs w:val="21"/>
              </w:rPr>
              <w:t>0kV</w:t>
            </w:r>
            <w:r>
              <w:rPr>
                <w:rFonts w:hint="eastAsia" w:eastAsia="黑体"/>
                <w:bCs/>
                <w:color w:val="auto"/>
                <w:szCs w:val="21"/>
              </w:rPr>
              <w:t>线路规程规定交叉最小垂直净距要求</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2602"/>
              <w:gridCol w:w="1357"/>
              <w:gridCol w:w="4261"/>
            </w:tblGrid>
            <w:tr w14:paraId="6BC466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dxa"/>
                  <w:vAlign w:val="center"/>
                </w:tcPr>
                <w:p w14:paraId="75F1786C">
                  <w:pPr>
                    <w:tabs>
                      <w:tab w:val="left" w:pos="3240"/>
                    </w:tabs>
                    <w:spacing w:line="300" w:lineRule="exact"/>
                    <w:jc w:val="center"/>
                    <w:rPr>
                      <w:color w:val="auto"/>
                      <w:sz w:val="18"/>
                      <w:szCs w:val="18"/>
                    </w:rPr>
                  </w:pPr>
                  <w:r>
                    <w:rPr>
                      <w:color w:val="auto"/>
                      <w:sz w:val="18"/>
                      <w:szCs w:val="18"/>
                    </w:rPr>
                    <w:t>序号</w:t>
                  </w:r>
                </w:p>
              </w:tc>
              <w:tc>
                <w:tcPr>
                  <w:tcW w:w="2566" w:type="dxa"/>
                  <w:vAlign w:val="center"/>
                </w:tcPr>
                <w:p w14:paraId="49E7F95E">
                  <w:pPr>
                    <w:tabs>
                      <w:tab w:val="left" w:pos="3240"/>
                    </w:tabs>
                    <w:spacing w:line="300" w:lineRule="exact"/>
                    <w:jc w:val="center"/>
                    <w:rPr>
                      <w:color w:val="auto"/>
                      <w:sz w:val="18"/>
                      <w:szCs w:val="18"/>
                    </w:rPr>
                  </w:pPr>
                  <w:r>
                    <w:rPr>
                      <w:color w:val="auto"/>
                      <w:sz w:val="18"/>
                      <w:szCs w:val="18"/>
                    </w:rPr>
                    <w:t>被</w:t>
                  </w:r>
                  <w:r>
                    <w:rPr>
                      <w:rFonts w:hint="eastAsia"/>
                      <w:color w:val="auto"/>
                      <w:sz w:val="18"/>
                      <w:szCs w:val="18"/>
                    </w:rPr>
                    <w:t>钻/</w:t>
                  </w:r>
                  <w:r>
                    <w:rPr>
                      <w:color w:val="auto"/>
                      <w:sz w:val="18"/>
                      <w:szCs w:val="18"/>
                    </w:rPr>
                    <w:t>跨越物名称</w:t>
                  </w:r>
                </w:p>
              </w:tc>
              <w:tc>
                <w:tcPr>
                  <w:tcW w:w="1338" w:type="dxa"/>
                  <w:tcBorders>
                    <w:right w:val="single" w:color="auto" w:sz="2" w:space="0"/>
                  </w:tcBorders>
                  <w:vAlign w:val="center"/>
                </w:tcPr>
                <w:p w14:paraId="3C06D0B7">
                  <w:pPr>
                    <w:tabs>
                      <w:tab w:val="left" w:pos="3240"/>
                    </w:tabs>
                    <w:spacing w:line="300" w:lineRule="exact"/>
                    <w:jc w:val="center"/>
                    <w:rPr>
                      <w:color w:val="auto"/>
                      <w:sz w:val="18"/>
                      <w:szCs w:val="18"/>
                    </w:rPr>
                  </w:pPr>
                  <w:r>
                    <w:rPr>
                      <w:rFonts w:hint="eastAsia"/>
                      <w:color w:val="auto"/>
                      <w:sz w:val="18"/>
                      <w:szCs w:val="18"/>
                    </w:rPr>
                    <w:t>规程规定</w:t>
                  </w:r>
                  <w:r>
                    <w:rPr>
                      <w:color w:val="auto"/>
                      <w:sz w:val="18"/>
                      <w:szCs w:val="18"/>
                    </w:rPr>
                    <w:t>最小垂直</w:t>
                  </w:r>
                  <w:r>
                    <w:rPr>
                      <w:rFonts w:hint="eastAsia"/>
                      <w:color w:val="auto"/>
                      <w:sz w:val="18"/>
                      <w:szCs w:val="18"/>
                    </w:rPr>
                    <w:t>净距</w:t>
                  </w:r>
                  <w:r>
                    <w:rPr>
                      <w:color w:val="auto"/>
                      <w:sz w:val="18"/>
                      <w:szCs w:val="18"/>
                    </w:rPr>
                    <w:t>（m）</w:t>
                  </w:r>
                </w:p>
              </w:tc>
              <w:tc>
                <w:tcPr>
                  <w:tcW w:w="4201" w:type="dxa"/>
                  <w:vAlign w:val="center"/>
                </w:tcPr>
                <w:p w14:paraId="5B5F997F">
                  <w:pPr>
                    <w:tabs>
                      <w:tab w:val="left" w:pos="3240"/>
                    </w:tabs>
                    <w:spacing w:line="300" w:lineRule="exact"/>
                    <w:jc w:val="center"/>
                    <w:rPr>
                      <w:color w:val="auto"/>
                      <w:sz w:val="18"/>
                      <w:szCs w:val="18"/>
                    </w:rPr>
                  </w:pPr>
                  <w:r>
                    <w:rPr>
                      <w:color w:val="auto"/>
                      <w:sz w:val="18"/>
                      <w:szCs w:val="18"/>
                    </w:rPr>
                    <w:t>备注</w:t>
                  </w:r>
                </w:p>
              </w:tc>
            </w:tr>
            <w:tr w14:paraId="4174CE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5" w:type="dxa"/>
                  <w:vAlign w:val="center"/>
                </w:tcPr>
                <w:p w14:paraId="5EB83BA7">
                  <w:pPr>
                    <w:tabs>
                      <w:tab w:val="left" w:pos="3240"/>
                    </w:tabs>
                    <w:spacing w:line="300" w:lineRule="exact"/>
                    <w:jc w:val="center"/>
                    <w:rPr>
                      <w:color w:val="auto"/>
                      <w:sz w:val="18"/>
                      <w:szCs w:val="18"/>
                    </w:rPr>
                  </w:pPr>
                  <w:r>
                    <w:rPr>
                      <w:color w:val="auto"/>
                      <w:sz w:val="18"/>
                      <w:szCs w:val="18"/>
                    </w:rPr>
                    <w:t>1</w:t>
                  </w:r>
                </w:p>
              </w:tc>
              <w:tc>
                <w:tcPr>
                  <w:tcW w:w="2566" w:type="dxa"/>
                  <w:vAlign w:val="center"/>
                </w:tcPr>
                <w:p w14:paraId="45786493">
                  <w:pPr>
                    <w:tabs>
                      <w:tab w:val="left" w:pos="3240"/>
                    </w:tabs>
                    <w:spacing w:line="300" w:lineRule="exact"/>
                    <w:jc w:val="center"/>
                    <w:rPr>
                      <w:color w:val="auto"/>
                      <w:sz w:val="18"/>
                      <w:szCs w:val="18"/>
                    </w:rPr>
                  </w:pPr>
                  <w:r>
                    <w:rPr>
                      <w:color w:val="auto"/>
                      <w:sz w:val="18"/>
                      <w:szCs w:val="18"/>
                    </w:rPr>
                    <w:t>居民区</w:t>
                  </w:r>
                </w:p>
              </w:tc>
              <w:tc>
                <w:tcPr>
                  <w:tcW w:w="1338" w:type="dxa"/>
                  <w:tcBorders>
                    <w:right w:val="single" w:color="auto" w:sz="2" w:space="0"/>
                  </w:tcBorders>
                  <w:vAlign w:val="center"/>
                </w:tcPr>
                <w:p w14:paraId="66F58E11">
                  <w:pPr>
                    <w:tabs>
                      <w:tab w:val="left" w:pos="3240"/>
                    </w:tabs>
                    <w:spacing w:line="300" w:lineRule="exact"/>
                    <w:jc w:val="center"/>
                    <w:rPr>
                      <w:color w:val="auto"/>
                      <w:sz w:val="18"/>
                      <w:szCs w:val="18"/>
                    </w:rPr>
                  </w:pPr>
                  <w:r>
                    <w:rPr>
                      <w:color w:val="auto"/>
                      <w:sz w:val="18"/>
                      <w:szCs w:val="18"/>
                    </w:rPr>
                    <w:t>7.</w:t>
                  </w:r>
                  <w:r>
                    <w:rPr>
                      <w:rFonts w:hint="eastAsia"/>
                      <w:color w:val="auto"/>
                      <w:sz w:val="18"/>
                      <w:szCs w:val="18"/>
                    </w:rPr>
                    <w:t>0</w:t>
                  </w:r>
                </w:p>
              </w:tc>
              <w:tc>
                <w:tcPr>
                  <w:tcW w:w="4201" w:type="dxa"/>
                  <w:vAlign w:val="center"/>
                </w:tcPr>
                <w:p w14:paraId="100EBAE0">
                  <w:pPr>
                    <w:tabs>
                      <w:tab w:val="left" w:pos="3240"/>
                    </w:tabs>
                    <w:spacing w:line="300" w:lineRule="exact"/>
                    <w:jc w:val="center"/>
                    <w:rPr>
                      <w:color w:val="auto"/>
                      <w:sz w:val="18"/>
                      <w:szCs w:val="18"/>
                    </w:rPr>
                  </w:pPr>
                  <w:r>
                    <w:rPr>
                      <w:rFonts w:hint="eastAsia"/>
                      <w:color w:val="auto"/>
                      <w:sz w:val="18"/>
                      <w:szCs w:val="18"/>
                    </w:rPr>
                    <w:t>边导线地面投影外两侧各30m范围内有居民分布的区域</w:t>
                  </w:r>
                </w:p>
              </w:tc>
            </w:tr>
            <w:tr w14:paraId="663B92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445" w:type="dxa"/>
                  <w:vAlign w:val="center"/>
                </w:tcPr>
                <w:p w14:paraId="000043B7">
                  <w:pPr>
                    <w:tabs>
                      <w:tab w:val="left" w:pos="3240"/>
                    </w:tabs>
                    <w:spacing w:line="300" w:lineRule="exact"/>
                    <w:jc w:val="center"/>
                    <w:rPr>
                      <w:color w:val="auto"/>
                      <w:sz w:val="18"/>
                      <w:szCs w:val="18"/>
                    </w:rPr>
                  </w:pPr>
                  <w:r>
                    <w:rPr>
                      <w:color w:val="auto"/>
                      <w:sz w:val="18"/>
                      <w:szCs w:val="18"/>
                    </w:rPr>
                    <w:t>2</w:t>
                  </w:r>
                </w:p>
              </w:tc>
              <w:tc>
                <w:tcPr>
                  <w:tcW w:w="2566" w:type="dxa"/>
                  <w:vAlign w:val="center"/>
                </w:tcPr>
                <w:p w14:paraId="4A6E33BB">
                  <w:pPr>
                    <w:tabs>
                      <w:tab w:val="left" w:pos="3240"/>
                    </w:tabs>
                    <w:spacing w:line="300" w:lineRule="exact"/>
                    <w:jc w:val="center"/>
                    <w:rPr>
                      <w:color w:val="auto"/>
                      <w:sz w:val="18"/>
                      <w:szCs w:val="18"/>
                    </w:rPr>
                  </w:pPr>
                  <w:r>
                    <w:rPr>
                      <w:color w:val="auto"/>
                      <w:sz w:val="18"/>
                      <w:szCs w:val="18"/>
                    </w:rPr>
                    <w:t>非居民</w:t>
                  </w:r>
                </w:p>
              </w:tc>
              <w:tc>
                <w:tcPr>
                  <w:tcW w:w="1338" w:type="dxa"/>
                  <w:tcBorders>
                    <w:right w:val="single" w:color="auto" w:sz="2" w:space="0"/>
                  </w:tcBorders>
                  <w:vAlign w:val="center"/>
                </w:tcPr>
                <w:p w14:paraId="7D3B7E32">
                  <w:pPr>
                    <w:tabs>
                      <w:tab w:val="left" w:pos="3240"/>
                    </w:tabs>
                    <w:spacing w:line="300" w:lineRule="exact"/>
                    <w:jc w:val="center"/>
                    <w:rPr>
                      <w:color w:val="auto"/>
                      <w:sz w:val="18"/>
                      <w:szCs w:val="18"/>
                    </w:rPr>
                  </w:pPr>
                  <w:r>
                    <w:rPr>
                      <w:color w:val="auto"/>
                      <w:sz w:val="18"/>
                      <w:szCs w:val="18"/>
                    </w:rPr>
                    <w:t>6.</w:t>
                  </w:r>
                  <w:r>
                    <w:rPr>
                      <w:rFonts w:hint="eastAsia"/>
                      <w:color w:val="auto"/>
                      <w:sz w:val="18"/>
                      <w:szCs w:val="18"/>
                    </w:rPr>
                    <w:t>0</w:t>
                  </w:r>
                </w:p>
              </w:tc>
              <w:tc>
                <w:tcPr>
                  <w:tcW w:w="4201" w:type="dxa"/>
                  <w:vAlign w:val="center"/>
                </w:tcPr>
                <w:p w14:paraId="1A9EFF6E">
                  <w:pPr>
                    <w:tabs>
                      <w:tab w:val="left" w:pos="3240"/>
                    </w:tabs>
                    <w:spacing w:line="300" w:lineRule="exact"/>
                    <w:jc w:val="center"/>
                    <w:rPr>
                      <w:color w:val="auto"/>
                      <w:sz w:val="18"/>
                      <w:szCs w:val="18"/>
                    </w:rPr>
                  </w:pPr>
                  <w:r>
                    <w:rPr>
                      <w:rFonts w:hint="eastAsia"/>
                      <w:color w:val="auto"/>
                      <w:sz w:val="18"/>
                      <w:szCs w:val="18"/>
                    </w:rPr>
                    <w:t>边导线地面投影外两侧各30m范围内无居民分布的区域</w:t>
                  </w:r>
                </w:p>
              </w:tc>
            </w:tr>
            <w:tr w14:paraId="6F86E3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45" w:type="dxa"/>
                  <w:vAlign w:val="center"/>
                </w:tcPr>
                <w:p w14:paraId="620EEC87">
                  <w:pPr>
                    <w:tabs>
                      <w:tab w:val="left" w:pos="3240"/>
                    </w:tabs>
                    <w:spacing w:line="300" w:lineRule="exact"/>
                    <w:jc w:val="center"/>
                    <w:rPr>
                      <w:color w:val="auto"/>
                      <w:sz w:val="18"/>
                      <w:szCs w:val="18"/>
                    </w:rPr>
                  </w:pPr>
                  <w:r>
                    <w:rPr>
                      <w:color w:val="auto"/>
                      <w:sz w:val="18"/>
                      <w:szCs w:val="18"/>
                    </w:rPr>
                    <w:t>3</w:t>
                  </w:r>
                </w:p>
              </w:tc>
              <w:tc>
                <w:tcPr>
                  <w:tcW w:w="2566" w:type="dxa"/>
                  <w:vAlign w:val="center"/>
                </w:tcPr>
                <w:p w14:paraId="1C040260">
                  <w:pPr>
                    <w:tabs>
                      <w:tab w:val="left" w:pos="3240"/>
                    </w:tabs>
                    <w:spacing w:line="300" w:lineRule="exact"/>
                    <w:jc w:val="center"/>
                    <w:rPr>
                      <w:color w:val="auto"/>
                      <w:sz w:val="18"/>
                      <w:szCs w:val="18"/>
                    </w:rPr>
                  </w:pPr>
                  <w:r>
                    <w:rPr>
                      <w:color w:val="auto"/>
                      <w:sz w:val="18"/>
                      <w:szCs w:val="18"/>
                    </w:rPr>
                    <w:t>公路路面及机耕道</w:t>
                  </w:r>
                </w:p>
              </w:tc>
              <w:tc>
                <w:tcPr>
                  <w:tcW w:w="1338" w:type="dxa"/>
                  <w:tcBorders>
                    <w:right w:val="single" w:color="auto" w:sz="2" w:space="0"/>
                  </w:tcBorders>
                  <w:vAlign w:val="center"/>
                </w:tcPr>
                <w:p w14:paraId="612B735F">
                  <w:pPr>
                    <w:tabs>
                      <w:tab w:val="left" w:pos="3240"/>
                    </w:tabs>
                    <w:spacing w:line="300" w:lineRule="exact"/>
                    <w:jc w:val="center"/>
                    <w:rPr>
                      <w:color w:val="auto"/>
                      <w:sz w:val="18"/>
                      <w:szCs w:val="18"/>
                    </w:rPr>
                  </w:pPr>
                  <w:r>
                    <w:rPr>
                      <w:rFonts w:hint="eastAsia"/>
                      <w:color w:val="auto"/>
                      <w:sz w:val="18"/>
                      <w:szCs w:val="18"/>
                    </w:rPr>
                    <w:t>7</w:t>
                  </w:r>
                  <w:r>
                    <w:rPr>
                      <w:color w:val="auto"/>
                      <w:sz w:val="18"/>
                      <w:szCs w:val="18"/>
                    </w:rPr>
                    <w:t>.0</w:t>
                  </w:r>
                </w:p>
              </w:tc>
              <w:tc>
                <w:tcPr>
                  <w:tcW w:w="4201" w:type="dxa"/>
                  <w:vAlign w:val="center"/>
                </w:tcPr>
                <w:p w14:paraId="7BF96DC7">
                  <w:pPr>
                    <w:tabs>
                      <w:tab w:val="left" w:pos="3240"/>
                    </w:tabs>
                    <w:spacing w:line="300" w:lineRule="exact"/>
                    <w:jc w:val="center"/>
                    <w:rPr>
                      <w:color w:val="auto"/>
                      <w:sz w:val="18"/>
                      <w:szCs w:val="18"/>
                    </w:rPr>
                  </w:pPr>
                  <w:r>
                    <w:rPr>
                      <w:color w:val="auto"/>
                      <w:sz w:val="18"/>
                      <w:szCs w:val="18"/>
                    </w:rPr>
                    <w:t>/</w:t>
                  </w:r>
                </w:p>
              </w:tc>
            </w:tr>
            <w:tr w14:paraId="1AFAAE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45" w:type="dxa"/>
                  <w:vAlign w:val="center"/>
                </w:tcPr>
                <w:p w14:paraId="66835194">
                  <w:pPr>
                    <w:tabs>
                      <w:tab w:val="left" w:pos="3240"/>
                    </w:tabs>
                    <w:spacing w:line="300" w:lineRule="exact"/>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w:t>
                  </w:r>
                </w:p>
              </w:tc>
              <w:tc>
                <w:tcPr>
                  <w:tcW w:w="2566" w:type="dxa"/>
                  <w:vAlign w:val="center"/>
                </w:tcPr>
                <w:p w14:paraId="7D288C84">
                  <w:pPr>
                    <w:tabs>
                      <w:tab w:val="left" w:pos="3240"/>
                    </w:tabs>
                    <w:spacing w:line="300" w:lineRule="exact"/>
                    <w:jc w:val="center"/>
                    <w:rPr>
                      <w:color w:val="auto"/>
                      <w:sz w:val="18"/>
                      <w:szCs w:val="18"/>
                    </w:rPr>
                  </w:pPr>
                  <w:r>
                    <w:rPr>
                      <w:rFonts w:hint="eastAsia"/>
                      <w:color w:val="auto"/>
                      <w:sz w:val="18"/>
                      <w:szCs w:val="18"/>
                    </w:rPr>
                    <w:t>220kV输电线路</w:t>
                  </w:r>
                </w:p>
              </w:tc>
              <w:tc>
                <w:tcPr>
                  <w:tcW w:w="1338" w:type="dxa"/>
                  <w:tcBorders>
                    <w:right w:val="single" w:color="auto" w:sz="2" w:space="0"/>
                  </w:tcBorders>
                  <w:vAlign w:val="center"/>
                </w:tcPr>
                <w:p w14:paraId="7C7E199E">
                  <w:pPr>
                    <w:tabs>
                      <w:tab w:val="left" w:pos="3240"/>
                    </w:tabs>
                    <w:spacing w:line="300" w:lineRule="exact"/>
                    <w:jc w:val="center"/>
                    <w:rPr>
                      <w:color w:val="auto"/>
                      <w:sz w:val="18"/>
                      <w:szCs w:val="18"/>
                    </w:rPr>
                  </w:pPr>
                  <w:r>
                    <w:rPr>
                      <w:rFonts w:hint="eastAsia"/>
                      <w:color w:val="auto"/>
                      <w:sz w:val="18"/>
                      <w:szCs w:val="18"/>
                    </w:rPr>
                    <w:t>4.0</w:t>
                  </w:r>
                </w:p>
              </w:tc>
              <w:tc>
                <w:tcPr>
                  <w:tcW w:w="4201" w:type="dxa"/>
                  <w:vAlign w:val="center"/>
                </w:tcPr>
                <w:p w14:paraId="282B2443">
                  <w:pPr>
                    <w:tabs>
                      <w:tab w:val="left" w:pos="3240"/>
                    </w:tabs>
                    <w:spacing w:line="300" w:lineRule="exact"/>
                    <w:jc w:val="center"/>
                    <w:rPr>
                      <w:color w:val="auto"/>
                      <w:sz w:val="18"/>
                      <w:szCs w:val="18"/>
                    </w:rPr>
                  </w:pPr>
                  <w:r>
                    <w:rPr>
                      <w:rFonts w:hint="eastAsia"/>
                      <w:color w:val="auto"/>
                      <w:sz w:val="18"/>
                      <w:szCs w:val="18"/>
                    </w:rPr>
                    <w:t>/</w:t>
                  </w:r>
                </w:p>
              </w:tc>
            </w:tr>
            <w:tr w14:paraId="087D3A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45" w:type="dxa"/>
                  <w:vAlign w:val="center"/>
                </w:tcPr>
                <w:p w14:paraId="216AA061">
                  <w:pPr>
                    <w:tabs>
                      <w:tab w:val="left" w:pos="3240"/>
                    </w:tabs>
                    <w:spacing w:line="300" w:lineRule="exact"/>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2566" w:type="dxa"/>
                  <w:vAlign w:val="center"/>
                </w:tcPr>
                <w:p w14:paraId="730ED957">
                  <w:pPr>
                    <w:tabs>
                      <w:tab w:val="left" w:pos="3240"/>
                    </w:tabs>
                    <w:spacing w:line="300" w:lineRule="exact"/>
                    <w:jc w:val="center"/>
                    <w:rPr>
                      <w:color w:val="auto"/>
                      <w:sz w:val="18"/>
                      <w:szCs w:val="18"/>
                    </w:rPr>
                  </w:pPr>
                  <w:r>
                    <w:rPr>
                      <w:color w:val="auto"/>
                      <w:sz w:val="18"/>
                      <w:szCs w:val="18"/>
                    </w:rPr>
                    <w:t>110kV及以下电压等级线路</w:t>
                  </w:r>
                </w:p>
              </w:tc>
              <w:tc>
                <w:tcPr>
                  <w:tcW w:w="1338" w:type="dxa"/>
                  <w:tcBorders>
                    <w:right w:val="single" w:color="auto" w:sz="2" w:space="0"/>
                  </w:tcBorders>
                  <w:vAlign w:val="center"/>
                </w:tcPr>
                <w:p w14:paraId="4C1CCD69">
                  <w:pPr>
                    <w:tabs>
                      <w:tab w:val="left" w:pos="3240"/>
                    </w:tabs>
                    <w:spacing w:line="300" w:lineRule="exact"/>
                    <w:jc w:val="center"/>
                    <w:rPr>
                      <w:color w:val="auto"/>
                      <w:sz w:val="18"/>
                      <w:szCs w:val="18"/>
                    </w:rPr>
                  </w:pPr>
                  <w:r>
                    <w:rPr>
                      <w:rFonts w:hint="eastAsia"/>
                      <w:color w:val="auto"/>
                      <w:sz w:val="18"/>
                      <w:szCs w:val="18"/>
                    </w:rPr>
                    <w:t>3</w:t>
                  </w:r>
                  <w:r>
                    <w:rPr>
                      <w:color w:val="auto"/>
                      <w:sz w:val="18"/>
                      <w:szCs w:val="18"/>
                    </w:rPr>
                    <w:t>.0</w:t>
                  </w:r>
                </w:p>
              </w:tc>
              <w:tc>
                <w:tcPr>
                  <w:tcW w:w="4201" w:type="dxa"/>
                  <w:vAlign w:val="center"/>
                </w:tcPr>
                <w:p w14:paraId="50D072CD">
                  <w:pPr>
                    <w:tabs>
                      <w:tab w:val="left" w:pos="3240"/>
                    </w:tabs>
                    <w:spacing w:line="300" w:lineRule="exact"/>
                    <w:jc w:val="center"/>
                    <w:rPr>
                      <w:color w:val="auto"/>
                      <w:sz w:val="18"/>
                      <w:szCs w:val="18"/>
                    </w:rPr>
                  </w:pPr>
                  <w:r>
                    <w:rPr>
                      <w:color w:val="auto"/>
                      <w:sz w:val="18"/>
                      <w:szCs w:val="18"/>
                    </w:rPr>
                    <w:t>/</w:t>
                  </w:r>
                </w:p>
              </w:tc>
            </w:tr>
            <w:tr w14:paraId="241662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5" w:type="dxa"/>
                  <w:vAlign w:val="center"/>
                </w:tcPr>
                <w:p w14:paraId="223A75DB">
                  <w:pPr>
                    <w:tabs>
                      <w:tab w:val="left" w:pos="3240"/>
                    </w:tabs>
                    <w:spacing w:line="300" w:lineRule="exact"/>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6</w:t>
                  </w:r>
                </w:p>
              </w:tc>
              <w:tc>
                <w:tcPr>
                  <w:tcW w:w="2566" w:type="dxa"/>
                  <w:vAlign w:val="center"/>
                </w:tcPr>
                <w:p w14:paraId="55BA8C4E">
                  <w:pPr>
                    <w:tabs>
                      <w:tab w:val="left" w:pos="3240"/>
                    </w:tabs>
                    <w:spacing w:line="300" w:lineRule="exact"/>
                    <w:jc w:val="center"/>
                    <w:rPr>
                      <w:color w:val="auto"/>
                      <w:sz w:val="18"/>
                      <w:szCs w:val="18"/>
                    </w:rPr>
                  </w:pPr>
                  <w:r>
                    <w:rPr>
                      <w:color w:val="auto"/>
                      <w:sz w:val="18"/>
                      <w:szCs w:val="18"/>
                    </w:rPr>
                    <w:t>通信线路</w:t>
                  </w:r>
                </w:p>
              </w:tc>
              <w:tc>
                <w:tcPr>
                  <w:tcW w:w="1338" w:type="dxa"/>
                  <w:tcBorders>
                    <w:right w:val="single" w:color="auto" w:sz="2" w:space="0"/>
                  </w:tcBorders>
                  <w:vAlign w:val="center"/>
                </w:tcPr>
                <w:p w14:paraId="4273A497">
                  <w:pPr>
                    <w:tabs>
                      <w:tab w:val="left" w:pos="3240"/>
                    </w:tabs>
                    <w:spacing w:line="300" w:lineRule="exact"/>
                    <w:jc w:val="center"/>
                    <w:rPr>
                      <w:color w:val="auto"/>
                      <w:sz w:val="18"/>
                      <w:szCs w:val="18"/>
                    </w:rPr>
                  </w:pPr>
                  <w:r>
                    <w:rPr>
                      <w:rFonts w:hint="eastAsia"/>
                      <w:color w:val="auto"/>
                      <w:sz w:val="18"/>
                      <w:szCs w:val="18"/>
                    </w:rPr>
                    <w:t>3</w:t>
                  </w:r>
                  <w:r>
                    <w:rPr>
                      <w:color w:val="auto"/>
                      <w:sz w:val="18"/>
                      <w:szCs w:val="18"/>
                    </w:rPr>
                    <w:t>.0</w:t>
                  </w:r>
                </w:p>
              </w:tc>
              <w:tc>
                <w:tcPr>
                  <w:tcW w:w="4201" w:type="dxa"/>
                  <w:vAlign w:val="center"/>
                </w:tcPr>
                <w:p w14:paraId="60C2C1F9">
                  <w:pPr>
                    <w:tabs>
                      <w:tab w:val="left" w:pos="3240"/>
                    </w:tabs>
                    <w:spacing w:line="300" w:lineRule="exact"/>
                    <w:jc w:val="center"/>
                    <w:rPr>
                      <w:color w:val="auto"/>
                      <w:sz w:val="18"/>
                      <w:szCs w:val="18"/>
                    </w:rPr>
                  </w:pPr>
                  <w:r>
                    <w:rPr>
                      <w:color w:val="auto"/>
                      <w:sz w:val="18"/>
                      <w:szCs w:val="18"/>
                    </w:rPr>
                    <w:t>/</w:t>
                  </w:r>
                </w:p>
              </w:tc>
            </w:tr>
            <w:tr w14:paraId="47FBD2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45" w:type="dxa"/>
                  <w:vAlign w:val="center"/>
                </w:tcPr>
                <w:p w14:paraId="556CDBBA">
                  <w:pPr>
                    <w:tabs>
                      <w:tab w:val="left" w:pos="3240"/>
                    </w:tabs>
                    <w:spacing w:line="300" w:lineRule="exact"/>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7</w:t>
                  </w:r>
                </w:p>
              </w:tc>
              <w:tc>
                <w:tcPr>
                  <w:tcW w:w="2566" w:type="dxa"/>
                  <w:vAlign w:val="center"/>
                </w:tcPr>
                <w:p w14:paraId="3A38814E">
                  <w:pPr>
                    <w:tabs>
                      <w:tab w:val="left" w:pos="3240"/>
                    </w:tabs>
                    <w:spacing w:line="300" w:lineRule="exact"/>
                    <w:jc w:val="center"/>
                    <w:rPr>
                      <w:color w:val="auto"/>
                      <w:sz w:val="18"/>
                      <w:szCs w:val="18"/>
                    </w:rPr>
                  </w:pPr>
                  <w:r>
                    <w:rPr>
                      <w:color w:val="auto"/>
                      <w:sz w:val="18"/>
                      <w:szCs w:val="18"/>
                    </w:rPr>
                    <w:t>最大自然生长高度树木</w:t>
                  </w:r>
                </w:p>
              </w:tc>
              <w:tc>
                <w:tcPr>
                  <w:tcW w:w="1338" w:type="dxa"/>
                  <w:tcBorders>
                    <w:right w:val="single" w:color="auto" w:sz="2" w:space="0"/>
                  </w:tcBorders>
                  <w:vAlign w:val="center"/>
                </w:tcPr>
                <w:p w14:paraId="1CF62117">
                  <w:pPr>
                    <w:tabs>
                      <w:tab w:val="left" w:pos="3240"/>
                    </w:tabs>
                    <w:spacing w:line="300" w:lineRule="exact"/>
                    <w:jc w:val="center"/>
                    <w:rPr>
                      <w:rFonts w:hint="default" w:eastAsia="宋体"/>
                      <w:color w:val="auto"/>
                      <w:sz w:val="18"/>
                      <w:szCs w:val="18"/>
                      <w:lang w:val="en-US" w:eastAsia="zh-CN"/>
                    </w:rPr>
                  </w:pPr>
                  <w:r>
                    <w:rPr>
                      <w:rFonts w:hint="eastAsia"/>
                      <w:color w:val="auto"/>
                      <w:sz w:val="18"/>
                      <w:szCs w:val="18"/>
                      <w:lang w:val="en-US" w:eastAsia="zh-CN"/>
                    </w:rPr>
                    <w:t>4.0</w:t>
                  </w:r>
                </w:p>
              </w:tc>
              <w:tc>
                <w:tcPr>
                  <w:tcW w:w="4201" w:type="dxa"/>
                  <w:vAlign w:val="center"/>
                </w:tcPr>
                <w:p w14:paraId="72560F35">
                  <w:pPr>
                    <w:tabs>
                      <w:tab w:val="left" w:pos="3240"/>
                    </w:tabs>
                    <w:spacing w:line="300" w:lineRule="exact"/>
                    <w:jc w:val="center"/>
                    <w:rPr>
                      <w:color w:val="auto"/>
                      <w:sz w:val="18"/>
                      <w:szCs w:val="18"/>
                    </w:rPr>
                  </w:pPr>
                  <w:r>
                    <w:rPr>
                      <w:color w:val="auto"/>
                      <w:sz w:val="18"/>
                      <w:szCs w:val="18"/>
                    </w:rPr>
                    <w:t>/</w:t>
                  </w:r>
                </w:p>
              </w:tc>
            </w:tr>
            <w:tr w14:paraId="2FDADD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445" w:type="dxa"/>
                  <w:vAlign w:val="center"/>
                </w:tcPr>
                <w:p w14:paraId="06D0A317">
                  <w:pPr>
                    <w:tabs>
                      <w:tab w:val="left" w:pos="3240"/>
                    </w:tabs>
                    <w:spacing w:line="300" w:lineRule="exact"/>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8</w:t>
                  </w:r>
                </w:p>
              </w:tc>
              <w:tc>
                <w:tcPr>
                  <w:tcW w:w="2566" w:type="dxa"/>
                  <w:vAlign w:val="center"/>
                </w:tcPr>
                <w:p w14:paraId="45DED299">
                  <w:pPr>
                    <w:tabs>
                      <w:tab w:val="left" w:pos="3240"/>
                    </w:tabs>
                    <w:spacing w:line="300" w:lineRule="exact"/>
                    <w:jc w:val="center"/>
                    <w:rPr>
                      <w:color w:val="auto"/>
                      <w:sz w:val="18"/>
                      <w:szCs w:val="18"/>
                    </w:rPr>
                  </w:pPr>
                  <w:r>
                    <w:rPr>
                      <w:color w:val="auto"/>
                      <w:sz w:val="18"/>
                      <w:szCs w:val="18"/>
                    </w:rPr>
                    <w:t>最大自然生长高度果树</w:t>
                  </w:r>
                </w:p>
              </w:tc>
              <w:tc>
                <w:tcPr>
                  <w:tcW w:w="1338" w:type="dxa"/>
                  <w:tcBorders>
                    <w:right w:val="single" w:color="auto" w:sz="2" w:space="0"/>
                  </w:tcBorders>
                  <w:vAlign w:val="center"/>
                </w:tcPr>
                <w:p w14:paraId="31562C7D">
                  <w:pPr>
                    <w:tabs>
                      <w:tab w:val="left" w:pos="3240"/>
                    </w:tabs>
                    <w:spacing w:line="300" w:lineRule="exact"/>
                    <w:jc w:val="center"/>
                    <w:rPr>
                      <w:color w:val="auto"/>
                      <w:sz w:val="18"/>
                      <w:szCs w:val="18"/>
                    </w:rPr>
                  </w:pPr>
                  <w:r>
                    <w:rPr>
                      <w:color w:val="auto"/>
                      <w:sz w:val="18"/>
                      <w:szCs w:val="18"/>
                    </w:rPr>
                    <w:t>3.</w:t>
                  </w:r>
                  <w:r>
                    <w:rPr>
                      <w:rFonts w:hint="eastAsia"/>
                      <w:color w:val="auto"/>
                      <w:sz w:val="18"/>
                      <w:szCs w:val="18"/>
                    </w:rPr>
                    <w:t>0</w:t>
                  </w:r>
                </w:p>
              </w:tc>
              <w:tc>
                <w:tcPr>
                  <w:tcW w:w="4201" w:type="dxa"/>
                  <w:vAlign w:val="center"/>
                </w:tcPr>
                <w:p w14:paraId="4E54CF66">
                  <w:pPr>
                    <w:tabs>
                      <w:tab w:val="left" w:pos="3240"/>
                    </w:tabs>
                    <w:spacing w:line="300" w:lineRule="exact"/>
                    <w:jc w:val="center"/>
                    <w:rPr>
                      <w:color w:val="auto"/>
                      <w:sz w:val="18"/>
                      <w:szCs w:val="18"/>
                    </w:rPr>
                  </w:pPr>
                  <w:r>
                    <w:rPr>
                      <w:color w:val="auto"/>
                      <w:sz w:val="18"/>
                      <w:szCs w:val="18"/>
                    </w:rPr>
                    <w:t>/</w:t>
                  </w:r>
                </w:p>
              </w:tc>
            </w:tr>
            <w:tr w14:paraId="120032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45" w:type="dxa"/>
                  <w:vMerge w:val="restart"/>
                  <w:vAlign w:val="center"/>
                </w:tcPr>
                <w:p w14:paraId="4EABD9CE">
                  <w:pPr>
                    <w:tabs>
                      <w:tab w:val="left" w:pos="3240"/>
                    </w:tabs>
                    <w:spacing w:line="300" w:lineRule="exact"/>
                    <w:jc w:val="center"/>
                    <w:rPr>
                      <w:rFonts w:hint="default" w:eastAsia="宋体"/>
                      <w:color w:val="auto"/>
                      <w:sz w:val="18"/>
                      <w:szCs w:val="18"/>
                      <w:lang w:val="en-US" w:eastAsia="zh-CN"/>
                    </w:rPr>
                  </w:pPr>
                  <w:r>
                    <w:rPr>
                      <w:rFonts w:hint="eastAsia"/>
                      <w:color w:val="auto"/>
                      <w:sz w:val="18"/>
                      <w:szCs w:val="18"/>
                      <w:lang w:val="en-US" w:eastAsia="zh-CN"/>
                    </w:rPr>
                    <w:t>9</w:t>
                  </w:r>
                </w:p>
              </w:tc>
              <w:tc>
                <w:tcPr>
                  <w:tcW w:w="2566" w:type="dxa"/>
                  <w:vMerge w:val="restart"/>
                  <w:vAlign w:val="center"/>
                </w:tcPr>
                <w:p w14:paraId="42B4B4CF">
                  <w:pPr>
                    <w:tabs>
                      <w:tab w:val="left" w:pos="3240"/>
                    </w:tabs>
                    <w:spacing w:line="300" w:lineRule="exact"/>
                    <w:jc w:val="center"/>
                    <w:rPr>
                      <w:color w:val="auto"/>
                      <w:sz w:val="18"/>
                      <w:szCs w:val="18"/>
                    </w:rPr>
                  </w:pPr>
                  <w:r>
                    <w:rPr>
                      <w:color w:val="auto"/>
                      <w:sz w:val="18"/>
                      <w:szCs w:val="18"/>
                    </w:rPr>
                    <w:t>通航河流</w:t>
                  </w:r>
                </w:p>
              </w:tc>
              <w:tc>
                <w:tcPr>
                  <w:tcW w:w="1338" w:type="dxa"/>
                  <w:tcBorders>
                    <w:right w:val="single" w:color="auto" w:sz="2" w:space="0"/>
                  </w:tcBorders>
                  <w:vAlign w:val="center"/>
                </w:tcPr>
                <w:p w14:paraId="00479FE9">
                  <w:pPr>
                    <w:tabs>
                      <w:tab w:val="left" w:pos="3240"/>
                    </w:tabs>
                    <w:spacing w:line="300" w:lineRule="exact"/>
                    <w:jc w:val="center"/>
                    <w:rPr>
                      <w:rFonts w:hint="default" w:eastAsia="宋体"/>
                      <w:color w:val="auto"/>
                      <w:sz w:val="18"/>
                      <w:szCs w:val="18"/>
                      <w:lang w:val="en-US" w:eastAsia="zh-CN"/>
                    </w:rPr>
                  </w:pPr>
                  <w:r>
                    <w:rPr>
                      <w:rFonts w:hint="eastAsia"/>
                      <w:color w:val="auto"/>
                      <w:sz w:val="18"/>
                      <w:szCs w:val="18"/>
                      <w:lang w:val="en-US" w:eastAsia="zh-CN"/>
                    </w:rPr>
                    <w:t>6.0</w:t>
                  </w:r>
                </w:p>
              </w:tc>
              <w:tc>
                <w:tcPr>
                  <w:tcW w:w="4201" w:type="dxa"/>
                  <w:vAlign w:val="center"/>
                </w:tcPr>
                <w:p w14:paraId="1F170F91">
                  <w:pPr>
                    <w:tabs>
                      <w:tab w:val="left" w:pos="3240"/>
                    </w:tabs>
                    <w:spacing w:line="300" w:lineRule="exact"/>
                    <w:jc w:val="center"/>
                    <w:rPr>
                      <w:color w:val="auto"/>
                      <w:sz w:val="18"/>
                      <w:szCs w:val="18"/>
                    </w:rPr>
                  </w:pPr>
                  <w:r>
                    <w:rPr>
                      <w:color w:val="auto"/>
                      <w:sz w:val="18"/>
                      <w:szCs w:val="18"/>
                    </w:rPr>
                    <w:t>至</w:t>
                  </w:r>
                  <w:r>
                    <w:rPr>
                      <w:rFonts w:hint="eastAsia"/>
                      <w:color w:val="auto"/>
                      <w:sz w:val="18"/>
                      <w:szCs w:val="18"/>
                      <w:lang w:val="en-US" w:eastAsia="zh-CN"/>
                    </w:rPr>
                    <w:t>5</w:t>
                  </w:r>
                  <w:r>
                    <w:rPr>
                      <w:color w:val="auto"/>
                      <w:sz w:val="18"/>
                      <w:szCs w:val="18"/>
                    </w:rPr>
                    <w:t>年一遇洪水位</w:t>
                  </w:r>
                </w:p>
              </w:tc>
            </w:tr>
            <w:tr w14:paraId="2C9AD1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445" w:type="dxa"/>
                  <w:vMerge w:val="continue"/>
                  <w:vAlign w:val="center"/>
                </w:tcPr>
                <w:p w14:paraId="6D5BD6F3">
                  <w:pPr>
                    <w:tabs>
                      <w:tab w:val="left" w:pos="3240"/>
                    </w:tabs>
                    <w:spacing w:line="300" w:lineRule="exact"/>
                    <w:jc w:val="center"/>
                    <w:rPr>
                      <w:color w:val="auto"/>
                    </w:rPr>
                  </w:pPr>
                </w:p>
              </w:tc>
              <w:tc>
                <w:tcPr>
                  <w:tcW w:w="2566" w:type="dxa"/>
                  <w:vMerge w:val="continue"/>
                </w:tcPr>
                <w:p w14:paraId="17D84486">
                  <w:pPr>
                    <w:tabs>
                      <w:tab w:val="left" w:pos="3240"/>
                    </w:tabs>
                    <w:spacing w:line="300" w:lineRule="exact"/>
                    <w:jc w:val="center"/>
                    <w:rPr>
                      <w:color w:val="auto"/>
                    </w:rPr>
                  </w:pPr>
                </w:p>
              </w:tc>
              <w:tc>
                <w:tcPr>
                  <w:tcW w:w="1338" w:type="dxa"/>
                  <w:tcBorders>
                    <w:right w:val="single" w:color="auto" w:sz="2" w:space="0"/>
                  </w:tcBorders>
                  <w:vAlign w:val="center"/>
                </w:tcPr>
                <w:p w14:paraId="200FDCF4">
                  <w:pPr>
                    <w:tabs>
                      <w:tab w:val="left" w:pos="3240"/>
                    </w:tabs>
                    <w:spacing w:line="300" w:lineRule="exact"/>
                    <w:jc w:val="center"/>
                    <w:rPr>
                      <w:rFonts w:hint="eastAsia"/>
                      <w:color w:val="auto"/>
                      <w:sz w:val="18"/>
                      <w:szCs w:val="18"/>
                      <w:lang w:val="en-US" w:eastAsia="zh-CN"/>
                    </w:rPr>
                  </w:pPr>
                  <w:r>
                    <w:rPr>
                      <w:rFonts w:hint="eastAsia"/>
                      <w:color w:val="auto"/>
                      <w:sz w:val="18"/>
                      <w:szCs w:val="18"/>
                      <w:lang w:val="en-US" w:eastAsia="zh-CN"/>
                    </w:rPr>
                    <w:t>2.0</w:t>
                  </w:r>
                </w:p>
              </w:tc>
              <w:tc>
                <w:tcPr>
                  <w:tcW w:w="4201" w:type="dxa"/>
                  <w:vAlign w:val="center"/>
                </w:tcPr>
                <w:p w14:paraId="082D6CDC">
                  <w:pPr>
                    <w:tabs>
                      <w:tab w:val="left" w:pos="3240"/>
                    </w:tabs>
                    <w:spacing w:line="300" w:lineRule="exact"/>
                    <w:jc w:val="center"/>
                    <w:rPr>
                      <w:rFonts w:hint="eastAsia"/>
                      <w:color w:val="auto"/>
                      <w:sz w:val="18"/>
                      <w:szCs w:val="18"/>
                      <w:lang w:val="en-US" w:eastAsia="zh-CN"/>
                    </w:rPr>
                  </w:pPr>
                  <w:r>
                    <w:rPr>
                      <w:rFonts w:hint="default"/>
                      <w:color w:val="auto"/>
                      <w:sz w:val="18"/>
                      <w:szCs w:val="18"/>
                      <w:lang w:val="en-US" w:eastAsia="zh-CN"/>
                    </w:rPr>
                    <w:t>至最高航行水位的最高船桅顶</w:t>
                  </w:r>
                </w:p>
              </w:tc>
            </w:tr>
            <w:tr w14:paraId="1230F9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445" w:type="dxa"/>
                  <w:vAlign w:val="center"/>
                </w:tcPr>
                <w:p w14:paraId="7F486E0D">
                  <w:pPr>
                    <w:tabs>
                      <w:tab w:val="left" w:pos="3240"/>
                    </w:tabs>
                    <w:spacing w:line="300" w:lineRule="exact"/>
                    <w:jc w:val="center"/>
                    <w:rPr>
                      <w:rFonts w:hint="default" w:eastAsia="宋体"/>
                      <w:color w:val="auto"/>
                      <w:lang w:val="en-US" w:eastAsia="zh-CN"/>
                    </w:rPr>
                  </w:pPr>
                  <w:r>
                    <w:rPr>
                      <w:rFonts w:hint="eastAsia"/>
                      <w:color w:val="auto"/>
                      <w:sz w:val="18"/>
                      <w:szCs w:val="18"/>
                      <w:lang w:val="en-US" w:eastAsia="zh-CN"/>
                    </w:rPr>
                    <w:t>10</w:t>
                  </w:r>
                </w:p>
              </w:tc>
              <w:tc>
                <w:tcPr>
                  <w:tcW w:w="2566" w:type="dxa"/>
                </w:tcPr>
                <w:p w14:paraId="1F50CA86">
                  <w:pPr>
                    <w:tabs>
                      <w:tab w:val="left" w:pos="3240"/>
                    </w:tabs>
                    <w:spacing w:line="300" w:lineRule="exact"/>
                    <w:jc w:val="center"/>
                    <w:rPr>
                      <w:color w:val="auto"/>
                    </w:rPr>
                  </w:pPr>
                  <w:r>
                    <w:rPr>
                      <w:rFonts w:hint="eastAsia"/>
                      <w:color w:val="auto"/>
                      <w:sz w:val="18"/>
                      <w:szCs w:val="18"/>
                      <w:lang w:val="en-US" w:eastAsia="zh-CN"/>
                    </w:rPr>
                    <w:t>不</w:t>
                  </w:r>
                  <w:r>
                    <w:rPr>
                      <w:color w:val="auto"/>
                      <w:sz w:val="18"/>
                      <w:szCs w:val="18"/>
                    </w:rPr>
                    <w:t>通航河流</w:t>
                  </w:r>
                </w:p>
              </w:tc>
              <w:tc>
                <w:tcPr>
                  <w:tcW w:w="1338" w:type="dxa"/>
                  <w:tcBorders>
                    <w:right w:val="single" w:color="auto" w:sz="2" w:space="0"/>
                  </w:tcBorders>
                  <w:vAlign w:val="center"/>
                </w:tcPr>
                <w:p w14:paraId="6FC885B5">
                  <w:pPr>
                    <w:tabs>
                      <w:tab w:val="left" w:pos="3240"/>
                    </w:tabs>
                    <w:spacing w:line="300" w:lineRule="exact"/>
                    <w:jc w:val="center"/>
                    <w:rPr>
                      <w:rFonts w:hint="default"/>
                      <w:color w:val="auto"/>
                      <w:sz w:val="18"/>
                      <w:szCs w:val="18"/>
                      <w:lang w:val="en-US" w:eastAsia="zh-CN"/>
                    </w:rPr>
                  </w:pPr>
                  <w:r>
                    <w:rPr>
                      <w:rFonts w:hint="eastAsia"/>
                      <w:color w:val="auto"/>
                      <w:sz w:val="18"/>
                      <w:szCs w:val="18"/>
                      <w:lang w:val="en-US" w:eastAsia="zh-CN"/>
                    </w:rPr>
                    <w:t>3.0</w:t>
                  </w:r>
                </w:p>
              </w:tc>
              <w:tc>
                <w:tcPr>
                  <w:tcW w:w="4201" w:type="dxa"/>
                  <w:vAlign w:val="center"/>
                </w:tcPr>
                <w:p w14:paraId="33335E01">
                  <w:pPr>
                    <w:tabs>
                      <w:tab w:val="left" w:pos="3240"/>
                    </w:tabs>
                    <w:spacing w:line="300" w:lineRule="exact"/>
                    <w:jc w:val="center"/>
                    <w:rPr>
                      <w:rFonts w:hint="default"/>
                      <w:color w:val="auto"/>
                      <w:sz w:val="18"/>
                      <w:szCs w:val="18"/>
                      <w:lang w:val="en-US" w:eastAsia="zh-CN"/>
                    </w:rPr>
                  </w:pPr>
                  <w:r>
                    <w:rPr>
                      <w:color w:val="auto"/>
                      <w:sz w:val="18"/>
                      <w:szCs w:val="18"/>
                    </w:rPr>
                    <w:t>至</w:t>
                  </w:r>
                  <w:r>
                    <w:rPr>
                      <w:rFonts w:hint="eastAsia"/>
                      <w:color w:val="auto"/>
                      <w:sz w:val="18"/>
                      <w:szCs w:val="18"/>
                      <w:lang w:val="en-US" w:eastAsia="zh-CN"/>
                    </w:rPr>
                    <w:t>百</w:t>
                  </w:r>
                  <w:r>
                    <w:rPr>
                      <w:color w:val="auto"/>
                      <w:sz w:val="18"/>
                      <w:szCs w:val="18"/>
                    </w:rPr>
                    <w:t>年一遇洪水位</w:t>
                  </w:r>
                </w:p>
              </w:tc>
            </w:tr>
            <w:tr w14:paraId="25AAB9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445" w:type="dxa"/>
                  <w:vAlign w:val="center"/>
                </w:tcPr>
                <w:p w14:paraId="38B65D7D">
                  <w:pPr>
                    <w:tabs>
                      <w:tab w:val="left" w:pos="3240"/>
                    </w:tabs>
                    <w:spacing w:line="300" w:lineRule="exact"/>
                    <w:jc w:val="center"/>
                    <w:rPr>
                      <w:rFonts w:hint="default"/>
                      <w:color w:val="auto"/>
                      <w:sz w:val="18"/>
                      <w:szCs w:val="18"/>
                      <w:lang w:val="en-US" w:eastAsia="zh-CN"/>
                    </w:rPr>
                  </w:pPr>
                  <w:r>
                    <w:rPr>
                      <w:rFonts w:hint="eastAsia"/>
                      <w:color w:val="auto"/>
                      <w:sz w:val="18"/>
                      <w:szCs w:val="18"/>
                      <w:lang w:val="en-US" w:eastAsia="zh-CN"/>
                    </w:rPr>
                    <w:t>11</w:t>
                  </w:r>
                </w:p>
              </w:tc>
              <w:tc>
                <w:tcPr>
                  <w:tcW w:w="2566" w:type="dxa"/>
                  <w:vAlign w:val="center"/>
                </w:tcPr>
                <w:p w14:paraId="724B1ED3">
                  <w:pPr>
                    <w:tabs>
                      <w:tab w:val="left" w:pos="3240"/>
                    </w:tabs>
                    <w:spacing w:line="300" w:lineRule="exact"/>
                    <w:jc w:val="center"/>
                    <w:rPr>
                      <w:rFonts w:hint="default"/>
                      <w:color w:val="auto"/>
                      <w:sz w:val="18"/>
                      <w:szCs w:val="18"/>
                      <w:lang w:val="en-US" w:eastAsia="zh-CN"/>
                    </w:rPr>
                  </w:pPr>
                  <w:r>
                    <w:rPr>
                      <w:rFonts w:hint="eastAsia"/>
                      <w:color w:val="auto"/>
                      <w:sz w:val="18"/>
                      <w:szCs w:val="18"/>
                      <w:lang w:val="en-US" w:eastAsia="zh-CN"/>
                    </w:rPr>
                    <w:t>建筑物</w:t>
                  </w:r>
                </w:p>
              </w:tc>
              <w:tc>
                <w:tcPr>
                  <w:tcW w:w="1338" w:type="dxa"/>
                  <w:tcBorders>
                    <w:right w:val="single" w:color="auto" w:sz="2" w:space="0"/>
                  </w:tcBorders>
                  <w:vAlign w:val="center"/>
                </w:tcPr>
                <w:p w14:paraId="37AAEF46">
                  <w:pPr>
                    <w:tabs>
                      <w:tab w:val="left" w:pos="3240"/>
                    </w:tabs>
                    <w:spacing w:line="300" w:lineRule="exact"/>
                    <w:jc w:val="center"/>
                    <w:rPr>
                      <w:rFonts w:hint="default"/>
                      <w:color w:val="auto"/>
                      <w:sz w:val="18"/>
                      <w:szCs w:val="18"/>
                      <w:lang w:val="en-US" w:eastAsia="zh-CN"/>
                    </w:rPr>
                  </w:pPr>
                  <w:r>
                    <w:rPr>
                      <w:rFonts w:hint="eastAsia"/>
                      <w:color w:val="auto"/>
                      <w:sz w:val="18"/>
                      <w:szCs w:val="18"/>
                      <w:lang w:val="en-US" w:eastAsia="zh-CN"/>
                    </w:rPr>
                    <w:t>5.0</w:t>
                  </w:r>
                </w:p>
              </w:tc>
              <w:tc>
                <w:tcPr>
                  <w:tcW w:w="4201" w:type="dxa"/>
                  <w:vAlign w:val="center"/>
                </w:tcPr>
                <w:p w14:paraId="7A1007B2">
                  <w:pPr>
                    <w:keepNext w:val="0"/>
                    <w:keepLines w:val="0"/>
                    <w:widowControl/>
                    <w:suppressLineNumbers w:val="0"/>
                    <w:jc w:val="center"/>
                  </w:pPr>
                  <w:r>
                    <w:rPr>
                      <w:rFonts w:hint="eastAsia" w:ascii="宋体" w:hAnsi="宋体" w:eastAsia="宋体" w:cs="宋体"/>
                      <w:color w:val="000000"/>
                      <w:kern w:val="0"/>
                      <w:sz w:val="18"/>
                      <w:szCs w:val="18"/>
                      <w:lang w:val="en-US" w:eastAsia="zh-CN" w:bidi="ar"/>
                    </w:rPr>
                    <w:t>线路</w:t>
                  </w:r>
                  <w:r>
                    <w:rPr>
                      <w:rFonts w:hint="default" w:ascii="Times New Roman" w:hAnsi="Times New Roman" w:eastAsia="宋体" w:cs="Times New Roman"/>
                      <w:color w:val="000000"/>
                      <w:kern w:val="0"/>
                      <w:sz w:val="18"/>
                      <w:szCs w:val="18"/>
                      <w:lang w:val="en-US" w:eastAsia="zh-CN" w:bidi="ar"/>
                    </w:rPr>
                    <w:t>Ⅰ</w:t>
                  </w:r>
                  <w:r>
                    <w:rPr>
                      <w:rFonts w:hint="eastAsia" w:ascii="宋体" w:hAnsi="宋体" w:cs="宋体"/>
                      <w:color w:val="000000"/>
                      <w:kern w:val="0"/>
                      <w:sz w:val="18"/>
                      <w:szCs w:val="18"/>
                      <w:lang w:val="en-US" w:eastAsia="zh-CN" w:bidi="ar"/>
                    </w:rPr>
                    <w:t>利旧段</w:t>
                  </w:r>
                  <w:r>
                    <w:rPr>
                      <w:rFonts w:hint="eastAsia" w:ascii="宋体" w:hAnsi="宋体" w:eastAsia="宋体" w:cs="宋体"/>
                      <w:color w:val="000000"/>
                      <w:kern w:val="0"/>
                      <w:sz w:val="18"/>
                      <w:szCs w:val="18"/>
                      <w:lang w:val="en-US" w:eastAsia="zh-CN" w:bidi="ar"/>
                    </w:rPr>
                    <w:t>拟跨越巴州区回风街道</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住宅处（</w:t>
                  </w:r>
                  <w:r>
                    <w:rPr>
                      <w:rFonts w:hint="default" w:ascii="Times New Roman" w:hAnsi="Times New Roman" w:eastAsia="宋体" w:cs="Times New Roman"/>
                      <w:color w:val="000000"/>
                      <w:kern w:val="0"/>
                      <w:sz w:val="18"/>
                      <w:szCs w:val="18"/>
                      <w:lang w:val="en-US" w:eastAsia="zh-CN" w:bidi="ar"/>
                    </w:rPr>
                    <w:t>1</w:t>
                  </w:r>
                  <w:r>
                    <w:rPr>
                      <w:rFonts w:hint="eastAsia" w:ascii="Times New Roman" w:hAnsi="Times New Roman" w:eastAsia="宋体" w:cs="Times New Roman"/>
                      <w:color w:val="000000"/>
                      <w:kern w:val="0"/>
                      <w:sz w:val="18"/>
                      <w:szCs w:val="18"/>
                      <w:lang w:val="en-US" w:eastAsia="zh-CN" w:bidi="ar"/>
                    </w:rPr>
                    <w:t>2</w:t>
                  </w:r>
                  <w:r>
                    <w:rPr>
                      <w:rFonts w:hint="default" w:ascii="Times New Roman" w:hAnsi="Times New Roman" w:eastAsia="宋体" w:cs="Times New Roman"/>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敏感目标），住宅高度为</w:t>
                  </w:r>
                  <w:r>
                    <w:rPr>
                      <w:rFonts w:hint="default" w:ascii="Times New Roman" w:hAnsi="Times New Roman" w:eastAsia="宋体" w:cs="Times New Roman"/>
                      <w:color w:val="000000"/>
                      <w:kern w:val="0"/>
                      <w:sz w:val="18"/>
                      <w:szCs w:val="18"/>
                      <w:lang w:val="en-US" w:eastAsia="zh-CN" w:bidi="ar"/>
                    </w:rPr>
                    <w:t>3m</w:t>
                  </w:r>
                  <w:r>
                    <w:rPr>
                      <w:rFonts w:hint="eastAsia" w:ascii="宋体" w:hAnsi="宋体" w:eastAsia="宋体" w:cs="宋体"/>
                      <w:color w:val="000000"/>
                      <w:kern w:val="0"/>
                      <w:sz w:val="18"/>
                      <w:szCs w:val="18"/>
                      <w:lang w:val="en-US" w:eastAsia="zh-CN" w:bidi="ar"/>
                    </w:rPr>
                    <w:t>，跨越处</w:t>
                  </w:r>
                  <w:r>
                    <w:rPr>
                      <w:rFonts w:hint="eastAsia" w:ascii="宋体" w:hAnsi="宋体" w:cs="宋体"/>
                      <w:color w:val="000000"/>
                      <w:kern w:val="0"/>
                      <w:sz w:val="18"/>
                      <w:szCs w:val="18"/>
                      <w:lang w:val="en-US" w:eastAsia="zh-CN" w:bidi="ar"/>
                    </w:rPr>
                    <w:t>导线设计架设高度</w:t>
                  </w:r>
                  <w:r>
                    <w:rPr>
                      <w:rFonts w:hint="eastAsia" w:ascii="宋体" w:hAnsi="宋体" w:eastAsia="宋体" w:cs="宋体"/>
                      <w:color w:val="000000"/>
                      <w:kern w:val="0"/>
                      <w:sz w:val="18"/>
                      <w:szCs w:val="18"/>
                      <w:lang w:val="en-US" w:eastAsia="zh-CN" w:bidi="ar"/>
                    </w:rPr>
                    <w:t>为</w:t>
                  </w:r>
                  <w:r>
                    <w:rPr>
                      <w:rFonts w:hint="eastAsia" w:cs="Times New Roman"/>
                      <w:color w:val="000000"/>
                      <w:kern w:val="0"/>
                      <w:sz w:val="18"/>
                      <w:szCs w:val="18"/>
                      <w:highlight w:val="none"/>
                      <w:lang w:val="en-US" w:eastAsia="zh-CN" w:bidi="ar"/>
                    </w:rPr>
                    <w:t>75</w:t>
                  </w:r>
                  <w:r>
                    <w:rPr>
                      <w:rFonts w:hint="default" w:ascii="Times New Roman" w:hAnsi="Times New Roman" w:eastAsia="宋体" w:cs="Times New Roman"/>
                      <w:color w:val="000000"/>
                      <w:kern w:val="0"/>
                      <w:sz w:val="18"/>
                      <w:szCs w:val="18"/>
                      <w:highlight w:val="none"/>
                      <w:lang w:val="en-US" w:eastAsia="zh-CN" w:bidi="ar"/>
                    </w:rPr>
                    <w:t>m</w:t>
                  </w:r>
                  <w:r>
                    <w:rPr>
                      <w:rFonts w:hint="eastAsia" w:ascii="宋体" w:hAnsi="宋体" w:eastAsia="宋体" w:cs="宋体"/>
                      <w:color w:val="000000"/>
                      <w:kern w:val="0"/>
                      <w:sz w:val="18"/>
                      <w:szCs w:val="18"/>
                      <w:highlight w:val="none"/>
                      <w:lang w:val="en-US" w:eastAsia="zh-CN" w:bidi="ar"/>
                    </w:rPr>
                    <w:t>。</w:t>
                  </w:r>
                </w:p>
                <w:p w14:paraId="55560B72">
                  <w:pPr>
                    <w:keepNext w:val="0"/>
                    <w:keepLines w:val="0"/>
                    <w:widowControl/>
                    <w:suppressLineNumbers w:val="0"/>
                    <w:jc w:val="center"/>
                  </w:pPr>
                  <w:r>
                    <w:rPr>
                      <w:rFonts w:hint="eastAsia" w:ascii="宋体" w:hAnsi="宋体" w:eastAsia="宋体" w:cs="宋体"/>
                      <w:color w:val="000000"/>
                      <w:kern w:val="0"/>
                      <w:sz w:val="18"/>
                      <w:szCs w:val="18"/>
                      <w:lang w:val="en-US" w:eastAsia="zh-CN" w:bidi="ar"/>
                    </w:rPr>
                    <w:t>线路</w:t>
                  </w:r>
                  <w:r>
                    <w:rPr>
                      <w:rFonts w:hint="default" w:ascii="Times New Roman" w:hAnsi="Times New Roman" w:eastAsia="宋体" w:cs="Times New Roman"/>
                      <w:color w:val="000000"/>
                      <w:kern w:val="0"/>
                      <w:sz w:val="18"/>
                      <w:szCs w:val="18"/>
                      <w:lang w:val="en-US" w:eastAsia="zh-CN" w:bidi="ar"/>
                    </w:rPr>
                    <w:t>Ⅰ</w:t>
                  </w:r>
                  <w:r>
                    <w:rPr>
                      <w:rFonts w:hint="eastAsia" w:ascii="宋体" w:hAnsi="宋体" w:cs="宋体"/>
                      <w:color w:val="000000"/>
                      <w:kern w:val="0"/>
                      <w:sz w:val="18"/>
                      <w:szCs w:val="18"/>
                      <w:lang w:val="en-US" w:eastAsia="zh-CN" w:bidi="ar"/>
                    </w:rPr>
                    <w:t>利旧段</w:t>
                  </w:r>
                  <w:r>
                    <w:rPr>
                      <w:rFonts w:hint="eastAsia" w:ascii="宋体" w:hAnsi="宋体" w:eastAsia="宋体" w:cs="宋体"/>
                      <w:color w:val="000000"/>
                      <w:kern w:val="0"/>
                      <w:sz w:val="18"/>
                      <w:szCs w:val="18"/>
                      <w:lang w:val="en-US" w:eastAsia="zh-CN" w:bidi="ar"/>
                    </w:rPr>
                    <w:t>拟跨越巴州区回风街道</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住宅处（</w:t>
                  </w:r>
                  <w:r>
                    <w:rPr>
                      <w:rFonts w:hint="eastAsia" w:ascii="Times New Roman" w:hAnsi="Times New Roman" w:eastAsia="宋体" w:cs="Times New Roman"/>
                      <w:color w:val="000000"/>
                      <w:kern w:val="0"/>
                      <w:sz w:val="18"/>
                      <w:szCs w:val="18"/>
                      <w:lang w:val="en-US" w:eastAsia="zh-CN" w:bidi="ar"/>
                    </w:rPr>
                    <w:t>13</w:t>
                  </w:r>
                  <w:r>
                    <w:rPr>
                      <w:rFonts w:hint="default" w:ascii="Times New Roman" w:hAnsi="Times New Roman" w:eastAsia="宋体" w:cs="Times New Roman"/>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敏感目标），住宅高度为</w:t>
                  </w:r>
                  <w:r>
                    <w:rPr>
                      <w:rFonts w:hint="default" w:ascii="Times New Roman" w:hAnsi="Times New Roman" w:eastAsia="宋体" w:cs="Times New Roman"/>
                      <w:color w:val="000000"/>
                      <w:kern w:val="0"/>
                      <w:sz w:val="18"/>
                      <w:szCs w:val="18"/>
                      <w:lang w:val="en-US" w:eastAsia="zh-CN" w:bidi="ar"/>
                    </w:rPr>
                    <w:t>3m</w:t>
                  </w:r>
                  <w:r>
                    <w:rPr>
                      <w:rFonts w:hint="eastAsia" w:ascii="宋体" w:hAnsi="宋体" w:eastAsia="宋体" w:cs="宋体"/>
                      <w:color w:val="000000"/>
                      <w:kern w:val="0"/>
                      <w:sz w:val="18"/>
                      <w:szCs w:val="18"/>
                      <w:lang w:val="en-US" w:eastAsia="zh-CN" w:bidi="ar"/>
                    </w:rPr>
                    <w:t>，跨越处</w:t>
                  </w:r>
                  <w:r>
                    <w:rPr>
                      <w:rFonts w:hint="eastAsia" w:ascii="宋体" w:hAnsi="宋体" w:cs="宋体"/>
                      <w:color w:val="000000"/>
                      <w:kern w:val="0"/>
                      <w:sz w:val="18"/>
                      <w:szCs w:val="18"/>
                      <w:lang w:val="en-US" w:eastAsia="zh-CN" w:bidi="ar"/>
                    </w:rPr>
                    <w:t>导线设计架设高度</w:t>
                  </w:r>
                  <w:r>
                    <w:rPr>
                      <w:rFonts w:hint="eastAsia" w:ascii="宋体" w:hAnsi="宋体" w:eastAsia="宋体" w:cs="宋体"/>
                      <w:color w:val="000000"/>
                      <w:kern w:val="0"/>
                      <w:sz w:val="18"/>
                      <w:szCs w:val="18"/>
                      <w:highlight w:val="none"/>
                      <w:lang w:val="en-US" w:eastAsia="zh-CN" w:bidi="ar"/>
                    </w:rPr>
                    <w:t>为</w:t>
                  </w:r>
                  <w:r>
                    <w:rPr>
                      <w:rFonts w:hint="eastAsia" w:cs="Times New Roman"/>
                      <w:color w:val="000000"/>
                      <w:kern w:val="0"/>
                      <w:sz w:val="18"/>
                      <w:szCs w:val="18"/>
                      <w:highlight w:val="none"/>
                      <w:lang w:val="en-US" w:eastAsia="zh-CN" w:bidi="ar"/>
                    </w:rPr>
                    <w:t>62</w:t>
                  </w:r>
                  <w:r>
                    <w:rPr>
                      <w:rFonts w:hint="default" w:ascii="Times New Roman" w:hAnsi="Times New Roman" w:eastAsia="宋体" w:cs="Times New Roman"/>
                      <w:color w:val="000000"/>
                      <w:kern w:val="0"/>
                      <w:sz w:val="18"/>
                      <w:szCs w:val="18"/>
                      <w:highlight w:val="none"/>
                      <w:lang w:val="en-US" w:eastAsia="zh-CN" w:bidi="ar"/>
                    </w:rPr>
                    <w:t>m</w:t>
                  </w:r>
                  <w:r>
                    <w:rPr>
                      <w:rFonts w:hint="eastAsia" w:ascii="宋体" w:hAnsi="宋体" w:eastAsia="宋体" w:cs="宋体"/>
                      <w:color w:val="000000"/>
                      <w:kern w:val="0"/>
                      <w:sz w:val="18"/>
                      <w:szCs w:val="18"/>
                      <w:lang w:val="en-US" w:eastAsia="zh-CN" w:bidi="ar"/>
                    </w:rPr>
                    <w:t>。</w:t>
                  </w:r>
                </w:p>
                <w:p w14:paraId="7FDF04F1">
                  <w:pPr>
                    <w:tabs>
                      <w:tab w:val="left" w:pos="3240"/>
                    </w:tabs>
                    <w:spacing w:line="300" w:lineRule="exact"/>
                    <w:jc w:val="center"/>
                    <w:rPr>
                      <w:color w:val="auto"/>
                      <w:sz w:val="18"/>
                      <w:szCs w:val="18"/>
                    </w:rPr>
                  </w:pPr>
                  <w:r>
                    <w:rPr>
                      <w:rFonts w:hint="eastAsia" w:ascii="宋体" w:hAnsi="宋体" w:eastAsia="宋体" w:cs="宋体"/>
                      <w:color w:val="000000"/>
                      <w:kern w:val="0"/>
                      <w:sz w:val="18"/>
                      <w:szCs w:val="18"/>
                      <w:lang w:val="en-US" w:eastAsia="zh-CN" w:bidi="ar"/>
                    </w:rPr>
                    <w:t>线路</w:t>
                  </w:r>
                  <w:r>
                    <w:rPr>
                      <w:rFonts w:hint="default" w:ascii="Times New Roman" w:hAnsi="Times New Roman" w:eastAsia="宋体" w:cs="Times New Roman"/>
                      <w:color w:val="000000"/>
                      <w:kern w:val="0"/>
                      <w:sz w:val="18"/>
                      <w:szCs w:val="18"/>
                      <w:lang w:val="en-US" w:eastAsia="zh-CN" w:bidi="ar"/>
                    </w:rPr>
                    <w:t>Ⅰ</w:t>
                  </w:r>
                  <w:r>
                    <w:rPr>
                      <w:rFonts w:hint="eastAsia" w:ascii="宋体" w:hAnsi="宋体" w:cs="宋体"/>
                      <w:color w:val="000000"/>
                      <w:kern w:val="0"/>
                      <w:sz w:val="18"/>
                      <w:szCs w:val="18"/>
                      <w:lang w:val="en-US" w:eastAsia="zh-CN" w:bidi="ar"/>
                    </w:rPr>
                    <w:t>利旧段</w:t>
                  </w:r>
                  <w:r>
                    <w:rPr>
                      <w:rFonts w:hint="eastAsia" w:ascii="宋体" w:hAnsi="宋体" w:eastAsia="宋体" w:cs="宋体"/>
                      <w:color w:val="000000"/>
                      <w:kern w:val="0"/>
                      <w:sz w:val="18"/>
                      <w:szCs w:val="18"/>
                      <w:lang w:val="en-US" w:eastAsia="zh-CN" w:bidi="ar"/>
                    </w:rPr>
                    <w:t>拟跨越</w:t>
                  </w:r>
                  <w:r>
                    <w:rPr>
                      <w:rFonts w:hint="eastAsia"/>
                      <w:color w:val="000000"/>
                      <w:sz w:val="18"/>
                      <w:szCs w:val="18"/>
                      <w:lang w:val="en-US" w:eastAsia="zh-CN"/>
                    </w:rPr>
                    <w:t>巴州区平梁镇***住宅处</w:t>
                  </w:r>
                  <w:r>
                    <w:rPr>
                      <w:rFonts w:hint="eastAsia" w:ascii="宋体" w:hAnsi="宋体" w:eastAsia="宋体" w:cs="宋体"/>
                      <w:color w:val="000000"/>
                      <w:kern w:val="0"/>
                      <w:sz w:val="18"/>
                      <w:szCs w:val="18"/>
                      <w:lang w:val="en-US" w:eastAsia="zh-CN" w:bidi="ar"/>
                    </w:rPr>
                    <w:t>（</w:t>
                  </w:r>
                  <w:r>
                    <w:rPr>
                      <w:rFonts w:hint="eastAsia" w:ascii="Times New Roman" w:hAnsi="Times New Roman" w:eastAsia="宋体" w:cs="Times New Roman"/>
                      <w:color w:val="000000"/>
                      <w:kern w:val="0"/>
                      <w:sz w:val="18"/>
                      <w:szCs w:val="18"/>
                      <w:lang w:val="en-US" w:eastAsia="zh-CN" w:bidi="ar"/>
                    </w:rPr>
                    <w:t>15</w:t>
                  </w:r>
                  <w:r>
                    <w:rPr>
                      <w:rFonts w:hint="default" w:ascii="Times New Roman" w:hAnsi="Times New Roman" w:eastAsia="宋体" w:cs="Times New Roman"/>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敏感目标），住宅高度为</w:t>
                  </w:r>
                  <w:r>
                    <w:rPr>
                      <w:rFonts w:hint="default" w:ascii="Times New Roman" w:hAnsi="Times New Roman" w:eastAsia="宋体" w:cs="Times New Roman"/>
                      <w:color w:val="000000"/>
                      <w:kern w:val="0"/>
                      <w:sz w:val="18"/>
                      <w:szCs w:val="18"/>
                      <w:lang w:val="en-US" w:eastAsia="zh-CN" w:bidi="ar"/>
                    </w:rPr>
                    <w:t>3m</w:t>
                  </w:r>
                  <w:r>
                    <w:rPr>
                      <w:rFonts w:hint="eastAsia" w:ascii="宋体" w:hAnsi="宋体" w:eastAsia="宋体" w:cs="宋体"/>
                      <w:color w:val="000000"/>
                      <w:kern w:val="0"/>
                      <w:sz w:val="18"/>
                      <w:szCs w:val="18"/>
                      <w:lang w:val="en-US" w:eastAsia="zh-CN" w:bidi="ar"/>
                    </w:rPr>
                    <w:t>，跨越处</w:t>
                  </w:r>
                  <w:r>
                    <w:rPr>
                      <w:rFonts w:hint="eastAsia" w:ascii="宋体" w:hAnsi="宋体" w:cs="宋体"/>
                      <w:color w:val="000000"/>
                      <w:kern w:val="0"/>
                      <w:sz w:val="18"/>
                      <w:szCs w:val="18"/>
                      <w:lang w:val="en-US" w:eastAsia="zh-CN" w:bidi="ar"/>
                    </w:rPr>
                    <w:t>导线设计架设高度</w:t>
                  </w:r>
                  <w:r>
                    <w:rPr>
                      <w:rFonts w:hint="eastAsia" w:ascii="宋体" w:hAnsi="宋体" w:eastAsia="宋体" w:cs="宋体"/>
                      <w:color w:val="000000"/>
                      <w:kern w:val="0"/>
                      <w:sz w:val="18"/>
                      <w:szCs w:val="18"/>
                      <w:highlight w:val="none"/>
                      <w:lang w:val="en-US" w:eastAsia="zh-CN" w:bidi="ar"/>
                    </w:rPr>
                    <w:t>为</w:t>
                  </w:r>
                  <w:r>
                    <w:rPr>
                      <w:rFonts w:hint="eastAsia" w:cs="Times New Roman"/>
                      <w:color w:val="000000"/>
                      <w:kern w:val="0"/>
                      <w:sz w:val="18"/>
                      <w:szCs w:val="18"/>
                      <w:highlight w:val="none"/>
                      <w:lang w:val="en-US" w:eastAsia="zh-CN" w:bidi="ar"/>
                    </w:rPr>
                    <w:t>23</w:t>
                  </w:r>
                  <w:r>
                    <w:rPr>
                      <w:rFonts w:hint="default" w:ascii="Times New Roman" w:hAnsi="Times New Roman" w:eastAsia="宋体" w:cs="Times New Roman"/>
                      <w:color w:val="000000"/>
                      <w:kern w:val="0"/>
                      <w:sz w:val="18"/>
                      <w:szCs w:val="18"/>
                      <w:highlight w:val="none"/>
                      <w:lang w:val="en-US" w:eastAsia="zh-CN" w:bidi="ar"/>
                    </w:rPr>
                    <w:t>m</w:t>
                  </w:r>
                </w:p>
              </w:tc>
            </w:tr>
          </w:tbl>
          <w:p w14:paraId="6525332F">
            <w:pPr>
              <w:ind w:firstLine="360" w:firstLineChars="200"/>
              <w:rPr>
                <w:color w:val="auto"/>
                <w:sz w:val="18"/>
                <w:szCs w:val="18"/>
              </w:rPr>
            </w:pPr>
            <w:r>
              <w:rPr>
                <w:color w:val="auto"/>
                <w:sz w:val="18"/>
                <w:szCs w:val="18"/>
              </w:rPr>
              <w:t>注：</w:t>
            </w:r>
            <w:r>
              <w:rPr>
                <w:rFonts w:hint="eastAsia"/>
                <w:color w:val="auto"/>
                <w:sz w:val="18"/>
                <w:szCs w:val="18"/>
              </w:rPr>
              <w:t>根据《环境影响评价技术导则 输变电》（HJ24-2020）和《电磁环境控制限值》（GB8702-2014），居民区指评价范围内住宅、学校、医院、办公楼、工厂等有公众居住、工作或学习的建筑物，非居民区是指耕地、园地、牧草地、畜禽饲养地、养殖水面、道路等场所</w:t>
            </w:r>
            <w:r>
              <w:rPr>
                <w:color w:val="auto"/>
                <w:sz w:val="18"/>
                <w:szCs w:val="18"/>
              </w:rPr>
              <w:t>。</w:t>
            </w:r>
          </w:p>
          <w:p w14:paraId="68797992">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color w:val="auto"/>
                <w:sz w:val="18"/>
                <w:szCs w:val="18"/>
              </w:rPr>
            </w:pPr>
            <w:r>
              <w:rPr>
                <w:color w:val="auto"/>
                <w:szCs w:val="21"/>
              </w:rPr>
              <w:t>本工程</w:t>
            </w:r>
            <w:r>
              <w:rPr>
                <w:rFonts w:hint="eastAsia"/>
                <w:color w:val="auto"/>
                <w:szCs w:val="21"/>
              </w:rPr>
              <w:t>11</w:t>
            </w:r>
            <w:r>
              <w:rPr>
                <w:color w:val="auto"/>
                <w:szCs w:val="21"/>
              </w:rPr>
              <w:t>0kV输电线路的</w:t>
            </w:r>
            <w:r>
              <w:rPr>
                <w:rFonts w:hint="eastAsia"/>
                <w:color w:val="auto"/>
                <w:szCs w:val="21"/>
              </w:rPr>
              <w:t>交叉钻跨</w:t>
            </w:r>
            <w:r>
              <w:rPr>
                <w:color w:val="auto"/>
                <w:szCs w:val="21"/>
              </w:rPr>
              <w:t>越情况见</w:t>
            </w:r>
            <w:r>
              <w:rPr>
                <w:rFonts w:hint="eastAsia"/>
                <w:color w:val="auto"/>
                <w:szCs w:val="21"/>
              </w:rPr>
              <w:t>下</w:t>
            </w:r>
            <w:r>
              <w:rPr>
                <w:color w:val="auto"/>
                <w:szCs w:val="21"/>
              </w:rPr>
              <w:t>表</w:t>
            </w:r>
            <w:r>
              <w:rPr>
                <w:rFonts w:hint="eastAsia"/>
                <w:color w:val="auto"/>
                <w:szCs w:val="21"/>
              </w:rPr>
              <w:t>。</w:t>
            </w:r>
          </w:p>
          <w:p w14:paraId="1524B999">
            <w:pPr>
              <w:tabs>
                <w:tab w:val="left" w:pos="3240"/>
              </w:tabs>
              <w:jc w:val="center"/>
              <w:rPr>
                <w:rFonts w:eastAsia="黑体"/>
                <w:color w:val="auto"/>
                <w:szCs w:val="21"/>
              </w:rPr>
            </w:pPr>
            <w:r>
              <w:rPr>
                <w:rFonts w:eastAsia="黑体"/>
                <w:color w:val="auto"/>
                <w:szCs w:val="21"/>
              </w:rPr>
              <w:t>表2-</w:t>
            </w:r>
            <w:r>
              <w:rPr>
                <w:rFonts w:hint="eastAsia" w:eastAsia="黑体"/>
                <w:color w:val="auto"/>
                <w:szCs w:val="21"/>
                <w:lang w:val="en-US" w:eastAsia="zh-CN"/>
              </w:rPr>
              <w:t>9</w:t>
            </w:r>
            <w:r>
              <w:rPr>
                <w:rFonts w:eastAsia="黑体"/>
                <w:color w:val="auto"/>
                <w:szCs w:val="21"/>
              </w:rPr>
              <w:t xml:space="preserve">  本项目</w:t>
            </w:r>
            <w:r>
              <w:rPr>
                <w:rFonts w:hint="eastAsia" w:eastAsia="黑体"/>
                <w:color w:val="auto"/>
                <w:szCs w:val="21"/>
                <w:lang w:val="en-US" w:eastAsia="zh-CN"/>
              </w:rPr>
              <w:t>盘兴</w:t>
            </w:r>
            <w:r>
              <w:rPr>
                <w:rFonts w:hint="eastAsia"/>
                <w:color w:val="auto"/>
                <w:sz w:val="18"/>
                <w:szCs w:val="18"/>
                <w:lang w:eastAsia="zh-CN"/>
              </w:rPr>
              <w:t>～</w:t>
            </w:r>
            <w:r>
              <w:rPr>
                <w:rFonts w:hint="eastAsia" w:eastAsia="黑体"/>
                <w:color w:val="auto"/>
                <w:szCs w:val="21"/>
                <w:lang w:val="en-US" w:eastAsia="zh-CN"/>
              </w:rPr>
              <w:t>司城110kV</w:t>
            </w:r>
            <w:r>
              <w:rPr>
                <w:rFonts w:hint="eastAsia" w:eastAsia="黑体"/>
                <w:color w:val="auto"/>
                <w:szCs w:val="21"/>
              </w:rPr>
              <w:t>线路工程</w:t>
            </w:r>
            <w:r>
              <w:rPr>
                <w:rFonts w:eastAsia="黑体"/>
                <w:color w:val="auto"/>
                <w:szCs w:val="21"/>
              </w:rPr>
              <w:t>主要交叉</w:t>
            </w:r>
            <w:r>
              <w:rPr>
                <w:rFonts w:hint="eastAsia" w:eastAsia="黑体"/>
                <w:color w:val="auto"/>
                <w:szCs w:val="21"/>
              </w:rPr>
              <w:t>钻跨</w:t>
            </w:r>
            <w:r>
              <w:rPr>
                <w:rFonts w:eastAsia="黑体"/>
                <w:color w:val="auto"/>
                <w:szCs w:val="21"/>
              </w:rPr>
              <w:t>越情况表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452"/>
              <w:gridCol w:w="1899"/>
              <w:gridCol w:w="671"/>
              <w:gridCol w:w="5649"/>
            </w:tblGrid>
            <w:tr w14:paraId="45ED15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578" w:hRule="atLeast"/>
                <w:jc w:val="center"/>
              </w:trPr>
              <w:tc>
                <w:tcPr>
                  <w:tcW w:w="452" w:type="dxa"/>
                  <w:vAlign w:val="center"/>
                </w:tcPr>
                <w:p w14:paraId="51431778">
                  <w:pPr>
                    <w:jc w:val="center"/>
                    <w:rPr>
                      <w:color w:val="auto"/>
                      <w:sz w:val="18"/>
                      <w:szCs w:val="18"/>
                    </w:rPr>
                  </w:pPr>
                  <w:r>
                    <w:rPr>
                      <w:color w:val="auto"/>
                      <w:sz w:val="18"/>
                      <w:szCs w:val="18"/>
                    </w:rPr>
                    <w:t>序号</w:t>
                  </w:r>
                </w:p>
              </w:tc>
              <w:tc>
                <w:tcPr>
                  <w:tcW w:w="1899" w:type="dxa"/>
                  <w:vAlign w:val="center"/>
                </w:tcPr>
                <w:p w14:paraId="46128618">
                  <w:pPr>
                    <w:jc w:val="center"/>
                    <w:rPr>
                      <w:color w:val="auto"/>
                      <w:sz w:val="18"/>
                      <w:szCs w:val="18"/>
                    </w:rPr>
                  </w:pPr>
                  <w:r>
                    <w:rPr>
                      <w:color w:val="auto"/>
                      <w:sz w:val="18"/>
                      <w:szCs w:val="18"/>
                    </w:rPr>
                    <w:t>被跨（钻）越物</w:t>
                  </w:r>
                </w:p>
              </w:tc>
              <w:tc>
                <w:tcPr>
                  <w:tcW w:w="671" w:type="dxa"/>
                  <w:vAlign w:val="center"/>
                </w:tcPr>
                <w:p w14:paraId="614244B5">
                  <w:pPr>
                    <w:jc w:val="center"/>
                    <w:rPr>
                      <w:color w:val="auto"/>
                      <w:sz w:val="18"/>
                      <w:szCs w:val="18"/>
                    </w:rPr>
                  </w:pPr>
                  <w:r>
                    <w:rPr>
                      <w:rFonts w:hint="eastAsia"/>
                      <w:color w:val="auto"/>
                      <w:sz w:val="18"/>
                      <w:szCs w:val="18"/>
                    </w:rPr>
                    <w:t>交叉</w:t>
                  </w:r>
                  <w:r>
                    <w:rPr>
                      <w:color w:val="auto"/>
                      <w:sz w:val="18"/>
                      <w:szCs w:val="18"/>
                    </w:rPr>
                    <w:t>次数</w:t>
                  </w:r>
                </w:p>
              </w:tc>
              <w:tc>
                <w:tcPr>
                  <w:tcW w:w="5649" w:type="dxa"/>
                  <w:vAlign w:val="center"/>
                </w:tcPr>
                <w:p w14:paraId="53267CB7">
                  <w:pPr>
                    <w:jc w:val="center"/>
                    <w:rPr>
                      <w:color w:val="auto"/>
                      <w:sz w:val="18"/>
                      <w:szCs w:val="18"/>
                    </w:rPr>
                  </w:pPr>
                  <w:r>
                    <w:rPr>
                      <w:color w:val="auto"/>
                      <w:sz w:val="18"/>
                      <w:szCs w:val="18"/>
                    </w:rPr>
                    <w:t>备注</w:t>
                  </w:r>
                </w:p>
              </w:tc>
            </w:tr>
            <w:tr w14:paraId="23C1A3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452" w:type="dxa"/>
                  <w:vAlign w:val="center"/>
                </w:tcPr>
                <w:p w14:paraId="6CB6E162">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c>
                <w:tcPr>
                  <w:tcW w:w="1899" w:type="dxa"/>
                  <w:vAlign w:val="center"/>
                </w:tcPr>
                <w:p w14:paraId="023961E0">
                  <w:pPr>
                    <w:jc w:val="center"/>
                    <w:rPr>
                      <w:rFonts w:hint="default"/>
                      <w:color w:val="auto"/>
                      <w:sz w:val="18"/>
                      <w:szCs w:val="18"/>
                      <w:lang w:val="en-US" w:eastAsia="zh-CN"/>
                    </w:rPr>
                  </w:pPr>
                  <w:r>
                    <w:rPr>
                      <w:rFonts w:hint="eastAsia"/>
                      <w:color w:val="auto"/>
                      <w:sz w:val="18"/>
                      <w:szCs w:val="18"/>
                    </w:rPr>
                    <w:t>220kV线路</w:t>
                  </w:r>
                </w:p>
              </w:tc>
              <w:tc>
                <w:tcPr>
                  <w:tcW w:w="671" w:type="dxa"/>
                  <w:vAlign w:val="center"/>
                </w:tcPr>
                <w:p w14:paraId="3D29EFB7">
                  <w:pPr>
                    <w:jc w:val="center"/>
                    <w:rPr>
                      <w:rFonts w:hint="default" w:eastAsia="宋体"/>
                      <w:color w:val="auto"/>
                      <w:sz w:val="18"/>
                      <w:szCs w:val="18"/>
                      <w:lang w:val="en-US" w:eastAsia="zh-CN"/>
                    </w:rPr>
                  </w:pPr>
                  <w:r>
                    <w:rPr>
                      <w:rFonts w:hint="eastAsia"/>
                      <w:color w:val="auto"/>
                      <w:sz w:val="18"/>
                      <w:szCs w:val="18"/>
                      <w:lang w:val="en-US" w:eastAsia="zh-CN"/>
                    </w:rPr>
                    <w:t>1</w:t>
                  </w:r>
                </w:p>
              </w:tc>
              <w:tc>
                <w:tcPr>
                  <w:tcW w:w="5649" w:type="dxa"/>
                  <w:vAlign w:val="center"/>
                </w:tcPr>
                <w:p w14:paraId="770F185F">
                  <w:pPr>
                    <w:jc w:val="center"/>
                    <w:rPr>
                      <w:rFonts w:hint="default" w:eastAsia="宋体"/>
                      <w:color w:val="auto"/>
                      <w:sz w:val="18"/>
                      <w:szCs w:val="18"/>
                      <w:lang w:val="en-US" w:eastAsia="zh-CN"/>
                    </w:rPr>
                  </w:pPr>
                  <w:r>
                    <w:rPr>
                      <w:rFonts w:hint="eastAsia" w:ascii="Times New Roman" w:hAnsi="Times New Roman" w:eastAsia="宋体" w:cs="Times New Roman"/>
                      <w:color w:val="auto"/>
                      <w:sz w:val="18"/>
                      <w:szCs w:val="18"/>
                      <w:lang w:val="en-US" w:eastAsia="zh-CN"/>
                    </w:rPr>
                    <w:t>钻越</w:t>
                  </w:r>
                  <w:r>
                    <w:rPr>
                      <w:rFonts w:hint="eastAsia"/>
                      <w:color w:val="auto"/>
                      <w:sz w:val="18"/>
                      <w:szCs w:val="18"/>
                    </w:rPr>
                    <w:t>220kV</w:t>
                  </w:r>
                  <w:r>
                    <w:rPr>
                      <w:rFonts w:hint="eastAsia"/>
                      <w:color w:val="auto"/>
                      <w:sz w:val="18"/>
                      <w:szCs w:val="18"/>
                      <w:lang w:val="en-US" w:eastAsia="zh-CN"/>
                    </w:rPr>
                    <w:t>巴观一、二线1次，</w:t>
                  </w:r>
                  <w:r>
                    <w:rPr>
                      <w:rFonts w:hint="eastAsia"/>
                      <w:color w:val="auto"/>
                      <w:sz w:val="18"/>
                      <w:szCs w:val="18"/>
                    </w:rPr>
                    <w:t>钻越点位于</w:t>
                  </w:r>
                  <w:r>
                    <w:rPr>
                      <w:rFonts w:hint="eastAsia"/>
                      <w:color w:val="auto"/>
                      <w:sz w:val="18"/>
                      <w:szCs w:val="18"/>
                      <w:lang w:val="en-US" w:eastAsia="zh-CN"/>
                    </w:rPr>
                    <w:t>128</w:t>
                  </w:r>
                  <w:r>
                    <w:rPr>
                      <w:rFonts w:hint="eastAsia"/>
                      <w:color w:val="auto"/>
                      <w:sz w:val="18"/>
                      <w:szCs w:val="18"/>
                    </w:rPr>
                    <w:t>~</w:t>
                  </w:r>
                  <w:r>
                    <w:rPr>
                      <w:rFonts w:hint="eastAsia"/>
                      <w:color w:val="auto"/>
                      <w:sz w:val="18"/>
                      <w:szCs w:val="18"/>
                      <w:lang w:val="en-US" w:eastAsia="zh-CN"/>
                    </w:rPr>
                    <w:t>129</w:t>
                  </w:r>
                  <w:r>
                    <w:rPr>
                      <w:rFonts w:hint="eastAsia"/>
                      <w:color w:val="auto"/>
                      <w:sz w:val="18"/>
                      <w:szCs w:val="18"/>
                    </w:rPr>
                    <w:t>#塔之间，钻越点处线高</w:t>
                  </w:r>
                  <w:r>
                    <w:rPr>
                      <w:rFonts w:hint="eastAsia"/>
                      <w:color w:val="auto"/>
                      <w:sz w:val="18"/>
                      <w:szCs w:val="18"/>
                      <w:lang w:val="en-US" w:eastAsia="zh-CN"/>
                    </w:rPr>
                    <w:t>28</w:t>
                  </w:r>
                  <w:r>
                    <w:rPr>
                      <w:rFonts w:hint="eastAsia"/>
                      <w:color w:val="auto"/>
                      <w:sz w:val="18"/>
                      <w:szCs w:val="18"/>
                    </w:rPr>
                    <w:t>m，</w:t>
                  </w:r>
                  <w:r>
                    <w:rPr>
                      <w:rFonts w:hint="eastAsia"/>
                      <w:color w:val="auto"/>
                      <w:sz w:val="18"/>
                      <w:szCs w:val="18"/>
                      <w:lang w:val="en-US" w:eastAsia="zh-CN"/>
                    </w:rPr>
                    <w:t>单回塔三角排列</w:t>
                  </w:r>
                  <w:r>
                    <w:rPr>
                      <w:rFonts w:hint="eastAsia"/>
                      <w:color w:val="auto"/>
                      <w:sz w:val="18"/>
                      <w:szCs w:val="18"/>
                    </w:rPr>
                    <w:t>架设</w:t>
                  </w:r>
                  <w:r>
                    <w:rPr>
                      <w:rFonts w:hint="eastAsia"/>
                      <w:color w:val="auto"/>
                      <w:sz w:val="18"/>
                      <w:szCs w:val="18"/>
                      <w:lang w:eastAsia="zh-CN"/>
                    </w:rPr>
                    <w:t>。</w:t>
                  </w:r>
                </w:p>
              </w:tc>
            </w:tr>
            <w:tr w14:paraId="0DAE8C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452" w:type="dxa"/>
                  <w:vAlign w:val="center"/>
                </w:tcPr>
                <w:p w14:paraId="076EF9AB">
                  <w:pPr>
                    <w:jc w:val="center"/>
                    <w:rPr>
                      <w:rFonts w:hint="eastAsia" w:eastAsia="宋体"/>
                      <w:color w:val="auto"/>
                      <w:sz w:val="18"/>
                      <w:szCs w:val="18"/>
                      <w:lang w:val="en-US" w:eastAsia="zh-CN"/>
                    </w:rPr>
                  </w:pPr>
                  <w:r>
                    <w:rPr>
                      <w:rFonts w:hint="eastAsia"/>
                      <w:color w:val="auto"/>
                      <w:sz w:val="18"/>
                      <w:szCs w:val="18"/>
                      <w:lang w:val="en-US" w:eastAsia="zh-CN"/>
                    </w:rPr>
                    <w:t>2</w:t>
                  </w:r>
                </w:p>
              </w:tc>
              <w:tc>
                <w:tcPr>
                  <w:tcW w:w="1899" w:type="dxa"/>
                  <w:vAlign w:val="center"/>
                </w:tcPr>
                <w:p w14:paraId="585F55B3">
                  <w:pPr>
                    <w:jc w:val="center"/>
                    <w:rPr>
                      <w:rFonts w:hint="eastAsia"/>
                      <w:color w:val="auto"/>
                      <w:sz w:val="18"/>
                      <w:szCs w:val="18"/>
                      <w:lang w:val="en-US" w:eastAsia="zh-CN"/>
                    </w:rPr>
                  </w:pPr>
                  <w:r>
                    <w:rPr>
                      <w:rFonts w:hint="eastAsia"/>
                      <w:color w:val="auto"/>
                      <w:sz w:val="18"/>
                      <w:szCs w:val="18"/>
                    </w:rPr>
                    <w:t>35kV线路</w:t>
                  </w:r>
                </w:p>
              </w:tc>
              <w:tc>
                <w:tcPr>
                  <w:tcW w:w="671" w:type="dxa"/>
                  <w:vAlign w:val="center"/>
                </w:tcPr>
                <w:p w14:paraId="077FB0E5">
                  <w:pPr>
                    <w:jc w:val="center"/>
                    <w:rPr>
                      <w:rFonts w:hint="default"/>
                      <w:color w:val="auto"/>
                      <w:sz w:val="18"/>
                      <w:szCs w:val="18"/>
                      <w:lang w:val="en-US" w:eastAsia="zh-CN"/>
                    </w:rPr>
                  </w:pPr>
                  <w:r>
                    <w:rPr>
                      <w:rFonts w:hint="eastAsia"/>
                      <w:color w:val="auto"/>
                      <w:sz w:val="18"/>
                      <w:szCs w:val="18"/>
                      <w:lang w:val="en-US" w:eastAsia="zh-CN"/>
                    </w:rPr>
                    <w:t>1</w:t>
                  </w:r>
                </w:p>
              </w:tc>
              <w:tc>
                <w:tcPr>
                  <w:tcW w:w="5649" w:type="dxa"/>
                  <w:vAlign w:val="center"/>
                </w:tcPr>
                <w:p w14:paraId="529582E1">
                  <w:pPr>
                    <w:jc w:val="center"/>
                    <w:rPr>
                      <w:rFonts w:hint="eastAsia"/>
                      <w:color w:val="auto"/>
                      <w:sz w:val="18"/>
                      <w:szCs w:val="18"/>
                      <w:lang w:val="en-US" w:eastAsia="zh-CN"/>
                    </w:rPr>
                  </w:pPr>
                  <w:r>
                    <w:rPr>
                      <w:rFonts w:hint="eastAsia"/>
                      <w:color w:val="auto"/>
                      <w:sz w:val="18"/>
                      <w:szCs w:val="18"/>
                    </w:rPr>
                    <w:t>/</w:t>
                  </w:r>
                </w:p>
              </w:tc>
            </w:tr>
            <w:tr w14:paraId="38E077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2" w:type="dxa"/>
                  <w:vAlign w:val="center"/>
                </w:tcPr>
                <w:p w14:paraId="2E8ABA99">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3</w:t>
                  </w:r>
                </w:p>
              </w:tc>
              <w:tc>
                <w:tcPr>
                  <w:tcW w:w="1899" w:type="dxa"/>
                  <w:vAlign w:val="center"/>
                </w:tcPr>
                <w:p w14:paraId="064A0087">
                  <w:pPr>
                    <w:jc w:val="center"/>
                    <w:rPr>
                      <w:rFonts w:hint="eastAsia"/>
                      <w:color w:val="auto"/>
                      <w:sz w:val="18"/>
                      <w:szCs w:val="18"/>
                    </w:rPr>
                  </w:pPr>
                  <w:r>
                    <w:rPr>
                      <w:rFonts w:hint="eastAsia"/>
                      <w:color w:val="auto"/>
                      <w:sz w:val="18"/>
                      <w:szCs w:val="18"/>
                    </w:rPr>
                    <w:t>10kV配电线路</w:t>
                  </w:r>
                </w:p>
              </w:tc>
              <w:tc>
                <w:tcPr>
                  <w:tcW w:w="671" w:type="dxa"/>
                  <w:vAlign w:val="center"/>
                </w:tcPr>
                <w:p w14:paraId="6A10D984">
                  <w:pPr>
                    <w:jc w:val="center"/>
                    <w:rPr>
                      <w:rFonts w:hint="default" w:eastAsia="宋体"/>
                      <w:color w:val="auto"/>
                      <w:sz w:val="18"/>
                      <w:szCs w:val="18"/>
                      <w:lang w:val="en-US" w:eastAsia="zh-CN"/>
                    </w:rPr>
                  </w:pPr>
                  <w:r>
                    <w:rPr>
                      <w:rFonts w:hint="eastAsia"/>
                      <w:color w:val="auto"/>
                      <w:sz w:val="18"/>
                      <w:szCs w:val="18"/>
                      <w:lang w:val="en-US" w:eastAsia="zh-CN"/>
                    </w:rPr>
                    <w:t>10</w:t>
                  </w:r>
                </w:p>
              </w:tc>
              <w:tc>
                <w:tcPr>
                  <w:tcW w:w="5649" w:type="dxa"/>
                  <w:vAlign w:val="center"/>
                </w:tcPr>
                <w:p w14:paraId="587A714C">
                  <w:pPr>
                    <w:jc w:val="center"/>
                    <w:rPr>
                      <w:rFonts w:hint="eastAsia"/>
                      <w:color w:val="auto"/>
                      <w:sz w:val="18"/>
                      <w:szCs w:val="18"/>
                    </w:rPr>
                  </w:pPr>
                  <w:r>
                    <w:rPr>
                      <w:rFonts w:hint="eastAsia"/>
                      <w:color w:val="auto"/>
                      <w:sz w:val="18"/>
                      <w:szCs w:val="18"/>
                    </w:rPr>
                    <w:t>/</w:t>
                  </w:r>
                </w:p>
              </w:tc>
            </w:tr>
            <w:tr w14:paraId="1B6183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2" w:type="dxa"/>
                  <w:vAlign w:val="center"/>
                </w:tcPr>
                <w:p w14:paraId="006CFA36">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4</w:t>
                  </w:r>
                </w:p>
              </w:tc>
              <w:tc>
                <w:tcPr>
                  <w:tcW w:w="1899" w:type="dxa"/>
                  <w:vAlign w:val="center"/>
                </w:tcPr>
                <w:p w14:paraId="2C979763">
                  <w:pPr>
                    <w:jc w:val="center"/>
                    <w:rPr>
                      <w:rFonts w:hint="eastAsia"/>
                      <w:color w:val="auto"/>
                      <w:sz w:val="18"/>
                      <w:szCs w:val="18"/>
                    </w:rPr>
                  </w:pPr>
                  <w:r>
                    <w:rPr>
                      <w:rFonts w:hint="eastAsia"/>
                      <w:color w:val="auto"/>
                      <w:sz w:val="18"/>
                      <w:szCs w:val="18"/>
                    </w:rPr>
                    <w:t>380V及以下低压线</w:t>
                  </w:r>
                </w:p>
              </w:tc>
              <w:tc>
                <w:tcPr>
                  <w:tcW w:w="671" w:type="dxa"/>
                  <w:vAlign w:val="center"/>
                </w:tcPr>
                <w:p w14:paraId="6FABBA80">
                  <w:pPr>
                    <w:jc w:val="center"/>
                    <w:rPr>
                      <w:rFonts w:hint="default" w:eastAsia="宋体"/>
                      <w:color w:val="auto"/>
                      <w:sz w:val="18"/>
                      <w:szCs w:val="18"/>
                      <w:lang w:val="en-US" w:eastAsia="zh-CN"/>
                    </w:rPr>
                  </w:pPr>
                  <w:r>
                    <w:rPr>
                      <w:rFonts w:hint="eastAsia"/>
                      <w:color w:val="auto"/>
                      <w:sz w:val="18"/>
                      <w:szCs w:val="18"/>
                      <w:lang w:val="en-US" w:eastAsia="zh-CN"/>
                    </w:rPr>
                    <w:t>30</w:t>
                  </w:r>
                </w:p>
              </w:tc>
              <w:tc>
                <w:tcPr>
                  <w:tcW w:w="5649" w:type="dxa"/>
                  <w:vAlign w:val="center"/>
                </w:tcPr>
                <w:p w14:paraId="653D3A65">
                  <w:pPr>
                    <w:jc w:val="center"/>
                    <w:rPr>
                      <w:rFonts w:hint="eastAsia"/>
                      <w:color w:val="auto"/>
                      <w:sz w:val="18"/>
                      <w:szCs w:val="18"/>
                    </w:rPr>
                  </w:pPr>
                  <w:r>
                    <w:rPr>
                      <w:rFonts w:hint="eastAsia"/>
                      <w:color w:val="auto"/>
                      <w:sz w:val="18"/>
                      <w:szCs w:val="18"/>
                    </w:rPr>
                    <w:t>/</w:t>
                  </w:r>
                </w:p>
              </w:tc>
            </w:tr>
            <w:tr w14:paraId="69A213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2" w:type="dxa"/>
                  <w:vAlign w:val="center"/>
                </w:tcPr>
                <w:p w14:paraId="61FE3CAB">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5</w:t>
                  </w:r>
                </w:p>
              </w:tc>
              <w:tc>
                <w:tcPr>
                  <w:tcW w:w="1899" w:type="dxa"/>
                  <w:vAlign w:val="center"/>
                </w:tcPr>
                <w:p w14:paraId="3AC5F7A8">
                  <w:pPr>
                    <w:jc w:val="center"/>
                    <w:rPr>
                      <w:rFonts w:hint="eastAsia"/>
                      <w:color w:val="auto"/>
                      <w:sz w:val="18"/>
                      <w:szCs w:val="18"/>
                    </w:rPr>
                  </w:pPr>
                  <w:r>
                    <w:rPr>
                      <w:rFonts w:hint="eastAsia"/>
                      <w:color w:val="auto"/>
                      <w:sz w:val="18"/>
                      <w:szCs w:val="18"/>
                    </w:rPr>
                    <w:t>通信线</w:t>
                  </w:r>
                </w:p>
              </w:tc>
              <w:tc>
                <w:tcPr>
                  <w:tcW w:w="671" w:type="dxa"/>
                  <w:vAlign w:val="center"/>
                </w:tcPr>
                <w:p w14:paraId="138D053E">
                  <w:pPr>
                    <w:jc w:val="center"/>
                    <w:rPr>
                      <w:rFonts w:hint="default" w:eastAsia="宋体"/>
                      <w:color w:val="auto"/>
                      <w:sz w:val="18"/>
                      <w:szCs w:val="18"/>
                      <w:lang w:val="en-US" w:eastAsia="zh-CN"/>
                    </w:rPr>
                  </w:pPr>
                  <w:r>
                    <w:rPr>
                      <w:rFonts w:hint="eastAsia"/>
                      <w:color w:val="auto"/>
                      <w:sz w:val="18"/>
                      <w:szCs w:val="18"/>
                      <w:lang w:val="en-US" w:eastAsia="zh-CN"/>
                    </w:rPr>
                    <w:t>40</w:t>
                  </w:r>
                </w:p>
              </w:tc>
              <w:tc>
                <w:tcPr>
                  <w:tcW w:w="5649" w:type="dxa"/>
                  <w:vAlign w:val="center"/>
                </w:tcPr>
                <w:p w14:paraId="5416FCD4">
                  <w:pPr>
                    <w:jc w:val="center"/>
                    <w:rPr>
                      <w:rFonts w:hint="eastAsia" w:eastAsia="宋体"/>
                      <w:color w:val="auto"/>
                      <w:sz w:val="18"/>
                      <w:szCs w:val="18"/>
                      <w:lang w:eastAsia="zh-CN"/>
                    </w:rPr>
                  </w:pPr>
                  <w:r>
                    <w:rPr>
                      <w:rFonts w:hint="eastAsia"/>
                      <w:color w:val="auto"/>
                      <w:sz w:val="18"/>
                      <w:szCs w:val="18"/>
                      <w:lang w:val="en-US" w:eastAsia="zh-CN"/>
                    </w:rPr>
                    <w:t>/</w:t>
                  </w:r>
                </w:p>
              </w:tc>
            </w:tr>
            <w:tr w14:paraId="5A7E32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452" w:type="dxa"/>
                  <w:vAlign w:val="center"/>
                </w:tcPr>
                <w:p w14:paraId="3F106D68">
                  <w:pPr>
                    <w:jc w:val="center"/>
                    <w:rPr>
                      <w:rFonts w:hint="default" w:cs="Times New Roman"/>
                      <w:color w:val="auto"/>
                      <w:kern w:val="2"/>
                      <w:sz w:val="18"/>
                      <w:szCs w:val="18"/>
                      <w:lang w:val="en-US" w:eastAsia="zh-CN" w:bidi="ar-SA"/>
                    </w:rPr>
                  </w:pPr>
                  <w:r>
                    <w:rPr>
                      <w:rFonts w:hint="eastAsia" w:cs="Times New Roman"/>
                      <w:color w:val="auto"/>
                      <w:kern w:val="2"/>
                      <w:sz w:val="18"/>
                      <w:szCs w:val="18"/>
                      <w:lang w:val="en-US" w:eastAsia="zh-CN" w:bidi="ar-SA"/>
                    </w:rPr>
                    <w:t>6</w:t>
                  </w:r>
                </w:p>
              </w:tc>
              <w:tc>
                <w:tcPr>
                  <w:tcW w:w="1899" w:type="dxa"/>
                  <w:vAlign w:val="center"/>
                </w:tcPr>
                <w:p w14:paraId="2B4F70F9">
                  <w:pPr>
                    <w:jc w:val="center"/>
                    <w:rPr>
                      <w:rFonts w:hint="default" w:eastAsia="宋体"/>
                      <w:color w:val="auto"/>
                      <w:sz w:val="18"/>
                      <w:szCs w:val="18"/>
                      <w:lang w:val="en-US" w:eastAsia="zh-CN"/>
                    </w:rPr>
                  </w:pPr>
                  <w:r>
                    <w:rPr>
                      <w:rFonts w:hint="eastAsia"/>
                      <w:color w:val="auto"/>
                      <w:sz w:val="18"/>
                      <w:szCs w:val="18"/>
                      <w:lang w:val="en-US" w:eastAsia="zh-CN"/>
                    </w:rPr>
                    <w:t>高速公路</w:t>
                  </w:r>
                </w:p>
              </w:tc>
              <w:tc>
                <w:tcPr>
                  <w:tcW w:w="671" w:type="dxa"/>
                  <w:vAlign w:val="center"/>
                </w:tcPr>
                <w:p w14:paraId="750725A6">
                  <w:pPr>
                    <w:jc w:val="center"/>
                    <w:rPr>
                      <w:rFonts w:hint="eastAsia"/>
                      <w:color w:val="auto"/>
                      <w:sz w:val="18"/>
                      <w:szCs w:val="18"/>
                    </w:rPr>
                  </w:pPr>
                  <w:r>
                    <w:rPr>
                      <w:rFonts w:hint="eastAsia"/>
                      <w:color w:val="auto"/>
                      <w:sz w:val="18"/>
                      <w:szCs w:val="18"/>
                    </w:rPr>
                    <w:t>1</w:t>
                  </w:r>
                </w:p>
              </w:tc>
              <w:tc>
                <w:tcPr>
                  <w:tcW w:w="5649" w:type="dxa"/>
                  <w:vAlign w:val="center"/>
                </w:tcPr>
                <w:p w14:paraId="454E57A5">
                  <w:pPr>
                    <w:jc w:val="center"/>
                    <w:rPr>
                      <w:rFonts w:hint="default" w:eastAsia="宋体"/>
                      <w:color w:val="auto"/>
                      <w:sz w:val="18"/>
                      <w:szCs w:val="18"/>
                      <w:lang w:val="en-US" w:eastAsia="zh-CN"/>
                    </w:rPr>
                  </w:pPr>
                  <w:r>
                    <w:rPr>
                      <w:rFonts w:hint="eastAsia"/>
                      <w:color w:val="auto"/>
                      <w:sz w:val="18"/>
                      <w:szCs w:val="18"/>
                      <w:lang w:val="en-US" w:eastAsia="zh-CN"/>
                    </w:rPr>
                    <w:t>跨越成巴高速公路（隧道出入口）</w:t>
                  </w:r>
                </w:p>
              </w:tc>
            </w:tr>
            <w:tr w14:paraId="6C1FDB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2" w:type="dxa"/>
                  <w:vAlign w:val="center"/>
                </w:tcPr>
                <w:p w14:paraId="6DB30551">
                  <w:pPr>
                    <w:jc w:val="center"/>
                    <w:rPr>
                      <w:rFonts w:hint="default" w:cs="Times New Roman"/>
                      <w:color w:val="auto"/>
                      <w:kern w:val="2"/>
                      <w:sz w:val="18"/>
                      <w:szCs w:val="18"/>
                      <w:lang w:val="en-US" w:eastAsia="zh-CN" w:bidi="ar-SA"/>
                    </w:rPr>
                  </w:pPr>
                  <w:r>
                    <w:rPr>
                      <w:rFonts w:hint="eastAsia" w:cs="Times New Roman"/>
                      <w:color w:val="auto"/>
                      <w:kern w:val="2"/>
                      <w:sz w:val="18"/>
                      <w:szCs w:val="18"/>
                      <w:lang w:val="en-US" w:eastAsia="zh-CN" w:bidi="ar-SA"/>
                    </w:rPr>
                    <w:t>7</w:t>
                  </w:r>
                </w:p>
              </w:tc>
              <w:tc>
                <w:tcPr>
                  <w:tcW w:w="1899" w:type="dxa"/>
                  <w:vAlign w:val="center"/>
                </w:tcPr>
                <w:p w14:paraId="4C143F1F">
                  <w:pPr>
                    <w:jc w:val="center"/>
                    <w:rPr>
                      <w:rFonts w:hint="default"/>
                      <w:color w:val="auto"/>
                      <w:sz w:val="18"/>
                      <w:szCs w:val="18"/>
                      <w:lang w:val="en-US"/>
                    </w:rPr>
                  </w:pPr>
                  <w:r>
                    <w:rPr>
                      <w:rFonts w:hint="eastAsia"/>
                      <w:color w:val="auto"/>
                      <w:sz w:val="18"/>
                      <w:szCs w:val="18"/>
                      <w:lang w:val="en-US" w:eastAsia="zh-CN"/>
                    </w:rPr>
                    <w:t>省道、国道</w:t>
                  </w:r>
                </w:p>
              </w:tc>
              <w:tc>
                <w:tcPr>
                  <w:tcW w:w="671" w:type="dxa"/>
                  <w:vAlign w:val="center"/>
                </w:tcPr>
                <w:p w14:paraId="4A80B61C">
                  <w:pPr>
                    <w:jc w:val="center"/>
                    <w:rPr>
                      <w:rFonts w:hint="eastAsia"/>
                      <w:color w:val="auto"/>
                      <w:sz w:val="18"/>
                      <w:szCs w:val="18"/>
                    </w:rPr>
                  </w:pPr>
                  <w:r>
                    <w:rPr>
                      <w:rFonts w:hint="eastAsia"/>
                      <w:color w:val="auto"/>
                      <w:sz w:val="18"/>
                      <w:szCs w:val="18"/>
                      <w:lang w:val="en-US" w:eastAsia="zh-CN"/>
                    </w:rPr>
                    <w:t>2</w:t>
                  </w:r>
                </w:p>
              </w:tc>
              <w:tc>
                <w:tcPr>
                  <w:tcW w:w="5649" w:type="dxa"/>
                  <w:vAlign w:val="center"/>
                </w:tcPr>
                <w:p w14:paraId="2D34BF3C">
                  <w:pPr>
                    <w:jc w:val="center"/>
                    <w:rPr>
                      <w:rFonts w:hint="default" w:eastAsia="宋体"/>
                      <w:color w:val="auto"/>
                      <w:sz w:val="18"/>
                      <w:szCs w:val="18"/>
                      <w:lang w:val="en-US" w:eastAsia="zh-CN"/>
                    </w:rPr>
                  </w:pPr>
                  <w:r>
                    <w:rPr>
                      <w:rFonts w:hint="eastAsia"/>
                      <w:color w:val="auto"/>
                      <w:sz w:val="18"/>
                      <w:szCs w:val="18"/>
                      <w:lang w:val="en-US" w:eastAsia="zh-CN"/>
                    </w:rPr>
                    <w:t>S302省道、G244国道</w:t>
                  </w:r>
                </w:p>
              </w:tc>
            </w:tr>
            <w:tr w14:paraId="0EBD55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2" w:type="dxa"/>
                  <w:vAlign w:val="center"/>
                </w:tcPr>
                <w:p w14:paraId="146F4809">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8</w:t>
                  </w:r>
                </w:p>
              </w:tc>
              <w:tc>
                <w:tcPr>
                  <w:tcW w:w="1899" w:type="dxa"/>
                  <w:vAlign w:val="center"/>
                </w:tcPr>
                <w:p w14:paraId="36BCFC50">
                  <w:pPr>
                    <w:jc w:val="center"/>
                    <w:rPr>
                      <w:rFonts w:hint="eastAsia"/>
                      <w:color w:val="auto"/>
                      <w:sz w:val="18"/>
                      <w:szCs w:val="18"/>
                    </w:rPr>
                  </w:pPr>
                  <w:r>
                    <w:rPr>
                      <w:rFonts w:hint="eastAsia"/>
                      <w:color w:val="auto"/>
                      <w:sz w:val="18"/>
                      <w:szCs w:val="18"/>
                    </w:rPr>
                    <w:t>乡村道路及普通公路</w:t>
                  </w:r>
                </w:p>
              </w:tc>
              <w:tc>
                <w:tcPr>
                  <w:tcW w:w="671" w:type="dxa"/>
                  <w:vAlign w:val="center"/>
                </w:tcPr>
                <w:p w14:paraId="158163D5">
                  <w:pPr>
                    <w:jc w:val="center"/>
                    <w:rPr>
                      <w:rFonts w:hint="default" w:eastAsia="宋体"/>
                      <w:color w:val="auto"/>
                      <w:sz w:val="18"/>
                      <w:szCs w:val="18"/>
                      <w:lang w:val="en-US" w:eastAsia="zh-CN"/>
                    </w:rPr>
                  </w:pPr>
                  <w:r>
                    <w:rPr>
                      <w:rFonts w:hint="eastAsia"/>
                      <w:color w:val="auto"/>
                      <w:sz w:val="18"/>
                      <w:szCs w:val="18"/>
                      <w:lang w:val="en-US" w:eastAsia="zh-CN"/>
                    </w:rPr>
                    <w:t>30</w:t>
                  </w:r>
                </w:p>
              </w:tc>
              <w:tc>
                <w:tcPr>
                  <w:tcW w:w="5649" w:type="dxa"/>
                  <w:vAlign w:val="center"/>
                </w:tcPr>
                <w:p w14:paraId="72B5A5B3">
                  <w:pPr>
                    <w:jc w:val="center"/>
                    <w:rPr>
                      <w:rFonts w:hint="default"/>
                      <w:color w:val="auto"/>
                      <w:sz w:val="18"/>
                      <w:szCs w:val="18"/>
                      <w:lang w:val="en-US"/>
                    </w:rPr>
                  </w:pPr>
                  <w:r>
                    <w:rPr>
                      <w:rFonts w:hint="eastAsia"/>
                      <w:color w:val="auto"/>
                      <w:sz w:val="18"/>
                      <w:szCs w:val="18"/>
                      <w:lang w:val="en-US" w:eastAsia="zh-CN"/>
                    </w:rPr>
                    <w:t>/</w:t>
                  </w:r>
                </w:p>
              </w:tc>
            </w:tr>
            <w:tr w14:paraId="33F3B9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2" w:type="dxa"/>
                  <w:vAlign w:val="center"/>
                </w:tcPr>
                <w:p w14:paraId="11F86DFC">
                  <w:pPr>
                    <w:jc w:val="center"/>
                    <w:rPr>
                      <w:rFonts w:hint="default" w:cs="Times New Roman"/>
                      <w:color w:val="auto"/>
                      <w:kern w:val="2"/>
                      <w:sz w:val="18"/>
                      <w:szCs w:val="18"/>
                      <w:lang w:val="en-US" w:eastAsia="zh-CN" w:bidi="ar-SA"/>
                    </w:rPr>
                  </w:pPr>
                  <w:r>
                    <w:rPr>
                      <w:rFonts w:hint="eastAsia" w:cs="Times New Roman"/>
                      <w:color w:val="auto"/>
                      <w:kern w:val="2"/>
                      <w:sz w:val="18"/>
                      <w:szCs w:val="18"/>
                      <w:lang w:val="en-US" w:eastAsia="zh-CN" w:bidi="ar-SA"/>
                    </w:rPr>
                    <w:t>9</w:t>
                  </w:r>
                </w:p>
              </w:tc>
              <w:tc>
                <w:tcPr>
                  <w:tcW w:w="1899" w:type="dxa"/>
                  <w:vAlign w:val="center"/>
                </w:tcPr>
                <w:p w14:paraId="4730F299">
                  <w:pPr>
                    <w:jc w:val="center"/>
                    <w:rPr>
                      <w:rFonts w:hint="eastAsia" w:eastAsia="宋体"/>
                      <w:color w:val="auto"/>
                      <w:sz w:val="18"/>
                      <w:szCs w:val="18"/>
                      <w:lang w:val="en-US" w:eastAsia="zh-CN"/>
                    </w:rPr>
                  </w:pPr>
                  <w:r>
                    <w:rPr>
                      <w:rFonts w:hint="eastAsia"/>
                      <w:color w:val="auto"/>
                      <w:sz w:val="18"/>
                      <w:szCs w:val="18"/>
                      <w:lang w:val="en-US" w:eastAsia="zh-CN"/>
                    </w:rPr>
                    <w:t>建筑物</w:t>
                  </w:r>
                </w:p>
              </w:tc>
              <w:tc>
                <w:tcPr>
                  <w:tcW w:w="671" w:type="dxa"/>
                  <w:vAlign w:val="center"/>
                </w:tcPr>
                <w:p w14:paraId="7CEB8EB6">
                  <w:pPr>
                    <w:jc w:val="center"/>
                    <w:rPr>
                      <w:rFonts w:hint="default"/>
                      <w:color w:val="auto"/>
                      <w:sz w:val="18"/>
                      <w:szCs w:val="18"/>
                      <w:lang w:val="en-US" w:eastAsia="zh-CN"/>
                    </w:rPr>
                  </w:pPr>
                  <w:r>
                    <w:rPr>
                      <w:rFonts w:hint="eastAsia"/>
                      <w:color w:val="auto"/>
                      <w:sz w:val="18"/>
                      <w:szCs w:val="18"/>
                      <w:lang w:val="en-US" w:eastAsia="zh-CN"/>
                    </w:rPr>
                    <w:t>3</w:t>
                  </w:r>
                </w:p>
              </w:tc>
              <w:tc>
                <w:tcPr>
                  <w:tcW w:w="5649" w:type="dxa"/>
                  <w:vAlign w:val="center"/>
                </w:tcPr>
                <w:p w14:paraId="547CF3B2">
                  <w:pPr>
                    <w:keepNext w:val="0"/>
                    <w:keepLines w:val="0"/>
                    <w:widowControl/>
                    <w:suppressLineNumbers w:val="0"/>
                    <w:jc w:val="center"/>
                  </w:pPr>
                  <w:r>
                    <w:rPr>
                      <w:rFonts w:hint="eastAsia" w:ascii="宋体" w:hAnsi="宋体" w:eastAsia="宋体" w:cs="宋体"/>
                      <w:color w:val="000000"/>
                      <w:kern w:val="0"/>
                      <w:sz w:val="18"/>
                      <w:szCs w:val="18"/>
                      <w:lang w:val="en-US" w:eastAsia="zh-CN" w:bidi="ar"/>
                    </w:rPr>
                    <w:t>线路</w:t>
                  </w:r>
                  <w:r>
                    <w:rPr>
                      <w:rFonts w:hint="default" w:ascii="Times New Roman" w:hAnsi="Times New Roman" w:eastAsia="宋体" w:cs="Times New Roman"/>
                      <w:color w:val="000000"/>
                      <w:kern w:val="0"/>
                      <w:sz w:val="18"/>
                      <w:szCs w:val="18"/>
                      <w:lang w:val="en-US" w:eastAsia="zh-CN" w:bidi="ar"/>
                    </w:rPr>
                    <w:t>Ⅰ</w:t>
                  </w:r>
                  <w:r>
                    <w:rPr>
                      <w:rFonts w:hint="eastAsia" w:ascii="宋体" w:hAnsi="宋体" w:cs="宋体"/>
                      <w:color w:val="000000"/>
                      <w:kern w:val="0"/>
                      <w:sz w:val="18"/>
                      <w:szCs w:val="18"/>
                      <w:lang w:val="en-US" w:eastAsia="zh-CN" w:bidi="ar"/>
                    </w:rPr>
                    <w:t>利旧段</w:t>
                  </w:r>
                  <w:r>
                    <w:rPr>
                      <w:rFonts w:hint="eastAsia" w:ascii="宋体" w:hAnsi="宋体" w:eastAsia="宋体" w:cs="宋体"/>
                      <w:color w:val="000000"/>
                      <w:kern w:val="0"/>
                      <w:sz w:val="18"/>
                      <w:szCs w:val="18"/>
                      <w:lang w:val="en-US" w:eastAsia="zh-CN" w:bidi="ar"/>
                    </w:rPr>
                    <w:t>拟跨越巴州区回风街道</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住宅处（</w:t>
                  </w:r>
                  <w:r>
                    <w:rPr>
                      <w:rFonts w:hint="default" w:ascii="Times New Roman" w:hAnsi="Times New Roman" w:eastAsia="宋体" w:cs="Times New Roman"/>
                      <w:color w:val="000000"/>
                      <w:kern w:val="0"/>
                      <w:sz w:val="18"/>
                      <w:szCs w:val="18"/>
                      <w:lang w:val="en-US" w:eastAsia="zh-CN" w:bidi="ar"/>
                    </w:rPr>
                    <w:t>1</w:t>
                  </w:r>
                  <w:r>
                    <w:rPr>
                      <w:rFonts w:hint="eastAsia" w:ascii="Times New Roman" w:hAnsi="Times New Roman" w:eastAsia="宋体" w:cs="Times New Roman"/>
                      <w:color w:val="000000"/>
                      <w:kern w:val="0"/>
                      <w:sz w:val="18"/>
                      <w:szCs w:val="18"/>
                      <w:lang w:val="en-US" w:eastAsia="zh-CN" w:bidi="ar"/>
                    </w:rPr>
                    <w:t>2</w:t>
                  </w:r>
                  <w:r>
                    <w:rPr>
                      <w:rFonts w:hint="default" w:ascii="Times New Roman" w:hAnsi="Times New Roman" w:eastAsia="宋体" w:cs="Times New Roman"/>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敏感目标），住宅高度为</w:t>
                  </w:r>
                  <w:r>
                    <w:rPr>
                      <w:rFonts w:hint="default" w:ascii="Times New Roman" w:hAnsi="Times New Roman" w:eastAsia="宋体" w:cs="Times New Roman"/>
                      <w:color w:val="000000"/>
                      <w:kern w:val="0"/>
                      <w:sz w:val="18"/>
                      <w:szCs w:val="18"/>
                      <w:lang w:val="en-US" w:eastAsia="zh-CN" w:bidi="ar"/>
                    </w:rPr>
                    <w:t>3m</w:t>
                  </w:r>
                  <w:r>
                    <w:rPr>
                      <w:rFonts w:hint="eastAsia" w:ascii="宋体" w:hAnsi="宋体" w:eastAsia="宋体" w:cs="宋体"/>
                      <w:color w:val="000000"/>
                      <w:kern w:val="0"/>
                      <w:sz w:val="18"/>
                      <w:szCs w:val="18"/>
                      <w:lang w:val="en-US" w:eastAsia="zh-CN" w:bidi="ar"/>
                    </w:rPr>
                    <w:t>，跨越处</w:t>
                  </w:r>
                  <w:r>
                    <w:rPr>
                      <w:rFonts w:hint="eastAsia" w:ascii="宋体" w:hAnsi="宋体" w:cs="宋体"/>
                      <w:color w:val="000000"/>
                      <w:kern w:val="0"/>
                      <w:sz w:val="18"/>
                      <w:szCs w:val="18"/>
                      <w:lang w:val="en-US" w:eastAsia="zh-CN" w:bidi="ar"/>
                    </w:rPr>
                    <w:t>导线设计架设高度</w:t>
                  </w:r>
                  <w:r>
                    <w:rPr>
                      <w:rFonts w:hint="eastAsia" w:ascii="宋体" w:hAnsi="宋体" w:eastAsia="宋体" w:cs="宋体"/>
                      <w:color w:val="000000"/>
                      <w:kern w:val="0"/>
                      <w:sz w:val="18"/>
                      <w:szCs w:val="18"/>
                      <w:lang w:val="en-US" w:eastAsia="zh-CN" w:bidi="ar"/>
                    </w:rPr>
                    <w:t>为</w:t>
                  </w:r>
                  <w:r>
                    <w:rPr>
                      <w:rFonts w:hint="eastAsia" w:cs="Times New Roman"/>
                      <w:color w:val="000000"/>
                      <w:kern w:val="0"/>
                      <w:sz w:val="18"/>
                      <w:szCs w:val="18"/>
                      <w:highlight w:val="none"/>
                      <w:lang w:val="en-US" w:eastAsia="zh-CN" w:bidi="ar"/>
                    </w:rPr>
                    <w:t>75</w:t>
                  </w:r>
                  <w:r>
                    <w:rPr>
                      <w:rFonts w:hint="default" w:ascii="Times New Roman" w:hAnsi="Times New Roman" w:eastAsia="宋体" w:cs="Times New Roman"/>
                      <w:color w:val="000000"/>
                      <w:kern w:val="0"/>
                      <w:sz w:val="18"/>
                      <w:szCs w:val="18"/>
                      <w:highlight w:val="none"/>
                      <w:lang w:val="en-US" w:eastAsia="zh-CN" w:bidi="ar"/>
                    </w:rPr>
                    <w:t>m</w:t>
                  </w:r>
                  <w:r>
                    <w:rPr>
                      <w:rFonts w:hint="eastAsia" w:ascii="宋体" w:hAnsi="宋体" w:eastAsia="宋体" w:cs="宋体"/>
                      <w:color w:val="000000"/>
                      <w:kern w:val="0"/>
                      <w:sz w:val="18"/>
                      <w:szCs w:val="18"/>
                      <w:highlight w:val="none"/>
                      <w:lang w:val="en-US" w:eastAsia="zh-CN" w:bidi="ar"/>
                    </w:rPr>
                    <w:t>。</w:t>
                  </w:r>
                </w:p>
                <w:p w14:paraId="3F76280C">
                  <w:pPr>
                    <w:keepNext w:val="0"/>
                    <w:keepLines w:val="0"/>
                    <w:widowControl/>
                    <w:suppressLineNumbers w:val="0"/>
                    <w:jc w:val="center"/>
                  </w:pPr>
                  <w:r>
                    <w:rPr>
                      <w:rFonts w:hint="eastAsia" w:ascii="宋体" w:hAnsi="宋体" w:eastAsia="宋体" w:cs="宋体"/>
                      <w:color w:val="000000"/>
                      <w:kern w:val="0"/>
                      <w:sz w:val="18"/>
                      <w:szCs w:val="18"/>
                      <w:lang w:val="en-US" w:eastAsia="zh-CN" w:bidi="ar"/>
                    </w:rPr>
                    <w:t>线路</w:t>
                  </w:r>
                  <w:r>
                    <w:rPr>
                      <w:rFonts w:hint="default" w:ascii="Times New Roman" w:hAnsi="Times New Roman" w:eastAsia="宋体" w:cs="Times New Roman"/>
                      <w:color w:val="000000"/>
                      <w:kern w:val="0"/>
                      <w:sz w:val="18"/>
                      <w:szCs w:val="18"/>
                      <w:lang w:val="en-US" w:eastAsia="zh-CN" w:bidi="ar"/>
                    </w:rPr>
                    <w:t>Ⅰ</w:t>
                  </w:r>
                  <w:r>
                    <w:rPr>
                      <w:rFonts w:hint="eastAsia" w:ascii="宋体" w:hAnsi="宋体" w:cs="宋体"/>
                      <w:color w:val="000000"/>
                      <w:kern w:val="0"/>
                      <w:sz w:val="18"/>
                      <w:szCs w:val="18"/>
                      <w:lang w:val="en-US" w:eastAsia="zh-CN" w:bidi="ar"/>
                    </w:rPr>
                    <w:t>利旧段</w:t>
                  </w:r>
                  <w:r>
                    <w:rPr>
                      <w:rFonts w:hint="eastAsia" w:ascii="宋体" w:hAnsi="宋体" w:eastAsia="宋体" w:cs="宋体"/>
                      <w:color w:val="000000"/>
                      <w:kern w:val="0"/>
                      <w:sz w:val="18"/>
                      <w:szCs w:val="18"/>
                      <w:lang w:val="en-US" w:eastAsia="zh-CN" w:bidi="ar"/>
                    </w:rPr>
                    <w:t>拟跨越巴州区回风街道</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住宅处（</w:t>
                  </w:r>
                  <w:r>
                    <w:rPr>
                      <w:rFonts w:hint="eastAsia" w:ascii="Times New Roman" w:hAnsi="Times New Roman" w:eastAsia="宋体" w:cs="Times New Roman"/>
                      <w:color w:val="000000"/>
                      <w:kern w:val="0"/>
                      <w:sz w:val="18"/>
                      <w:szCs w:val="18"/>
                      <w:lang w:val="en-US" w:eastAsia="zh-CN" w:bidi="ar"/>
                    </w:rPr>
                    <w:t>13</w:t>
                  </w:r>
                  <w:r>
                    <w:rPr>
                      <w:rFonts w:hint="default" w:ascii="Times New Roman" w:hAnsi="Times New Roman" w:eastAsia="宋体" w:cs="Times New Roman"/>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敏感目标），住宅高度为</w:t>
                  </w:r>
                  <w:r>
                    <w:rPr>
                      <w:rFonts w:hint="default" w:ascii="Times New Roman" w:hAnsi="Times New Roman" w:eastAsia="宋体" w:cs="Times New Roman"/>
                      <w:color w:val="000000"/>
                      <w:kern w:val="0"/>
                      <w:sz w:val="18"/>
                      <w:szCs w:val="18"/>
                      <w:lang w:val="en-US" w:eastAsia="zh-CN" w:bidi="ar"/>
                    </w:rPr>
                    <w:t>3m</w:t>
                  </w:r>
                  <w:r>
                    <w:rPr>
                      <w:rFonts w:hint="eastAsia" w:ascii="宋体" w:hAnsi="宋体" w:eastAsia="宋体" w:cs="宋体"/>
                      <w:color w:val="000000"/>
                      <w:kern w:val="0"/>
                      <w:sz w:val="18"/>
                      <w:szCs w:val="18"/>
                      <w:lang w:val="en-US" w:eastAsia="zh-CN" w:bidi="ar"/>
                    </w:rPr>
                    <w:t>，跨越处</w:t>
                  </w:r>
                  <w:r>
                    <w:rPr>
                      <w:rFonts w:hint="eastAsia" w:ascii="宋体" w:hAnsi="宋体" w:cs="宋体"/>
                      <w:color w:val="000000"/>
                      <w:kern w:val="0"/>
                      <w:sz w:val="18"/>
                      <w:szCs w:val="18"/>
                      <w:lang w:val="en-US" w:eastAsia="zh-CN" w:bidi="ar"/>
                    </w:rPr>
                    <w:t>导线设计架设高度</w:t>
                  </w:r>
                  <w:r>
                    <w:rPr>
                      <w:rFonts w:hint="eastAsia" w:ascii="宋体" w:hAnsi="宋体" w:eastAsia="宋体" w:cs="宋体"/>
                      <w:color w:val="000000"/>
                      <w:kern w:val="0"/>
                      <w:sz w:val="18"/>
                      <w:szCs w:val="18"/>
                      <w:highlight w:val="none"/>
                      <w:lang w:val="en-US" w:eastAsia="zh-CN" w:bidi="ar"/>
                    </w:rPr>
                    <w:t>为</w:t>
                  </w:r>
                  <w:r>
                    <w:rPr>
                      <w:rFonts w:hint="eastAsia" w:cs="Times New Roman"/>
                      <w:color w:val="000000"/>
                      <w:kern w:val="0"/>
                      <w:sz w:val="18"/>
                      <w:szCs w:val="18"/>
                      <w:highlight w:val="none"/>
                      <w:lang w:val="en-US" w:eastAsia="zh-CN" w:bidi="ar"/>
                    </w:rPr>
                    <w:t>62</w:t>
                  </w:r>
                  <w:r>
                    <w:rPr>
                      <w:rFonts w:hint="default" w:ascii="Times New Roman" w:hAnsi="Times New Roman" w:eastAsia="宋体" w:cs="Times New Roman"/>
                      <w:color w:val="000000"/>
                      <w:kern w:val="0"/>
                      <w:sz w:val="18"/>
                      <w:szCs w:val="18"/>
                      <w:highlight w:val="none"/>
                      <w:lang w:val="en-US" w:eastAsia="zh-CN" w:bidi="ar"/>
                    </w:rPr>
                    <w:t>m</w:t>
                  </w:r>
                  <w:r>
                    <w:rPr>
                      <w:rFonts w:hint="eastAsia" w:ascii="宋体" w:hAnsi="宋体" w:eastAsia="宋体" w:cs="宋体"/>
                      <w:color w:val="000000"/>
                      <w:kern w:val="0"/>
                      <w:sz w:val="18"/>
                      <w:szCs w:val="18"/>
                      <w:lang w:val="en-US" w:eastAsia="zh-CN" w:bidi="ar"/>
                    </w:rPr>
                    <w:t>。</w:t>
                  </w:r>
                </w:p>
                <w:p w14:paraId="66029EDE">
                  <w:pPr>
                    <w:keepNext w:val="0"/>
                    <w:keepLines w:val="0"/>
                    <w:widowControl/>
                    <w:suppressLineNumbers w:val="0"/>
                    <w:jc w:val="left"/>
                    <w:rPr>
                      <w:rFonts w:hint="eastAsia"/>
                      <w:color w:val="auto"/>
                      <w:sz w:val="18"/>
                      <w:szCs w:val="18"/>
                      <w:lang w:val="en-US" w:eastAsia="zh-CN"/>
                    </w:rPr>
                  </w:pPr>
                  <w:r>
                    <w:rPr>
                      <w:rFonts w:hint="eastAsia" w:ascii="宋体" w:hAnsi="宋体" w:eastAsia="宋体" w:cs="宋体"/>
                      <w:color w:val="000000"/>
                      <w:kern w:val="0"/>
                      <w:sz w:val="18"/>
                      <w:szCs w:val="18"/>
                      <w:lang w:val="en-US" w:eastAsia="zh-CN" w:bidi="ar"/>
                    </w:rPr>
                    <w:t>线路</w:t>
                  </w:r>
                  <w:r>
                    <w:rPr>
                      <w:rFonts w:hint="default" w:ascii="Times New Roman" w:hAnsi="Times New Roman" w:eastAsia="宋体" w:cs="Times New Roman"/>
                      <w:color w:val="000000"/>
                      <w:kern w:val="0"/>
                      <w:sz w:val="18"/>
                      <w:szCs w:val="18"/>
                      <w:lang w:val="en-US" w:eastAsia="zh-CN" w:bidi="ar"/>
                    </w:rPr>
                    <w:t>Ⅰ</w:t>
                  </w:r>
                  <w:r>
                    <w:rPr>
                      <w:rFonts w:hint="eastAsia" w:ascii="宋体" w:hAnsi="宋体" w:cs="宋体"/>
                      <w:color w:val="000000"/>
                      <w:kern w:val="0"/>
                      <w:sz w:val="18"/>
                      <w:szCs w:val="18"/>
                      <w:lang w:val="en-US" w:eastAsia="zh-CN" w:bidi="ar"/>
                    </w:rPr>
                    <w:t>利旧段</w:t>
                  </w:r>
                  <w:r>
                    <w:rPr>
                      <w:rFonts w:hint="eastAsia" w:ascii="宋体" w:hAnsi="宋体" w:eastAsia="宋体" w:cs="宋体"/>
                      <w:color w:val="000000"/>
                      <w:kern w:val="0"/>
                      <w:sz w:val="18"/>
                      <w:szCs w:val="18"/>
                      <w:lang w:val="en-US" w:eastAsia="zh-CN" w:bidi="ar"/>
                    </w:rPr>
                    <w:t>拟跨越</w:t>
                  </w:r>
                  <w:r>
                    <w:rPr>
                      <w:rFonts w:hint="eastAsia"/>
                      <w:color w:val="000000"/>
                      <w:sz w:val="18"/>
                      <w:szCs w:val="18"/>
                      <w:lang w:val="en-US" w:eastAsia="zh-CN"/>
                    </w:rPr>
                    <w:t>巴州区平梁镇***住宅处</w:t>
                  </w:r>
                  <w:r>
                    <w:rPr>
                      <w:rFonts w:hint="eastAsia" w:ascii="宋体" w:hAnsi="宋体" w:eastAsia="宋体" w:cs="宋体"/>
                      <w:color w:val="000000"/>
                      <w:kern w:val="0"/>
                      <w:sz w:val="18"/>
                      <w:szCs w:val="18"/>
                      <w:lang w:val="en-US" w:eastAsia="zh-CN" w:bidi="ar"/>
                    </w:rPr>
                    <w:t>（</w:t>
                  </w:r>
                  <w:r>
                    <w:rPr>
                      <w:rFonts w:hint="eastAsia" w:ascii="Times New Roman" w:hAnsi="Times New Roman" w:eastAsia="宋体" w:cs="Times New Roman"/>
                      <w:color w:val="000000"/>
                      <w:kern w:val="0"/>
                      <w:sz w:val="18"/>
                      <w:szCs w:val="18"/>
                      <w:lang w:val="en-US" w:eastAsia="zh-CN" w:bidi="ar"/>
                    </w:rPr>
                    <w:t>15</w:t>
                  </w:r>
                  <w:r>
                    <w:rPr>
                      <w:rFonts w:hint="default" w:ascii="Times New Roman" w:hAnsi="Times New Roman" w:eastAsia="宋体" w:cs="Times New Roman"/>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敏感目标），住宅高度为</w:t>
                  </w:r>
                  <w:r>
                    <w:rPr>
                      <w:rFonts w:hint="default" w:ascii="Times New Roman" w:hAnsi="Times New Roman" w:eastAsia="宋体" w:cs="Times New Roman"/>
                      <w:color w:val="000000"/>
                      <w:kern w:val="0"/>
                      <w:sz w:val="18"/>
                      <w:szCs w:val="18"/>
                      <w:lang w:val="en-US" w:eastAsia="zh-CN" w:bidi="ar"/>
                    </w:rPr>
                    <w:t>3m</w:t>
                  </w:r>
                  <w:r>
                    <w:rPr>
                      <w:rFonts w:hint="eastAsia" w:ascii="宋体" w:hAnsi="宋体" w:eastAsia="宋体" w:cs="宋体"/>
                      <w:color w:val="000000"/>
                      <w:kern w:val="0"/>
                      <w:sz w:val="18"/>
                      <w:szCs w:val="18"/>
                      <w:lang w:val="en-US" w:eastAsia="zh-CN" w:bidi="ar"/>
                    </w:rPr>
                    <w:t>，跨越处</w:t>
                  </w:r>
                  <w:r>
                    <w:rPr>
                      <w:rFonts w:hint="eastAsia" w:ascii="宋体" w:hAnsi="宋体" w:cs="宋体"/>
                      <w:color w:val="000000"/>
                      <w:kern w:val="0"/>
                      <w:sz w:val="18"/>
                      <w:szCs w:val="18"/>
                      <w:lang w:val="en-US" w:eastAsia="zh-CN" w:bidi="ar"/>
                    </w:rPr>
                    <w:t>导线设计架设高度</w:t>
                  </w:r>
                  <w:r>
                    <w:rPr>
                      <w:rFonts w:hint="eastAsia" w:ascii="宋体" w:hAnsi="宋体" w:eastAsia="宋体" w:cs="宋体"/>
                      <w:color w:val="000000"/>
                      <w:kern w:val="0"/>
                      <w:sz w:val="18"/>
                      <w:szCs w:val="18"/>
                      <w:highlight w:val="none"/>
                      <w:lang w:val="en-US" w:eastAsia="zh-CN" w:bidi="ar"/>
                    </w:rPr>
                    <w:t>为</w:t>
                  </w:r>
                  <w:r>
                    <w:rPr>
                      <w:rFonts w:hint="eastAsia" w:cs="Times New Roman"/>
                      <w:color w:val="000000"/>
                      <w:kern w:val="0"/>
                      <w:sz w:val="18"/>
                      <w:szCs w:val="18"/>
                      <w:highlight w:val="none"/>
                      <w:lang w:val="en-US" w:eastAsia="zh-CN" w:bidi="ar"/>
                    </w:rPr>
                    <w:t>23</w:t>
                  </w:r>
                  <w:r>
                    <w:rPr>
                      <w:rFonts w:hint="default" w:ascii="Times New Roman" w:hAnsi="Times New Roman" w:eastAsia="宋体" w:cs="Times New Roman"/>
                      <w:color w:val="000000"/>
                      <w:kern w:val="0"/>
                      <w:sz w:val="18"/>
                      <w:szCs w:val="18"/>
                      <w:highlight w:val="none"/>
                      <w:lang w:val="en-US" w:eastAsia="zh-CN" w:bidi="ar"/>
                    </w:rPr>
                    <w:t>m</w:t>
                  </w:r>
                </w:p>
              </w:tc>
            </w:tr>
          </w:tbl>
          <w:p w14:paraId="57DFCAC5">
            <w:pPr>
              <w:keepNext w:val="0"/>
              <w:keepLines w:val="0"/>
              <w:pageBreakBefore w:val="0"/>
              <w:widowControl w:val="0"/>
              <w:tabs>
                <w:tab w:val="left" w:pos="3240"/>
              </w:tabs>
              <w:kinsoku/>
              <w:wordWrap/>
              <w:overflowPunct/>
              <w:topLinePunct w:val="0"/>
              <w:autoSpaceDE/>
              <w:autoSpaceDN/>
              <w:bidi w:val="0"/>
              <w:adjustRightInd/>
              <w:snapToGrid/>
              <w:jc w:val="center"/>
              <w:textAlignment w:val="auto"/>
              <w:rPr>
                <w:rFonts w:eastAsia="黑体"/>
                <w:color w:val="auto"/>
                <w:szCs w:val="21"/>
              </w:rPr>
            </w:pPr>
            <w:r>
              <w:rPr>
                <w:rFonts w:eastAsia="黑体"/>
                <w:color w:val="auto"/>
                <w:szCs w:val="21"/>
              </w:rPr>
              <w:t>表2-</w:t>
            </w:r>
            <w:r>
              <w:rPr>
                <w:rFonts w:hint="eastAsia" w:eastAsia="黑体"/>
                <w:color w:val="auto"/>
                <w:szCs w:val="21"/>
                <w:lang w:val="en-US" w:eastAsia="zh-CN"/>
              </w:rPr>
              <w:t>10</w:t>
            </w:r>
            <w:r>
              <w:rPr>
                <w:rFonts w:eastAsia="黑体"/>
                <w:color w:val="auto"/>
                <w:szCs w:val="21"/>
              </w:rPr>
              <w:t xml:space="preserve">  本项目</w:t>
            </w:r>
            <w:r>
              <w:rPr>
                <w:rFonts w:hint="eastAsia" w:eastAsia="黑体"/>
                <w:color w:val="auto"/>
                <w:szCs w:val="21"/>
                <w:lang w:val="en-US" w:eastAsia="zh-CN"/>
              </w:rPr>
              <w:t>印合</w:t>
            </w:r>
            <w:r>
              <w:rPr>
                <w:rFonts w:hint="eastAsia"/>
                <w:color w:val="auto"/>
                <w:sz w:val="18"/>
                <w:szCs w:val="18"/>
                <w:lang w:eastAsia="zh-CN"/>
              </w:rPr>
              <w:t>～</w:t>
            </w:r>
            <w:r>
              <w:rPr>
                <w:rFonts w:hint="eastAsia" w:eastAsia="黑体"/>
                <w:color w:val="auto"/>
                <w:szCs w:val="21"/>
                <w:lang w:val="en-US" w:eastAsia="zh-CN"/>
              </w:rPr>
              <w:t>司城110kV</w:t>
            </w:r>
            <w:r>
              <w:rPr>
                <w:rFonts w:hint="eastAsia" w:eastAsia="黑体"/>
                <w:color w:val="auto"/>
                <w:szCs w:val="21"/>
              </w:rPr>
              <w:t>线路工程</w:t>
            </w:r>
            <w:r>
              <w:rPr>
                <w:rFonts w:eastAsia="黑体"/>
                <w:color w:val="auto"/>
                <w:szCs w:val="21"/>
              </w:rPr>
              <w:t>主要交叉</w:t>
            </w:r>
            <w:r>
              <w:rPr>
                <w:rFonts w:hint="eastAsia" w:eastAsia="黑体"/>
                <w:color w:val="auto"/>
                <w:szCs w:val="21"/>
              </w:rPr>
              <w:t>钻跨</w:t>
            </w:r>
            <w:r>
              <w:rPr>
                <w:rFonts w:eastAsia="黑体"/>
                <w:color w:val="auto"/>
                <w:szCs w:val="21"/>
              </w:rPr>
              <w:t>越情况表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450"/>
              <w:gridCol w:w="1900"/>
              <w:gridCol w:w="978"/>
              <w:gridCol w:w="5343"/>
            </w:tblGrid>
            <w:tr w14:paraId="606B9B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trHeight w:val="578" w:hRule="atLeast"/>
                <w:jc w:val="center"/>
              </w:trPr>
              <w:tc>
                <w:tcPr>
                  <w:tcW w:w="450" w:type="dxa"/>
                  <w:vAlign w:val="center"/>
                </w:tcPr>
                <w:p w14:paraId="507FB72D">
                  <w:pPr>
                    <w:jc w:val="center"/>
                    <w:rPr>
                      <w:color w:val="auto"/>
                      <w:sz w:val="18"/>
                      <w:szCs w:val="18"/>
                    </w:rPr>
                  </w:pPr>
                  <w:r>
                    <w:rPr>
                      <w:color w:val="auto"/>
                      <w:sz w:val="18"/>
                      <w:szCs w:val="18"/>
                    </w:rPr>
                    <w:t>序号</w:t>
                  </w:r>
                </w:p>
              </w:tc>
              <w:tc>
                <w:tcPr>
                  <w:tcW w:w="1900" w:type="dxa"/>
                  <w:vAlign w:val="center"/>
                </w:tcPr>
                <w:p w14:paraId="6636096F">
                  <w:pPr>
                    <w:jc w:val="center"/>
                    <w:rPr>
                      <w:color w:val="auto"/>
                      <w:sz w:val="18"/>
                      <w:szCs w:val="18"/>
                    </w:rPr>
                  </w:pPr>
                  <w:r>
                    <w:rPr>
                      <w:color w:val="auto"/>
                      <w:sz w:val="18"/>
                      <w:szCs w:val="18"/>
                    </w:rPr>
                    <w:t>被跨（钻）越物</w:t>
                  </w:r>
                </w:p>
              </w:tc>
              <w:tc>
                <w:tcPr>
                  <w:tcW w:w="978" w:type="dxa"/>
                  <w:vAlign w:val="center"/>
                </w:tcPr>
                <w:p w14:paraId="03888693">
                  <w:pPr>
                    <w:jc w:val="center"/>
                    <w:rPr>
                      <w:color w:val="auto"/>
                      <w:sz w:val="18"/>
                      <w:szCs w:val="18"/>
                    </w:rPr>
                  </w:pPr>
                  <w:r>
                    <w:rPr>
                      <w:rFonts w:hint="eastAsia"/>
                      <w:color w:val="auto"/>
                      <w:sz w:val="18"/>
                      <w:szCs w:val="18"/>
                    </w:rPr>
                    <w:t>交叉</w:t>
                  </w:r>
                  <w:r>
                    <w:rPr>
                      <w:color w:val="auto"/>
                      <w:sz w:val="18"/>
                      <w:szCs w:val="18"/>
                    </w:rPr>
                    <w:t>次数</w:t>
                  </w:r>
                </w:p>
              </w:tc>
              <w:tc>
                <w:tcPr>
                  <w:tcW w:w="5343" w:type="dxa"/>
                  <w:vAlign w:val="center"/>
                </w:tcPr>
                <w:p w14:paraId="77C4B504">
                  <w:pPr>
                    <w:jc w:val="center"/>
                    <w:rPr>
                      <w:color w:val="auto"/>
                      <w:sz w:val="18"/>
                      <w:szCs w:val="18"/>
                    </w:rPr>
                  </w:pPr>
                  <w:r>
                    <w:rPr>
                      <w:color w:val="auto"/>
                      <w:sz w:val="18"/>
                      <w:szCs w:val="18"/>
                    </w:rPr>
                    <w:t>备注</w:t>
                  </w:r>
                </w:p>
              </w:tc>
            </w:tr>
            <w:tr w14:paraId="090F6C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09738934">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rPr>
                    <w:t>1</w:t>
                  </w:r>
                </w:p>
              </w:tc>
              <w:tc>
                <w:tcPr>
                  <w:tcW w:w="1900" w:type="dxa"/>
                  <w:vAlign w:val="center"/>
                </w:tcPr>
                <w:p w14:paraId="50A06A00">
                  <w:pPr>
                    <w:jc w:val="center"/>
                    <w:rPr>
                      <w:rFonts w:hint="default"/>
                      <w:color w:val="auto"/>
                      <w:sz w:val="18"/>
                      <w:szCs w:val="18"/>
                      <w:lang w:val="en-US" w:eastAsia="zh-CN"/>
                    </w:rPr>
                  </w:pPr>
                  <w:r>
                    <w:rPr>
                      <w:rFonts w:hint="eastAsia"/>
                      <w:color w:val="auto"/>
                      <w:sz w:val="18"/>
                      <w:szCs w:val="18"/>
                      <w:lang w:val="en-US" w:eastAsia="zh-CN"/>
                    </w:rPr>
                    <w:t>500</w:t>
                  </w:r>
                  <w:r>
                    <w:rPr>
                      <w:rFonts w:hint="eastAsia"/>
                      <w:color w:val="auto"/>
                      <w:sz w:val="18"/>
                      <w:szCs w:val="18"/>
                    </w:rPr>
                    <w:t>kV线路</w:t>
                  </w:r>
                </w:p>
              </w:tc>
              <w:tc>
                <w:tcPr>
                  <w:tcW w:w="978" w:type="dxa"/>
                  <w:vAlign w:val="center"/>
                </w:tcPr>
                <w:p w14:paraId="46B822CE">
                  <w:pPr>
                    <w:jc w:val="center"/>
                    <w:rPr>
                      <w:rFonts w:hint="eastAsia" w:eastAsia="宋体"/>
                      <w:color w:val="auto"/>
                      <w:sz w:val="18"/>
                      <w:szCs w:val="18"/>
                      <w:lang w:val="en-US" w:eastAsia="zh-CN"/>
                    </w:rPr>
                  </w:pPr>
                  <w:r>
                    <w:rPr>
                      <w:rFonts w:hint="eastAsia"/>
                      <w:color w:val="auto"/>
                      <w:sz w:val="18"/>
                      <w:szCs w:val="18"/>
                      <w:lang w:val="en-US" w:eastAsia="zh-CN"/>
                    </w:rPr>
                    <w:t>1</w:t>
                  </w:r>
                </w:p>
              </w:tc>
              <w:tc>
                <w:tcPr>
                  <w:tcW w:w="5343" w:type="dxa"/>
                  <w:vAlign w:val="center"/>
                </w:tcPr>
                <w:p w14:paraId="35077396">
                  <w:pPr>
                    <w:jc w:val="center"/>
                    <w:rPr>
                      <w:rFonts w:hint="default" w:eastAsia="宋体"/>
                      <w:color w:val="auto"/>
                      <w:sz w:val="18"/>
                      <w:szCs w:val="18"/>
                      <w:lang w:val="en-US" w:eastAsia="zh-CN"/>
                    </w:rPr>
                  </w:pPr>
                  <w:r>
                    <w:rPr>
                      <w:rFonts w:hint="eastAsia"/>
                      <w:color w:val="auto"/>
                      <w:sz w:val="18"/>
                      <w:szCs w:val="18"/>
                      <w:lang w:val="en-US" w:eastAsia="zh-CN"/>
                    </w:rPr>
                    <w:t>钻越500kV昭中一二线，</w:t>
                  </w:r>
                  <w:r>
                    <w:rPr>
                      <w:rFonts w:hint="eastAsia"/>
                      <w:color w:val="000000" w:themeColor="text1"/>
                      <w:sz w:val="18"/>
                      <w:szCs w:val="18"/>
                      <w14:textFill>
                        <w14:solidFill>
                          <w14:schemeClr w14:val="tx1"/>
                        </w14:solidFill>
                      </w14:textFill>
                    </w:rPr>
                    <w:t>钻越点位于</w:t>
                  </w:r>
                  <w:r>
                    <w:rPr>
                      <w:rFonts w:hint="eastAsia"/>
                      <w:color w:val="000000" w:themeColor="text1"/>
                      <w:sz w:val="18"/>
                      <w:szCs w:val="18"/>
                      <w:lang w:val="en-US" w:eastAsia="zh-CN"/>
                      <w14:textFill>
                        <w14:solidFill>
                          <w14:schemeClr w14:val="tx1"/>
                        </w14:solidFill>
                      </w14:textFill>
                    </w:rPr>
                    <w:t>223</w:t>
                  </w:r>
                  <w:r>
                    <w:rPr>
                      <w:rFonts w:hint="eastAsia"/>
                      <w:color w:val="000000" w:themeColor="text1"/>
                      <w:sz w:val="18"/>
                      <w:szCs w:val="18"/>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224</w:t>
                  </w:r>
                  <w:r>
                    <w:rPr>
                      <w:rFonts w:hint="eastAsia"/>
                      <w:color w:val="000000" w:themeColor="text1"/>
                      <w:sz w:val="18"/>
                      <w:szCs w:val="18"/>
                      <w14:textFill>
                        <w14:solidFill>
                          <w14:schemeClr w14:val="tx1"/>
                        </w14:solidFill>
                      </w14:textFill>
                    </w:rPr>
                    <w:t>#塔之间</w:t>
                  </w:r>
                  <w:r>
                    <w:rPr>
                      <w:rFonts w:hint="eastAsia"/>
                      <w:color w:val="auto"/>
                      <w:sz w:val="18"/>
                      <w:szCs w:val="18"/>
                      <w:lang w:val="en-US" w:eastAsia="zh-CN"/>
                    </w:rPr>
                    <w:t>，钻越点处线高38m，</w:t>
                  </w:r>
                  <w:r>
                    <w:rPr>
                      <w:rFonts w:hint="eastAsia"/>
                      <w:color w:val="000000" w:themeColor="text1"/>
                      <w:sz w:val="18"/>
                      <w:szCs w:val="18"/>
                      <w14:textFill>
                        <w14:solidFill>
                          <w14:schemeClr w14:val="tx1"/>
                        </w14:solidFill>
                      </w14:textFill>
                    </w:rPr>
                    <w:t>同塔双回垂直逆相序</w:t>
                  </w:r>
                  <w:r>
                    <w:rPr>
                      <w:rFonts w:hint="eastAsia"/>
                      <w:color w:val="auto"/>
                      <w:sz w:val="18"/>
                      <w:szCs w:val="18"/>
                      <w:lang w:val="en-US" w:eastAsia="zh-CN"/>
                    </w:rPr>
                    <w:t>架设。</w:t>
                  </w:r>
                </w:p>
              </w:tc>
            </w:tr>
            <w:tr w14:paraId="271E80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1D40FF89">
                  <w:pPr>
                    <w:jc w:val="center"/>
                    <w:rPr>
                      <w:rFonts w:hint="eastAsia" w:eastAsia="宋体"/>
                      <w:color w:val="auto"/>
                      <w:sz w:val="18"/>
                      <w:szCs w:val="18"/>
                      <w:lang w:val="en-US" w:eastAsia="zh-CN"/>
                    </w:rPr>
                  </w:pPr>
                  <w:r>
                    <w:rPr>
                      <w:rFonts w:hint="eastAsia"/>
                      <w:color w:val="auto"/>
                      <w:sz w:val="18"/>
                      <w:szCs w:val="18"/>
                      <w:lang w:val="en-US" w:eastAsia="zh-CN"/>
                    </w:rPr>
                    <w:t>2</w:t>
                  </w:r>
                </w:p>
              </w:tc>
              <w:tc>
                <w:tcPr>
                  <w:tcW w:w="1900" w:type="dxa"/>
                  <w:vAlign w:val="center"/>
                </w:tcPr>
                <w:p w14:paraId="288FFDC7">
                  <w:pPr>
                    <w:jc w:val="center"/>
                    <w:rPr>
                      <w:rFonts w:hint="default" w:eastAsia="宋体"/>
                      <w:color w:val="auto"/>
                      <w:sz w:val="18"/>
                      <w:szCs w:val="18"/>
                      <w:lang w:val="en-US" w:eastAsia="zh-CN"/>
                    </w:rPr>
                  </w:pPr>
                  <w:r>
                    <w:rPr>
                      <w:rFonts w:hint="eastAsia"/>
                      <w:color w:val="auto"/>
                      <w:sz w:val="18"/>
                      <w:szCs w:val="18"/>
                      <w:lang w:val="en-US" w:eastAsia="zh-CN"/>
                    </w:rPr>
                    <w:t>35kV线路</w:t>
                  </w:r>
                </w:p>
              </w:tc>
              <w:tc>
                <w:tcPr>
                  <w:tcW w:w="978" w:type="dxa"/>
                  <w:vAlign w:val="center"/>
                </w:tcPr>
                <w:p w14:paraId="3D14CED6">
                  <w:pPr>
                    <w:jc w:val="center"/>
                    <w:rPr>
                      <w:rFonts w:hint="default"/>
                      <w:color w:val="auto"/>
                      <w:sz w:val="18"/>
                      <w:szCs w:val="18"/>
                      <w:lang w:val="en-US" w:eastAsia="zh-CN"/>
                    </w:rPr>
                  </w:pPr>
                  <w:r>
                    <w:rPr>
                      <w:rFonts w:hint="eastAsia"/>
                      <w:color w:val="auto"/>
                      <w:sz w:val="18"/>
                      <w:szCs w:val="18"/>
                      <w:lang w:val="en-US" w:eastAsia="zh-CN"/>
                    </w:rPr>
                    <w:t>3</w:t>
                  </w:r>
                </w:p>
              </w:tc>
              <w:tc>
                <w:tcPr>
                  <w:tcW w:w="5343" w:type="dxa"/>
                  <w:vAlign w:val="center"/>
                </w:tcPr>
                <w:p w14:paraId="7B83C43D">
                  <w:pPr>
                    <w:jc w:val="center"/>
                    <w:rPr>
                      <w:rFonts w:hint="default"/>
                      <w:color w:val="auto"/>
                      <w:sz w:val="18"/>
                      <w:szCs w:val="18"/>
                      <w:lang w:val="en-US" w:eastAsia="zh-CN"/>
                    </w:rPr>
                  </w:pPr>
                  <w:r>
                    <w:rPr>
                      <w:rFonts w:hint="eastAsia"/>
                      <w:color w:val="auto"/>
                      <w:sz w:val="18"/>
                      <w:szCs w:val="18"/>
                      <w:lang w:val="en-US" w:eastAsia="zh-CN"/>
                    </w:rPr>
                    <w:t>/</w:t>
                  </w:r>
                </w:p>
              </w:tc>
            </w:tr>
            <w:tr w14:paraId="3F9951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5C16FFE4">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3</w:t>
                  </w:r>
                </w:p>
              </w:tc>
              <w:tc>
                <w:tcPr>
                  <w:tcW w:w="1900" w:type="dxa"/>
                  <w:vAlign w:val="center"/>
                </w:tcPr>
                <w:p w14:paraId="19C4D9ED">
                  <w:pPr>
                    <w:jc w:val="center"/>
                    <w:rPr>
                      <w:rFonts w:hint="eastAsia"/>
                      <w:color w:val="auto"/>
                      <w:sz w:val="18"/>
                      <w:szCs w:val="18"/>
                    </w:rPr>
                  </w:pPr>
                  <w:r>
                    <w:rPr>
                      <w:rFonts w:hint="eastAsia"/>
                      <w:color w:val="auto"/>
                      <w:sz w:val="18"/>
                      <w:szCs w:val="18"/>
                    </w:rPr>
                    <w:t>10kV配电线路</w:t>
                  </w:r>
                </w:p>
              </w:tc>
              <w:tc>
                <w:tcPr>
                  <w:tcW w:w="978" w:type="dxa"/>
                  <w:vAlign w:val="center"/>
                </w:tcPr>
                <w:p w14:paraId="4530D1A5">
                  <w:pPr>
                    <w:jc w:val="center"/>
                    <w:rPr>
                      <w:rFonts w:hint="default" w:eastAsia="宋体"/>
                      <w:color w:val="auto"/>
                      <w:sz w:val="18"/>
                      <w:szCs w:val="18"/>
                      <w:lang w:val="en-US" w:eastAsia="zh-CN"/>
                    </w:rPr>
                  </w:pPr>
                  <w:r>
                    <w:rPr>
                      <w:rFonts w:hint="eastAsia"/>
                      <w:color w:val="auto"/>
                      <w:sz w:val="18"/>
                      <w:szCs w:val="18"/>
                      <w:lang w:val="en-US" w:eastAsia="zh-CN"/>
                    </w:rPr>
                    <w:t>24</w:t>
                  </w:r>
                </w:p>
              </w:tc>
              <w:tc>
                <w:tcPr>
                  <w:tcW w:w="5343" w:type="dxa"/>
                  <w:vAlign w:val="center"/>
                </w:tcPr>
                <w:p w14:paraId="42AC7139">
                  <w:pPr>
                    <w:jc w:val="center"/>
                    <w:rPr>
                      <w:rFonts w:hint="eastAsia"/>
                      <w:color w:val="auto"/>
                      <w:sz w:val="18"/>
                      <w:szCs w:val="18"/>
                    </w:rPr>
                  </w:pPr>
                  <w:r>
                    <w:rPr>
                      <w:rFonts w:hint="eastAsia"/>
                      <w:color w:val="auto"/>
                      <w:sz w:val="18"/>
                      <w:szCs w:val="18"/>
                      <w:lang w:val="en-US" w:eastAsia="zh-CN"/>
                    </w:rPr>
                    <w:t>/</w:t>
                  </w:r>
                </w:p>
              </w:tc>
            </w:tr>
            <w:tr w14:paraId="7D5963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20F2412B">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4</w:t>
                  </w:r>
                </w:p>
              </w:tc>
              <w:tc>
                <w:tcPr>
                  <w:tcW w:w="1900" w:type="dxa"/>
                  <w:vAlign w:val="center"/>
                </w:tcPr>
                <w:p w14:paraId="7B5A9236">
                  <w:pPr>
                    <w:jc w:val="center"/>
                    <w:rPr>
                      <w:rFonts w:hint="eastAsia"/>
                      <w:color w:val="auto"/>
                      <w:sz w:val="18"/>
                      <w:szCs w:val="18"/>
                    </w:rPr>
                  </w:pPr>
                  <w:r>
                    <w:rPr>
                      <w:rFonts w:hint="eastAsia"/>
                      <w:color w:val="auto"/>
                      <w:sz w:val="18"/>
                      <w:szCs w:val="18"/>
                    </w:rPr>
                    <w:t>380V及以下低压线</w:t>
                  </w:r>
                </w:p>
              </w:tc>
              <w:tc>
                <w:tcPr>
                  <w:tcW w:w="978" w:type="dxa"/>
                  <w:vAlign w:val="center"/>
                </w:tcPr>
                <w:p w14:paraId="21131584">
                  <w:pPr>
                    <w:jc w:val="center"/>
                    <w:rPr>
                      <w:rFonts w:hint="default" w:eastAsia="宋体"/>
                      <w:color w:val="auto"/>
                      <w:sz w:val="18"/>
                      <w:szCs w:val="18"/>
                      <w:lang w:val="en-US" w:eastAsia="zh-CN"/>
                    </w:rPr>
                  </w:pPr>
                  <w:r>
                    <w:rPr>
                      <w:rFonts w:hint="eastAsia"/>
                      <w:color w:val="auto"/>
                      <w:sz w:val="18"/>
                      <w:szCs w:val="18"/>
                      <w:lang w:val="en-US" w:eastAsia="zh-CN"/>
                    </w:rPr>
                    <w:t>55</w:t>
                  </w:r>
                </w:p>
              </w:tc>
              <w:tc>
                <w:tcPr>
                  <w:tcW w:w="5343" w:type="dxa"/>
                  <w:vAlign w:val="center"/>
                </w:tcPr>
                <w:p w14:paraId="60DB28D6">
                  <w:pPr>
                    <w:jc w:val="center"/>
                    <w:rPr>
                      <w:rFonts w:hint="eastAsia" w:eastAsia="宋体"/>
                      <w:color w:val="auto"/>
                      <w:sz w:val="18"/>
                      <w:szCs w:val="18"/>
                      <w:lang w:val="en-US" w:eastAsia="zh-CN"/>
                    </w:rPr>
                  </w:pPr>
                  <w:r>
                    <w:rPr>
                      <w:rFonts w:hint="eastAsia"/>
                      <w:color w:val="auto"/>
                      <w:sz w:val="18"/>
                      <w:szCs w:val="18"/>
                      <w:lang w:val="en-US" w:eastAsia="zh-CN"/>
                    </w:rPr>
                    <w:t>/</w:t>
                  </w:r>
                </w:p>
              </w:tc>
            </w:tr>
            <w:tr w14:paraId="1142C7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18386838">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5</w:t>
                  </w:r>
                </w:p>
              </w:tc>
              <w:tc>
                <w:tcPr>
                  <w:tcW w:w="1900" w:type="dxa"/>
                  <w:vAlign w:val="center"/>
                </w:tcPr>
                <w:p w14:paraId="30BA9B83">
                  <w:pPr>
                    <w:jc w:val="center"/>
                    <w:rPr>
                      <w:rFonts w:hint="eastAsia"/>
                      <w:color w:val="auto"/>
                      <w:sz w:val="18"/>
                      <w:szCs w:val="18"/>
                    </w:rPr>
                  </w:pPr>
                  <w:r>
                    <w:rPr>
                      <w:rFonts w:hint="eastAsia"/>
                      <w:color w:val="auto"/>
                      <w:sz w:val="18"/>
                      <w:szCs w:val="18"/>
                    </w:rPr>
                    <w:t>通信线</w:t>
                  </w:r>
                </w:p>
              </w:tc>
              <w:tc>
                <w:tcPr>
                  <w:tcW w:w="978" w:type="dxa"/>
                  <w:vAlign w:val="center"/>
                </w:tcPr>
                <w:p w14:paraId="1E08BCAC">
                  <w:pPr>
                    <w:jc w:val="center"/>
                    <w:rPr>
                      <w:rFonts w:hint="default" w:eastAsia="宋体"/>
                      <w:color w:val="auto"/>
                      <w:sz w:val="18"/>
                      <w:szCs w:val="18"/>
                      <w:lang w:val="en-US" w:eastAsia="zh-CN"/>
                    </w:rPr>
                  </w:pPr>
                  <w:r>
                    <w:rPr>
                      <w:rFonts w:hint="eastAsia"/>
                      <w:color w:val="auto"/>
                      <w:sz w:val="18"/>
                      <w:szCs w:val="18"/>
                      <w:lang w:val="en-US" w:eastAsia="zh-CN"/>
                    </w:rPr>
                    <w:t>45</w:t>
                  </w:r>
                </w:p>
              </w:tc>
              <w:tc>
                <w:tcPr>
                  <w:tcW w:w="5343" w:type="dxa"/>
                  <w:vAlign w:val="center"/>
                </w:tcPr>
                <w:p w14:paraId="128E2FEB">
                  <w:pPr>
                    <w:jc w:val="center"/>
                    <w:rPr>
                      <w:rFonts w:hint="eastAsia" w:eastAsia="宋体"/>
                      <w:color w:val="auto"/>
                      <w:sz w:val="18"/>
                      <w:szCs w:val="18"/>
                      <w:lang w:val="en-US" w:eastAsia="zh-CN"/>
                    </w:rPr>
                  </w:pPr>
                  <w:r>
                    <w:rPr>
                      <w:rFonts w:hint="eastAsia"/>
                      <w:color w:val="auto"/>
                      <w:sz w:val="18"/>
                      <w:szCs w:val="18"/>
                      <w:lang w:val="en-US" w:eastAsia="zh-CN"/>
                    </w:rPr>
                    <w:t>/</w:t>
                  </w:r>
                </w:p>
              </w:tc>
            </w:tr>
            <w:tr w14:paraId="09DCEA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776585BE">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6</w:t>
                  </w:r>
                </w:p>
              </w:tc>
              <w:tc>
                <w:tcPr>
                  <w:tcW w:w="1900" w:type="dxa"/>
                  <w:vAlign w:val="center"/>
                </w:tcPr>
                <w:p w14:paraId="0EE99DF4">
                  <w:pPr>
                    <w:jc w:val="center"/>
                    <w:rPr>
                      <w:rFonts w:hint="eastAsia"/>
                      <w:color w:val="auto"/>
                      <w:sz w:val="18"/>
                      <w:szCs w:val="18"/>
                    </w:rPr>
                  </w:pPr>
                  <w:r>
                    <w:rPr>
                      <w:rFonts w:hint="eastAsia"/>
                      <w:color w:val="auto"/>
                      <w:sz w:val="18"/>
                      <w:szCs w:val="18"/>
                      <w:lang w:val="en-US" w:eastAsia="zh-CN"/>
                    </w:rPr>
                    <w:t>不</w:t>
                  </w:r>
                  <w:r>
                    <w:rPr>
                      <w:rFonts w:hint="eastAsia"/>
                      <w:color w:val="auto"/>
                      <w:sz w:val="18"/>
                      <w:szCs w:val="18"/>
                    </w:rPr>
                    <w:t>通航河流</w:t>
                  </w:r>
                </w:p>
              </w:tc>
              <w:tc>
                <w:tcPr>
                  <w:tcW w:w="978" w:type="dxa"/>
                  <w:vAlign w:val="center"/>
                </w:tcPr>
                <w:p w14:paraId="1A40D84A">
                  <w:pPr>
                    <w:jc w:val="center"/>
                    <w:rPr>
                      <w:rFonts w:hint="eastAsia" w:eastAsia="宋体"/>
                      <w:color w:val="auto"/>
                      <w:sz w:val="18"/>
                      <w:szCs w:val="18"/>
                      <w:lang w:val="en-US" w:eastAsia="zh-CN"/>
                    </w:rPr>
                  </w:pPr>
                  <w:r>
                    <w:rPr>
                      <w:rFonts w:hint="eastAsia"/>
                      <w:color w:val="auto"/>
                      <w:sz w:val="18"/>
                      <w:szCs w:val="18"/>
                      <w:lang w:val="en-US" w:eastAsia="zh-CN"/>
                    </w:rPr>
                    <w:t>5</w:t>
                  </w:r>
                </w:p>
              </w:tc>
              <w:tc>
                <w:tcPr>
                  <w:tcW w:w="5343" w:type="dxa"/>
                  <w:vAlign w:val="center"/>
                </w:tcPr>
                <w:p w14:paraId="34E88BB0">
                  <w:pPr>
                    <w:jc w:val="center"/>
                    <w:rPr>
                      <w:rFonts w:hint="eastAsia" w:eastAsia="宋体"/>
                      <w:color w:val="auto"/>
                      <w:sz w:val="18"/>
                      <w:szCs w:val="18"/>
                      <w:highlight w:val="none"/>
                      <w:lang w:eastAsia="zh-CN"/>
                    </w:rPr>
                  </w:pPr>
                  <w:r>
                    <w:rPr>
                      <w:rFonts w:hint="eastAsia"/>
                      <w:color w:val="auto"/>
                      <w:sz w:val="18"/>
                      <w:szCs w:val="18"/>
                      <w:highlight w:val="none"/>
                      <w:lang w:val="en-US" w:eastAsia="zh-CN"/>
                    </w:rPr>
                    <w:t>跨越马家河5次</w:t>
                  </w:r>
                </w:p>
              </w:tc>
            </w:tr>
            <w:tr w14:paraId="5EF1ED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112C89AE">
                  <w:pPr>
                    <w:jc w:val="center"/>
                    <w:rPr>
                      <w:rFonts w:hint="eastAsia" w:eastAsia="宋体"/>
                      <w:color w:val="auto"/>
                      <w:sz w:val="18"/>
                      <w:szCs w:val="18"/>
                      <w:lang w:val="en-US" w:eastAsia="zh-CN"/>
                    </w:rPr>
                  </w:pPr>
                  <w:r>
                    <w:rPr>
                      <w:rFonts w:hint="eastAsia"/>
                      <w:color w:val="auto"/>
                      <w:sz w:val="18"/>
                      <w:szCs w:val="18"/>
                      <w:lang w:val="en-US" w:eastAsia="zh-CN"/>
                    </w:rPr>
                    <w:t>7</w:t>
                  </w:r>
                </w:p>
              </w:tc>
              <w:tc>
                <w:tcPr>
                  <w:tcW w:w="1900" w:type="dxa"/>
                  <w:vAlign w:val="center"/>
                </w:tcPr>
                <w:p w14:paraId="27ADDB3E">
                  <w:pPr>
                    <w:jc w:val="center"/>
                    <w:rPr>
                      <w:rFonts w:hint="default"/>
                      <w:color w:val="auto"/>
                      <w:sz w:val="18"/>
                      <w:szCs w:val="18"/>
                      <w:lang w:val="en-US" w:eastAsia="zh-CN"/>
                    </w:rPr>
                  </w:pPr>
                  <w:r>
                    <w:rPr>
                      <w:rFonts w:hint="eastAsia"/>
                      <w:color w:val="auto"/>
                      <w:sz w:val="18"/>
                      <w:szCs w:val="18"/>
                      <w:lang w:val="en-US" w:eastAsia="zh-CN"/>
                    </w:rPr>
                    <w:t>高速公路</w:t>
                  </w:r>
                </w:p>
              </w:tc>
              <w:tc>
                <w:tcPr>
                  <w:tcW w:w="978" w:type="dxa"/>
                  <w:vAlign w:val="center"/>
                </w:tcPr>
                <w:p w14:paraId="6640E907">
                  <w:pPr>
                    <w:jc w:val="center"/>
                    <w:rPr>
                      <w:rFonts w:hint="default"/>
                      <w:color w:val="auto"/>
                      <w:sz w:val="18"/>
                      <w:szCs w:val="18"/>
                      <w:lang w:val="en-US" w:eastAsia="zh-CN"/>
                    </w:rPr>
                  </w:pPr>
                  <w:r>
                    <w:rPr>
                      <w:rFonts w:hint="eastAsia"/>
                      <w:color w:val="auto"/>
                      <w:sz w:val="18"/>
                      <w:szCs w:val="18"/>
                      <w:lang w:val="en-US" w:eastAsia="zh-CN"/>
                    </w:rPr>
                    <w:t>1</w:t>
                  </w:r>
                </w:p>
              </w:tc>
              <w:tc>
                <w:tcPr>
                  <w:tcW w:w="5343" w:type="dxa"/>
                  <w:vAlign w:val="center"/>
                </w:tcPr>
                <w:p w14:paraId="24C78EE5">
                  <w:pPr>
                    <w:jc w:val="center"/>
                    <w:rPr>
                      <w:rFonts w:hint="default" w:eastAsia="宋体"/>
                      <w:color w:val="auto"/>
                      <w:sz w:val="18"/>
                      <w:szCs w:val="18"/>
                      <w:lang w:val="en-US" w:eastAsia="zh-CN"/>
                    </w:rPr>
                  </w:pPr>
                  <w:r>
                    <w:rPr>
                      <w:rFonts w:hint="eastAsia"/>
                      <w:color w:val="auto"/>
                      <w:sz w:val="18"/>
                      <w:szCs w:val="18"/>
                      <w:lang w:val="en-US" w:eastAsia="zh-CN"/>
                    </w:rPr>
                    <w:t>跨越成巴高速公路</w:t>
                  </w:r>
                </w:p>
              </w:tc>
            </w:tr>
            <w:tr w14:paraId="0C3C33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28" w:type="dxa"/>
                  <w:left w:w="108" w:type="dxa"/>
                  <w:bottom w:w="28" w:type="dxa"/>
                  <w:right w:w="108" w:type="dxa"/>
                </w:tblCellMar>
              </w:tblPrEx>
              <w:trPr>
                <w:jc w:val="center"/>
              </w:trPr>
              <w:tc>
                <w:tcPr>
                  <w:tcW w:w="450" w:type="dxa"/>
                  <w:vAlign w:val="center"/>
                </w:tcPr>
                <w:p w14:paraId="2B672B01">
                  <w:pPr>
                    <w:jc w:val="center"/>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9</w:t>
                  </w:r>
                </w:p>
              </w:tc>
              <w:tc>
                <w:tcPr>
                  <w:tcW w:w="1900" w:type="dxa"/>
                  <w:vAlign w:val="center"/>
                </w:tcPr>
                <w:p w14:paraId="5D9DDB93">
                  <w:pPr>
                    <w:jc w:val="center"/>
                    <w:rPr>
                      <w:rFonts w:hint="eastAsia"/>
                      <w:color w:val="auto"/>
                      <w:sz w:val="18"/>
                      <w:szCs w:val="18"/>
                    </w:rPr>
                  </w:pPr>
                  <w:r>
                    <w:rPr>
                      <w:rFonts w:hint="eastAsia"/>
                      <w:color w:val="auto"/>
                      <w:sz w:val="18"/>
                      <w:szCs w:val="18"/>
                    </w:rPr>
                    <w:t>乡村道路及普通公路</w:t>
                  </w:r>
                </w:p>
              </w:tc>
              <w:tc>
                <w:tcPr>
                  <w:tcW w:w="978" w:type="dxa"/>
                  <w:vAlign w:val="center"/>
                </w:tcPr>
                <w:p w14:paraId="33C59611">
                  <w:pPr>
                    <w:jc w:val="center"/>
                    <w:rPr>
                      <w:rFonts w:hint="default"/>
                      <w:color w:val="auto"/>
                      <w:sz w:val="18"/>
                      <w:szCs w:val="18"/>
                      <w:lang w:val="en-US" w:eastAsia="zh-CN"/>
                    </w:rPr>
                  </w:pPr>
                  <w:r>
                    <w:rPr>
                      <w:rFonts w:hint="eastAsia"/>
                      <w:color w:val="auto"/>
                      <w:sz w:val="18"/>
                      <w:szCs w:val="18"/>
                      <w:lang w:val="en-US" w:eastAsia="zh-CN"/>
                    </w:rPr>
                    <w:t>70</w:t>
                  </w:r>
                </w:p>
              </w:tc>
              <w:tc>
                <w:tcPr>
                  <w:tcW w:w="5343" w:type="dxa"/>
                  <w:vAlign w:val="center"/>
                </w:tcPr>
                <w:p w14:paraId="0EAEEE0C">
                  <w:pPr>
                    <w:jc w:val="center"/>
                    <w:rPr>
                      <w:rFonts w:hint="eastAsia"/>
                      <w:color w:val="auto"/>
                      <w:sz w:val="18"/>
                      <w:szCs w:val="18"/>
                    </w:rPr>
                  </w:pPr>
                  <w:r>
                    <w:rPr>
                      <w:rFonts w:hint="eastAsia"/>
                      <w:color w:val="auto"/>
                      <w:sz w:val="18"/>
                      <w:szCs w:val="18"/>
                      <w:lang w:val="en-US" w:eastAsia="zh-CN"/>
                    </w:rPr>
                    <w:t>/</w:t>
                  </w:r>
                </w:p>
              </w:tc>
            </w:tr>
          </w:tbl>
          <w:p w14:paraId="6FD52DB2">
            <w:pPr>
              <w:spacing w:line="360" w:lineRule="auto"/>
              <w:ind w:firstLine="422" w:firstLineChars="200"/>
              <w:rPr>
                <w:b/>
                <w:color w:val="auto"/>
                <w:szCs w:val="21"/>
              </w:rPr>
            </w:pPr>
            <w:r>
              <w:rPr>
                <w:rFonts w:hint="eastAsia"/>
                <w:b/>
                <w:color w:val="auto"/>
                <w:szCs w:val="21"/>
              </w:rPr>
              <w:t>（1）钻</w:t>
            </w:r>
            <w:r>
              <w:rPr>
                <w:rFonts w:hint="eastAsia"/>
                <w:b/>
                <w:color w:val="auto"/>
                <w:szCs w:val="21"/>
                <w:lang w:val="en-US" w:eastAsia="zh-CN"/>
              </w:rPr>
              <w:t>跨</w:t>
            </w:r>
            <w:r>
              <w:rPr>
                <w:rFonts w:hint="eastAsia"/>
                <w:b/>
                <w:color w:val="auto"/>
                <w:szCs w:val="21"/>
              </w:rPr>
              <w:t>越既有输电线路</w:t>
            </w:r>
          </w:p>
          <w:p w14:paraId="152E69FD">
            <w:pPr>
              <w:spacing w:line="360" w:lineRule="auto"/>
              <w:ind w:firstLine="420" w:firstLineChars="200"/>
              <w:rPr>
                <w:rFonts w:hint="eastAsia" w:eastAsia="宋体" w:cs="Times New Roman"/>
                <w:bCs/>
                <w:color w:val="000000" w:themeColor="text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Cs w:val="21"/>
                <w:highlight w:val="none"/>
                <w:lang w:val="en-US" w:eastAsia="zh-CN"/>
                <w14:textFill>
                  <w14:solidFill>
                    <w14:schemeClr w14:val="tx1"/>
                  </w14:solidFill>
                </w14:textFill>
              </w:rPr>
              <w:t>①</w:t>
            </w:r>
            <w:r>
              <w:rPr>
                <w:rFonts w:hint="eastAsia"/>
                <w:bCs/>
                <w:color w:val="auto"/>
                <w:szCs w:val="21"/>
                <w:lang w:eastAsia="zh-CN"/>
              </w:rPr>
              <w:t>盘兴</w:t>
            </w:r>
            <w:r>
              <w:rPr>
                <w:rFonts w:hint="eastAsia"/>
                <w:color w:val="auto"/>
                <w:sz w:val="18"/>
                <w:szCs w:val="18"/>
                <w:lang w:eastAsia="zh-CN"/>
              </w:rPr>
              <w:t>～</w:t>
            </w:r>
            <w:r>
              <w:rPr>
                <w:rFonts w:hint="eastAsia"/>
                <w:bCs/>
                <w:color w:val="auto"/>
                <w:szCs w:val="21"/>
                <w:lang w:eastAsia="zh-CN"/>
              </w:rPr>
              <w:t>司城</w:t>
            </w:r>
            <w:r>
              <w:rPr>
                <w:rFonts w:hint="eastAsia"/>
                <w:bCs/>
                <w:color w:val="auto"/>
                <w:szCs w:val="21"/>
              </w:rPr>
              <w:t>110kV</w:t>
            </w:r>
            <w:r>
              <w:rPr>
                <w:rFonts w:hint="eastAsia"/>
                <w:bCs/>
                <w:color w:val="auto"/>
                <w:szCs w:val="21"/>
                <w:lang w:val="en-US" w:eastAsia="zh-CN"/>
              </w:rPr>
              <w:t>线路工程</w:t>
            </w:r>
          </w:p>
          <w:p w14:paraId="43856EE8">
            <w:pPr>
              <w:spacing w:line="360" w:lineRule="auto"/>
              <w:ind w:firstLine="420" w:firstLineChars="200"/>
              <w:rPr>
                <w:bCs/>
                <w:color w:val="auto"/>
                <w:szCs w:val="21"/>
              </w:rPr>
            </w:pPr>
            <w:r>
              <w:rPr>
                <w:rFonts w:hint="eastAsia"/>
                <w:bCs/>
                <w:color w:val="auto"/>
                <w:szCs w:val="21"/>
              </w:rPr>
              <w:t>本项目架空段与工程区内其他110kV及以上既有输电线路有</w:t>
            </w:r>
            <w:r>
              <w:rPr>
                <w:rFonts w:hint="eastAsia"/>
                <w:bCs/>
                <w:color w:val="auto"/>
                <w:szCs w:val="21"/>
                <w:lang w:val="en-US" w:eastAsia="zh-CN"/>
              </w:rPr>
              <w:t>1</w:t>
            </w:r>
            <w:r>
              <w:rPr>
                <w:rFonts w:hint="eastAsia"/>
                <w:bCs/>
                <w:color w:val="auto"/>
                <w:szCs w:val="21"/>
              </w:rPr>
              <w:t>处交叉钻</w:t>
            </w:r>
            <w:r>
              <w:rPr>
                <w:rFonts w:hint="eastAsia"/>
                <w:bCs/>
                <w:color w:val="auto"/>
                <w:szCs w:val="21"/>
                <w:lang w:val="en-US" w:eastAsia="zh-CN"/>
              </w:rPr>
              <w:t>跨</w:t>
            </w:r>
            <w:r>
              <w:rPr>
                <w:rFonts w:hint="eastAsia"/>
                <w:bCs/>
                <w:color w:val="auto"/>
                <w:szCs w:val="21"/>
              </w:rPr>
              <w:t>越，</w:t>
            </w:r>
            <w:r>
              <w:rPr>
                <w:rFonts w:hint="eastAsia"/>
                <w:bCs/>
                <w:color w:val="auto"/>
                <w:szCs w:val="21"/>
                <w:lang w:val="en-US" w:eastAsia="zh-CN"/>
              </w:rPr>
              <w:t>钻越</w:t>
            </w:r>
            <w:r>
              <w:rPr>
                <w:rFonts w:hint="eastAsia" w:ascii="Times New Roman" w:hAnsi="Times New Roman" w:eastAsia="宋体" w:cs="Times New Roman"/>
                <w:bCs/>
                <w:color w:val="auto"/>
                <w:szCs w:val="21"/>
                <w:lang w:val="en-US" w:eastAsia="zh-CN"/>
              </w:rPr>
              <w:t>220kV</w:t>
            </w:r>
            <w:r>
              <w:rPr>
                <w:rFonts w:hint="eastAsia" w:cs="Times New Roman"/>
                <w:bCs/>
                <w:color w:val="auto"/>
                <w:szCs w:val="21"/>
                <w:lang w:val="en-US" w:eastAsia="zh-CN"/>
              </w:rPr>
              <w:t>巴观一、二线1</w:t>
            </w:r>
            <w:r>
              <w:rPr>
                <w:rFonts w:hint="eastAsia" w:ascii="Times New Roman" w:hAnsi="Times New Roman" w:eastAsia="宋体" w:cs="Times New Roman"/>
                <w:bCs/>
                <w:color w:val="auto"/>
                <w:szCs w:val="21"/>
                <w:lang w:val="en-US" w:eastAsia="zh-CN"/>
              </w:rPr>
              <w:t>次</w:t>
            </w:r>
            <w:r>
              <w:rPr>
                <w:rFonts w:hint="eastAsia"/>
                <w:bCs/>
                <w:color w:val="auto"/>
                <w:szCs w:val="21"/>
              </w:rPr>
              <w:t>。</w:t>
            </w:r>
            <w:r>
              <w:rPr>
                <w:rFonts w:hint="eastAsia"/>
                <w:color w:val="auto"/>
                <w:szCs w:val="21"/>
                <w:u w:val="single"/>
              </w:rPr>
              <w:t>本项目交叉钻越点处共同评价范围内无环境敏感目标</w:t>
            </w:r>
            <w:r>
              <w:rPr>
                <w:rFonts w:hint="eastAsia"/>
                <w:bCs/>
                <w:color w:val="auto"/>
                <w:szCs w:val="21"/>
              </w:rPr>
              <w:t>。</w:t>
            </w:r>
          </w:p>
          <w:p w14:paraId="4A186AC0">
            <w:pPr>
              <w:spacing w:line="360" w:lineRule="auto"/>
              <w:ind w:firstLine="420" w:firstLineChars="200"/>
              <w:rPr>
                <w:rFonts w:hAnsi="黑体" w:eastAsia="黑体"/>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钻</w:t>
            </w:r>
            <w:r>
              <w:rPr>
                <w:rFonts w:hint="eastAsia" w:ascii="Times New Roman" w:hAnsi="Times New Roman" w:cs="Times New Roman"/>
                <w:bCs/>
                <w:color w:val="000000" w:themeColor="text1"/>
                <w:szCs w:val="21"/>
                <w:highlight w:val="none"/>
                <w:lang w:val="en-US" w:eastAsia="zh-CN"/>
                <w14:textFill>
                  <w14:solidFill>
                    <w14:schemeClr w14:val="tx1"/>
                  </w14:solidFill>
                </w14:textFill>
              </w:rPr>
              <w:t>跨</w:t>
            </w:r>
            <w:r>
              <w:rPr>
                <w:rFonts w:hint="default" w:ascii="Times New Roman" w:hAnsi="Times New Roman" w:cs="Times New Roman"/>
                <w:bCs/>
                <w:color w:val="000000" w:themeColor="text1"/>
                <w:szCs w:val="21"/>
                <w:highlight w:val="none"/>
                <w14:textFill>
                  <w14:solidFill>
                    <w14:schemeClr w14:val="tx1"/>
                  </w14:solidFill>
                </w14:textFill>
              </w:rPr>
              <w:t>越既有线路情况见下表。</w:t>
            </w:r>
          </w:p>
          <w:p w14:paraId="3B88B816">
            <w:pPr>
              <w:jc w:val="center"/>
              <w:rPr>
                <w:rFonts w:hAnsi="黑体" w:eastAsia="黑体"/>
                <w:color w:val="000000" w:themeColor="text1"/>
                <w:szCs w:val="21"/>
                <w:highlight w:val="none"/>
                <w14:textFill>
                  <w14:solidFill>
                    <w14:schemeClr w14:val="tx1"/>
                  </w14:solidFill>
                </w14:textFill>
              </w:rPr>
            </w:pPr>
            <w:r>
              <w:rPr>
                <w:rFonts w:hAnsi="黑体" w:eastAsia="黑体"/>
                <w:color w:val="000000" w:themeColor="text1"/>
                <w:szCs w:val="21"/>
                <w:highlight w:val="none"/>
                <w14:textFill>
                  <w14:solidFill>
                    <w14:schemeClr w14:val="tx1"/>
                  </w14:solidFill>
                </w14:textFill>
              </w:rPr>
              <w:t>表</w:t>
            </w:r>
            <w:r>
              <w:rPr>
                <w:rFonts w:hint="eastAsia" w:eastAsia="黑体"/>
                <w:color w:val="000000" w:themeColor="text1"/>
                <w:szCs w:val="21"/>
                <w:highlight w:val="none"/>
                <w14:textFill>
                  <w14:solidFill>
                    <w14:schemeClr w14:val="tx1"/>
                  </w14:solidFill>
                </w14:textFill>
              </w:rPr>
              <w:t>2</w:t>
            </w:r>
            <w:r>
              <w:rPr>
                <w:rFonts w:eastAsia="黑体"/>
                <w:color w:val="000000" w:themeColor="text1"/>
                <w:szCs w:val="21"/>
                <w:highlight w:val="none"/>
                <w14:textFill>
                  <w14:solidFill>
                    <w14:schemeClr w14:val="tx1"/>
                  </w14:solidFill>
                </w14:textFill>
              </w:rPr>
              <w:t>-</w:t>
            </w:r>
            <w:r>
              <w:rPr>
                <w:rFonts w:hint="eastAsia" w:eastAsia="黑体"/>
                <w:color w:val="000000" w:themeColor="text1"/>
                <w:szCs w:val="21"/>
                <w:highlight w:val="none"/>
                <w:lang w:val="en-US" w:eastAsia="zh-CN"/>
                <w14:textFill>
                  <w14:solidFill>
                    <w14:schemeClr w14:val="tx1"/>
                  </w14:solidFill>
                </w14:textFill>
              </w:rPr>
              <w:t>11</w:t>
            </w:r>
            <w:r>
              <w:rPr>
                <w:rFonts w:eastAsia="黑体"/>
                <w:color w:val="000000" w:themeColor="text1"/>
                <w:szCs w:val="21"/>
                <w:highlight w:val="none"/>
                <w14:textFill>
                  <w14:solidFill>
                    <w14:schemeClr w14:val="tx1"/>
                  </w14:solidFill>
                </w14:textFill>
              </w:rPr>
              <w:t xml:space="preserve">  </w:t>
            </w:r>
            <w:r>
              <w:rPr>
                <w:rFonts w:hint="eastAsia" w:eastAsia="黑体"/>
                <w:color w:val="000000" w:themeColor="text1"/>
                <w:szCs w:val="21"/>
                <w:highlight w:val="none"/>
                <w14:textFill>
                  <w14:solidFill>
                    <w14:schemeClr w14:val="tx1"/>
                  </w14:solidFill>
                </w14:textFill>
              </w:rPr>
              <w:t>盘兴～司城</w:t>
            </w:r>
            <w:r>
              <w:rPr>
                <w:rFonts w:hint="eastAsia" w:hAnsi="黑体" w:eastAsia="黑体"/>
                <w:color w:val="000000" w:themeColor="text1"/>
                <w:szCs w:val="21"/>
                <w:highlight w:val="none"/>
                <w:lang w:val="en-US" w:eastAsia="zh-CN"/>
                <w14:textFill>
                  <w14:solidFill>
                    <w14:schemeClr w14:val="tx1"/>
                  </w14:solidFill>
                </w14:textFill>
              </w:rPr>
              <w:t>110kV线路工程</w:t>
            </w:r>
            <w:r>
              <w:rPr>
                <w:rFonts w:hAnsi="黑体" w:eastAsia="黑体"/>
                <w:color w:val="000000" w:themeColor="text1"/>
                <w:szCs w:val="21"/>
                <w:highlight w:val="none"/>
                <w14:textFill>
                  <w14:solidFill>
                    <w14:schemeClr w14:val="tx1"/>
                  </w14:solidFill>
                </w14:textFill>
              </w:rPr>
              <w:t>钻越</w:t>
            </w:r>
            <w:r>
              <w:rPr>
                <w:rFonts w:hint="eastAsia" w:hAnsi="黑体" w:eastAsia="黑体"/>
                <w:color w:val="000000" w:themeColor="text1"/>
                <w:szCs w:val="21"/>
                <w:highlight w:val="none"/>
                <w14:textFill>
                  <w14:solidFill>
                    <w14:schemeClr w14:val="tx1"/>
                  </w14:solidFill>
                </w14:textFill>
              </w:rPr>
              <w:t>既有线路</w:t>
            </w:r>
            <w:r>
              <w:rPr>
                <w:rFonts w:hAnsi="黑体" w:eastAsia="黑体"/>
                <w:color w:val="000000" w:themeColor="text1"/>
                <w:szCs w:val="21"/>
                <w:highlight w:val="none"/>
                <w14:textFill>
                  <w14:solidFill>
                    <w14:schemeClr w14:val="tx1"/>
                  </w14:solidFill>
                </w14:textFill>
              </w:rPr>
              <w:t>情况</w:t>
            </w:r>
            <w:r>
              <w:rPr>
                <w:rFonts w:hint="eastAsia" w:hAnsi="黑体" w:eastAsia="黑体"/>
                <w:color w:val="000000" w:themeColor="text1"/>
                <w:szCs w:val="21"/>
                <w:highlight w:val="none"/>
                <w14:textFill>
                  <w14:solidFill>
                    <w14:schemeClr w14:val="tx1"/>
                  </w14:solidFill>
                </w14:textFill>
              </w:rPr>
              <w:t>一览表</w:t>
            </w:r>
          </w:p>
          <w:tbl>
            <w:tblPr>
              <w:tblStyle w:val="25"/>
              <w:tblW w:w="499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465"/>
              <w:gridCol w:w="1003"/>
              <w:gridCol w:w="1027"/>
              <w:gridCol w:w="1216"/>
              <w:gridCol w:w="734"/>
              <w:gridCol w:w="807"/>
              <w:gridCol w:w="822"/>
              <w:gridCol w:w="763"/>
            </w:tblGrid>
            <w:tr w14:paraId="6E39C7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55" w:type="pct"/>
                  <w:tcBorders>
                    <w:tl2br w:val="nil"/>
                    <w:tr2bl w:val="nil"/>
                  </w:tcBorders>
                  <w:vAlign w:val="center"/>
                </w:tcPr>
                <w:p w14:paraId="30050F6D">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被交叉钻越线路名称</w:t>
                  </w:r>
                </w:p>
              </w:tc>
              <w:tc>
                <w:tcPr>
                  <w:tcW w:w="268" w:type="pct"/>
                  <w:tcBorders>
                    <w:tl2br w:val="nil"/>
                    <w:tr2bl w:val="nil"/>
                  </w:tcBorders>
                  <w:vAlign w:val="center"/>
                </w:tcPr>
                <w:p w14:paraId="627C8B21">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交叉方式</w:t>
                  </w:r>
                </w:p>
              </w:tc>
              <w:tc>
                <w:tcPr>
                  <w:tcW w:w="578" w:type="pct"/>
                  <w:tcBorders>
                    <w:tl2br w:val="nil"/>
                    <w:tr2bl w:val="nil"/>
                  </w:tcBorders>
                  <w:vAlign w:val="center"/>
                </w:tcPr>
                <w:p w14:paraId="7854D495">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被交叉线路交叉点处最低导线高度（m）</w:t>
                  </w:r>
                </w:p>
              </w:tc>
              <w:tc>
                <w:tcPr>
                  <w:tcW w:w="592" w:type="pct"/>
                  <w:tcBorders>
                    <w:tl2br w:val="nil"/>
                    <w:tr2bl w:val="nil"/>
                  </w:tcBorders>
                  <w:vAlign w:val="center"/>
                </w:tcPr>
                <w:p w14:paraId="70B638ED">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本项目线路设计架设</w:t>
                  </w:r>
                  <w:r>
                    <w:rPr>
                      <w:rFonts w:hint="eastAsia" w:cs="Times New Roman"/>
                      <w:color w:val="000000" w:themeColor="text1"/>
                      <w:sz w:val="18"/>
                      <w:szCs w:val="18"/>
                      <w:highlight w:val="none"/>
                      <w:lang w:val="en-US" w:eastAsia="zh-CN"/>
                      <w14:textFill>
                        <w14:solidFill>
                          <w14:schemeClr w14:val="tx1"/>
                        </w14:solidFill>
                      </w14:textFill>
                    </w:rPr>
                    <w:t>最低</w:t>
                  </w:r>
                  <w:r>
                    <w:rPr>
                      <w:rFonts w:hint="default" w:ascii="Times New Roman" w:hAnsi="Times New Roman" w:eastAsia="宋体" w:cs="Times New Roman"/>
                      <w:color w:val="000000" w:themeColor="text1"/>
                      <w:sz w:val="18"/>
                      <w:szCs w:val="18"/>
                      <w:highlight w:val="none"/>
                      <w14:textFill>
                        <w14:solidFill>
                          <w14:schemeClr w14:val="tx1"/>
                        </w14:solidFill>
                      </w14:textFill>
                    </w:rPr>
                    <w:t>高度（m）</w:t>
                  </w:r>
                </w:p>
              </w:tc>
              <w:tc>
                <w:tcPr>
                  <w:tcW w:w="701" w:type="pct"/>
                  <w:tcBorders>
                    <w:tl2br w:val="nil"/>
                    <w:tr2bl w:val="nil"/>
                  </w:tcBorders>
                  <w:vAlign w:val="center"/>
                </w:tcPr>
                <w:p w14:paraId="1DBC11EE">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本项目线路通信线与最低相导线距离（m）</w:t>
                  </w:r>
                </w:p>
              </w:tc>
              <w:tc>
                <w:tcPr>
                  <w:tcW w:w="423" w:type="pct"/>
                  <w:tcBorders>
                    <w:tl2br w:val="nil"/>
                    <w:tr2bl w:val="nil"/>
                  </w:tcBorders>
                  <w:vAlign w:val="center"/>
                </w:tcPr>
                <w:p w14:paraId="2C79E631">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规范要求间距（m）</w:t>
                  </w:r>
                </w:p>
              </w:tc>
              <w:tc>
                <w:tcPr>
                  <w:tcW w:w="465" w:type="pct"/>
                  <w:tcBorders>
                    <w:tl2br w:val="nil"/>
                    <w:tr2bl w:val="nil"/>
                  </w:tcBorders>
                  <w:vAlign w:val="center"/>
                </w:tcPr>
                <w:p w14:paraId="64EAA09D">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满足现行规范下的实际距离（m）</w:t>
                  </w:r>
                </w:p>
              </w:tc>
              <w:tc>
                <w:tcPr>
                  <w:tcW w:w="474" w:type="pct"/>
                  <w:tcBorders>
                    <w:tl2br w:val="nil"/>
                    <w:tr2bl w:val="nil"/>
                  </w:tcBorders>
                  <w:vAlign w:val="center"/>
                </w:tcPr>
                <w:p w14:paraId="64890195">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被交叉线路情况</w:t>
                  </w:r>
                </w:p>
              </w:tc>
              <w:tc>
                <w:tcPr>
                  <w:tcW w:w="440" w:type="pct"/>
                  <w:tcBorders>
                    <w:tl2br w:val="nil"/>
                    <w:tr2bl w:val="nil"/>
                  </w:tcBorders>
                  <w:vAlign w:val="center"/>
                </w:tcPr>
                <w:p w14:paraId="44D08E84">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交叉处杆塔号</w:t>
                  </w:r>
                </w:p>
              </w:tc>
            </w:tr>
            <w:tr w14:paraId="54B1E7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55" w:type="pct"/>
                  <w:tcBorders>
                    <w:tl2br w:val="nil"/>
                    <w:tr2bl w:val="nil"/>
                  </w:tcBorders>
                  <w:vAlign w:val="center"/>
                </w:tcPr>
                <w:p w14:paraId="683FE799">
                  <w:pPr>
                    <w:ind w:left="-105" w:leftChars="-50" w:right="-105" w:rightChars="-50"/>
                    <w:jc w:val="center"/>
                    <w:rPr>
                      <w:rFonts w:hint="default" w:ascii="Times New Roman" w:hAnsi="Times New Roman" w:eastAsia="宋体" w:cs="Times New Roman"/>
                      <w:color w:val="000000" w:themeColor="text1"/>
                      <w:sz w:val="18"/>
                      <w:szCs w:val="18"/>
                      <w:highlight w:val="none"/>
                      <w:lang w:val="en-US"/>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220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kV</w:t>
                  </w:r>
                  <w:r>
                    <w:rPr>
                      <w:rFonts w:hint="eastAsia" w:cs="Times New Roman"/>
                      <w:color w:val="000000" w:themeColor="text1"/>
                      <w:sz w:val="18"/>
                      <w:szCs w:val="18"/>
                      <w:highlight w:val="none"/>
                      <w:lang w:val="en-US" w:eastAsia="zh-CN"/>
                      <w14:textFill>
                        <w14:solidFill>
                          <w14:schemeClr w14:val="tx1"/>
                        </w14:solidFill>
                      </w14:textFill>
                    </w:rPr>
                    <w:t>巴观一、二线</w:t>
                  </w:r>
                </w:p>
              </w:tc>
              <w:tc>
                <w:tcPr>
                  <w:tcW w:w="268" w:type="pct"/>
                  <w:tcBorders>
                    <w:tl2br w:val="nil"/>
                    <w:tr2bl w:val="nil"/>
                  </w:tcBorders>
                  <w:vAlign w:val="center"/>
                </w:tcPr>
                <w:p w14:paraId="2257F833">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钻越</w:t>
                  </w:r>
                </w:p>
              </w:tc>
              <w:tc>
                <w:tcPr>
                  <w:tcW w:w="578" w:type="pct"/>
                  <w:tcBorders>
                    <w:tl2br w:val="nil"/>
                    <w:tr2bl w:val="nil"/>
                  </w:tcBorders>
                  <w:vAlign w:val="center"/>
                </w:tcPr>
                <w:p w14:paraId="37CD45F5">
                  <w:pPr>
                    <w:ind w:left="-105" w:leftChars="-50" w:right="-105" w:rightChars="-50"/>
                    <w:jc w:val="center"/>
                    <w:rPr>
                      <w:rFonts w:hint="default" w:ascii="Times New Roman" w:hAnsi="Times New Roman" w:eastAsia="宋体" w:cs="Times New Roman"/>
                      <w:color w:val="000000" w:themeColor="text1"/>
                      <w:sz w:val="18"/>
                      <w:szCs w:val="18"/>
                      <w:highlight w:val="yellow"/>
                      <w:lang w:val="en-US" w:eastAsia="zh-CN"/>
                      <w14:textFill>
                        <w14:solidFill>
                          <w14:schemeClr w14:val="tx1"/>
                        </w14:solidFill>
                      </w14:textFill>
                    </w:rPr>
                  </w:pPr>
                  <w:r>
                    <w:rPr>
                      <w:rFonts w:hint="eastAsia" w:cs="Times New Roman"/>
                      <w:color w:val="auto"/>
                      <w:sz w:val="18"/>
                      <w:szCs w:val="18"/>
                      <w:highlight w:val="none"/>
                      <w:lang w:val="en-US" w:eastAsia="zh-CN"/>
                    </w:rPr>
                    <w:t>26</w:t>
                  </w:r>
                </w:p>
              </w:tc>
              <w:tc>
                <w:tcPr>
                  <w:tcW w:w="592" w:type="pct"/>
                  <w:tcBorders>
                    <w:tl2br w:val="nil"/>
                    <w:tr2bl w:val="nil"/>
                  </w:tcBorders>
                  <w:vAlign w:val="center"/>
                </w:tcPr>
                <w:p w14:paraId="23CDAAC6">
                  <w:pPr>
                    <w:ind w:left="-105" w:leftChars="-50" w:right="-105" w:rightChars="-50"/>
                    <w:jc w:val="center"/>
                    <w:rPr>
                      <w:rFonts w:hint="default" w:ascii="Times New Roman" w:hAnsi="Times New Roman" w:eastAsia="宋体" w:cs="Times New Roman"/>
                      <w:color w:val="000000" w:themeColor="text1"/>
                      <w:sz w:val="18"/>
                      <w:szCs w:val="18"/>
                      <w:highlight w:val="yellow"/>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11</w:t>
                  </w:r>
                </w:p>
              </w:tc>
              <w:tc>
                <w:tcPr>
                  <w:tcW w:w="701" w:type="pct"/>
                  <w:tcBorders>
                    <w:tl2br w:val="nil"/>
                    <w:tr2bl w:val="nil"/>
                  </w:tcBorders>
                  <w:vAlign w:val="center"/>
                </w:tcPr>
                <w:p w14:paraId="33213EFD">
                  <w:pPr>
                    <w:ind w:left="-105" w:leftChars="-50" w:right="-105" w:rightChars="-5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9.5</w:t>
                  </w:r>
                </w:p>
              </w:tc>
              <w:tc>
                <w:tcPr>
                  <w:tcW w:w="423" w:type="pct"/>
                  <w:tcBorders>
                    <w:tl2br w:val="nil"/>
                    <w:tr2bl w:val="nil"/>
                  </w:tcBorders>
                  <w:vAlign w:val="center"/>
                </w:tcPr>
                <w:p w14:paraId="346004F1">
                  <w:pPr>
                    <w:ind w:left="-105" w:leftChars="-50" w:right="-105" w:rightChars="-50"/>
                    <w:jc w:val="center"/>
                    <w:rPr>
                      <w:rFonts w:hint="default" w:ascii="Times New Roman" w:hAnsi="Times New Roman" w:eastAsia="宋体" w:cs="Times New Roman"/>
                      <w:color w:val="000000" w:themeColor="text1"/>
                      <w:sz w:val="18"/>
                      <w:szCs w:val="18"/>
                      <w:highlight w:val="yellow"/>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4</w:t>
                  </w:r>
                </w:p>
              </w:tc>
              <w:tc>
                <w:tcPr>
                  <w:tcW w:w="465" w:type="pct"/>
                  <w:tcBorders>
                    <w:tl2br w:val="nil"/>
                    <w:tr2bl w:val="nil"/>
                  </w:tcBorders>
                  <w:vAlign w:val="center"/>
                </w:tcPr>
                <w:p w14:paraId="4DA0BB2A">
                  <w:pPr>
                    <w:ind w:left="-105" w:leftChars="-50" w:right="-105" w:rightChars="-5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5.5</w:t>
                  </w:r>
                </w:p>
              </w:tc>
              <w:tc>
                <w:tcPr>
                  <w:tcW w:w="474" w:type="pct"/>
                  <w:tcBorders>
                    <w:tl2br w:val="nil"/>
                    <w:tr2bl w:val="nil"/>
                  </w:tcBorders>
                  <w:vAlign w:val="center"/>
                </w:tcPr>
                <w:p w14:paraId="281A450F">
                  <w:pPr>
                    <w:ind w:left="-105" w:leftChars="-50" w:right="-105" w:rightChars="-50"/>
                    <w:jc w:val="center"/>
                    <w:rPr>
                      <w:rFonts w:hint="default" w:ascii="Times New Roman" w:hAnsi="Times New Roman" w:eastAsia="宋体" w:cs="Times New Roman"/>
                      <w:color w:val="000000" w:themeColor="text1"/>
                      <w:sz w:val="18"/>
                      <w:szCs w:val="18"/>
                      <w:highlight w:val="yellow"/>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正常运行</w:t>
                  </w:r>
                </w:p>
              </w:tc>
              <w:tc>
                <w:tcPr>
                  <w:tcW w:w="440" w:type="pct"/>
                  <w:tcBorders>
                    <w:tl2br w:val="nil"/>
                    <w:tr2bl w:val="nil"/>
                  </w:tcBorders>
                  <w:vAlign w:val="center"/>
                </w:tcPr>
                <w:p w14:paraId="0DF691E3">
                  <w:pPr>
                    <w:ind w:left="-105" w:leftChars="-50" w:right="-105" w:rightChars="-5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128-129#</w:t>
                  </w:r>
                </w:p>
              </w:tc>
            </w:tr>
          </w:tbl>
          <w:p w14:paraId="6203A2CE">
            <w:pPr>
              <w:spacing w:line="360" w:lineRule="auto"/>
              <w:ind w:firstLine="420" w:firstLineChars="200"/>
              <w:rPr>
                <w:rFonts w:hint="default" w:ascii="Times New Roman" w:hAnsi="Times New Roman" w:cs="Times New Roman"/>
                <w:bCs/>
                <w:color w:val="000000" w:themeColor="text1"/>
                <w:szCs w:val="21"/>
                <w:highlight w:val="none"/>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②</w:t>
            </w:r>
            <w:r>
              <w:rPr>
                <w:rFonts w:hint="eastAsia"/>
                <w:bCs/>
                <w:color w:val="auto"/>
                <w:szCs w:val="21"/>
                <w:lang w:val="en-US" w:eastAsia="zh-CN"/>
              </w:rPr>
              <w:t>印合</w:t>
            </w:r>
            <w:r>
              <w:rPr>
                <w:rFonts w:hint="eastAsia"/>
                <w:color w:val="auto"/>
                <w:sz w:val="18"/>
                <w:szCs w:val="18"/>
                <w:lang w:eastAsia="zh-CN"/>
              </w:rPr>
              <w:t>～</w:t>
            </w:r>
            <w:r>
              <w:rPr>
                <w:rFonts w:hint="eastAsia"/>
                <w:bCs/>
                <w:color w:val="auto"/>
                <w:szCs w:val="21"/>
                <w:lang w:eastAsia="zh-CN"/>
              </w:rPr>
              <w:t>司城</w:t>
            </w:r>
            <w:r>
              <w:rPr>
                <w:rFonts w:hint="eastAsia" w:cs="Times New Roman"/>
                <w:bCs/>
                <w:color w:val="000000" w:themeColor="text1"/>
                <w:szCs w:val="21"/>
                <w:highlight w:val="none"/>
                <w:lang w:val="en-US" w:eastAsia="zh-CN"/>
                <w14:textFill>
                  <w14:solidFill>
                    <w14:schemeClr w14:val="tx1"/>
                  </w14:solidFill>
                </w14:textFill>
              </w:rPr>
              <w:t>110kV线路工程</w:t>
            </w:r>
          </w:p>
          <w:p w14:paraId="443D2EA8">
            <w:pPr>
              <w:spacing w:line="360" w:lineRule="auto"/>
              <w:ind w:firstLine="420" w:firstLineChars="200"/>
              <w:rPr>
                <w:rFonts w:hint="default" w:ascii="Times New Roman" w:hAnsi="Times New Roman" w:cs="Times New Roman"/>
                <w:bCs/>
                <w:color w:val="000000" w:themeColor="text1"/>
                <w:szCs w:val="21"/>
                <w:highlight w:val="none"/>
                <w:lang w:val="en-US"/>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本</w:t>
            </w:r>
            <w:r>
              <w:rPr>
                <w:rFonts w:hint="eastAsia" w:ascii="Times New Roman" w:hAnsi="Times New Roman" w:cs="Times New Roman"/>
                <w:bCs/>
                <w:color w:val="000000" w:themeColor="text1"/>
                <w:szCs w:val="21"/>
                <w:highlight w:val="none"/>
                <w:lang w:val="en-US" w:eastAsia="zh-CN"/>
                <w14:textFill>
                  <w14:solidFill>
                    <w14:schemeClr w14:val="tx1"/>
                  </w14:solidFill>
                </w14:textFill>
              </w:rPr>
              <w:t>段线路工程</w:t>
            </w:r>
            <w:r>
              <w:rPr>
                <w:rFonts w:hint="default" w:ascii="Times New Roman" w:hAnsi="Times New Roman" w:cs="Times New Roman"/>
                <w:bCs/>
                <w:color w:val="000000" w:themeColor="text1"/>
                <w:szCs w:val="21"/>
                <w:highlight w:val="none"/>
                <w14:textFill>
                  <w14:solidFill>
                    <w14:schemeClr w14:val="tx1"/>
                  </w14:solidFill>
                </w14:textFill>
              </w:rPr>
              <w:t>与其他110kV及</w:t>
            </w:r>
            <w:r>
              <w:rPr>
                <w:rFonts w:hint="eastAsia"/>
                <w:bCs/>
                <w:color w:val="auto"/>
                <w:szCs w:val="21"/>
              </w:rPr>
              <w:t>工程区内其他110kV及以上既有输电线路有</w:t>
            </w:r>
            <w:r>
              <w:rPr>
                <w:rFonts w:hint="eastAsia"/>
                <w:bCs/>
                <w:color w:val="auto"/>
                <w:szCs w:val="21"/>
                <w:lang w:val="en-US" w:eastAsia="zh-CN"/>
              </w:rPr>
              <w:t>1</w:t>
            </w:r>
            <w:r>
              <w:rPr>
                <w:rFonts w:hint="eastAsia"/>
                <w:bCs/>
                <w:color w:val="auto"/>
                <w:szCs w:val="21"/>
              </w:rPr>
              <w:t>处交叉钻</w:t>
            </w:r>
            <w:r>
              <w:rPr>
                <w:rFonts w:hint="eastAsia"/>
                <w:bCs/>
                <w:color w:val="auto"/>
                <w:szCs w:val="21"/>
                <w:lang w:val="en-US" w:eastAsia="zh-CN"/>
              </w:rPr>
              <w:t>跨</w:t>
            </w:r>
            <w:r>
              <w:rPr>
                <w:rFonts w:hint="eastAsia"/>
                <w:bCs/>
                <w:color w:val="auto"/>
                <w:szCs w:val="21"/>
              </w:rPr>
              <w:t>越，</w:t>
            </w:r>
            <w:r>
              <w:rPr>
                <w:rFonts w:hint="eastAsia"/>
                <w:bCs/>
                <w:color w:val="auto"/>
                <w:szCs w:val="21"/>
                <w:lang w:val="en-US" w:eastAsia="zh-CN"/>
              </w:rPr>
              <w:t>钻越</w:t>
            </w:r>
            <w:r>
              <w:rPr>
                <w:rFonts w:hint="eastAsia" w:cs="Times New Roman"/>
                <w:bCs/>
                <w:color w:val="auto"/>
                <w:szCs w:val="21"/>
                <w:lang w:val="en-US" w:eastAsia="zh-CN"/>
              </w:rPr>
              <w:t>500</w:t>
            </w:r>
            <w:r>
              <w:rPr>
                <w:rFonts w:hint="eastAsia" w:ascii="Times New Roman" w:hAnsi="Times New Roman" w:eastAsia="宋体" w:cs="Times New Roman"/>
                <w:bCs/>
                <w:color w:val="auto"/>
                <w:szCs w:val="21"/>
                <w:lang w:val="en-US" w:eastAsia="zh-CN"/>
              </w:rPr>
              <w:t>kV</w:t>
            </w:r>
            <w:r>
              <w:rPr>
                <w:rFonts w:hint="eastAsia" w:cs="Times New Roman"/>
                <w:bCs/>
                <w:color w:val="auto"/>
                <w:szCs w:val="21"/>
                <w:lang w:val="en-US" w:eastAsia="zh-CN"/>
              </w:rPr>
              <w:t>昭中一、二线1</w:t>
            </w:r>
            <w:r>
              <w:rPr>
                <w:rFonts w:hint="eastAsia" w:ascii="Times New Roman" w:hAnsi="Times New Roman" w:eastAsia="宋体" w:cs="Times New Roman"/>
                <w:bCs/>
                <w:color w:val="auto"/>
                <w:szCs w:val="21"/>
                <w:lang w:val="en-US" w:eastAsia="zh-CN"/>
              </w:rPr>
              <w:t>次</w:t>
            </w:r>
            <w:r>
              <w:rPr>
                <w:rFonts w:hint="eastAsia"/>
                <w:bCs/>
                <w:color w:val="auto"/>
                <w:szCs w:val="21"/>
              </w:rPr>
              <w:t>。</w:t>
            </w:r>
            <w:r>
              <w:rPr>
                <w:rFonts w:hint="eastAsia"/>
                <w:color w:val="auto"/>
                <w:szCs w:val="21"/>
                <w:u w:val="single"/>
              </w:rPr>
              <w:t>本项目交叉钻越点处共同评价范围内无环境敏感目标</w:t>
            </w:r>
            <w:r>
              <w:rPr>
                <w:rFonts w:hint="eastAsia"/>
                <w:bCs/>
                <w:color w:val="auto"/>
                <w:szCs w:val="21"/>
                <w:highlight w:val="none"/>
              </w:rPr>
              <w:t>。</w:t>
            </w:r>
          </w:p>
          <w:p w14:paraId="52DAA1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Cs/>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钻</w:t>
            </w:r>
            <w:r>
              <w:rPr>
                <w:rFonts w:hint="eastAsia" w:ascii="Times New Roman" w:hAnsi="Times New Roman" w:cs="Times New Roman"/>
                <w:bCs/>
                <w:color w:val="000000" w:themeColor="text1"/>
                <w:szCs w:val="21"/>
                <w:highlight w:val="none"/>
                <w:lang w:val="en-US" w:eastAsia="zh-CN"/>
                <w14:textFill>
                  <w14:solidFill>
                    <w14:schemeClr w14:val="tx1"/>
                  </w14:solidFill>
                </w14:textFill>
              </w:rPr>
              <w:t>跨</w:t>
            </w:r>
            <w:r>
              <w:rPr>
                <w:rFonts w:hint="default" w:ascii="Times New Roman" w:hAnsi="Times New Roman" w:cs="Times New Roman"/>
                <w:bCs/>
                <w:color w:val="000000" w:themeColor="text1"/>
                <w:szCs w:val="21"/>
                <w:highlight w:val="none"/>
                <w14:textFill>
                  <w14:solidFill>
                    <w14:schemeClr w14:val="tx1"/>
                  </w14:solidFill>
                </w14:textFill>
              </w:rPr>
              <w:t>越既有线路情况见下表。</w:t>
            </w:r>
          </w:p>
          <w:p w14:paraId="2DE112E6">
            <w:pPr>
              <w:jc w:val="center"/>
              <w:rPr>
                <w:rFonts w:hAnsi="黑体" w:eastAsia="黑体"/>
                <w:color w:val="000000" w:themeColor="text1"/>
                <w:szCs w:val="21"/>
                <w:highlight w:val="none"/>
                <w14:textFill>
                  <w14:solidFill>
                    <w14:schemeClr w14:val="tx1"/>
                  </w14:solidFill>
                </w14:textFill>
              </w:rPr>
            </w:pPr>
            <w:r>
              <w:rPr>
                <w:rFonts w:hAnsi="黑体" w:eastAsia="黑体"/>
                <w:color w:val="000000" w:themeColor="text1"/>
                <w:szCs w:val="21"/>
                <w:highlight w:val="none"/>
                <w14:textFill>
                  <w14:solidFill>
                    <w14:schemeClr w14:val="tx1"/>
                  </w14:solidFill>
                </w14:textFill>
              </w:rPr>
              <w:t>表</w:t>
            </w:r>
            <w:r>
              <w:rPr>
                <w:rFonts w:hint="eastAsia" w:eastAsia="黑体"/>
                <w:color w:val="000000" w:themeColor="text1"/>
                <w:szCs w:val="21"/>
                <w:highlight w:val="none"/>
                <w14:textFill>
                  <w14:solidFill>
                    <w14:schemeClr w14:val="tx1"/>
                  </w14:solidFill>
                </w14:textFill>
              </w:rPr>
              <w:t>2</w:t>
            </w:r>
            <w:r>
              <w:rPr>
                <w:rFonts w:eastAsia="黑体"/>
                <w:color w:val="000000" w:themeColor="text1"/>
                <w:szCs w:val="21"/>
                <w:highlight w:val="none"/>
                <w14:textFill>
                  <w14:solidFill>
                    <w14:schemeClr w14:val="tx1"/>
                  </w14:solidFill>
                </w14:textFill>
              </w:rPr>
              <w:t>-</w:t>
            </w:r>
            <w:r>
              <w:rPr>
                <w:rFonts w:hint="eastAsia" w:eastAsia="黑体"/>
                <w:color w:val="000000" w:themeColor="text1"/>
                <w:szCs w:val="21"/>
                <w:highlight w:val="none"/>
                <w:lang w:val="en-US" w:eastAsia="zh-CN"/>
                <w14:textFill>
                  <w14:solidFill>
                    <w14:schemeClr w14:val="tx1"/>
                  </w14:solidFill>
                </w14:textFill>
              </w:rPr>
              <w:t>12</w:t>
            </w:r>
            <w:r>
              <w:rPr>
                <w:rFonts w:eastAsia="黑体"/>
                <w:color w:val="000000" w:themeColor="text1"/>
                <w:szCs w:val="21"/>
                <w:highlight w:val="none"/>
                <w14:textFill>
                  <w14:solidFill>
                    <w14:schemeClr w14:val="tx1"/>
                  </w14:solidFill>
                </w14:textFill>
              </w:rPr>
              <w:t xml:space="preserve">  </w:t>
            </w:r>
            <w:r>
              <w:rPr>
                <w:rFonts w:hint="eastAsia" w:eastAsia="黑体"/>
                <w:color w:val="000000" w:themeColor="text1"/>
                <w:szCs w:val="21"/>
                <w:highlight w:val="none"/>
                <w14:textFill>
                  <w14:solidFill>
                    <w14:schemeClr w14:val="tx1"/>
                  </w14:solidFill>
                </w14:textFill>
              </w:rPr>
              <w:t>印合～司城</w:t>
            </w:r>
            <w:r>
              <w:rPr>
                <w:rFonts w:hint="eastAsia" w:hAnsi="黑体" w:eastAsia="黑体"/>
                <w:color w:val="000000" w:themeColor="text1"/>
                <w:szCs w:val="21"/>
                <w:highlight w:val="none"/>
                <w:lang w:val="en-US" w:eastAsia="zh-CN"/>
                <w14:textFill>
                  <w14:solidFill>
                    <w14:schemeClr w14:val="tx1"/>
                  </w14:solidFill>
                </w14:textFill>
              </w:rPr>
              <w:t>110kV线路工程</w:t>
            </w:r>
            <w:r>
              <w:rPr>
                <w:rFonts w:hAnsi="黑体" w:eastAsia="黑体"/>
                <w:color w:val="000000" w:themeColor="text1"/>
                <w:szCs w:val="21"/>
                <w:highlight w:val="none"/>
                <w14:textFill>
                  <w14:solidFill>
                    <w14:schemeClr w14:val="tx1"/>
                  </w14:solidFill>
                </w14:textFill>
              </w:rPr>
              <w:t>钻越</w:t>
            </w:r>
            <w:r>
              <w:rPr>
                <w:rFonts w:hint="eastAsia" w:hAnsi="黑体" w:eastAsia="黑体"/>
                <w:color w:val="000000" w:themeColor="text1"/>
                <w:szCs w:val="21"/>
                <w:highlight w:val="none"/>
                <w14:textFill>
                  <w14:solidFill>
                    <w14:schemeClr w14:val="tx1"/>
                  </w14:solidFill>
                </w14:textFill>
              </w:rPr>
              <w:t>既有线路</w:t>
            </w:r>
            <w:r>
              <w:rPr>
                <w:rFonts w:hAnsi="黑体" w:eastAsia="黑体"/>
                <w:color w:val="000000" w:themeColor="text1"/>
                <w:szCs w:val="21"/>
                <w:highlight w:val="none"/>
                <w14:textFill>
                  <w14:solidFill>
                    <w14:schemeClr w14:val="tx1"/>
                  </w14:solidFill>
                </w14:textFill>
              </w:rPr>
              <w:t>情况</w:t>
            </w:r>
            <w:r>
              <w:rPr>
                <w:rFonts w:hint="eastAsia" w:hAnsi="黑体" w:eastAsia="黑体"/>
                <w:color w:val="000000" w:themeColor="text1"/>
                <w:szCs w:val="21"/>
                <w:highlight w:val="none"/>
                <w14:textFill>
                  <w14:solidFill>
                    <w14:schemeClr w14:val="tx1"/>
                  </w14:solidFill>
                </w14:textFill>
              </w:rPr>
              <w:t>一览表</w:t>
            </w:r>
          </w:p>
          <w:tbl>
            <w:tblPr>
              <w:tblStyle w:val="25"/>
              <w:tblW w:w="4994"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4"/>
              <w:gridCol w:w="511"/>
              <w:gridCol w:w="1009"/>
              <w:gridCol w:w="1033"/>
              <w:gridCol w:w="1188"/>
              <w:gridCol w:w="733"/>
              <w:gridCol w:w="742"/>
              <w:gridCol w:w="775"/>
              <w:gridCol w:w="886"/>
            </w:tblGrid>
            <w:tr w14:paraId="4D61EE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9" w:type="pct"/>
                  <w:tcBorders>
                    <w:tl2br w:val="nil"/>
                    <w:tr2bl w:val="nil"/>
                  </w:tcBorders>
                  <w:vAlign w:val="center"/>
                </w:tcPr>
                <w:p w14:paraId="4DE3CA4D">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被交叉钻越线路名称</w:t>
                  </w:r>
                </w:p>
              </w:tc>
              <w:tc>
                <w:tcPr>
                  <w:tcW w:w="295" w:type="pct"/>
                  <w:tcBorders>
                    <w:tl2br w:val="nil"/>
                    <w:tr2bl w:val="nil"/>
                  </w:tcBorders>
                  <w:vAlign w:val="center"/>
                </w:tcPr>
                <w:p w14:paraId="091E3512">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交叉方式</w:t>
                  </w:r>
                </w:p>
              </w:tc>
              <w:tc>
                <w:tcPr>
                  <w:tcW w:w="582" w:type="pct"/>
                  <w:tcBorders>
                    <w:tl2br w:val="nil"/>
                    <w:tr2bl w:val="nil"/>
                  </w:tcBorders>
                  <w:vAlign w:val="center"/>
                </w:tcPr>
                <w:p w14:paraId="502C6A27">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被交叉线路交叉点处最低导线高度（m）</w:t>
                  </w:r>
                </w:p>
              </w:tc>
              <w:tc>
                <w:tcPr>
                  <w:tcW w:w="596" w:type="pct"/>
                  <w:tcBorders>
                    <w:tl2br w:val="nil"/>
                    <w:tr2bl w:val="nil"/>
                  </w:tcBorders>
                  <w:vAlign w:val="center"/>
                </w:tcPr>
                <w:p w14:paraId="464A7AB1">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本项目线路设计架设</w:t>
                  </w:r>
                  <w:r>
                    <w:rPr>
                      <w:rFonts w:hint="eastAsia" w:cs="Times New Roman"/>
                      <w:color w:val="000000" w:themeColor="text1"/>
                      <w:sz w:val="18"/>
                      <w:szCs w:val="18"/>
                      <w:highlight w:val="none"/>
                      <w:lang w:val="en-US" w:eastAsia="zh-CN"/>
                      <w14:textFill>
                        <w14:solidFill>
                          <w14:schemeClr w14:val="tx1"/>
                        </w14:solidFill>
                      </w14:textFill>
                    </w:rPr>
                    <w:t>最低</w:t>
                  </w:r>
                  <w:r>
                    <w:rPr>
                      <w:rFonts w:hint="default" w:ascii="Times New Roman" w:hAnsi="Times New Roman" w:eastAsia="宋体" w:cs="Times New Roman"/>
                      <w:color w:val="000000" w:themeColor="text1"/>
                      <w:sz w:val="18"/>
                      <w:szCs w:val="18"/>
                      <w:highlight w:val="none"/>
                      <w14:textFill>
                        <w14:solidFill>
                          <w14:schemeClr w14:val="tx1"/>
                        </w14:solidFill>
                      </w14:textFill>
                    </w:rPr>
                    <w:t>高度（m）</w:t>
                  </w:r>
                </w:p>
              </w:tc>
              <w:tc>
                <w:tcPr>
                  <w:tcW w:w="685" w:type="pct"/>
                  <w:tcBorders>
                    <w:tl2br w:val="nil"/>
                    <w:tr2bl w:val="nil"/>
                  </w:tcBorders>
                  <w:vAlign w:val="center"/>
                </w:tcPr>
                <w:p w14:paraId="22F6B503">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本项目线路通信线与最低相导线距离（m）</w:t>
                  </w:r>
                </w:p>
              </w:tc>
              <w:tc>
                <w:tcPr>
                  <w:tcW w:w="423" w:type="pct"/>
                  <w:tcBorders>
                    <w:tl2br w:val="nil"/>
                    <w:tr2bl w:val="nil"/>
                  </w:tcBorders>
                  <w:vAlign w:val="center"/>
                </w:tcPr>
                <w:p w14:paraId="70611CD1">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规范要求间距（m）</w:t>
                  </w:r>
                </w:p>
              </w:tc>
              <w:tc>
                <w:tcPr>
                  <w:tcW w:w="428" w:type="pct"/>
                  <w:tcBorders>
                    <w:tl2br w:val="nil"/>
                    <w:tr2bl w:val="nil"/>
                  </w:tcBorders>
                  <w:vAlign w:val="center"/>
                </w:tcPr>
                <w:p w14:paraId="67CBA01A">
                  <w:pPr>
                    <w:ind w:left="-105" w:leftChars="-50" w:right="-105" w:rightChars="-5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满足现行规范下的实际距离（m）</w:t>
                  </w:r>
                </w:p>
              </w:tc>
              <w:tc>
                <w:tcPr>
                  <w:tcW w:w="447" w:type="pct"/>
                  <w:tcBorders>
                    <w:tl2br w:val="nil"/>
                    <w:tr2bl w:val="nil"/>
                  </w:tcBorders>
                  <w:vAlign w:val="center"/>
                </w:tcPr>
                <w:p w14:paraId="6FD76541">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被交叉线路情况</w:t>
                  </w:r>
                </w:p>
              </w:tc>
              <w:tc>
                <w:tcPr>
                  <w:tcW w:w="511" w:type="pct"/>
                  <w:tcBorders>
                    <w:tl2br w:val="nil"/>
                    <w:tr2bl w:val="nil"/>
                  </w:tcBorders>
                  <w:vAlign w:val="center"/>
                </w:tcPr>
                <w:p w14:paraId="280AB488">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交叉处杆塔号</w:t>
                  </w:r>
                </w:p>
              </w:tc>
            </w:tr>
            <w:tr w14:paraId="6E32EF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9" w:type="pct"/>
                  <w:tcBorders>
                    <w:tl2br w:val="nil"/>
                    <w:tr2bl w:val="nil"/>
                  </w:tcBorders>
                  <w:vAlign w:val="center"/>
                </w:tcPr>
                <w:p w14:paraId="417BB389">
                  <w:pPr>
                    <w:ind w:left="-105" w:leftChars="-50" w:right="-105" w:rightChars="-50"/>
                    <w:jc w:val="center"/>
                    <w:rPr>
                      <w:rFonts w:hint="default" w:ascii="Times New Roman" w:hAnsi="Times New Roman" w:eastAsia="宋体" w:cs="Times New Roman"/>
                      <w:color w:val="000000" w:themeColor="text1"/>
                      <w:sz w:val="18"/>
                      <w:szCs w:val="18"/>
                      <w:highlight w:val="none"/>
                      <w:lang w:val="en-US"/>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500</w:t>
                  </w:r>
                  <w: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t>kV</w:t>
                  </w:r>
                  <w:r>
                    <w:rPr>
                      <w:rFonts w:hint="eastAsia" w:eastAsia="宋体" w:cs="Times New Roman"/>
                      <w:color w:val="000000" w:themeColor="text1"/>
                      <w:sz w:val="18"/>
                      <w:szCs w:val="18"/>
                      <w:highlight w:val="none"/>
                      <w:lang w:val="en-US" w:eastAsia="zh-CN"/>
                      <w14:textFill>
                        <w14:solidFill>
                          <w14:schemeClr w14:val="tx1"/>
                        </w14:solidFill>
                      </w14:textFill>
                    </w:rPr>
                    <w:t>昭中</w:t>
                  </w:r>
                  <w:r>
                    <w:rPr>
                      <w:rFonts w:hint="eastAsia" w:cs="Times New Roman"/>
                      <w:color w:val="000000" w:themeColor="text1"/>
                      <w:sz w:val="18"/>
                      <w:szCs w:val="18"/>
                      <w:highlight w:val="none"/>
                      <w:lang w:val="en-US" w:eastAsia="zh-CN"/>
                      <w14:textFill>
                        <w14:solidFill>
                          <w14:schemeClr w14:val="tx1"/>
                        </w14:solidFill>
                      </w14:textFill>
                    </w:rPr>
                    <w:t>一、二线</w:t>
                  </w:r>
                </w:p>
              </w:tc>
              <w:tc>
                <w:tcPr>
                  <w:tcW w:w="295" w:type="pct"/>
                  <w:tcBorders>
                    <w:tl2br w:val="nil"/>
                    <w:tr2bl w:val="nil"/>
                  </w:tcBorders>
                  <w:vAlign w:val="center"/>
                </w:tcPr>
                <w:p w14:paraId="295D44B1">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钻越</w:t>
                  </w:r>
                </w:p>
              </w:tc>
              <w:tc>
                <w:tcPr>
                  <w:tcW w:w="582" w:type="pct"/>
                  <w:tcBorders>
                    <w:tl2br w:val="nil"/>
                    <w:tr2bl w:val="nil"/>
                  </w:tcBorders>
                  <w:vAlign w:val="center"/>
                </w:tcPr>
                <w:p w14:paraId="1C07340B">
                  <w:pPr>
                    <w:ind w:left="-105" w:leftChars="-50" w:right="-105" w:rightChars="-5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35</w:t>
                  </w:r>
                </w:p>
              </w:tc>
              <w:tc>
                <w:tcPr>
                  <w:tcW w:w="596" w:type="pct"/>
                  <w:tcBorders>
                    <w:tl2br w:val="nil"/>
                    <w:tr2bl w:val="nil"/>
                  </w:tcBorders>
                  <w:vAlign w:val="center"/>
                </w:tcPr>
                <w:p w14:paraId="674EB76A">
                  <w:pPr>
                    <w:ind w:left="-105" w:leftChars="-50" w:right="-105" w:rightChars="-5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18</w:t>
                  </w:r>
                </w:p>
              </w:tc>
              <w:tc>
                <w:tcPr>
                  <w:tcW w:w="685" w:type="pct"/>
                  <w:tcBorders>
                    <w:tl2br w:val="nil"/>
                    <w:tr2bl w:val="nil"/>
                  </w:tcBorders>
                  <w:vAlign w:val="center"/>
                </w:tcPr>
                <w:p w14:paraId="0F21D318">
                  <w:pPr>
                    <w:ind w:left="-105" w:leftChars="-50" w:right="-105" w:rightChars="-5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9.5</w:t>
                  </w:r>
                </w:p>
              </w:tc>
              <w:tc>
                <w:tcPr>
                  <w:tcW w:w="423" w:type="pct"/>
                  <w:tcBorders>
                    <w:tl2br w:val="nil"/>
                    <w:tr2bl w:val="nil"/>
                  </w:tcBorders>
                  <w:vAlign w:val="center"/>
                </w:tcPr>
                <w:p w14:paraId="09F51653">
                  <w:pPr>
                    <w:ind w:left="-105" w:leftChars="-50" w:right="-105" w:rightChars="-50"/>
                    <w:jc w:val="center"/>
                    <w:rPr>
                      <w:rFonts w:hint="default"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6</w:t>
                  </w:r>
                </w:p>
              </w:tc>
              <w:tc>
                <w:tcPr>
                  <w:tcW w:w="428" w:type="pct"/>
                  <w:tcBorders>
                    <w:tl2br w:val="nil"/>
                    <w:tr2bl w:val="nil"/>
                  </w:tcBorders>
                  <w:vAlign w:val="center"/>
                </w:tcPr>
                <w:p w14:paraId="13494803">
                  <w:pPr>
                    <w:ind w:left="-105" w:leftChars="-50" w:right="-105" w:rightChars="-50"/>
                    <w:jc w:val="center"/>
                    <w:rPr>
                      <w:rFonts w:hint="default" w:cs="Times New Roman"/>
                      <w:color w:val="000000" w:themeColor="text1"/>
                      <w:sz w:val="18"/>
                      <w:szCs w:val="18"/>
                      <w:highlight w:val="none"/>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7.5</w:t>
                  </w:r>
                </w:p>
              </w:tc>
              <w:tc>
                <w:tcPr>
                  <w:tcW w:w="447" w:type="pct"/>
                  <w:tcBorders>
                    <w:tl2br w:val="nil"/>
                    <w:tr2bl w:val="nil"/>
                  </w:tcBorders>
                  <w:vAlign w:val="center"/>
                </w:tcPr>
                <w:p w14:paraId="303CD36E">
                  <w:pPr>
                    <w:ind w:left="-105" w:leftChars="-50" w:right="-105" w:rightChars="-50"/>
                    <w:jc w:val="center"/>
                    <w:rPr>
                      <w:rFonts w:hint="default" w:ascii="Times New Roman" w:hAnsi="Times New Roman" w:eastAsia="宋体" w:cs="Times New Roman"/>
                      <w:color w:val="000000" w:themeColor="text1"/>
                      <w:sz w:val="18"/>
                      <w:szCs w:val="18"/>
                      <w:highlight w:val="none"/>
                      <w14:textFill>
                        <w14:solidFill>
                          <w14:schemeClr w14:val="tx1"/>
                        </w14:solidFill>
                      </w14:textFill>
                    </w:rPr>
                  </w:pPr>
                  <w:r>
                    <w:rPr>
                      <w:rFonts w:hint="default" w:ascii="Times New Roman" w:hAnsi="Times New Roman" w:eastAsia="宋体" w:cs="Times New Roman"/>
                      <w:color w:val="000000" w:themeColor="text1"/>
                      <w:sz w:val="18"/>
                      <w:szCs w:val="18"/>
                      <w:highlight w:val="none"/>
                      <w14:textFill>
                        <w14:solidFill>
                          <w14:schemeClr w14:val="tx1"/>
                        </w14:solidFill>
                      </w14:textFill>
                    </w:rPr>
                    <w:t>正常运行</w:t>
                  </w:r>
                </w:p>
              </w:tc>
              <w:tc>
                <w:tcPr>
                  <w:tcW w:w="511" w:type="pct"/>
                  <w:tcBorders>
                    <w:tl2br w:val="nil"/>
                    <w:tr2bl w:val="nil"/>
                  </w:tcBorders>
                  <w:vAlign w:val="center"/>
                </w:tcPr>
                <w:p w14:paraId="3E402A95">
                  <w:pPr>
                    <w:ind w:left="-105" w:leftChars="-50" w:right="-105" w:rightChars="-50"/>
                    <w:jc w:val="center"/>
                    <w:rPr>
                      <w:rFonts w:hint="default" w:ascii="Times New Roman" w:hAnsi="Times New Roman" w:eastAsia="宋体" w:cs="Times New Roman"/>
                      <w:color w:val="000000" w:themeColor="text1"/>
                      <w:sz w:val="18"/>
                      <w:szCs w:val="18"/>
                      <w:highlight w:val="yellow"/>
                      <w:lang w:val="en-US" w:eastAsia="zh-CN"/>
                      <w14:textFill>
                        <w14:solidFill>
                          <w14:schemeClr w14:val="tx1"/>
                        </w14:solidFill>
                      </w14:textFill>
                    </w:rPr>
                  </w:pPr>
                  <w:r>
                    <w:rPr>
                      <w:rFonts w:hint="eastAsia" w:cs="Times New Roman"/>
                      <w:color w:val="000000" w:themeColor="text1"/>
                      <w:sz w:val="18"/>
                      <w:szCs w:val="18"/>
                      <w:highlight w:val="none"/>
                      <w:lang w:val="en-US" w:eastAsia="zh-CN"/>
                      <w14:textFill>
                        <w14:solidFill>
                          <w14:schemeClr w14:val="tx1"/>
                        </w14:solidFill>
                      </w14:textFill>
                    </w:rPr>
                    <w:t>223-224#</w:t>
                  </w:r>
                </w:p>
              </w:tc>
            </w:tr>
          </w:tbl>
          <w:p w14:paraId="59E8A11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（2）</w:t>
            </w:r>
            <w:r>
              <w:rPr>
                <w:rFonts w:hint="eastAsia"/>
                <w:b/>
                <w:bCs/>
                <w:color w:val="000000" w:themeColor="text1"/>
                <w:szCs w:val="21"/>
                <w:highlight w:val="none"/>
                <w14:textFill>
                  <w14:solidFill>
                    <w14:schemeClr w14:val="tx1"/>
                  </w14:solidFill>
                </w14:textFill>
              </w:rPr>
              <w:t>跨越高速情况</w:t>
            </w:r>
          </w:p>
          <w:p w14:paraId="37E761C9">
            <w:pPr>
              <w:spacing w:line="360" w:lineRule="auto"/>
              <w:ind w:firstLine="420" w:firstLineChars="200"/>
              <w:rPr>
                <w:rFonts w:hint="default" w:ascii="Times New Roman" w:hAnsi="Times New Roman" w:cs="Times New Roman"/>
                <w:bCs/>
                <w:color w:val="000000" w:themeColor="text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本项目跨越</w:t>
            </w:r>
            <w:r>
              <w:rPr>
                <w:rFonts w:hint="eastAsia"/>
                <w:color w:val="000000" w:themeColor="text1"/>
                <w:szCs w:val="21"/>
                <w:highlight w:val="none"/>
                <w:lang w:val="en-US" w:eastAsia="zh-CN"/>
                <w14:textFill>
                  <w14:solidFill>
                    <w14:schemeClr w14:val="tx1"/>
                  </w14:solidFill>
                </w14:textFill>
              </w:rPr>
              <w:t>成巴高速公路2</w:t>
            </w:r>
            <w:r>
              <w:rPr>
                <w:rFonts w:hint="eastAsia"/>
                <w:color w:val="000000" w:themeColor="text1"/>
                <w:szCs w:val="21"/>
                <w:highlight w:val="none"/>
                <w14:textFill>
                  <w14:solidFill>
                    <w14:schemeClr w14:val="tx1"/>
                  </w14:solidFill>
                </w14:textFill>
              </w:rPr>
              <w:t>次。根据</w:t>
            </w:r>
            <w:r>
              <w:rPr>
                <w:rFonts w:hint="default" w:ascii="Times New Roman" w:hAnsi="Times New Roman" w:cs="Times New Roman"/>
                <w:bCs/>
                <w:color w:val="000000" w:themeColor="text1"/>
                <w:highlight w:val="none"/>
                <w14:textFill>
                  <w14:solidFill>
                    <w14:schemeClr w14:val="tx1"/>
                  </w14:solidFill>
                </w14:textFill>
              </w:rPr>
              <w:t>《</w:t>
            </w:r>
            <w:r>
              <w:rPr>
                <w:rFonts w:hint="eastAsia"/>
                <w:color w:val="auto"/>
                <w:szCs w:val="21"/>
                <w:lang w:val="en-US" w:eastAsia="zh-CN"/>
              </w:rPr>
              <w:t>巴中恩阳司城110千伏输变电工程</w:t>
            </w:r>
            <w:r>
              <w:rPr>
                <w:rFonts w:hint="eastAsia" w:cs="Times New Roman"/>
                <w:bCs/>
                <w:color w:val="000000" w:themeColor="text1"/>
                <w:highlight w:val="none"/>
                <w:lang w:val="en-US" w:eastAsia="zh-CN"/>
                <w14:textFill>
                  <w14:solidFill>
                    <w14:schemeClr w14:val="tx1"/>
                  </w14:solidFill>
                </w14:textFill>
              </w:rPr>
              <w:t>初步设计说明书</w:t>
            </w:r>
            <w:r>
              <w:rPr>
                <w:rFonts w:hint="default" w:ascii="Times New Roman" w:hAnsi="Times New Roman" w:cs="Times New Roman"/>
                <w:bCs/>
                <w:color w:val="000000" w:themeColor="text1"/>
                <w:highlight w:val="none"/>
                <w14:textFill>
                  <w14:solidFill>
                    <w14:schemeClr w14:val="tx1"/>
                  </w14:solidFill>
                </w14:textFill>
              </w:rPr>
              <w:t>》</w:t>
            </w:r>
            <w:r>
              <w:rPr>
                <w:rFonts w:hint="eastAsia"/>
                <w:bCs/>
                <w:color w:val="000000" w:themeColor="text1"/>
                <w:highlight w:val="none"/>
                <w14:textFill>
                  <w14:solidFill>
                    <w14:schemeClr w14:val="tx1"/>
                  </w14:solidFill>
                </w14:textFill>
              </w:rPr>
              <w:t>：</w:t>
            </w:r>
          </w:p>
          <w:p w14:paraId="12DB444E">
            <w:pPr>
              <w:spacing w:line="360" w:lineRule="auto"/>
              <w:ind w:firstLine="420" w:firstLineChars="200"/>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w:t>
            </w:r>
            <w:r>
              <w:rPr>
                <w:rFonts w:hint="eastAsia"/>
                <w:color w:val="000000" w:themeColor="text1"/>
                <w:szCs w:val="21"/>
                <w:highlight w:val="none"/>
                <w:lang w:eastAsia="zh-CN"/>
                <w14:textFill>
                  <w14:solidFill>
                    <w14:schemeClr w14:val="tx1"/>
                  </w14:solidFill>
                </w14:textFill>
              </w:rPr>
              <w:t>跨越档采用“耐—耐”跨越方式满足要求，跨越采用封网措施。</w:t>
            </w:r>
            <w:r>
              <w:rPr>
                <w:rFonts w:hint="eastAsia"/>
                <w:color w:val="000000" w:themeColor="text1"/>
                <w:szCs w:val="21"/>
                <w:highlight w:val="none"/>
                <w:lang w:val="en-US" w:eastAsia="zh-CN"/>
                <w14:textFill>
                  <w14:solidFill>
                    <w14:schemeClr w14:val="tx1"/>
                  </w14:solidFill>
                </w14:textFill>
              </w:rPr>
              <w:t>②</w:t>
            </w:r>
            <w:r>
              <w:rPr>
                <w:rFonts w:hint="eastAsia"/>
                <w:color w:val="000000" w:themeColor="text1"/>
                <w:szCs w:val="21"/>
                <w:highlight w:val="none"/>
                <w:lang w:eastAsia="zh-CN"/>
                <w14:textFill>
                  <w14:solidFill>
                    <w14:schemeClr w14:val="tx1"/>
                  </w14:solidFill>
                </w14:textFill>
              </w:rPr>
              <w:t>跨越段杆塔结构要求均按1.1倍系数满足要求。</w:t>
            </w:r>
            <w:r>
              <w:rPr>
                <w:rFonts w:hint="eastAsia"/>
                <w:color w:val="000000" w:themeColor="text1"/>
                <w:szCs w:val="21"/>
                <w:highlight w:val="none"/>
                <w:lang w:val="en-US" w:eastAsia="zh-CN"/>
                <w14:textFill>
                  <w14:solidFill>
                    <w14:schemeClr w14:val="tx1"/>
                  </w14:solidFill>
                </w14:textFill>
              </w:rPr>
              <w:t>③</w:t>
            </w:r>
            <w:r>
              <w:rPr>
                <w:rFonts w:hint="eastAsia"/>
                <w:color w:val="000000" w:themeColor="text1"/>
                <w:szCs w:val="21"/>
                <w:highlight w:val="none"/>
                <w:lang w:eastAsia="zh-CN"/>
                <w14:textFill>
                  <w14:solidFill>
                    <w14:schemeClr w14:val="tx1"/>
                  </w14:solidFill>
                </w14:textFill>
              </w:rPr>
              <w:t>跨越档所属耐张采用双联双挂点金具绝缘子要求配置，金具均提高一个等级。</w:t>
            </w:r>
            <w:r>
              <w:rPr>
                <w:rFonts w:hint="eastAsia"/>
                <w:color w:val="000000" w:themeColor="text1"/>
                <w:szCs w:val="21"/>
                <w:highlight w:val="none"/>
                <w:lang w:val="en-US" w:eastAsia="zh-CN"/>
                <w14:textFill>
                  <w14:solidFill>
                    <w14:schemeClr w14:val="tx1"/>
                  </w14:solidFill>
                </w14:textFill>
              </w:rPr>
              <w:t>④</w:t>
            </w:r>
            <w:r>
              <w:rPr>
                <w:rFonts w:hint="eastAsia"/>
                <w:color w:val="000000" w:themeColor="text1"/>
                <w:szCs w:val="21"/>
                <w:highlight w:val="none"/>
                <w:lang w:eastAsia="zh-CN"/>
                <w14:textFill>
                  <w14:solidFill>
                    <w14:schemeClr w14:val="tx1"/>
                  </w14:solidFill>
                </w14:textFill>
              </w:rPr>
              <w:t>本工程跨越成巴高速的交叉角为62°，满足大</w:t>
            </w:r>
            <w:r>
              <w:rPr>
                <w:rFonts w:hint="eastAsia"/>
                <w:color w:val="000000" w:themeColor="text1"/>
                <w:szCs w:val="21"/>
                <w:highlight w:val="none"/>
                <w:lang w:val="en-US" w:eastAsia="zh-CN"/>
                <w14:textFill>
                  <w14:solidFill>
                    <w14:schemeClr w14:val="tx1"/>
                  </w14:solidFill>
                </w14:textFill>
              </w:rPr>
              <w:t>于</w:t>
            </w:r>
            <w:r>
              <w:rPr>
                <w:rFonts w:hint="eastAsia"/>
                <w:color w:val="000000" w:themeColor="text1"/>
                <w:szCs w:val="21"/>
                <w:highlight w:val="none"/>
                <w:lang w:eastAsia="zh-CN"/>
                <w14:textFill>
                  <w14:solidFill>
                    <w14:schemeClr w14:val="tx1"/>
                  </w14:solidFill>
                </w14:textFill>
              </w:rPr>
              <w:t>45°的要求。</w:t>
            </w:r>
            <w:r>
              <w:rPr>
                <w:rFonts w:hint="eastAsia"/>
                <w:color w:val="000000" w:themeColor="text1"/>
                <w:szCs w:val="21"/>
                <w:highlight w:val="none"/>
                <w:lang w:val="en-US" w:eastAsia="zh-CN"/>
                <w14:textFill>
                  <w14:solidFill>
                    <w14:schemeClr w14:val="tx1"/>
                  </w14:solidFill>
                </w14:textFill>
              </w:rPr>
              <w:t>其中</w:t>
            </w:r>
            <w:r>
              <w:rPr>
                <w:rFonts w:hint="eastAsia"/>
                <w:color w:val="000000" w:themeColor="text1"/>
                <w:szCs w:val="21"/>
                <w:highlight w:val="none"/>
                <w:lang w:eastAsia="zh-CN"/>
                <w14:textFill>
                  <w14:solidFill>
                    <w14:schemeClr w14:val="tx1"/>
                  </w14:solidFill>
                </w14:textFill>
              </w:rPr>
              <w:t>印合～司城110kV线路工程跨越档距为0.35km，导线对高速公路路面距离大于20m，</w:t>
            </w:r>
            <w:r>
              <w:rPr>
                <w:rFonts w:hint="eastAsia"/>
                <w:bCs/>
                <w:color w:val="auto"/>
                <w:szCs w:val="21"/>
                <w:lang w:eastAsia="zh-CN"/>
              </w:rPr>
              <w:t>盘兴</w:t>
            </w:r>
            <w:r>
              <w:rPr>
                <w:rFonts w:hint="eastAsia"/>
                <w:color w:val="auto"/>
                <w:sz w:val="18"/>
                <w:szCs w:val="18"/>
                <w:lang w:eastAsia="zh-CN"/>
              </w:rPr>
              <w:t>～</w:t>
            </w:r>
            <w:r>
              <w:rPr>
                <w:rFonts w:hint="eastAsia"/>
                <w:bCs/>
                <w:color w:val="auto"/>
                <w:szCs w:val="21"/>
                <w:lang w:eastAsia="zh-CN"/>
              </w:rPr>
              <w:t>司城</w:t>
            </w:r>
            <w:r>
              <w:rPr>
                <w:rFonts w:hint="eastAsia"/>
                <w:bCs/>
                <w:color w:val="auto"/>
                <w:szCs w:val="21"/>
              </w:rPr>
              <w:t>110kV</w:t>
            </w:r>
            <w:r>
              <w:rPr>
                <w:rFonts w:hint="eastAsia"/>
                <w:bCs/>
                <w:color w:val="auto"/>
                <w:szCs w:val="21"/>
                <w:lang w:val="en-US" w:eastAsia="zh-CN"/>
              </w:rPr>
              <w:t>线路工程</w:t>
            </w:r>
            <w:r>
              <w:rPr>
                <w:rFonts w:hint="eastAsia"/>
                <w:color w:val="000000" w:themeColor="text1"/>
                <w:szCs w:val="21"/>
                <w:highlight w:val="none"/>
                <w:lang w:eastAsia="zh-CN"/>
                <w14:textFill>
                  <w14:solidFill>
                    <w14:schemeClr w14:val="tx1"/>
                  </w14:solidFill>
                </w14:textFill>
              </w:rPr>
              <w:t>跨越档距为0.45km，导线对高速公路路面距离大于40m。</w:t>
            </w:r>
            <w:r>
              <w:rPr>
                <w:rFonts w:hint="eastAsia"/>
                <w:color w:val="000000" w:themeColor="text1"/>
                <w:szCs w:val="21"/>
                <w:highlight w:val="none"/>
                <w:lang w:val="en-US" w:eastAsia="zh-CN"/>
                <w14:textFill>
                  <w14:solidFill>
                    <w14:schemeClr w14:val="tx1"/>
                  </w14:solidFill>
                </w14:textFill>
              </w:rPr>
              <w:t>⑤</w:t>
            </w:r>
            <w:r>
              <w:rPr>
                <w:rFonts w:hint="eastAsia"/>
                <w:color w:val="000000" w:themeColor="text1"/>
                <w:szCs w:val="21"/>
                <w:highlight w:val="none"/>
                <w:lang w:eastAsia="zh-CN"/>
                <w14:textFill>
                  <w14:solidFill>
                    <w14:schemeClr w14:val="tx1"/>
                  </w14:solidFill>
                </w14:textFill>
              </w:rPr>
              <w:t>档内导线禁止接头。</w:t>
            </w:r>
            <w:r>
              <w:rPr>
                <w:rFonts w:hint="eastAsia"/>
                <w:color w:val="000000" w:themeColor="text1"/>
                <w:szCs w:val="21"/>
                <w:highlight w:val="none"/>
                <w:lang w:val="en-US" w:eastAsia="zh-CN"/>
                <w14:textFill>
                  <w14:solidFill>
                    <w14:schemeClr w14:val="tx1"/>
                  </w14:solidFill>
                </w14:textFill>
              </w:rPr>
              <w:t>⑥</w:t>
            </w:r>
            <w:r>
              <w:rPr>
                <w:rFonts w:hint="eastAsia"/>
                <w:color w:val="000000" w:themeColor="text1"/>
                <w:szCs w:val="21"/>
                <w:highlight w:val="none"/>
                <w:lang w:eastAsia="zh-CN"/>
                <w14:textFill>
                  <w14:solidFill>
                    <w14:schemeClr w14:val="tx1"/>
                  </w14:solidFill>
                </w14:textFill>
              </w:rPr>
              <w:t>对跨越档耐张线夹进行X光无损检测。</w:t>
            </w:r>
            <w:r>
              <w:rPr>
                <w:rFonts w:hint="eastAsia"/>
                <w:color w:val="000000" w:themeColor="text1"/>
                <w:szCs w:val="21"/>
                <w:highlight w:val="none"/>
                <w:lang w:val="en-US" w:eastAsia="zh-CN"/>
                <w14:textFill>
                  <w14:solidFill>
                    <w14:schemeClr w14:val="tx1"/>
                  </w14:solidFill>
                </w14:textFill>
              </w:rPr>
              <w:t>⑦</w:t>
            </w:r>
            <w:r>
              <w:rPr>
                <w:rFonts w:hint="eastAsia"/>
                <w:color w:val="000000" w:themeColor="text1"/>
                <w:szCs w:val="21"/>
                <w:highlight w:val="none"/>
                <w:lang w:eastAsia="zh-CN"/>
                <w14:textFill>
                  <w14:solidFill>
                    <w14:schemeClr w14:val="tx1"/>
                  </w14:solidFill>
                </w14:textFill>
              </w:rPr>
              <w:t>本工程跨越成巴高速加装视频在线监测装置。</w:t>
            </w:r>
          </w:p>
          <w:p w14:paraId="0EE12A21">
            <w:pPr>
              <w:spacing w:line="360" w:lineRule="auto"/>
              <w:ind w:firstLine="422" w:firstLineChars="200"/>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（3）跨越河流情况</w:t>
            </w:r>
          </w:p>
          <w:p w14:paraId="51DC59E6">
            <w:pPr>
              <w:spacing w:line="360" w:lineRule="auto"/>
              <w:ind w:firstLine="420" w:firstLineChars="200"/>
              <w:rPr>
                <w:rFonts w:hint="default" w:ascii="Times New Roman" w:hAnsi="Times New Roman" w:eastAsia="黑体" w:cs="Times New Roman"/>
                <w:color w:val="FF0000"/>
                <w:szCs w:val="21"/>
                <w:highlight w:val="none"/>
              </w:rPr>
            </w:pPr>
            <w:r>
              <w:rPr>
                <w:rFonts w:hint="eastAsia"/>
                <w:color w:val="auto"/>
                <w:szCs w:val="21"/>
              </w:rPr>
              <w:t>项目输电线路跨越的河流为</w:t>
            </w:r>
            <w:r>
              <w:rPr>
                <w:rFonts w:hint="eastAsia"/>
                <w:color w:val="auto"/>
                <w:szCs w:val="21"/>
                <w:highlight w:val="none"/>
                <w:lang w:val="en-US" w:eastAsia="zh-CN"/>
              </w:rPr>
              <w:t>马家</w:t>
            </w:r>
            <w:r>
              <w:rPr>
                <w:rFonts w:hint="eastAsia"/>
                <w:color w:val="auto"/>
                <w:szCs w:val="21"/>
                <w:highlight w:val="none"/>
              </w:rPr>
              <w:t>河，跨</w:t>
            </w:r>
            <w:r>
              <w:rPr>
                <w:rFonts w:hint="eastAsia"/>
                <w:color w:val="auto"/>
                <w:szCs w:val="21"/>
              </w:rPr>
              <w:t>越次数为</w:t>
            </w:r>
            <w:r>
              <w:rPr>
                <w:rFonts w:hint="eastAsia"/>
                <w:color w:val="auto"/>
                <w:szCs w:val="21"/>
                <w:lang w:val="en-US" w:eastAsia="zh-CN"/>
              </w:rPr>
              <w:t>5</w:t>
            </w:r>
            <w:r>
              <w:rPr>
                <w:rFonts w:hint="eastAsia"/>
                <w:color w:val="auto"/>
                <w:szCs w:val="21"/>
              </w:rPr>
              <w:t>次。跨越小河处不涉及集中式饮用水水源保护区和珍稀鱼类保护区，本项目不在河道中架设杆塔，同时施工产生的渣土禁止排入河流。本项目输电线路为一跨过河流，同时线路架线期间采用无人机架线，杆塔施工和线路架线均不占用河道，不涉及涉水施工</w:t>
            </w:r>
            <w:r>
              <w:rPr>
                <w:rFonts w:hint="eastAsia"/>
                <w:color w:val="auto"/>
                <w:szCs w:val="21"/>
                <w:lang w:eastAsia="zh-CN"/>
              </w:rPr>
              <w:t>。</w:t>
            </w:r>
          </w:p>
          <w:p w14:paraId="0CAF658A">
            <w:pPr>
              <w:spacing w:line="360" w:lineRule="auto"/>
              <w:rPr>
                <w:rFonts w:eastAsia="黑体"/>
                <w:color w:val="auto"/>
                <w:szCs w:val="21"/>
              </w:rPr>
            </w:pPr>
            <w:r>
              <w:rPr>
                <w:rFonts w:hint="eastAsia" w:eastAsia="黑体"/>
                <w:color w:val="auto"/>
                <w:szCs w:val="21"/>
              </w:rPr>
              <w:t>三</w:t>
            </w:r>
            <w:r>
              <w:rPr>
                <w:rFonts w:eastAsia="黑体"/>
                <w:color w:val="auto"/>
                <w:szCs w:val="21"/>
              </w:rPr>
              <w:t>、</w:t>
            </w:r>
            <w:r>
              <w:rPr>
                <w:rFonts w:hint="eastAsia" w:eastAsia="黑体"/>
                <w:color w:val="auto"/>
                <w:szCs w:val="21"/>
              </w:rPr>
              <w:t>施工</w:t>
            </w:r>
            <w:r>
              <w:rPr>
                <w:rFonts w:eastAsia="黑体"/>
                <w:color w:val="auto"/>
                <w:szCs w:val="21"/>
              </w:rPr>
              <w:t>设施布置</w:t>
            </w:r>
          </w:p>
          <w:p w14:paraId="7A442FEF">
            <w:pPr>
              <w:spacing w:line="360" w:lineRule="auto"/>
              <w:ind w:firstLine="420" w:firstLineChars="200"/>
              <w:rPr>
                <w:color w:val="auto"/>
                <w:szCs w:val="21"/>
              </w:rPr>
            </w:pPr>
            <w:r>
              <w:rPr>
                <w:rFonts w:hint="eastAsia"/>
                <w:color w:val="auto"/>
                <w:szCs w:val="21"/>
              </w:rPr>
              <w:t>本项目施工设置主要分为变电站和输电线路2个部分，其中变电站的临时设施为施工物料临时堆场、施工便道</w:t>
            </w:r>
            <w:r>
              <w:rPr>
                <w:rFonts w:hint="eastAsia"/>
                <w:color w:val="auto"/>
                <w:szCs w:val="21"/>
                <w:lang w:eastAsia="zh-CN"/>
              </w:rPr>
              <w:t>、</w:t>
            </w:r>
            <w:r>
              <w:rPr>
                <w:rFonts w:hint="eastAsia"/>
                <w:color w:val="auto"/>
                <w:szCs w:val="21"/>
              </w:rPr>
              <w:t>施工营地，输电线路的临时设施为塔基施工临时场地、牵张场和跨越场、施工便道以及施工营地。</w:t>
            </w:r>
          </w:p>
          <w:p w14:paraId="3429260B">
            <w:pPr>
              <w:spacing w:line="360" w:lineRule="auto"/>
              <w:ind w:firstLine="422" w:firstLineChars="200"/>
              <w:rPr>
                <w:b/>
                <w:color w:val="auto"/>
                <w:szCs w:val="21"/>
              </w:rPr>
            </w:pPr>
            <w:r>
              <w:rPr>
                <w:rFonts w:hint="eastAsia"/>
                <w:b/>
                <w:color w:val="auto"/>
                <w:szCs w:val="21"/>
              </w:rPr>
              <w:t>1、变电站</w:t>
            </w:r>
          </w:p>
          <w:p w14:paraId="0803A9A4">
            <w:pPr>
              <w:spacing w:line="360" w:lineRule="auto"/>
              <w:ind w:firstLine="420" w:firstLineChars="200"/>
              <w:rPr>
                <w:color w:val="auto"/>
                <w:szCs w:val="21"/>
              </w:rPr>
            </w:pPr>
            <w:r>
              <w:rPr>
                <w:rFonts w:hint="eastAsia"/>
                <w:color w:val="auto"/>
                <w:szCs w:val="21"/>
              </w:rPr>
              <w:t>（1）施工物料临时堆场：</w:t>
            </w:r>
            <w:r>
              <w:rPr>
                <w:rFonts w:hint="eastAsia"/>
                <w:color w:val="auto"/>
                <w:szCs w:val="21"/>
                <w:lang w:val="en-US" w:eastAsia="zh-CN"/>
              </w:rPr>
              <w:t>设于</w:t>
            </w:r>
            <w:r>
              <w:rPr>
                <w:rFonts w:hint="eastAsia"/>
                <w:color w:val="auto"/>
                <w:szCs w:val="21"/>
              </w:rPr>
              <w:t>工程</w:t>
            </w:r>
            <w:r>
              <w:rPr>
                <w:rFonts w:hint="eastAsia"/>
                <w:color w:val="auto"/>
                <w:szCs w:val="21"/>
                <w:lang w:val="en-US" w:eastAsia="zh-CN"/>
              </w:rPr>
              <w:t>永久</w:t>
            </w:r>
            <w:r>
              <w:rPr>
                <w:rFonts w:hint="eastAsia"/>
                <w:color w:val="auto"/>
                <w:szCs w:val="21"/>
              </w:rPr>
              <w:t>占地范围</w:t>
            </w:r>
            <w:r>
              <w:rPr>
                <w:rFonts w:hint="eastAsia"/>
                <w:color w:val="auto"/>
                <w:szCs w:val="21"/>
                <w:lang w:val="en-US" w:eastAsia="zh-CN"/>
              </w:rPr>
              <w:t>内，不单独设置</w:t>
            </w:r>
            <w:r>
              <w:rPr>
                <w:rFonts w:hint="eastAsia"/>
                <w:color w:val="auto"/>
              </w:rPr>
              <w:t>。</w:t>
            </w:r>
          </w:p>
          <w:p w14:paraId="008C1F7F">
            <w:pPr>
              <w:spacing w:line="360" w:lineRule="auto"/>
              <w:ind w:firstLine="420" w:firstLineChars="200"/>
              <w:rPr>
                <w:rFonts w:hint="eastAsia" w:eastAsia="宋体"/>
                <w:color w:val="auto"/>
                <w:szCs w:val="21"/>
                <w:lang w:eastAsia="zh-CN"/>
              </w:rPr>
            </w:pPr>
            <w:r>
              <w:rPr>
                <w:rFonts w:hint="eastAsia"/>
                <w:color w:val="auto"/>
                <w:szCs w:val="21"/>
                <w:lang w:eastAsia="zh-CN"/>
              </w:rPr>
              <w:t>（</w:t>
            </w:r>
            <w:r>
              <w:rPr>
                <w:rFonts w:hint="eastAsia"/>
                <w:color w:val="auto"/>
                <w:szCs w:val="21"/>
                <w:lang w:val="en-US" w:eastAsia="zh-CN"/>
              </w:rPr>
              <w:t>2</w:t>
            </w:r>
            <w:r>
              <w:rPr>
                <w:rFonts w:hint="eastAsia"/>
                <w:color w:val="auto"/>
                <w:szCs w:val="21"/>
                <w:lang w:eastAsia="zh-CN"/>
              </w:rPr>
              <w:t>）</w:t>
            </w:r>
            <w:r>
              <w:rPr>
                <w:rFonts w:hint="eastAsia"/>
                <w:color w:val="auto"/>
                <w:szCs w:val="21"/>
                <w:lang w:val="en-US" w:eastAsia="zh-CN"/>
              </w:rPr>
              <w:t>新建</w:t>
            </w:r>
            <w:r>
              <w:rPr>
                <w:rFonts w:hint="eastAsia"/>
                <w:color w:val="auto"/>
                <w:szCs w:val="21"/>
              </w:rPr>
              <w:t>变电站所在区域有乡村道路</w:t>
            </w:r>
            <w:r>
              <w:rPr>
                <w:rFonts w:hint="eastAsia"/>
                <w:color w:val="auto"/>
                <w:szCs w:val="21"/>
                <w:lang w:val="en-US" w:eastAsia="zh-CN"/>
              </w:rPr>
              <w:t>及国道</w:t>
            </w:r>
            <w:r>
              <w:rPr>
                <w:rFonts w:hint="eastAsia"/>
                <w:color w:val="auto"/>
                <w:szCs w:val="21"/>
              </w:rPr>
              <w:t>可利用，变电站施工期间在进站道路占地范</w:t>
            </w:r>
            <w:r>
              <w:rPr>
                <w:rFonts w:hint="eastAsia"/>
                <w:color w:val="auto"/>
                <w:szCs w:val="21"/>
                <w:lang w:eastAsia="zh-CN"/>
              </w:rPr>
              <w:t>围内</w:t>
            </w:r>
            <w:r>
              <w:rPr>
                <w:rFonts w:hint="eastAsia"/>
                <w:color w:val="auto"/>
                <w:szCs w:val="21"/>
              </w:rPr>
              <w:t>设置施工便道，不新增占地</w:t>
            </w:r>
            <w:r>
              <w:rPr>
                <w:rFonts w:hint="eastAsia"/>
                <w:color w:val="auto"/>
                <w:szCs w:val="21"/>
                <w:lang w:eastAsia="zh-CN"/>
              </w:rPr>
              <w:t>。</w:t>
            </w:r>
          </w:p>
          <w:p w14:paraId="111F03D1">
            <w:pPr>
              <w:spacing w:line="360" w:lineRule="auto"/>
              <w:ind w:firstLine="420" w:firstLineChars="200"/>
              <w:rPr>
                <w:color w:val="auto"/>
                <w:szCs w:val="21"/>
              </w:rPr>
            </w:pPr>
            <w:r>
              <w:rPr>
                <w:rFonts w:hint="eastAsia"/>
                <w:color w:val="auto"/>
                <w:szCs w:val="21"/>
              </w:rPr>
              <w:t>（</w:t>
            </w:r>
            <w:r>
              <w:rPr>
                <w:rFonts w:hint="eastAsia"/>
                <w:color w:val="auto"/>
                <w:szCs w:val="21"/>
                <w:lang w:val="en-US" w:eastAsia="zh-CN"/>
              </w:rPr>
              <w:t>3</w:t>
            </w:r>
            <w:r>
              <w:rPr>
                <w:rFonts w:hint="eastAsia"/>
                <w:color w:val="auto"/>
                <w:szCs w:val="21"/>
              </w:rPr>
              <w:t>）施工营地：相关办公及施工人员生活场地均租用当地房屋，无需单独设置。</w:t>
            </w:r>
          </w:p>
          <w:p w14:paraId="5A7777D2">
            <w:pPr>
              <w:spacing w:line="360" w:lineRule="auto"/>
              <w:ind w:firstLine="422" w:firstLineChars="200"/>
              <w:rPr>
                <w:b/>
                <w:color w:val="auto"/>
                <w:szCs w:val="21"/>
              </w:rPr>
            </w:pPr>
            <w:r>
              <w:rPr>
                <w:rFonts w:hint="eastAsia"/>
                <w:b/>
                <w:color w:val="auto"/>
                <w:szCs w:val="21"/>
              </w:rPr>
              <w:t>2、输电线路</w:t>
            </w:r>
          </w:p>
          <w:p w14:paraId="1270B138">
            <w:pPr>
              <w:spacing w:line="360" w:lineRule="auto"/>
              <w:ind w:firstLine="420" w:firstLineChars="200"/>
              <w:rPr>
                <w:color w:val="auto"/>
                <w:szCs w:val="21"/>
                <w:highlight w:val="none"/>
              </w:rPr>
            </w:pPr>
            <w:r>
              <w:rPr>
                <w:rFonts w:hint="eastAsia"/>
                <w:color w:val="auto"/>
                <w:szCs w:val="21"/>
                <w:highlight w:val="none"/>
              </w:rPr>
              <w:t>（1）塔基施工临时场地：主要用作塔基基础施工和铁塔组立，兼</w:t>
            </w:r>
            <w:r>
              <w:rPr>
                <w:rFonts w:hint="eastAsia"/>
                <w:color w:val="auto"/>
                <w:szCs w:val="21"/>
                <w:highlight w:val="none"/>
                <w:lang w:eastAsia="zh-CN"/>
              </w:rPr>
              <w:t>作</w:t>
            </w:r>
            <w:r>
              <w:rPr>
                <w:rFonts w:hint="eastAsia"/>
                <w:color w:val="auto"/>
                <w:szCs w:val="21"/>
                <w:highlight w:val="none"/>
              </w:rPr>
              <w:t>材料堆放场地。本项目施工场地选择在塔基附近地势平坦处，布置在植被较稀疏处。塔基施工临时场地（具有物料堆放功能）布置在塔基附近。本</w:t>
            </w:r>
            <w:r>
              <w:rPr>
                <w:rFonts w:hint="default" w:ascii="Times New Roman" w:hAnsi="Times New Roman" w:cs="Times New Roman"/>
                <w:color w:val="auto"/>
                <w:szCs w:val="21"/>
                <w:highlight w:val="none"/>
              </w:rPr>
              <w:t>项目线路</w:t>
            </w:r>
            <w:r>
              <w:rPr>
                <w:rFonts w:hint="default" w:ascii="Times New Roman" w:hAnsi="Times New Roman" w:cs="Times New Roman"/>
                <w:color w:val="auto"/>
                <w:szCs w:val="21"/>
                <w:highlight w:val="none"/>
                <w:lang w:val="en-US" w:eastAsia="zh-CN"/>
              </w:rPr>
              <w:t>Ⅰ设置塔基施工临时场地32个，线路Ⅱ</w:t>
            </w:r>
            <w:r>
              <w:rPr>
                <w:rFonts w:hint="eastAsia"/>
                <w:color w:val="auto"/>
                <w:szCs w:val="21"/>
                <w:highlight w:val="none"/>
                <w:lang w:val="en-US" w:eastAsia="zh-CN"/>
              </w:rPr>
              <w:t>设置</w:t>
            </w:r>
            <w:r>
              <w:rPr>
                <w:rFonts w:hint="eastAsia"/>
                <w:color w:val="auto"/>
                <w:szCs w:val="21"/>
                <w:highlight w:val="none"/>
              </w:rPr>
              <w:t>设置塔基施工临时场地</w:t>
            </w:r>
            <w:r>
              <w:rPr>
                <w:rFonts w:hint="eastAsia"/>
                <w:color w:val="auto"/>
                <w:szCs w:val="21"/>
                <w:highlight w:val="none"/>
                <w:lang w:val="en-US" w:eastAsia="zh-CN"/>
              </w:rPr>
              <w:t>82个，共114</w:t>
            </w:r>
            <w:r>
              <w:rPr>
                <w:rFonts w:hint="eastAsia"/>
                <w:color w:val="auto"/>
                <w:szCs w:val="21"/>
                <w:highlight w:val="none"/>
              </w:rPr>
              <w:t>个，占地面积共计约</w:t>
            </w:r>
            <w:r>
              <w:rPr>
                <w:rFonts w:hint="eastAsia"/>
                <w:color w:val="auto"/>
                <w:szCs w:val="21"/>
                <w:highlight w:val="none"/>
                <w:lang w:val="en-US" w:eastAsia="zh-CN"/>
              </w:rPr>
              <w:t>26220</w:t>
            </w:r>
            <w:r>
              <w:rPr>
                <w:color w:val="auto"/>
                <w:szCs w:val="21"/>
                <w:highlight w:val="none"/>
              </w:rPr>
              <w:t>m</w:t>
            </w:r>
            <w:r>
              <w:rPr>
                <w:color w:val="auto"/>
                <w:szCs w:val="21"/>
                <w:highlight w:val="none"/>
                <w:vertAlign w:val="superscript"/>
              </w:rPr>
              <w:t>2</w:t>
            </w:r>
            <w:r>
              <w:rPr>
                <w:rFonts w:hint="eastAsia"/>
                <w:color w:val="auto"/>
                <w:szCs w:val="21"/>
                <w:highlight w:val="none"/>
              </w:rPr>
              <w:t>。施工临时场所选址均远离居民，用地性质为耕地、林地</w:t>
            </w:r>
            <w:r>
              <w:rPr>
                <w:rFonts w:hint="eastAsia"/>
                <w:color w:val="auto"/>
                <w:szCs w:val="21"/>
                <w:highlight w:val="none"/>
                <w:lang w:eastAsia="zh-CN"/>
              </w:rPr>
              <w:t>、</w:t>
            </w:r>
            <w:r>
              <w:rPr>
                <w:rFonts w:hint="eastAsia" w:cs="Times New Roman"/>
                <w:color w:val="auto"/>
                <w:szCs w:val="21"/>
                <w:highlight w:val="none"/>
                <w:lang w:val="en-US" w:eastAsia="zh-CN"/>
              </w:rPr>
              <w:t>未利用地</w:t>
            </w:r>
            <w:r>
              <w:rPr>
                <w:rFonts w:hint="eastAsia"/>
                <w:color w:val="auto"/>
                <w:szCs w:val="21"/>
                <w:highlight w:val="none"/>
              </w:rPr>
              <w:t>。</w:t>
            </w:r>
          </w:p>
          <w:p w14:paraId="08B6817F">
            <w:pPr>
              <w:spacing w:line="360" w:lineRule="auto"/>
              <w:ind w:firstLine="420" w:firstLineChars="200"/>
              <w:rPr>
                <w:rFonts w:hint="default" w:eastAsia="宋体"/>
                <w:color w:val="auto"/>
                <w:szCs w:val="21"/>
                <w:highlight w:val="none"/>
                <w:vertAlign w:val="baseline"/>
                <w:lang w:val="en-US" w:eastAsia="zh-CN"/>
              </w:rPr>
            </w:pPr>
            <w:r>
              <w:rPr>
                <w:rFonts w:hint="eastAsia"/>
                <w:color w:val="auto"/>
                <w:szCs w:val="21"/>
                <w:highlight w:val="none"/>
              </w:rPr>
              <w:t>（2）施工便道：</w:t>
            </w:r>
            <w:r>
              <w:rPr>
                <w:rFonts w:hint="default" w:ascii="Times New Roman" w:hAnsi="Times New Roman" w:cs="Times New Roman"/>
                <w:color w:val="auto"/>
                <w:szCs w:val="21"/>
                <w:highlight w:val="none"/>
              </w:rPr>
              <w:t>线路路径周围有公路和乡村道路可利用，既有道路不可达到处共需设置</w:t>
            </w:r>
            <w:r>
              <w:rPr>
                <w:rFonts w:hint="eastAsia" w:cs="Times New Roman"/>
                <w:color w:val="auto"/>
                <w:szCs w:val="21"/>
                <w:highlight w:val="none"/>
                <w:lang w:val="en-US" w:eastAsia="zh-CN"/>
              </w:rPr>
              <w:t>1.75</w:t>
            </w:r>
            <w:r>
              <w:rPr>
                <w:rFonts w:hint="default" w:ascii="Times New Roman" w:hAnsi="Times New Roman" w:cs="Times New Roman"/>
                <w:color w:val="auto"/>
                <w:szCs w:val="21"/>
                <w:highlight w:val="none"/>
              </w:rPr>
              <w:t>km的人抬道路，道路宽度为1m，占地面积共计约</w:t>
            </w:r>
            <w:r>
              <w:rPr>
                <w:rFonts w:hint="eastAsia" w:cs="Times New Roman"/>
                <w:color w:val="auto"/>
                <w:szCs w:val="21"/>
                <w:highlight w:val="none"/>
                <w:lang w:val="en-US" w:eastAsia="zh-CN"/>
              </w:rPr>
              <w:t>1750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vertAlign w:val="baseline"/>
                <w:lang w:eastAsia="zh-CN"/>
              </w:rPr>
              <w:t>，</w:t>
            </w:r>
            <w:r>
              <w:rPr>
                <w:rFonts w:hint="eastAsia" w:cs="Times New Roman"/>
                <w:color w:val="auto"/>
                <w:szCs w:val="21"/>
                <w:highlight w:val="none"/>
                <w:lang w:val="en-US" w:eastAsia="zh-CN"/>
              </w:rPr>
              <w:t>机械化施工的施工临时道路共需6</w:t>
            </w:r>
            <w:r>
              <w:rPr>
                <w:rFonts w:hint="default" w:ascii="Times New Roman" w:hAnsi="Times New Roman" w:cs="Times New Roman"/>
                <w:color w:val="auto"/>
                <w:szCs w:val="21"/>
                <w:highlight w:val="none"/>
              </w:rPr>
              <w:t>km</w:t>
            </w:r>
            <w:r>
              <w:rPr>
                <w:rFonts w:hint="eastAsia" w:ascii="Times New Roman" w:hAnsi="Times New Roman" w:cs="Times New Roman"/>
                <w:color w:val="auto"/>
                <w:szCs w:val="21"/>
                <w:highlight w:val="none"/>
                <w:lang w:val="en-US" w:eastAsia="zh-CN"/>
              </w:rPr>
              <w:t>的道路，</w:t>
            </w:r>
            <w:r>
              <w:rPr>
                <w:rFonts w:hint="default" w:ascii="Times New Roman" w:hAnsi="Times New Roman" w:cs="Times New Roman"/>
                <w:color w:val="auto"/>
                <w:szCs w:val="21"/>
                <w:highlight w:val="none"/>
              </w:rPr>
              <w:t>道路宽度为</w:t>
            </w:r>
            <w:r>
              <w:rPr>
                <w:rFonts w:hint="eastAsia"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m，占地面积共计约</w:t>
            </w:r>
            <w:r>
              <w:rPr>
                <w:rFonts w:hint="eastAsia" w:cs="Times New Roman"/>
                <w:color w:val="auto"/>
                <w:szCs w:val="21"/>
                <w:highlight w:val="none"/>
                <w:lang w:val="en-US" w:eastAsia="zh-CN"/>
              </w:rPr>
              <w:t>18000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eastAsia" w:ascii="Times New Roman" w:hAnsi="Times New Roman" w:cs="Times New Roman"/>
                <w:color w:val="auto"/>
                <w:szCs w:val="21"/>
                <w:highlight w:val="none"/>
                <w:vertAlign w:val="baseline"/>
                <w:lang w:val="en-US" w:eastAsia="zh-CN"/>
              </w:rPr>
              <w:t>，</w:t>
            </w:r>
            <w:r>
              <w:rPr>
                <w:rFonts w:hint="default" w:ascii="Times New Roman" w:hAnsi="Times New Roman" w:cs="Times New Roman"/>
                <w:color w:val="auto"/>
                <w:szCs w:val="21"/>
                <w:highlight w:val="none"/>
              </w:rPr>
              <w:t>用地性质为</w:t>
            </w:r>
            <w:r>
              <w:rPr>
                <w:rFonts w:hint="default" w:ascii="Times New Roman" w:hAnsi="Times New Roman" w:cs="Times New Roman"/>
                <w:color w:val="auto"/>
                <w:szCs w:val="21"/>
                <w:highlight w:val="none"/>
                <w:lang w:val="en-US" w:eastAsia="zh-CN"/>
              </w:rPr>
              <w:t>耕地、</w:t>
            </w:r>
            <w:r>
              <w:rPr>
                <w:rFonts w:hint="default" w:ascii="Times New Roman" w:hAnsi="Times New Roman" w:cs="Times New Roman"/>
                <w:color w:val="auto"/>
                <w:szCs w:val="21"/>
                <w:highlight w:val="none"/>
                <w:lang w:eastAsia="zh-CN"/>
              </w:rPr>
              <w:t>林地</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未利用地</w:t>
            </w:r>
            <w:r>
              <w:rPr>
                <w:rFonts w:hint="default" w:ascii="Times New Roman" w:hAnsi="Times New Roman" w:cs="Times New Roman"/>
                <w:color w:val="auto"/>
                <w:szCs w:val="21"/>
                <w:highlight w:val="none"/>
              </w:rPr>
              <w:t>。</w:t>
            </w:r>
          </w:p>
          <w:p w14:paraId="30C256DB">
            <w:pPr>
              <w:spacing w:line="360" w:lineRule="auto"/>
              <w:ind w:firstLine="420" w:firstLineChars="200"/>
              <w:rPr>
                <w:rFonts w:hint="eastAsia"/>
                <w:color w:val="auto"/>
                <w:szCs w:val="21"/>
                <w:highlight w:val="none"/>
              </w:rPr>
            </w:pPr>
            <w:r>
              <w:rPr>
                <w:rFonts w:hint="eastAsia"/>
                <w:color w:val="auto"/>
                <w:szCs w:val="21"/>
                <w:highlight w:val="none"/>
              </w:rPr>
              <w:t>（3）牵张场和跨越场：主要用作导线、地线张紧和架线，也兼作材料使用前的临时堆放、转运以及工程临时指挥蓬房。</w:t>
            </w:r>
            <w:r>
              <w:rPr>
                <w:rFonts w:hint="eastAsia"/>
                <w:color w:val="auto"/>
                <w:highlight w:val="none"/>
              </w:rPr>
              <w:t>输电线路工程施工期间需在每3</w:t>
            </w:r>
            <w:r>
              <w:rPr>
                <w:rFonts w:hint="eastAsia"/>
                <w:color w:val="auto"/>
                <w:highlight w:val="none"/>
                <w:lang w:eastAsia="zh-CN"/>
              </w:rPr>
              <w:t>～</w:t>
            </w:r>
            <w:r>
              <w:rPr>
                <w:rFonts w:hint="eastAsia"/>
                <w:color w:val="auto"/>
                <w:highlight w:val="none"/>
              </w:rPr>
              <w:t>4km设置1处牵张场，</w:t>
            </w:r>
            <w:r>
              <w:rPr>
                <w:rFonts w:hint="eastAsia"/>
                <w:color w:val="auto"/>
                <w:szCs w:val="21"/>
                <w:highlight w:val="none"/>
              </w:rPr>
              <w:t>由于本项目输电线路较</w:t>
            </w:r>
            <w:r>
              <w:rPr>
                <w:rFonts w:hint="eastAsia"/>
                <w:color w:val="auto"/>
                <w:szCs w:val="21"/>
                <w:highlight w:val="none"/>
                <w:lang w:val="en-US" w:eastAsia="zh-CN"/>
              </w:rPr>
              <w:t>长</w:t>
            </w:r>
            <w:r>
              <w:rPr>
                <w:rFonts w:hint="eastAsia"/>
                <w:color w:val="auto"/>
                <w:szCs w:val="21"/>
                <w:highlight w:val="none"/>
              </w:rPr>
              <w:t>，施工期间共布设</w:t>
            </w:r>
            <w:r>
              <w:rPr>
                <w:rFonts w:hint="eastAsia"/>
                <w:color w:val="auto"/>
                <w:szCs w:val="21"/>
                <w:highlight w:val="none"/>
                <w:lang w:val="en-US" w:eastAsia="zh-CN"/>
              </w:rPr>
              <w:t>10</w:t>
            </w:r>
            <w:r>
              <w:rPr>
                <w:rFonts w:hint="eastAsia"/>
                <w:color w:val="auto"/>
                <w:szCs w:val="21"/>
                <w:highlight w:val="none"/>
              </w:rPr>
              <w:t>个牵张场。</w:t>
            </w:r>
            <w:r>
              <w:rPr>
                <w:rFonts w:hint="eastAsia"/>
                <w:color w:val="auto"/>
                <w:highlight w:val="none"/>
              </w:rPr>
              <w:t>本工程涉及</w:t>
            </w:r>
            <w:r>
              <w:rPr>
                <w:rFonts w:hint="eastAsia"/>
                <w:color w:val="auto"/>
                <w:highlight w:val="none"/>
                <w:lang w:val="en-US" w:eastAsia="zh-CN"/>
              </w:rPr>
              <w:t>跨越成巴高速公路2次，跨越马家河5次、跨越G244国道、S302省道各一次，</w:t>
            </w:r>
            <w:r>
              <w:rPr>
                <w:rFonts w:hint="eastAsia"/>
                <w:color w:val="auto"/>
                <w:highlight w:val="none"/>
              </w:rPr>
              <w:t>共设置</w:t>
            </w:r>
            <w:r>
              <w:rPr>
                <w:rFonts w:hint="eastAsia"/>
                <w:color w:val="auto"/>
                <w:highlight w:val="none"/>
                <w:lang w:val="en-US" w:eastAsia="zh-CN"/>
              </w:rPr>
              <w:t>9</w:t>
            </w:r>
            <w:r>
              <w:rPr>
                <w:rFonts w:hint="eastAsia"/>
                <w:color w:val="auto"/>
                <w:highlight w:val="none"/>
              </w:rPr>
              <w:t>处跨越场。</w:t>
            </w:r>
            <w:r>
              <w:rPr>
                <w:rFonts w:hint="eastAsia"/>
                <w:color w:val="auto"/>
                <w:szCs w:val="21"/>
                <w:highlight w:val="none"/>
              </w:rPr>
              <w:t>牵张场单个占地面积约为</w:t>
            </w:r>
            <w:r>
              <w:rPr>
                <w:rFonts w:hint="eastAsia"/>
                <w:color w:val="auto"/>
                <w:szCs w:val="21"/>
                <w:highlight w:val="none"/>
                <w:lang w:val="en-US" w:eastAsia="zh-CN"/>
              </w:rPr>
              <w:t>4</w:t>
            </w:r>
            <w:r>
              <w:rPr>
                <w:rFonts w:hint="eastAsia"/>
                <w:color w:val="auto"/>
                <w:szCs w:val="21"/>
                <w:highlight w:val="none"/>
              </w:rPr>
              <w:t>00m</w:t>
            </w:r>
            <w:r>
              <w:rPr>
                <w:rFonts w:hint="eastAsia"/>
                <w:color w:val="auto"/>
                <w:szCs w:val="21"/>
                <w:highlight w:val="none"/>
                <w:vertAlign w:val="superscript"/>
              </w:rPr>
              <w:t>2</w:t>
            </w:r>
            <w:r>
              <w:rPr>
                <w:rFonts w:hint="eastAsia"/>
                <w:color w:val="auto"/>
                <w:szCs w:val="21"/>
                <w:highlight w:val="none"/>
              </w:rPr>
              <w:t>，</w:t>
            </w:r>
            <w:r>
              <w:rPr>
                <w:rFonts w:hint="eastAsia"/>
                <w:color w:val="auto"/>
                <w:szCs w:val="21"/>
                <w:highlight w:val="none"/>
                <w:lang w:val="en-US" w:eastAsia="zh-CN"/>
              </w:rPr>
              <w:t>每对</w:t>
            </w:r>
            <w:r>
              <w:rPr>
                <w:rFonts w:hint="eastAsia"/>
                <w:color w:val="auto"/>
                <w:highlight w:val="none"/>
              </w:rPr>
              <w:t>跨越场</w:t>
            </w:r>
            <w:r>
              <w:rPr>
                <w:rFonts w:hint="eastAsia"/>
                <w:color w:val="auto"/>
                <w:szCs w:val="21"/>
                <w:highlight w:val="none"/>
              </w:rPr>
              <w:t>占地面积约为</w:t>
            </w:r>
            <w:r>
              <w:rPr>
                <w:rFonts w:hint="eastAsia"/>
                <w:color w:val="auto"/>
                <w:szCs w:val="21"/>
                <w:highlight w:val="none"/>
                <w:lang w:val="en-US" w:eastAsia="zh-CN"/>
              </w:rPr>
              <w:t>4</w:t>
            </w:r>
            <w:r>
              <w:rPr>
                <w:rFonts w:hint="eastAsia"/>
                <w:color w:val="auto"/>
                <w:szCs w:val="21"/>
                <w:highlight w:val="none"/>
              </w:rPr>
              <w:t>00m</w:t>
            </w:r>
            <w:r>
              <w:rPr>
                <w:rFonts w:hint="eastAsia"/>
                <w:color w:val="auto"/>
                <w:szCs w:val="21"/>
                <w:highlight w:val="none"/>
                <w:vertAlign w:val="superscript"/>
              </w:rPr>
              <w:t>2</w:t>
            </w:r>
            <w:r>
              <w:rPr>
                <w:rFonts w:hint="eastAsia"/>
                <w:color w:val="auto"/>
                <w:szCs w:val="21"/>
                <w:highlight w:val="none"/>
                <w:vertAlign w:val="baseline"/>
                <w:lang w:eastAsia="zh-CN"/>
              </w:rPr>
              <w:t>，</w:t>
            </w:r>
            <w:r>
              <w:rPr>
                <w:rFonts w:hint="eastAsia"/>
                <w:color w:val="auto"/>
                <w:szCs w:val="21"/>
                <w:highlight w:val="none"/>
              </w:rPr>
              <w:t>占地面积共计约</w:t>
            </w:r>
            <w:r>
              <w:rPr>
                <w:rFonts w:hint="eastAsia"/>
                <w:color w:val="auto"/>
                <w:szCs w:val="21"/>
                <w:highlight w:val="none"/>
                <w:lang w:val="en-US" w:eastAsia="zh-CN"/>
              </w:rPr>
              <w:t>7600</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rPr>
              <w:t>。用地性质为耕地、林地</w:t>
            </w:r>
            <w:r>
              <w:rPr>
                <w:rFonts w:hint="eastAsia"/>
                <w:color w:val="auto"/>
                <w:szCs w:val="21"/>
                <w:highlight w:val="none"/>
                <w:lang w:eastAsia="zh-CN"/>
              </w:rPr>
              <w:t>、</w:t>
            </w:r>
            <w:r>
              <w:rPr>
                <w:rFonts w:hint="eastAsia"/>
                <w:color w:val="auto"/>
                <w:szCs w:val="21"/>
                <w:highlight w:val="none"/>
                <w:lang w:val="en-US" w:eastAsia="zh-CN"/>
              </w:rPr>
              <w:t>未利用地</w:t>
            </w:r>
            <w:r>
              <w:rPr>
                <w:rFonts w:hint="eastAsia"/>
                <w:color w:val="auto"/>
                <w:szCs w:val="21"/>
                <w:highlight w:val="none"/>
              </w:rPr>
              <w:t>。</w:t>
            </w:r>
          </w:p>
          <w:p w14:paraId="3AEB6725">
            <w:pPr>
              <w:spacing w:line="360" w:lineRule="auto"/>
              <w:ind w:firstLine="411" w:firstLineChars="196"/>
              <w:rPr>
                <w:color w:val="auto"/>
                <w:szCs w:val="21"/>
                <w:highlight w:val="none"/>
              </w:rPr>
            </w:pPr>
            <w:r>
              <w:rPr>
                <w:rFonts w:hint="eastAsia"/>
                <w:color w:val="auto"/>
                <w:szCs w:val="21"/>
                <w:highlight w:val="none"/>
              </w:rPr>
              <w:t>（</w:t>
            </w:r>
            <w:r>
              <w:rPr>
                <w:rFonts w:hint="eastAsia"/>
                <w:color w:val="auto"/>
                <w:szCs w:val="21"/>
                <w:highlight w:val="none"/>
                <w:lang w:val="en-US" w:eastAsia="zh-CN"/>
              </w:rPr>
              <w:t>4</w:t>
            </w:r>
            <w:r>
              <w:rPr>
                <w:rFonts w:hint="eastAsia"/>
                <w:color w:val="auto"/>
                <w:szCs w:val="21"/>
                <w:highlight w:val="none"/>
              </w:rPr>
              <w:t>）其他临建设施：线路主要的材料站和相关办公场地均租用当地房屋，不进行临时建设。材料站主要堆放塔材、导线、地线、绝缘子、金具和水泥等，其中水泥堆放在室内，当各塔位基础施工时由汽车分别运至各塔位附近公路旁，然后由人力沿施工便道运至塔位。</w:t>
            </w:r>
            <w:r>
              <w:rPr>
                <w:rFonts w:hint="default" w:ascii="Times New Roman" w:hAnsi="Times New Roman" w:cs="Times New Roman" w:eastAsiaTheme="minorEastAsia"/>
                <w:color w:val="auto"/>
                <w:szCs w:val="21"/>
                <w:highlight w:val="none"/>
                <w:lang w:val="en-US" w:eastAsia="zh-CN"/>
              </w:rPr>
              <w:t>本项目</w:t>
            </w:r>
            <w:r>
              <w:rPr>
                <w:rFonts w:hint="eastAsia" w:cs="Times New Roman" w:eastAsiaTheme="minorEastAsia"/>
                <w:color w:val="auto"/>
                <w:szCs w:val="21"/>
                <w:highlight w:val="none"/>
                <w:lang w:val="en-US" w:eastAsia="zh-CN"/>
              </w:rPr>
              <w:t>涉及巴中市恩阳区、巴州区和南江县境内</w:t>
            </w:r>
            <w:r>
              <w:rPr>
                <w:rFonts w:hint="eastAsia"/>
                <w:color w:val="auto"/>
                <w:szCs w:val="21"/>
                <w:highlight w:val="none"/>
              </w:rPr>
              <w:t>，线路沿线乡村居民较多，且线路总体较短，工程量较小，施工营地租用当地民房即可，因此，本项目施工期间不设置施工营地。</w:t>
            </w:r>
          </w:p>
          <w:p w14:paraId="57D1DE03">
            <w:pPr>
              <w:spacing w:line="360" w:lineRule="auto"/>
              <w:ind w:firstLine="420" w:firstLineChars="200"/>
              <w:rPr>
                <w:color w:val="auto"/>
                <w:sz w:val="24"/>
                <w:szCs w:val="20"/>
                <w:highlight w:val="none"/>
              </w:rPr>
            </w:pPr>
            <w:r>
              <w:rPr>
                <w:rFonts w:hint="eastAsia"/>
                <w:color w:val="auto"/>
                <w:szCs w:val="21"/>
                <w:highlight w:val="none"/>
              </w:rPr>
              <w:t>本工程占地情况一览表见下表。</w:t>
            </w:r>
          </w:p>
          <w:p w14:paraId="2F1AA756">
            <w:pPr>
              <w:tabs>
                <w:tab w:val="left" w:pos="3240"/>
              </w:tabs>
              <w:jc w:val="center"/>
              <w:rPr>
                <w:rFonts w:eastAsia="黑体"/>
                <w:color w:val="auto"/>
                <w:sz w:val="24"/>
                <w:szCs w:val="20"/>
                <w:highlight w:val="none"/>
              </w:rPr>
            </w:pPr>
            <w:r>
              <w:rPr>
                <w:rFonts w:eastAsia="黑体"/>
                <w:color w:val="auto"/>
                <w:szCs w:val="21"/>
                <w:highlight w:val="none"/>
              </w:rPr>
              <w:t>表2-</w:t>
            </w:r>
            <w:r>
              <w:rPr>
                <w:rFonts w:hint="eastAsia" w:eastAsia="黑体"/>
                <w:color w:val="auto"/>
                <w:szCs w:val="21"/>
                <w:highlight w:val="none"/>
              </w:rPr>
              <w:t>1</w:t>
            </w:r>
            <w:r>
              <w:rPr>
                <w:rFonts w:hint="eastAsia" w:eastAsia="黑体"/>
                <w:color w:val="auto"/>
                <w:szCs w:val="21"/>
                <w:highlight w:val="none"/>
                <w:lang w:val="en-US" w:eastAsia="zh-CN"/>
              </w:rPr>
              <w:t>5</w:t>
            </w:r>
            <w:r>
              <w:rPr>
                <w:rFonts w:eastAsia="黑体"/>
                <w:color w:val="auto"/>
                <w:szCs w:val="21"/>
                <w:highlight w:val="none"/>
              </w:rPr>
              <w:t xml:space="preserve"> 本工程</w:t>
            </w:r>
            <w:r>
              <w:rPr>
                <w:rFonts w:hint="eastAsia" w:eastAsia="黑体"/>
                <w:color w:val="auto"/>
                <w:szCs w:val="21"/>
                <w:highlight w:val="none"/>
              </w:rPr>
              <w:t>占地情况一览表</w:t>
            </w:r>
          </w:p>
          <w:tbl>
            <w:tblPr>
              <w:tblStyle w:val="25"/>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6"/>
              <w:gridCol w:w="1720"/>
              <w:gridCol w:w="1426"/>
              <w:gridCol w:w="1410"/>
              <w:gridCol w:w="1188"/>
              <w:gridCol w:w="1698"/>
            </w:tblGrid>
            <w:tr w14:paraId="40ED17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9" w:type="pct"/>
                  <w:gridSpan w:val="2"/>
                  <w:tcBorders>
                    <w:tl2br w:val="nil"/>
                    <w:tr2bl w:val="nil"/>
                  </w:tcBorders>
                  <w:vAlign w:val="center"/>
                </w:tcPr>
                <w:p w14:paraId="4B72C91D">
                  <w:pPr>
                    <w:jc w:val="center"/>
                    <w:rPr>
                      <w:color w:val="auto"/>
                      <w:sz w:val="18"/>
                      <w:szCs w:val="18"/>
                      <w:highlight w:val="none"/>
                    </w:rPr>
                  </w:pPr>
                  <w:r>
                    <w:rPr>
                      <w:color w:val="auto"/>
                      <w:sz w:val="18"/>
                      <w:szCs w:val="18"/>
                      <w:highlight w:val="none"/>
                    </w:rPr>
                    <w:t>项目</w:t>
                  </w:r>
                </w:p>
              </w:tc>
              <w:tc>
                <w:tcPr>
                  <w:tcW w:w="822" w:type="pct"/>
                  <w:tcBorders>
                    <w:tl2br w:val="nil"/>
                    <w:tr2bl w:val="nil"/>
                  </w:tcBorders>
                  <w:vAlign w:val="center"/>
                </w:tcPr>
                <w:p w14:paraId="1192891F">
                  <w:pPr>
                    <w:jc w:val="center"/>
                    <w:rPr>
                      <w:color w:val="auto"/>
                      <w:sz w:val="18"/>
                      <w:szCs w:val="18"/>
                      <w:highlight w:val="none"/>
                    </w:rPr>
                  </w:pPr>
                  <w:r>
                    <w:rPr>
                      <w:color w:val="auto"/>
                      <w:sz w:val="18"/>
                      <w:szCs w:val="18"/>
                      <w:highlight w:val="none"/>
                    </w:rPr>
                    <w:t>占地</w:t>
                  </w:r>
                  <w:r>
                    <w:rPr>
                      <w:rFonts w:hint="eastAsia"/>
                      <w:color w:val="auto"/>
                      <w:sz w:val="18"/>
                      <w:szCs w:val="18"/>
                      <w:highlight w:val="none"/>
                    </w:rPr>
                    <w:t>面积</w:t>
                  </w:r>
                  <w:r>
                    <w:rPr>
                      <w:rFonts w:hint="eastAsia"/>
                      <w:color w:val="auto"/>
                      <w:sz w:val="18"/>
                      <w:szCs w:val="18"/>
                      <w:highlight w:val="none"/>
                      <w:lang w:eastAsia="zh-CN"/>
                    </w:rPr>
                    <w:t>（</w:t>
                  </w:r>
                  <w:r>
                    <w:rPr>
                      <w:color w:val="auto"/>
                      <w:sz w:val="18"/>
                      <w:szCs w:val="18"/>
                      <w:highlight w:val="none"/>
                    </w:rPr>
                    <w:t>m</w:t>
                  </w:r>
                  <w:r>
                    <w:rPr>
                      <w:color w:val="auto"/>
                      <w:sz w:val="18"/>
                      <w:szCs w:val="18"/>
                      <w:highlight w:val="none"/>
                      <w:vertAlign w:val="superscript"/>
                    </w:rPr>
                    <w:t>2</w:t>
                  </w:r>
                  <w:r>
                    <w:rPr>
                      <w:rFonts w:hint="eastAsia"/>
                      <w:color w:val="auto"/>
                      <w:sz w:val="18"/>
                      <w:szCs w:val="18"/>
                      <w:highlight w:val="none"/>
                      <w:lang w:eastAsia="zh-CN"/>
                    </w:rPr>
                    <w:t>）</w:t>
                  </w:r>
                </w:p>
              </w:tc>
              <w:tc>
                <w:tcPr>
                  <w:tcW w:w="813" w:type="pct"/>
                  <w:tcBorders>
                    <w:tl2br w:val="nil"/>
                    <w:tr2bl w:val="nil"/>
                  </w:tcBorders>
                  <w:vAlign w:val="center"/>
                </w:tcPr>
                <w:p w14:paraId="3B0FB09C">
                  <w:pPr>
                    <w:jc w:val="center"/>
                    <w:rPr>
                      <w:color w:val="auto"/>
                      <w:sz w:val="18"/>
                      <w:szCs w:val="18"/>
                      <w:highlight w:val="none"/>
                    </w:rPr>
                  </w:pPr>
                  <w:r>
                    <w:rPr>
                      <w:rFonts w:hint="eastAsia"/>
                      <w:color w:val="auto"/>
                      <w:sz w:val="18"/>
                      <w:szCs w:val="18"/>
                      <w:highlight w:val="none"/>
                    </w:rPr>
                    <w:t>占地类型</w:t>
                  </w:r>
                </w:p>
              </w:tc>
              <w:tc>
                <w:tcPr>
                  <w:tcW w:w="685" w:type="pct"/>
                  <w:tcBorders>
                    <w:tl2br w:val="nil"/>
                    <w:tr2bl w:val="nil"/>
                  </w:tcBorders>
                  <w:vAlign w:val="center"/>
                </w:tcPr>
                <w:p w14:paraId="2D4D996E">
                  <w:pPr>
                    <w:jc w:val="center"/>
                    <w:rPr>
                      <w:color w:val="auto"/>
                      <w:sz w:val="18"/>
                      <w:szCs w:val="18"/>
                      <w:highlight w:val="none"/>
                    </w:rPr>
                  </w:pPr>
                  <w:r>
                    <w:rPr>
                      <w:color w:val="auto"/>
                      <w:sz w:val="18"/>
                      <w:szCs w:val="18"/>
                      <w:highlight w:val="none"/>
                    </w:rPr>
                    <w:t>合计</w:t>
                  </w:r>
                  <w:r>
                    <w:rPr>
                      <w:rFonts w:hint="eastAsia"/>
                      <w:color w:val="auto"/>
                      <w:sz w:val="18"/>
                      <w:szCs w:val="18"/>
                      <w:highlight w:val="none"/>
                      <w:lang w:eastAsia="zh-CN"/>
                    </w:rPr>
                    <w:t>（</w:t>
                  </w:r>
                  <w:r>
                    <w:rPr>
                      <w:color w:val="auto"/>
                      <w:sz w:val="18"/>
                      <w:szCs w:val="18"/>
                      <w:highlight w:val="none"/>
                    </w:rPr>
                    <w:t>m</w:t>
                  </w:r>
                  <w:r>
                    <w:rPr>
                      <w:color w:val="auto"/>
                      <w:sz w:val="18"/>
                      <w:szCs w:val="18"/>
                      <w:highlight w:val="none"/>
                      <w:vertAlign w:val="superscript"/>
                    </w:rPr>
                    <w:t>2</w:t>
                  </w:r>
                  <w:r>
                    <w:rPr>
                      <w:rFonts w:hint="eastAsia"/>
                      <w:color w:val="auto"/>
                      <w:sz w:val="18"/>
                      <w:szCs w:val="18"/>
                      <w:highlight w:val="none"/>
                      <w:lang w:eastAsia="zh-CN"/>
                    </w:rPr>
                    <w:t>）</w:t>
                  </w:r>
                </w:p>
              </w:tc>
              <w:tc>
                <w:tcPr>
                  <w:tcW w:w="979" w:type="pct"/>
                  <w:tcBorders>
                    <w:tl2br w:val="nil"/>
                    <w:tr2bl w:val="nil"/>
                  </w:tcBorders>
                  <w:vAlign w:val="center"/>
                </w:tcPr>
                <w:p w14:paraId="0C64A35D">
                  <w:pPr>
                    <w:jc w:val="center"/>
                    <w:rPr>
                      <w:color w:val="auto"/>
                      <w:sz w:val="18"/>
                      <w:szCs w:val="18"/>
                      <w:highlight w:val="none"/>
                    </w:rPr>
                  </w:pPr>
                  <w:r>
                    <w:rPr>
                      <w:rFonts w:hint="eastAsia"/>
                      <w:color w:val="auto"/>
                      <w:sz w:val="18"/>
                      <w:szCs w:val="18"/>
                      <w:highlight w:val="none"/>
                    </w:rPr>
                    <w:t>备注</w:t>
                  </w:r>
                </w:p>
              </w:tc>
            </w:tr>
            <w:tr w14:paraId="5135D0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707" w:type="pct"/>
                  <w:vMerge w:val="restart"/>
                  <w:tcBorders>
                    <w:tl2br w:val="nil"/>
                    <w:tr2bl w:val="nil"/>
                  </w:tcBorders>
                  <w:shd w:val="clear" w:color="auto" w:fill="auto"/>
                  <w:vAlign w:val="center"/>
                </w:tcPr>
                <w:p w14:paraId="19A55641">
                  <w:pPr>
                    <w:jc w:val="center"/>
                    <w:rPr>
                      <w:rFonts w:hint="eastAsia" w:eastAsia="宋体"/>
                      <w:color w:val="auto"/>
                      <w:sz w:val="18"/>
                      <w:szCs w:val="18"/>
                      <w:highlight w:val="none"/>
                      <w:lang w:eastAsia="zh-CN"/>
                    </w:rPr>
                  </w:pPr>
                  <w:r>
                    <w:rPr>
                      <w:rFonts w:hint="eastAsia"/>
                      <w:color w:val="auto"/>
                      <w:sz w:val="18"/>
                      <w:szCs w:val="18"/>
                      <w:highlight w:val="none"/>
                      <w:lang w:val="en-US" w:eastAsia="zh-CN"/>
                    </w:rPr>
                    <w:t>司城</w:t>
                  </w:r>
                  <w:r>
                    <w:rPr>
                      <w:rFonts w:hint="eastAsia"/>
                      <w:color w:val="auto"/>
                      <w:sz w:val="18"/>
                      <w:szCs w:val="18"/>
                      <w:highlight w:val="none"/>
                      <w:lang w:eastAsia="zh-CN"/>
                    </w:rPr>
                    <w:t>110kV变电站新建工程</w:t>
                  </w:r>
                </w:p>
              </w:tc>
              <w:tc>
                <w:tcPr>
                  <w:tcW w:w="992" w:type="pct"/>
                  <w:vMerge w:val="restart"/>
                  <w:tcBorders>
                    <w:tl2br w:val="nil"/>
                    <w:tr2bl w:val="nil"/>
                  </w:tcBorders>
                  <w:shd w:val="clear" w:color="auto" w:fill="auto"/>
                  <w:vAlign w:val="center"/>
                </w:tcPr>
                <w:p w14:paraId="70862C78">
                  <w:pPr>
                    <w:jc w:val="center"/>
                    <w:rPr>
                      <w:color w:val="auto"/>
                      <w:sz w:val="18"/>
                      <w:szCs w:val="18"/>
                      <w:highlight w:val="none"/>
                    </w:rPr>
                  </w:pPr>
                  <w:r>
                    <w:rPr>
                      <w:color w:val="auto"/>
                      <w:sz w:val="18"/>
                      <w:szCs w:val="18"/>
                      <w:highlight w:val="none"/>
                    </w:rPr>
                    <w:t>站区用地</w:t>
                  </w:r>
                </w:p>
              </w:tc>
              <w:tc>
                <w:tcPr>
                  <w:tcW w:w="822" w:type="pct"/>
                  <w:tcBorders>
                    <w:tl2br w:val="nil"/>
                    <w:tr2bl w:val="nil"/>
                  </w:tcBorders>
                  <w:vAlign w:val="center"/>
                </w:tcPr>
                <w:p w14:paraId="7CDE576B">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7760</w:t>
                  </w:r>
                </w:p>
              </w:tc>
              <w:tc>
                <w:tcPr>
                  <w:tcW w:w="813" w:type="pct"/>
                  <w:tcBorders>
                    <w:tl2br w:val="nil"/>
                    <w:tr2bl w:val="nil"/>
                  </w:tcBorders>
                  <w:shd w:val="clear" w:color="000000" w:fill="auto"/>
                  <w:vAlign w:val="center"/>
                </w:tcPr>
                <w:p w14:paraId="4003EE51">
                  <w:pPr>
                    <w:jc w:val="center"/>
                    <w:rPr>
                      <w:color w:val="auto"/>
                      <w:sz w:val="18"/>
                      <w:szCs w:val="18"/>
                      <w:highlight w:val="none"/>
                    </w:rPr>
                  </w:pPr>
                  <w:r>
                    <w:rPr>
                      <w:rFonts w:hint="eastAsia"/>
                      <w:color w:val="auto"/>
                      <w:sz w:val="18"/>
                      <w:szCs w:val="18"/>
                      <w:highlight w:val="none"/>
                      <w:lang w:val="en-US" w:eastAsia="zh-CN"/>
                    </w:rPr>
                    <w:t>农用地（耕地）</w:t>
                  </w:r>
                </w:p>
              </w:tc>
              <w:tc>
                <w:tcPr>
                  <w:tcW w:w="685" w:type="pct"/>
                  <w:vMerge w:val="restart"/>
                  <w:tcBorders>
                    <w:tl2br w:val="nil"/>
                    <w:tr2bl w:val="nil"/>
                  </w:tcBorders>
                  <w:shd w:val="clear" w:color="000000" w:fill="auto"/>
                  <w:vAlign w:val="center"/>
                </w:tcPr>
                <w:p w14:paraId="793EB065">
                  <w:pPr>
                    <w:jc w:val="center"/>
                    <w:rPr>
                      <w:rFonts w:hint="default"/>
                      <w:color w:val="auto"/>
                      <w:sz w:val="18"/>
                      <w:szCs w:val="18"/>
                      <w:highlight w:val="none"/>
                      <w:lang w:val="en-US"/>
                    </w:rPr>
                  </w:pPr>
                  <w:r>
                    <w:rPr>
                      <w:rFonts w:hint="eastAsia"/>
                      <w:color w:val="auto"/>
                      <w:sz w:val="18"/>
                      <w:szCs w:val="18"/>
                      <w:highlight w:val="none"/>
                      <w:lang w:val="en-US" w:eastAsia="zh-CN"/>
                    </w:rPr>
                    <w:t>8141</w:t>
                  </w:r>
                </w:p>
              </w:tc>
              <w:tc>
                <w:tcPr>
                  <w:tcW w:w="979" w:type="pct"/>
                  <w:vMerge w:val="restart"/>
                  <w:tcBorders>
                    <w:tl2br w:val="nil"/>
                    <w:tr2bl w:val="nil"/>
                  </w:tcBorders>
                  <w:shd w:val="clear" w:color="000000" w:fill="auto"/>
                  <w:vAlign w:val="center"/>
                </w:tcPr>
                <w:p w14:paraId="2BC20522">
                  <w:pPr>
                    <w:jc w:val="center"/>
                    <w:rPr>
                      <w:color w:val="auto"/>
                      <w:sz w:val="18"/>
                      <w:szCs w:val="18"/>
                      <w:highlight w:val="none"/>
                    </w:rPr>
                  </w:pPr>
                  <w:r>
                    <w:rPr>
                      <w:rFonts w:hint="eastAsia"/>
                      <w:color w:val="auto"/>
                      <w:sz w:val="18"/>
                      <w:szCs w:val="18"/>
                      <w:highlight w:val="none"/>
                    </w:rPr>
                    <w:t>永久占地</w:t>
                  </w:r>
                </w:p>
              </w:tc>
            </w:tr>
            <w:tr w14:paraId="0DD0FC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707" w:type="pct"/>
                  <w:vMerge w:val="continue"/>
                  <w:tcBorders>
                    <w:tl2br w:val="nil"/>
                    <w:tr2bl w:val="nil"/>
                  </w:tcBorders>
                  <w:shd w:val="clear" w:color="auto" w:fill="auto"/>
                  <w:vAlign w:val="center"/>
                </w:tcPr>
                <w:p w14:paraId="1E305FA6">
                  <w:pPr>
                    <w:jc w:val="center"/>
                    <w:rPr>
                      <w:rFonts w:hint="eastAsia"/>
                      <w:color w:val="auto"/>
                      <w:sz w:val="18"/>
                      <w:szCs w:val="18"/>
                      <w:highlight w:val="none"/>
                      <w:lang w:val="en-US" w:eastAsia="zh-CN"/>
                    </w:rPr>
                  </w:pPr>
                </w:p>
              </w:tc>
              <w:tc>
                <w:tcPr>
                  <w:tcW w:w="992" w:type="pct"/>
                  <w:vMerge w:val="continue"/>
                  <w:tcBorders>
                    <w:tl2br w:val="nil"/>
                    <w:tr2bl w:val="nil"/>
                  </w:tcBorders>
                  <w:shd w:val="clear" w:color="auto" w:fill="auto"/>
                  <w:vAlign w:val="center"/>
                </w:tcPr>
                <w:p w14:paraId="1D3576E1">
                  <w:pPr>
                    <w:jc w:val="center"/>
                    <w:rPr>
                      <w:rFonts w:hint="eastAsia"/>
                      <w:color w:val="auto"/>
                      <w:sz w:val="18"/>
                      <w:szCs w:val="18"/>
                      <w:highlight w:val="none"/>
                      <w:lang w:val="en-US" w:eastAsia="zh-CN"/>
                    </w:rPr>
                  </w:pPr>
                </w:p>
              </w:tc>
              <w:tc>
                <w:tcPr>
                  <w:tcW w:w="822" w:type="pct"/>
                  <w:tcBorders>
                    <w:tl2br w:val="nil"/>
                    <w:tr2bl w:val="nil"/>
                  </w:tcBorders>
                  <w:vAlign w:val="center"/>
                </w:tcPr>
                <w:p w14:paraId="2E14137F">
                  <w:pPr>
                    <w:jc w:val="center"/>
                    <w:rPr>
                      <w:rFonts w:hint="default"/>
                      <w:color w:val="auto"/>
                      <w:sz w:val="18"/>
                      <w:szCs w:val="18"/>
                      <w:highlight w:val="none"/>
                      <w:lang w:val="en-US" w:eastAsia="zh-CN"/>
                    </w:rPr>
                  </w:pPr>
                  <w:r>
                    <w:rPr>
                      <w:rFonts w:hint="eastAsia"/>
                      <w:color w:val="auto"/>
                      <w:sz w:val="18"/>
                      <w:szCs w:val="18"/>
                      <w:highlight w:val="none"/>
                      <w:lang w:val="en-US" w:eastAsia="zh-CN"/>
                    </w:rPr>
                    <w:t>381</w:t>
                  </w:r>
                </w:p>
              </w:tc>
              <w:tc>
                <w:tcPr>
                  <w:tcW w:w="813" w:type="pct"/>
                  <w:tcBorders>
                    <w:tl2br w:val="nil"/>
                    <w:tr2bl w:val="nil"/>
                  </w:tcBorders>
                  <w:shd w:val="clear" w:color="000000" w:fill="auto"/>
                  <w:vAlign w:val="center"/>
                </w:tcPr>
                <w:p w14:paraId="359FC98F">
                  <w:pPr>
                    <w:jc w:val="center"/>
                    <w:rPr>
                      <w:rFonts w:hint="eastAsia"/>
                      <w:color w:val="auto"/>
                      <w:sz w:val="18"/>
                      <w:szCs w:val="18"/>
                      <w:highlight w:val="none"/>
                      <w:lang w:val="en-US" w:eastAsia="zh-CN"/>
                    </w:rPr>
                  </w:pPr>
                  <w:r>
                    <w:rPr>
                      <w:rFonts w:hint="eastAsia"/>
                      <w:color w:val="auto"/>
                      <w:sz w:val="18"/>
                      <w:szCs w:val="18"/>
                      <w:highlight w:val="none"/>
                      <w:lang w:val="en-US" w:eastAsia="zh-CN"/>
                    </w:rPr>
                    <w:t>建设用地</w:t>
                  </w:r>
                </w:p>
              </w:tc>
              <w:tc>
                <w:tcPr>
                  <w:tcW w:w="685" w:type="pct"/>
                  <w:vMerge w:val="continue"/>
                  <w:tcBorders>
                    <w:tl2br w:val="nil"/>
                    <w:tr2bl w:val="nil"/>
                  </w:tcBorders>
                  <w:shd w:val="clear" w:color="000000" w:fill="auto"/>
                  <w:vAlign w:val="center"/>
                </w:tcPr>
                <w:p w14:paraId="4187F8A5">
                  <w:pPr>
                    <w:jc w:val="center"/>
                    <w:rPr>
                      <w:rFonts w:hint="eastAsia"/>
                      <w:color w:val="auto"/>
                      <w:sz w:val="18"/>
                      <w:szCs w:val="18"/>
                      <w:highlight w:val="none"/>
                      <w:lang w:val="en-US" w:eastAsia="zh-CN"/>
                    </w:rPr>
                  </w:pPr>
                </w:p>
              </w:tc>
              <w:tc>
                <w:tcPr>
                  <w:tcW w:w="979" w:type="pct"/>
                  <w:vMerge w:val="continue"/>
                  <w:tcBorders>
                    <w:tl2br w:val="nil"/>
                    <w:tr2bl w:val="nil"/>
                  </w:tcBorders>
                  <w:shd w:val="clear" w:color="000000" w:fill="auto"/>
                  <w:vAlign w:val="center"/>
                </w:tcPr>
                <w:p w14:paraId="5C5F3307">
                  <w:pPr>
                    <w:jc w:val="center"/>
                    <w:rPr>
                      <w:rFonts w:hint="eastAsia"/>
                      <w:color w:val="auto"/>
                      <w:sz w:val="18"/>
                      <w:szCs w:val="18"/>
                      <w:highlight w:val="none"/>
                      <w:lang w:val="en-US" w:eastAsia="zh-CN"/>
                    </w:rPr>
                  </w:pPr>
                </w:p>
              </w:tc>
            </w:tr>
            <w:tr w14:paraId="2E02DB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36BC70A6">
                  <w:pPr>
                    <w:jc w:val="center"/>
                    <w:rPr>
                      <w:color w:val="auto"/>
                      <w:sz w:val="18"/>
                      <w:szCs w:val="18"/>
                      <w:highlight w:val="none"/>
                    </w:rPr>
                  </w:pPr>
                </w:p>
              </w:tc>
              <w:tc>
                <w:tcPr>
                  <w:tcW w:w="992" w:type="pct"/>
                  <w:tcBorders>
                    <w:tl2br w:val="nil"/>
                    <w:tr2bl w:val="nil"/>
                  </w:tcBorders>
                  <w:shd w:val="clear" w:color="auto" w:fill="auto"/>
                  <w:vAlign w:val="center"/>
                </w:tcPr>
                <w:p w14:paraId="3199CFF1">
                  <w:pPr>
                    <w:jc w:val="center"/>
                    <w:rPr>
                      <w:color w:val="auto"/>
                      <w:sz w:val="18"/>
                      <w:szCs w:val="18"/>
                      <w:highlight w:val="none"/>
                    </w:rPr>
                  </w:pPr>
                  <w:r>
                    <w:rPr>
                      <w:rFonts w:hint="eastAsia"/>
                      <w:color w:val="auto"/>
                      <w:sz w:val="18"/>
                      <w:szCs w:val="18"/>
                      <w:highlight w:val="none"/>
                    </w:rPr>
                    <w:t>施工物料临时堆场</w:t>
                  </w:r>
                </w:p>
              </w:tc>
              <w:tc>
                <w:tcPr>
                  <w:tcW w:w="822" w:type="pct"/>
                  <w:tcBorders>
                    <w:tl2br w:val="nil"/>
                    <w:tr2bl w:val="nil"/>
                  </w:tcBorders>
                  <w:vAlign w:val="center"/>
                </w:tcPr>
                <w:p w14:paraId="70D62558">
                  <w:pPr>
                    <w:jc w:val="center"/>
                    <w:rPr>
                      <w:rFonts w:hint="eastAsia" w:eastAsia="宋体"/>
                      <w:color w:val="auto"/>
                      <w:sz w:val="18"/>
                      <w:szCs w:val="18"/>
                      <w:highlight w:val="none"/>
                      <w:lang w:eastAsia="zh-CN"/>
                    </w:rPr>
                  </w:pPr>
                  <w:r>
                    <w:rPr>
                      <w:rFonts w:hint="eastAsia"/>
                      <w:color w:val="auto"/>
                      <w:sz w:val="18"/>
                      <w:szCs w:val="18"/>
                      <w:highlight w:val="none"/>
                      <w:lang w:val="en-US" w:eastAsia="zh-CN"/>
                    </w:rPr>
                    <w:t>/</w:t>
                  </w:r>
                </w:p>
              </w:tc>
              <w:tc>
                <w:tcPr>
                  <w:tcW w:w="813" w:type="pct"/>
                  <w:tcBorders>
                    <w:tl2br w:val="nil"/>
                    <w:tr2bl w:val="nil"/>
                  </w:tcBorders>
                  <w:shd w:val="clear" w:color="000000" w:fill="auto"/>
                  <w:vAlign w:val="center"/>
                </w:tcPr>
                <w:p w14:paraId="28BD7114">
                  <w:pPr>
                    <w:jc w:val="center"/>
                    <w:rPr>
                      <w:rFonts w:hint="eastAsia" w:eastAsia="宋体"/>
                      <w:color w:val="auto"/>
                      <w:sz w:val="18"/>
                      <w:szCs w:val="18"/>
                      <w:highlight w:val="none"/>
                      <w:lang w:eastAsia="zh-CN"/>
                    </w:rPr>
                  </w:pPr>
                  <w:r>
                    <w:rPr>
                      <w:rFonts w:hint="eastAsia"/>
                      <w:color w:val="auto"/>
                      <w:sz w:val="18"/>
                      <w:szCs w:val="18"/>
                      <w:highlight w:val="none"/>
                      <w:lang w:val="en-US" w:eastAsia="zh-CN"/>
                    </w:rPr>
                    <w:t>/</w:t>
                  </w:r>
                </w:p>
              </w:tc>
              <w:tc>
                <w:tcPr>
                  <w:tcW w:w="685" w:type="pct"/>
                  <w:tcBorders>
                    <w:tl2br w:val="nil"/>
                    <w:tr2bl w:val="nil"/>
                  </w:tcBorders>
                  <w:shd w:val="clear" w:color="000000" w:fill="auto"/>
                  <w:vAlign w:val="center"/>
                </w:tcPr>
                <w:p w14:paraId="0D5C3860">
                  <w:pPr>
                    <w:jc w:val="center"/>
                    <w:rPr>
                      <w:rFonts w:hint="eastAsia" w:eastAsia="宋体"/>
                      <w:color w:val="auto"/>
                      <w:sz w:val="18"/>
                      <w:szCs w:val="18"/>
                      <w:highlight w:val="none"/>
                      <w:lang w:eastAsia="zh-CN"/>
                    </w:rPr>
                  </w:pPr>
                  <w:r>
                    <w:rPr>
                      <w:rFonts w:hint="eastAsia"/>
                      <w:color w:val="auto"/>
                      <w:sz w:val="18"/>
                      <w:szCs w:val="18"/>
                      <w:highlight w:val="none"/>
                      <w:lang w:val="en-US" w:eastAsia="zh-CN"/>
                    </w:rPr>
                    <w:t>/</w:t>
                  </w:r>
                </w:p>
              </w:tc>
              <w:tc>
                <w:tcPr>
                  <w:tcW w:w="979" w:type="pct"/>
                  <w:tcBorders>
                    <w:tl2br w:val="nil"/>
                    <w:tr2bl w:val="nil"/>
                  </w:tcBorders>
                  <w:shd w:val="clear" w:color="000000" w:fill="auto"/>
                  <w:vAlign w:val="center"/>
                </w:tcPr>
                <w:p w14:paraId="4BC768A5">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设于变电站内，不重复计算</w:t>
                  </w:r>
                </w:p>
              </w:tc>
            </w:tr>
            <w:tr w14:paraId="56E5F5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7" w:type="pct"/>
                  <w:vMerge w:val="restart"/>
                  <w:tcBorders>
                    <w:tl2br w:val="nil"/>
                    <w:tr2bl w:val="nil"/>
                  </w:tcBorders>
                  <w:shd w:val="clear" w:color="auto" w:fill="auto"/>
                  <w:vAlign w:val="center"/>
                </w:tcPr>
                <w:p w14:paraId="0F5F33F0">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线路工程</w:t>
                  </w:r>
                </w:p>
              </w:tc>
              <w:tc>
                <w:tcPr>
                  <w:tcW w:w="992" w:type="pct"/>
                  <w:vMerge w:val="restart"/>
                  <w:tcBorders>
                    <w:tl2br w:val="nil"/>
                    <w:tr2bl w:val="nil"/>
                  </w:tcBorders>
                  <w:shd w:val="clear" w:color="auto" w:fill="auto"/>
                  <w:vAlign w:val="center"/>
                </w:tcPr>
                <w:p w14:paraId="0B4DCE78">
                  <w:pPr>
                    <w:jc w:val="center"/>
                    <w:rPr>
                      <w:color w:val="auto"/>
                      <w:sz w:val="18"/>
                      <w:szCs w:val="18"/>
                      <w:highlight w:val="none"/>
                    </w:rPr>
                  </w:pPr>
                  <w:r>
                    <w:rPr>
                      <w:color w:val="auto"/>
                      <w:sz w:val="18"/>
                      <w:szCs w:val="18"/>
                      <w:highlight w:val="none"/>
                    </w:rPr>
                    <w:t>塔基占地</w:t>
                  </w:r>
                </w:p>
              </w:tc>
              <w:tc>
                <w:tcPr>
                  <w:tcW w:w="822" w:type="pct"/>
                  <w:tcBorders>
                    <w:tl2br w:val="nil"/>
                    <w:tr2bl w:val="nil"/>
                  </w:tcBorders>
                  <w:vAlign w:val="center"/>
                </w:tcPr>
                <w:p w14:paraId="7D99C657">
                  <w:pPr>
                    <w:jc w:val="center"/>
                    <w:rPr>
                      <w:rFonts w:hint="default"/>
                      <w:color w:val="auto"/>
                      <w:sz w:val="18"/>
                      <w:szCs w:val="18"/>
                      <w:highlight w:val="none"/>
                      <w:lang w:val="en-US"/>
                    </w:rPr>
                  </w:pPr>
                  <w:r>
                    <w:rPr>
                      <w:rFonts w:hint="eastAsia"/>
                      <w:color w:val="auto"/>
                      <w:sz w:val="18"/>
                      <w:szCs w:val="18"/>
                      <w:highlight w:val="none"/>
                      <w:lang w:val="en-US" w:eastAsia="zh-CN"/>
                    </w:rPr>
                    <w:t>1360</w:t>
                  </w:r>
                </w:p>
              </w:tc>
              <w:tc>
                <w:tcPr>
                  <w:tcW w:w="813" w:type="pct"/>
                  <w:tcBorders>
                    <w:tl2br w:val="nil"/>
                    <w:tr2bl w:val="nil"/>
                  </w:tcBorders>
                  <w:shd w:val="clear" w:color="000000" w:fill="auto"/>
                  <w:vAlign w:val="center"/>
                </w:tcPr>
                <w:p w14:paraId="6FE11493">
                  <w:pPr>
                    <w:jc w:val="center"/>
                    <w:rPr>
                      <w:color w:val="auto"/>
                      <w:sz w:val="18"/>
                      <w:szCs w:val="18"/>
                      <w:highlight w:val="none"/>
                    </w:rPr>
                  </w:pPr>
                  <w:r>
                    <w:rPr>
                      <w:rFonts w:hint="eastAsia"/>
                      <w:color w:val="auto"/>
                      <w:sz w:val="18"/>
                      <w:szCs w:val="18"/>
                      <w:highlight w:val="none"/>
                    </w:rPr>
                    <w:t>林地</w:t>
                  </w:r>
                </w:p>
              </w:tc>
              <w:tc>
                <w:tcPr>
                  <w:tcW w:w="685" w:type="pct"/>
                  <w:vMerge w:val="restart"/>
                  <w:tcBorders>
                    <w:tl2br w:val="nil"/>
                    <w:tr2bl w:val="nil"/>
                  </w:tcBorders>
                  <w:shd w:val="clear" w:color="000000" w:fill="auto"/>
                  <w:vAlign w:val="center"/>
                </w:tcPr>
                <w:p w14:paraId="4C656447">
                  <w:pPr>
                    <w:jc w:val="center"/>
                    <w:rPr>
                      <w:rFonts w:hint="default"/>
                      <w:color w:val="auto"/>
                      <w:sz w:val="18"/>
                      <w:szCs w:val="18"/>
                      <w:highlight w:val="none"/>
                      <w:lang w:val="en-US"/>
                    </w:rPr>
                  </w:pPr>
                  <w:r>
                    <w:rPr>
                      <w:rFonts w:hint="eastAsia"/>
                      <w:color w:val="auto"/>
                      <w:sz w:val="18"/>
                      <w:szCs w:val="18"/>
                      <w:highlight w:val="none"/>
                      <w:lang w:val="en-US" w:eastAsia="zh-CN"/>
                    </w:rPr>
                    <w:t>11760</w:t>
                  </w:r>
                </w:p>
              </w:tc>
              <w:tc>
                <w:tcPr>
                  <w:tcW w:w="979" w:type="pct"/>
                  <w:vMerge w:val="restart"/>
                  <w:tcBorders>
                    <w:tl2br w:val="nil"/>
                    <w:tr2bl w:val="nil"/>
                  </w:tcBorders>
                  <w:shd w:val="clear" w:color="000000" w:fill="auto"/>
                  <w:vAlign w:val="center"/>
                </w:tcPr>
                <w:p w14:paraId="5A7FA68B">
                  <w:pPr>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永久占地</w:t>
                  </w:r>
                </w:p>
              </w:tc>
            </w:tr>
            <w:tr w14:paraId="1021E1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7" w:type="pct"/>
                  <w:vMerge w:val="continue"/>
                  <w:tcBorders>
                    <w:tl2br w:val="nil"/>
                    <w:tr2bl w:val="nil"/>
                  </w:tcBorders>
                  <w:shd w:val="clear" w:color="auto" w:fill="auto"/>
                  <w:vAlign w:val="center"/>
                </w:tcPr>
                <w:p w14:paraId="39D8919B">
                  <w:pPr>
                    <w:jc w:val="center"/>
                    <w:rPr>
                      <w:color w:val="auto"/>
                      <w:highlight w:val="none"/>
                    </w:rPr>
                  </w:pPr>
                </w:p>
              </w:tc>
              <w:tc>
                <w:tcPr>
                  <w:tcW w:w="992" w:type="pct"/>
                  <w:vMerge w:val="continue"/>
                  <w:tcBorders>
                    <w:tl2br w:val="nil"/>
                    <w:tr2bl w:val="nil"/>
                  </w:tcBorders>
                  <w:shd w:val="clear" w:color="auto" w:fill="auto"/>
                  <w:vAlign w:val="center"/>
                </w:tcPr>
                <w:p w14:paraId="36AE4BDA">
                  <w:pPr>
                    <w:jc w:val="center"/>
                    <w:rPr>
                      <w:color w:val="auto"/>
                      <w:highlight w:val="none"/>
                    </w:rPr>
                  </w:pPr>
                </w:p>
              </w:tc>
              <w:tc>
                <w:tcPr>
                  <w:tcW w:w="822" w:type="pct"/>
                  <w:tcBorders>
                    <w:tl2br w:val="nil"/>
                    <w:tr2bl w:val="nil"/>
                  </w:tcBorders>
                  <w:vAlign w:val="center"/>
                </w:tcPr>
                <w:p w14:paraId="78FA62FF">
                  <w:pPr>
                    <w:jc w:val="center"/>
                    <w:rPr>
                      <w:rFonts w:hint="default"/>
                      <w:color w:val="auto"/>
                      <w:sz w:val="18"/>
                      <w:szCs w:val="18"/>
                      <w:highlight w:val="none"/>
                      <w:lang w:val="en-US" w:eastAsia="zh-CN"/>
                    </w:rPr>
                  </w:pPr>
                  <w:r>
                    <w:rPr>
                      <w:rFonts w:hint="eastAsia"/>
                      <w:color w:val="auto"/>
                      <w:sz w:val="18"/>
                      <w:szCs w:val="18"/>
                      <w:highlight w:val="none"/>
                      <w:lang w:val="en-US" w:eastAsia="zh-CN"/>
                    </w:rPr>
                    <w:t>7170</w:t>
                  </w:r>
                </w:p>
              </w:tc>
              <w:tc>
                <w:tcPr>
                  <w:tcW w:w="813" w:type="pct"/>
                  <w:tcBorders>
                    <w:tl2br w:val="nil"/>
                    <w:tr2bl w:val="nil"/>
                  </w:tcBorders>
                  <w:shd w:val="clear" w:color="000000" w:fill="auto"/>
                  <w:vAlign w:val="center"/>
                </w:tcPr>
                <w:p w14:paraId="3A221710">
                  <w:pPr>
                    <w:jc w:val="center"/>
                    <w:rPr>
                      <w:rFonts w:hint="default"/>
                      <w:color w:val="auto"/>
                      <w:sz w:val="18"/>
                      <w:szCs w:val="18"/>
                      <w:highlight w:val="none"/>
                      <w:lang w:val="en-US" w:eastAsia="zh-CN"/>
                    </w:rPr>
                  </w:pPr>
                  <w:r>
                    <w:rPr>
                      <w:rFonts w:hint="eastAsia"/>
                      <w:color w:val="auto"/>
                      <w:sz w:val="18"/>
                      <w:szCs w:val="18"/>
                      <w:highlight w:val="none"/>
                      <w:lang w:val="en-US" w:eastAsia="zh-CN"/>
                    </w:rPr>
                    <w:t>未利用地</w:t>
                  </w:r>
                </w:p>
              </w:tc>
              <w:tc>
                <w:tcPr>
                  <w:tcW w:w="685" w:type="pct"/>
                  <w:vMerge w:val="continue"/>
                  <w:tcBorders>
                    <w:tl2br w:val="nil"/>
                    <w:tr2bl w:val="nil"/>
                  </w:tcBorders>
                  <w:shd w:val="clear" w:color="000000" w:fill="auto"/>
                  <w:vAlign w:val="center"/>
                </w:tcPr>
                <w:p w14:paraId="1EDFC04B">
                  <w:pPr>
                    <w:jc w:val="center"/>
                    <w:rPr>
                      <w:rFonts w:hint="eastAsia"/>
                      <w:color w:val="auto"/>
                      <w:sz w:val="18"/>
                      <w:szCs w:val="18"/>
                      <w:highlight w:val="none"/>
                      <w:lang w:val="en-US" w:eastAsia="zh-CN"/>
                    </w:rPr>
                  </w:pPr>
                </w:p>
              </w:tc>
              <w:tc>
                <w:tcPr>
                  <w:tcW w:w="979" w:type="pct"/>
                  <w:vMerge w:val="continue"/>
                  <w:tcBorders>
                    <w:tl2br w:val="nil"/>
                    <w:tr2bl w:val="nil"/>
                  </w:tcBorders>
                  <w:shd w:val="clear" w:color="000000" w:fill="auto"/>
                  <w:vAlign w:val="center"/>
                </w:tcPr>
                <w:p w14:paraId="2E736306">
                  <w:pPr>
                    <w:jc w:val="center"/>
                    <w:rPr>
                      <w:rFonts w:hint="eastAsia"/>
                      <w:color w:val="auto"/>
                      <w:sz w:val="18"/>
                      <w:szCs w:val="18"/>
                      <w:highlight w:val="none"/>
                      <w:lang w:val="en-US" w:eastAsia="zh-CN"/>
                    </w:rPr>
                  </w:pPr>
                </w:p>
              </w:tc>
            </w:tr>
            <w:tr w14:paraId="1E6E40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7" w:type="pct"/>
                  <w:vMerge w:val="continue"/>
                  <w:tcBorders>
                    <w:tl2br w:val="nil"/>
                    <w:tr2bl w:val="nil"/>
                  </w:tcBorders>
                  <w:shd w:val="clear" w:color="auto" w:fill="auto"/>
                  <w:vAlign w:val="center"/>
                </w:tcPr>
                <w:p w14:paraId="262EC37C">
                  <w:pPr>
                    <w:jc w:val="center"/>
                    <w:rPr>
                      <w:color w:val="auto"/>
                      <w:sz w:val="18"/>
                      <w:szCs w:val="18"/>
                      <w:highlight w:val="none"/>
                    </w:rPr>
                  </w:pPr>
                </w:p>
              </w:tc>
              <w:tc>
                <w:tcPr>
                  <w:tcW w:w="992" w:type="pct"/>
                  <w:vMerge w:val="continue"/>
                  <w:tcBorders>
                    <w:tl2br w:val="nil"/>
                    <w:tr2bl w:val="nil"/>
                  </w:tcBorders>
                  <w:shd w:val="clear" w:color="auto" w:fill="auto"/>
                  <w:vAlign w:val="center"/>
                </w:tcPr>
                <w:p w14:paraId="7A3AF9A6">
                  <w:pPr>
                    <w:jc w:val="center"/>
                    <w:rPr>
                      <w:color w:val="auto"/>
                      <w:sz w:val="18"/>
                      <w:szCs w:val="18"/>
                      <w:highlight w:val="none"/>
                    </w:rPr>
                  </w:pPr>
                </w:p>
              </w:tc>
              <w:tc>
                <w:tcPr>
                  <w:tcW w:w="822" w:type="pct"/>
                  <w:tcBorders>
                    <w:tl2br w:val="nil"/>
                    <w:tr2bl w:val="nil"/>
                  </w:tcBorders>
                  <w:vAlign w:val="center"/>
                </w:tcPr>
                <w:p w14:paraId="641DBC2F">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3230</w:t>
                  </w:r>
                </w:p>
              </w:tc>
              <w:tc>
                <w:tcPr>
                  <w:tcW w:w="813" w:type="pct"/>
                  <w:tcBorders>
                    <w:tl2br w:val="nil"/>
                    <w:tr2bl w:val="nil"/>
                  </w:tcBorders>
                  <w:shd w:val="clear" w:color="000000" w:fill="auto"/>
                  <w:vAlign w:val="center"/>
                </w:tcPr>
                <w:p w14:paraId="033FB886">
                  <w:pPr>
                    <w:jc w:val="center"/>
                    <w:rPr>
                      <w:color w:val="auto"/>
                      <w:sz w:val="18"/>
                      <w:szCs w:val="18"/>
                      <w:highlight w:val="none"/>
                    </w:rPr>
                  </w:pPr>
                  <w:r>
                    <w:rPr>
                      <w:rFonts w:hint="eastAsia"/>
                      <w:color w:val="auto"/>
                      <w:sz w:val="18"/>
                      <w:szCs w:val="18"/>
                      <w:highlight w:val="none"/>
                    </w:rPr>
                    <w:t>耕地</w:t>
                  </w:r>
                </w:p>
              </w:tc>
              <w:tc>
                <w:tcPr>
                  <w:tcW w:w="685" w:type="pct"/>
                  <w:vMerge w:val="continue"/>
                  <w:tcBorders>
                    <w:tl2br w:val="nil"/>
                    <w:tr2bl w:val="nil"/>
                  </w:tcBorders>
                  <w:shd w:val="clear" w:color="000000" w:fill="auto"/>
                  <w:vAlign w:val="center"/>
                </w:tcPr>
                <w:p w14:paraId="799B052B">
                  <w:pPr>
                    <w:jc w:val="center"/>
                    <w:rPr>
                      <w:color w:val="auto"/>
                      <w:sz w:val="18"/>
                      <w:szCs w:val="18"/>
                      <w:highlight w:val="none"/>
                    </w:rPr>
                  </w:pPr>
                </w:p>
              </w:tc>
              <w:tc>
                <w:tcPr>
                  <w:tcW w:w="979" w:type="pct"/>
                  <w:vMerge w:val="continue"/>
                  <w:tcBorders>
                    <w:tl2br w:val="nil"/>
                    <w:tr2bl w:val="nil"/>
                  </w:tcBorders>
                  <w:shd w:val="clear" w:color="000000" w:fill="auto"/>
                  <w:vAlign w:val="center"/>
                </w:tcPr>
                <w:p w14:paraId="28A9BA9E">
                  <w:pPr>
                    <w:jc w:val="center"/>
                    <w:rPr>
                      <w:color w:val="auto"/>
                      <w:sz w:val="18"/>
                      <w:szCs w:val="18"/>
                      <w:highlight w:val="none"/>
                    </w:rPr>
                  </w:pPr>
                </w:p>
              </w:tc>
            </w:tr>
            <w:tr w14:paraId="12D62E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07" w:type="pct"/>
                  <w:vMerge w:val="continue"/>
                  <w:tcBorders>
                    <w:tl2br w:val="nil"/>
                    <w:tr2bl w:val="nil"/>
                  </w:tcBorders>
                  <w:shd w:val="clear" w:color="auto" w:fill="auto"/>
                  <w:vAlign w:val="center"/>
                </w:tcPr>
                <w:p w14:paraId="737D070F">
                  <w:pPr>
                    <w:jc w:val="center"/>
                    <w:rPr>
                      <w:color w:val="auto"/>
                      <w:sz w:val="18"/>
                      <w:szCs w:val="18"/>
                      <w:highlight w:val="none"/>
                    </w:rPr>
                  </w:pPr>
                </w:p>
              </w:tc>
              <w:tc>
                <w:tcPr>
                  <w:tcW w:w="992" w:type="pct"/>
                  <w:vMerge w:val="restart"/>
                  <w:tcBorders>
                    <w:tl2br w:val="nil"/>
                    <w:tr2bl w:val="nil"/>
                  </w:tcBorders>
                  <w:shd w:val="clear" w:color="auto" w:fill="auto"/>
                  <w:vAlign w:val="center"/>
                </w:tcPr>
                <w:p w14:paraId="6DDA666D">
                  <w:pPr>
                    <w:jc w:val="center"/>
                    <w:rPr>
                      <w:color w:val="auto"/>
                      <w:sz w:val="18"/>
                      <w:szCs w:val="18"/>
                      <w:highlight w:val="none"/>
                    </w:rPr>
                  </w:pPr>
                  <w:r>
                    <w:rPr>
                      <w:rFonts w:hint="eastAsia"/>
                      <w:color w:val="auto"/>
                      <w:sz w:val="18"/>
                      <w:szCs w:val="18"/>
                      <w:highlight w:val="none"/>
                    </w:rPr>
                    <w:t>塔基施工临时场地</w:t>
                  </w:r>
                </w:p>
              </w:tc>
              <w:tc>
                <w:tcPr>
                  <w:tcW w:w="822" w:type="pct"/>
                  <w:tcBorders>
                    <w:tl2br w:val="nil"/>
                    <w:tr2bl w:val="nil"/>
                  </w:tcBorders>
                  <w:vAlign w:val="center"/>
                </w:tcPr>
                <w:p w14:paraId="57FD2D1D">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3200</w:t>
                  </w:r>
                </w:p>
              </w:tc>
              <w:tc>
                <w:tcPr>
                  <w:tcW w:w="813" w:type="pct"/>
                  <w:tcBorders>
                    <w:tl2br w:val="nil"/>
                    <w:tr2bl w:val="nil"/>
                  </w:tcBorders>
                  <w:shd w:val="clear" w:color="000000" w:fill="auto"/>
                  <w:vAlign w:val="center"/>
                </w:tcPr>
                <w:p w14:paraId="3AD832AF">
                  <w:pPr>
                    <w:jc w:val="center"/>
                    <w:rPr>
                      <w:color w:val="auto"/>
                      <w:sz w:val="18"/>
                      <w:szCs w:val="18"/>
                      <w:highlight w:val="none"/>
                    </w:rPr>
                  </w:pPr>
                  <w:r>
                    <w:rPr>
                      <w:rFonts w:hint="eastAsia"/>
                      <w:color w:val="auto"/>
                      <w:sz w:val="18"/>
                      <w:szCs w:val="18"/>
                      <w:highlight w:val="none"/>
                    </w:rPr>
                    <w:t>林地</w:t>
                  </w:r>
                </w:p>
              </w:tc>
              <w:tc>
                <w:tcPr>
                  <w:tcW w:w="685" w:type="pct"/>
                  <w:vMerge w:val="restart"/>
                  <w:tcBorders>
                    <w:tl2br w:val="nil"/>
                    <w:tr2bl w:val="nil"/>
                  </w:tcBorders>
                  <w:shd w:val="clear" w:color="000000" w:fill="auto"/>
                  <w:vAlign w:val="center"/>
                </w:tcPr>
                <w:p w14:paraId="6C7EA699">
                  <w:pPr>
                    <w:jc w:val="center"/>
                    <w:rPr>
                      <w:rFonts w:hint="default"/>
                      <w:color w:val="auto"/>
                      <w:sz w:val="18"/>
                      <w:szCs w:val="18"/>
                      <w:highlight w:val="none"/>
                      <w:lang w:val="en-US"/>
                    </w:rPr>
                  </w:pPr>
                  <w:r>
                    <w:rPr>
                      <w:rFonts w:hint="eastAsia"/>
                      <w:color w:val="auto"/>
                      <w:sz w:val="18"/>
                      <w:szCs w:val="18"/>
                      <w:highlight w:val="none"/>
                      <w:lang w:val="en-US" w:eastAsia="zh-CN"/>
                    </w:rPr>
                    <w:t>26220</w:t>
                  </w:r>
                </w:p>
              </w:tc>
              <w:tc>
                <w:tcPr>
                  <w:tcW w:w="979" w:type="pct"/>
                  <w:vMerge w:val="restart"/>
                  <w:tcBorders>
                    <w:tl2br w:val="nil"/>
                    <w:tr2bl w:val="nil"/>
                  </w:tcBorders>
                  <w:shd w:val="clear" w:color="000000" w:fill="auto"/>
                  <w:vAlign w:val="center"/>
                </w:tcPr>
                <w:p w14:paraId="76885411">
                  <w:pPr>
                    <w:jc w:val="center"/>
                    <w:rPr>
                      <w:color w:val="auto"/>
                      <w:sz w:val="18"/>
                      <w:szCs w:val="18"/>
                      <w:highlight w:val="none"/>
                    </w:rPr>
                  </w:pPr>
                  <w:r>
                    <w:rPr>
                      <w:rFonts w:hint="eastAsia"/>
                      <w:color w:val="auto"/>
                      <w:sz w:val="18"/>
                      <w:szCs w:val="18"/>
                      <w:highlight w:val="none"/>
                      <w:lang w:val="en-US" w:eastAsia="zh-CN"/>
                    </w:rPr>
                    <w:t>临时</w:t>
                  </w:r>
                  <w:r>
                    <w:rPr>
                      <w:rFonts w:hint="eastAsia"/>
                      <w:color w:val="auto"/>
                      <w:sz w:val="18"/>
                      <w:szCs w:val="18"/>
                      <w:highlight w:val="none"/>
                    </w:rPr>
                    <w:t>占地</w:t>
                  </w:r>
                </w:p>
              </w:tc>
            </w:tr>
            <w:tr w14:paraId="3A86D9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07" w:type="pct"/>
                  <w:vMerge w:val="continue"/>
                  <w:tcBorders>
                    <w:tl2br w:val="nil"/>
                    <w:tr2bl w:val="nil"/>
                  </w:tcBorders>
                  <w:shd w:val="clear" w:color="auto" w:fill="auto"/>
                  <w:vAlign w:val="center"/>
                </w:tcPr>
                <w:p w14:paraId="4C51ADFE">
                  <w:pPr>
                    <w:jc w:val="center"/>
                    <w:rPr>
                      <w:color w:val="auto"/>
                      <w:highlight w:val="none"/>
                    </w:rPr>
                  </w:pPr>
                </w:p>
              </w:tc>
              <w:tc>
                <w:tcPr>
                  <w:tcW w:w="992" w:type="pct"/>
                  <w:vMerge w:val="continue"/>
                  <w:tcBorders>
                    <w:tl2br w:val="nil"/>
                    <w:tr2bl w:val="nil"/>
                  </w:tcBorders>
                  <w:shd w:val="clear" w:color="auto" w:fill="auto"/>
                  <w:vAlign w:val="center"/>
                </w:tcPr>
                <w:p w14:paraId="26529992">
                  <w:pPr>
                    <w:jc w:val="center"/>
                    <w:rPr>
                      <w:color w:val="auto"/>
                      <w:highlight w:val="none"/>
                    </w:rPr>
                  </w:pPr>
                </w:p>
              </w:tc>
              <w:tc>
                <w:tcPr>
                  <w:tcW w:w="822" w:type="pct"/>
                  <w:tcBorders>
                    <w:tl2br w:val="nil"/>
                    <w:tr2bl w:val="nil"/>
                  </w:tcBorders>
                  <w:vAlign w:val="center"/>
                </w:tcPr>
                <w:p w14:paraId="68E6E3F8">
                  <w:pPr>
                    <w:jc w:val="center"/>
                    <w:rPr>
                      <w:rFonts w:hint="default"/>
                      <w:color w:val="auto"/>
                      <w:sz w:val="18"/>
                      <w:szCs w:val="18"/>
                      <w:highlight w:val="none"/>
                      <w:lang w:val="en-US" w:eastAsia="zh-CN"/>
                    </w:rPr>
                  </w:pPr>
                  <w:r>
                    <w:rPr>
                      <w:rFonts w:hint="eastAsia"/>
                      <w:color w:val="auto"/>
                      <w:sz w:val="18"/>
                      <w:szCs w:val="18"/>
                      <w:highlight w:val="none"/>
                      <w:lang w:val="en-US" w:eastAsia="zh-CN"/>
                    </w:rPr>
                    <w:t>15220</w:t>
                  </w:r>
                </w:p>
              </w:tc>
              <w:tc>
                <w:tcPr>
                  <w:tcW w:w="813" w:type="pct"/>
                  <w:tcBorders>
                    <w:tl2br w:val="nil"/>
                    <w:tr2bl w:val="nil"/>
                  </w:tcBorders>
                  <w:shd w:val="clear" w:color="000000" w:fill="auto"/>
                  <w:vAlign w:val="center"/>
                </w:tcPr>
                <w:p w14:paraId="5A6259BB">
                  <w:pPr>
                    <w:jc w:val="center"/>
                    <w:rPr>
                      <w:rFonts w:hint="eastAsia"/>
                      <w:color w:val="auto"/>
                      <w:sz w:val="18"/>
                      <w:szCs w:val="18"/>
                      <w:highlight w:val="none"/>
                      <w:lang w:val="en-US" w:eastAsia="zh-CN"/>
                    </w:rPr>
                  </w:pPr>
                  <w:r>
                    <w:rPr>
                      <w:rFonts w:hint="eastAsia"/>
                      <w:color w:val="auto"/>
                      <w:sz w:val="18"/>
                      <w:szCs w:val="18"/>
                      <w:highlight w:val="none"/>
                      <w:lang w:val="en-US" w:eastAsia="zh-CN"/>
                    </w:rPr>
                    <w:t>未利用地</w:t>
                  </w:r>
                </w:p>
              </w:tc>
              <w:tc>
                <w:tcPr>
                  <w:tcW w:w="685" w:type="pct"/>
                  <w:vMerge w:val="continue"/>
                  <w:tcBorders>
                    <w:tl2br w:val="nil"/>
                    <w:tr2bl w:val="nil"/>
                  </w:tcBorders>
                  <w:shd w:val="clear" w:color="000000" w:fill="auto"/>
                  <w:vAlign w:val="center"/>
                </w:tcPr>
                <w:p w14:paraId="0B6D941A">
                  <w:pPr>
                    <w:jc w:val="center"/>
                    <w:rPr>
                      <w:rFonts w:hint="eastAsia"/>
                      <w:color w:val="auto"/>
                      <w:sz w:val="18"/>
                      <w:szCs w:val="18"/>
                      <w:highlight w:val="none"/>
                      <w:lang w:val="en-US" w:eastAsia="zh-CN"/>
                    </w:rPr>
                  </w:pPr>
                </w:p>
              </w:tc>
              <w:tc>
                <w:tcPr>
                  <w:tcW w:w="979" w:type="pct"/>
                  <w:vMerge w:val="continue"/>
                  <w:tcBorders>
                    <w:tl2br w:val="nil"/>
                    <w:tr2bl w:val="nil"/>
                  </w:tcBorders>
                  <w:shd w:val="clear" w:color="000000" w:fill="auto"/>
                  <w:vAlign w:val="center"/>
                </w:tcPr>
                <w:p w14:paraId="3AED5A64">
                  <w:pPr>
                    <w:jc w:val="center"/>
                    <w:rPr>
                      <w:rFonts w:hint="eastAsia"/>
                      <w:color w:val="auto"/>
                      <w:sz w:val="18"/>
                      <w:szCs w:val="18"/>
                      <w:highlight w:val="none"/>
                      <w:lang w:val="en-US" w:eastAsia="zh-CN"/>
                    </w:rPr>
                  </w:pPr>
                </w:p>
              </w:tc>
            </w:tr>
            <w:tr w14:paraId="125A4E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6F6D31D0">
                  <w:pPr>
                    <w:jc w:val="center"/>
                    <w:rPr>
                      <w:color w:val="auto"/>
                      <w:highlight w:val="none"/>
                    </w:rPr>
                  </w:pPr>
                </w:p>
              </w:tc>
              <w:tc>
                <w:tcPr>
                  <w:tcW w:w="992" w:type="pct"/>
                  <w:vMerge w:val="continue"/>
                  <w:tcBorders>
                    <w:tl2br w:val="nil"/>
                    <w:tr2bl w:val="nil"/>
                  </w:tcBorders>
                  <w:shd w:val="clear" w:color="auto" w:fill="auto"/>
                  <w:vAlign w:val="center"/>
                </w:tcPr>
                <w:p w14:paraId="5F1F8F54">
                  <w:pPr>
                    <w:jc w:val="center"/>
                    <w:rPr>
                      <w:color w:val="auto"/>
                      <w:highlight w:val="none"/>
                    </w:rPr>
                  </w:pPr>
                </w:p>
              </w:tc>
              <w:tc>
                <w:tcPr>
                  <w:tcW w:w="822" w:type="pct"/>
                  <w:tcBorders>
                    <w:tl2br w:val="nil"/>
                    <w:tr2bl w:val="nil"/>
                  </w:tcBorders>
                  <w:vAlign w:val="center"/>
                </w:tcPr>
                <w:p w14:paraId="0FD38CCE">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7800</w:t>
                  </w:r>
                </w:p>
              </w:tc>
              <w:tc>
                <w:tcPr>
                  <w:tcW w:w="813" w:type="pct"/>
                  <w:tcBorders>
                    <w:tl2br w:val="nil"/>
                    <w:tr2bl w:val="nil"/>
                  </w:tcBorders>
                  <w:shd w:val="clear" w:color="000000" w:fill="auto"/>
                  <w:vAlign w:val="center"/>
                </w:tcPr>
                <w:p w14:paraId="43D53596">
                  <w:pPr>
                    <w:jc w:val="center"/>
                    <w:rPr>
                      <w:color w:val="auto"/>
                      <w:sz w:val="18"/>
                      <w:szCs w:val="18"/>
                      <w:highlight w:val="none"/>
                    </w:rPr>
                  </w:pPr>
                  <w:r>
                    <w:rPr>
                      <w:rFonts w:hint="eastAsia"/>
                      <w:color w:val="auto"/>
                      <w:sz w:val="18"/>
                      <w:szCs w:val="18"/>
                      <w:highlight w:val="none"/>
                    </w:rPr>
                    <w:t>耕地</w:t>
                  </w:r>
                </w:p>
              </w:tc>
              <w:tc>
                <w:tcPr>
                  <w:tcW w:w="685" w:type="pct"/>
                  <w:vMerge w:val="continue"/>
                  <w:tcBorders>
                    <w:tl2br w:val="nil"/>
                    <w:tr2bl w:val="nil"/>
                  </w:tcBorders>
                  <w:shd w:val="clear" w:color="000000" w:fill="auto"/>
                  <w:vAlign w:val="center"/>
                </w:tcPr>
                <w:p w14:paraId="2C84869B">
                  <w:pPr>
                    <w:jc w:val="center"/>
                    <w:rPr>
                      <w:color w:val="auto"/>
                      <w:sz w:val="18"/>
                      <w:szCs w:val="18"/>
                      <w:highlight w:val="none"/>
                    </w:rPr>
                  </w:pPr>
                </w:p>
              </w:tc>
              <w:tc>
                <w:tcPr>
                  <w:tcW w:w="979" w:type="pct"/>
                  <w:vMerge w:val="continue"/>
                  <w:tcBorders>
                    <w:tl2br w:val="nil"/>
                    <w:tr2bl w:val="nil"/>
                  </w:tcBorders>
                  <w:shd w:val="clear" w:color="000000" w:fill="auto"/>
                  <w:vAlign w:val="center"/>
                </w:tcPr>
                <w:p w14:paraId="596B6A28">
                  <w:pPr>
                    <w:jc w:val="center"/>
                    <w:rPr>
                      <w:color w:val="auto"/>
                      <w:sz w:val="18"/>
                      <w:szCs w:val="18"/>
                      <w:highlight w:val="none"/>
                    </w:rPr>
                  </w:pPr>
                </w:p>
              </w:tc>
            </w:tr>
            <w:tr w14:paraId="418887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550A376C">
                  <w:pPr>
                    <w:jc w:val="center"/>
                    <w:rPr>
                      <w:color w:val="auto"/>
                      <w:sz w:val="18"/>
                      <w:szCs w:val="18"/>
                      <w:highlight w:val="none"/>
                    </w:rPr>
                  </w:pPr>
                </w:p>
              </w:tc>
              <w:tc>
                <w:tcPr>
                  <w:tcW w:w="992" w:type="pct"/>
                  <w:vMerge w:val="restart"/>
                  <w:tcBorders>
                    <w:tl2br w:val="nil"/>
                    <w:tr2bl w:val="nil"/>
                  </w:tcBorders>
                  <w:shd w:val="clear" w:color="auto" w:fill="auto"/>
                  <w:vAlign w:val="center"/>
                </w:tcPr>
                <w:p w14:paraId="171FB593">
                  <w:pPr>
                    <w:jc w:val="center"/>
                    <w:rPr>
                      <w:color w:val="auto"/>
                      <w:sz w:val="18"/>
                      <w:szCs w:val="18"/>
                      <w:highlight w:val="none"/>
                    </w:rPr>
                  </w:pPr>
                  <w:r>
                    <w:rPr>
                      <w:rFonts w:hint="eastAsia"/>
                      <w:color w:val="auto"/>
                      <w:sz w:val="18"/>
                      <w:szCs w:val="18"/>
                      <w:highlight w:val="none"/>
                    </w:rPr>
                    <w:t>施工便道</w:t>
                  </w:r>
                </w:p>
              </w:tc>
              <w:tc>
                <w:tcPr>
                  <w:tcW w:w="822" w:type="pct"/>
                  <w:tcBorders>
                    <w:tl2br w:val="nil"/>
                    <w:tr2bl w:val="nil"/>
                  </w:tcBorders>
                  <w:vAlign w:val="center"/>
                </w:tcPr>
                <w:p w14:paraId="5DCCEEA7">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2480</w:t>
                  </w:r>
                </w:p>
              </w:tc>
              <w:tc>
                <w:tcPr>
                  <w:tcW w:w="813" w:type="pct"/>
                  <w:tcBorders>
                    <w:tl2br w:val="nil"/>
                    <w:tr2bl w:val="nil"/>
                  </w:tcBorders>
                  <w:shd w:val="clear" w:color="000000" w:fill="auto"/>
                  <w:vAlign w:val="center"/>
                </w:tcPr>
                <w:p w14:paraId="6C50D5BB">
                  <w:pPr>
                    <w:jc w:val="center"/>
                    <w:rPr>
                      <w:color w:val="auto"/>
                      <w:sz w:val="18"/>
                      <w:szCs w:val="18"/>
                      <w:highlight w:val="none"/>
                    </w:rPr>
                  </w:pPr>
                  <w:r>
                    <w:rPr>
                      <w:rFonts w:hint="eastAsia"/>
                      <w:color w:val="auto"/>
                      <w:sz w:val="18"/>
                      <w:szCs w:val="18"/>
                      <w:highlight w:val="none"/>
                    </w:rPr>
                    <w:t>林地</w:t>
                  </w:r>
                </w:p>
              </w:tc>
              <w:tc>
                <w:tcPr>
                  <w:tcW w:w="685" w:type="pct"/>
                  <w:vMerge w:val="restart"/>
                  <w:tcBorders>
                    <w:tl2br w:val="nil"/>
                    <w:tr2bl w:val="nil"/>
                  </w:tcBorders>
                  <w:shd w:val="clear" w:color="000000" w:fill="auto"/>
                  <w:vAlign w:val="center"/>
                </w:tcPr>
                <w:p w14:paraId="2F9DCEFD">
                  <w:pPr>
                    <w:jc w:val="center"/>
                    <w:rPr>
                      <w:rFonts w:hint="default"/>
                      <w:color w:val="auto"/>
                      <w:sz w:val="18"/>
                      <w:szCs w:val="18"/>
                      <w:highlight w:val="none"/>
                      <w:lang w:val="en-US"/>
                    </w:rPr>
                  </w:pPr>
                  <w:r>
                    <w:rPr>
                      <w:rFonts w:hint="eastAsia"/>
                      <w:color w:val="auto"/>
                      <w:sz w:val="18"/>
                      <w:szCs w:val="18"/>
                      <w:highlight w:val="none"/>
                      <w:lang w:val="en-US" w:eastAsia="zh-CN"/>
                    </w:rPr>
                    <w:t>19750</w:t>
                  </w:r>
                </w:p>
              </w:tc>
              <w:tc>
                <w:tcPr>
                  <w:tcW w:w="979" w:type="pct"/>
                  <w:vMerge w:val="continue"/>
                  <w:tcBorders>
                    <w:tl2br w:val="nil"/>
                    <w:tr2bl w:val="nil"/>
                  </w:tcBorders>
                  <w:shd w:val="clear" w:color="000000" w:fill="auto"/>
                  <w:vAlign w:val="center"/>
                </w:tcPr>
                <w:p w14:paraId="6618DAFF">
                  <w:pPr>
                    <w:jc w:val="center"/>
                    <w:rPr>
                      <w:color w:val="auto"/>
                      <w:sz w:val="18"/>
                      <w:szCs w:val="18"/>
                      <w:highlight w:val="none"/>
                    </w:rPr>
                  </w:pPr>
                </w:p>
              </w:tc>
            </w:tr>
            <w:tr w14:paraId="042DF3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772A9917">
                  <w:pPr>
                    <w:jc w:val="center"/>
                    <w:rPr>
                      <w:color w:val="auto"/>
                      <w:highlight w:val="none"/>
                    </w:rPr>
                  </w:pPr>
                </w:p>
              </w:tc>
              <w:tc>
                <w:tcPr>
                  <w:tcW w:w="992" w:type="pct"/>
                  <w:vMerge w:val="continue"/>
                  <w:tcBorders>
                    <w:tl2br w:val="nil"/>
                    <w:tr2bl w:val="nil"/>
                  </w:tcBorders>
                  <w:shd w:val="clear" w:color="auto" w:fill="auto"/>
                  <w:vAlign w:val="center"/>
                </w:tcPr>
                <w:p w14:paraId="37CD6D95">
                  <w:pPr>
                    <w:jc w:val="center"/>
                    <w:rPr>
                      <w:color w:val="auto"/>
                      <w:highlight w:val="none"/>
                    </w:rPr>
                  </w:pPr>
                </w:p>
              </w:tc>
              <w:tc>
                <w:tcPr>
                  <w:tcW w:w="822" w:type="pct"/>
                  <w:tcBorders>
                    <w:tl2br w:val="nil"/>
                    <w:tr2bl w:val="nil"/>
                  </w:tcBorders>
                  <w:vAlign w:val="center"/>
                </w:tcPr>
                <w:p w14:paraId="63AF90D2">
                  <w:pPr>
                    <w:jc w:val="center"/>
                    <w:rPr>
                      <w:rFonts w:hint="default"/>
                      <w:color w:val="auto"/>
                      <w:sz w:val="18"/>
                      <w:szCs w:val="18"/>
                      <w:highlight w:val="none"/>
                      <w:lang w:val="en-US" w:eastAsia="zh-CN"/>
                    </w:rPr>
                  </w:pPr>
                  <w:r>
                    <w:rPr>
                      <w:rFonts w:hint="eastAsia"/>
                      <w:color w:val="auto"/>
                      <w:sz w:val="18"/>
                      <w:szCs w:val="18"/>
                      <w:highlight w:val="none"/>
                      <w:lang w:val="en-US" w:eastAsia="zh-CN"/>
                    </w:rPr>
                    <w:t>10550</w:t>
                  </w:r>
                </w:p>
              </w:tc>
              <w:tc>
                <w:tcPr>
                  <w:tcW w:w="813" w:type="pct"/>
                  <w:tcBorders>
                    <w:tl2br w:val="nil"/>
                    <w:tr2bl w:val="nil"/>
                  </w:tcBorders>
                  <w:shd w:val="clear" w:color="000000" w:fill="auto"/>
                  <w:vAlign w:val="center"/>
                </w:tcPr>
                <w:p w14:paraId="5E19FEE4">
                  <w:pPr>
                    <w:jc w:val="center"/>
                    <w:rPr>
                      <w:rFonts w:hint="eastAsia"/>
                      <w:color w:val="auto"/>
                      <w:sz w:val="18"/>
                      <w:szCs w:val="18"/>
                      <w:highlight w:val="none"/>
                      <w:lang w:val="en-US" w:eastAsia="zh-CN"/>
                    </w:rPr>
                  </w:pPr>
                  <w:r>
                    <w:rPr>
                      <w:rFonts w:hint="eastAsia"/>
                      <w:color w:val="auto"/>
                      <w:sz w:val="18"/>
                      <w:szCs w:val="18"/>
                      <w:highlight w:val="none"/>
                      <w:lang w:val="en-US" w:eastAsia="zh-CN"/>
                    </w:rPr>
                    <w:t>未利用地</w:t>
                  </w:r>
                </w:p>
              </w:tc>
              <w:tc>
                <w:tcPr>
                  <w:tcW w:w="685" w:type="pct"/>
                  <w:vMerge w:val="continue"/>
                  <w:tcBorders>
                    <w:tl2br w:val="nil"/>
                    <w:tr2bl w:val="nil"/>
                  </w:tcBorders>
                  <w:shd w:val="clear" w:color="000000" w:fill="auto"/>
                  <w:vAlign w:val="center"/>
                </w:tcPr>
                <w:p w14:paraId="2BAC79F3">
                  <w:pPr>
                    <w:jc w:val="center"/>
                    <w:rPr>
                      <w:rFonts w:hint="eastAsia"/>
                      <w:color w:val="auto"/>
                      <w:sz w:val="18"/>
                      <w:szCs w:val="18"/>
                      <w:highlight w:val="none"/>
                      <w:lang w:val="en-US" w:eastAsia="zh-CN"/>
                    </w:rPr>
                  </w:pPr>
                </w:p>
              </w:tc>
              <w:tc>
                <w:tcPr>
                  <w:tcW w:w="979" w:type="pct"/>
                  <w:vMerge w:val="continue"/>
                  <w:tcBorders>
                    <w:tl2br w:val="nil"/>
                    <w:tr2bl w:val="nil"/>
                  </w:tcBorders>
                  <w:shd w:val="clear" w:color="000000" w:fill="auto"/>
                  <w:vAlign w:val="center"/>
                </w:tcPr>
                <w:p w14:paraId="75276A76">
                  <w:pPr>
                    <w:jc w:val="center"/>
                    <w:rPr>
                      <w:rFonts w:hint="eastAsia"/>
                      <w:color w:val="auto"/>
                      <w:sz w:val="18"/>
                      <w:szCs w:val="18"/>
                      <w:highlight w:val="none"/>
                      <w:lang w:val="en-US" w:eastAsia="zh-CN"/>
                    </w:rPr>
                  </w:pPr>
                </w:p>
              </w:tc>
            </w:tr>
            <w:tr w14:paraId="09CE59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3D194283">
                  <w:pPr>
                    <w:jc w:val="center"/>
                    <w:rPr>
                      <w:color w:val="auto"/>
                      <w:sz w:val="18"/>
                      <w:szCs w:val="18"/>
                      <w:highlight w:val="none"/>
                    </w:rPr>
                  </w:pPr>
                </w:p>
              </w:tc>
              <w:tc>
                <w:tcPr>
                  <w:tcW w:w="992" w:type="pct"/>
                  <w:vMerge w:val="continue"/>
                  <w:tcBorders>
                    <w:tl2br w:val="nil"/>
                    <w:tr2bl w:val="nil"/>
                  </w:tcBorders>
                  <w:shd w:val="clear" w:color="auto" w:fill="auto"/>
                  <w:vAlign w:val="center"/>
                </w:tcPr>
                <w:p w14:paraId="6B84D795">
                  <w:pPr>
                    <w:jc w:val="center"/>
                    <w:rPr>
                      <w:color w:val="auto"/>
                      <w:sz w:val="18"/>
                      <w:szCs w:val="18"/>
                      <w:highlight w:val="none"/>
                    </w:rPr>
                  </w:pPr>
                </w:p>
              </w:tc>
              <w:tc>
                <w:tcPr>
                  <w:tcW w:w="822" w:type="pct"/>
                  <w:tcBorders>
                    <w:tl2br w:val="nil"/>
                    <w:tr2bl w:val="nil"/>
                  </w:tcBorders>
                  <w:vAlign w:val="center"/>
                </w:tcPr>
                <w:p w14:paraId="549E3D7F">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6720</w:t>
                  </w:r>
                </w:p>
              </w:tc>
              <w:tc>
                <w:tcPr>
                  <w:tcW w:w="813" w:type="pct"/>
                  <w:tcBorders>
                    <w:tl2br w:val="nil"/>
                    <w:tr2bl w:val="nil"/>
                  </w:tcBorders>
                  <w:shd w:val="clear" w:color="000000" w:fill="auto"/>
                  <w:vAlign w:val="center"/>
                </w:tcPr>
                <w:p w14:paraId="40DB07FB">
                  <w:pPr>
                    <w:jc w:val="center"/>
                    <w:rPr>
                      <w:color w:val="auto"/>
                      <w:sz w:val="18"/>
                      <w:szCs w:val="18"/>
                      <w:highlight w:val="none"/>
                    </w:rPr>
                  </w:pPr>
                  <w:r>
                    <w:rPr>
                      <w:rFonts w:hint="eastAsia"/>
                      <w:color w:val="auto"/>
                      <w:sz w:val="18"/>
                      <w:szCs w:val="18"/>
                      <w:highlight w:val="none"/>
                    </w:rPr>
                    <w:t>耕地</w:t>
                  </w:r>
                </w:p>
              </w:tc>
              <w:tc>
                <w:tcPr>
                  <w:tcW w:w="685" w:type="pct"/>
                  <w:vMerge w:val="continue"/>
                  <w:tcBorders>
                    <w:tl2br w:val="nil"/>
                    <w:tr2bl w:val="nil"/>
                  </w:tcBorders>
                  <w:shd w:val="clear" w:color="000000" w:fill="auto"/>
                  <w:vAlign w:val="center"/>
                </w:tcPr>
                <w:p w14:paraId="6E0DF5D0">
                  <w:pPr>
                    <w:jc w:val="center"/>
                    <w:rPr>
                      <w:color w:val="auto"/>
                      <w:sz w:val="18"/>
                      <w:szCs w:val="18"/>
                      <w:highlight w:val="none"/>
                    </w:rPr>
                  </w:pPr>
                </w:p>
              </w:tc>
              <w:tc>
                <w:tcPr>
                  <w:tcW w:w="979" w:type="pct"/>
                  <w:vMerge w:val="continue"/>
                  <w:tcBorders>
                    <w:tl2br w:val="nil"/>
                    <w:tr2bl w:val="nil"/>
                  </w:tcBorders>
                  <w:shd w:val="clear" w:color="000000" w:fill="auto"/>
                  <w:vAlign w:val="center"/>
                </w:tcPr>
                <w:p w14:paraId="3471F619">
                  <w:pPr>
                    <w:jc w:val="center"/>
                    <w:rPr>
                      <w:color w:val="auto"/>
                      <w:sz w:val="18"/>
                      <w:szCs w:val="18"/>
                      <w:highlight w:val="none"/>
                    </w:rPr>
                  </w:pPr>
                </w:p>
              </w:tc>
            </w:tr>
            <w:tr w14:paraId="42B902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362F3DEA">
                  <w:pPr>
                    <w:jc w:val="center"/>
                    <w:rPr>
                      <w:color w:val="auto"/>
                      <w:sz w:val="18"/>
                      <w:szCs w:val="18"/>
                      <w:highlight w:val="none"/>
                    </w:rPr>
                  </w:pPr>
                </w:p>
              </w:tc>
              <w:tc>
                <w:tcPr>
                  <w:tcW w:w="992" w:type="pct"/>
                  <w:vMerge w:val="restart"/>
                  <w:tcBorders>
                    <w:tl2br w:val="nil"/>
                    <w:tr2bl w:val="nil"/>
                  </w:tcBorders>
                  <w:shd w:val="clear" w:color="auto" w:fill="auto"/>
                  <w:vAlign w:val="center"/>
                </w:tcPr>
                <w:p w14:paraId="14085B6E">
                  <w:pPr>
                    <w:jc w:val="center"/>
                    <w:rPr>
                      <w:rFonts w:hint="default" w:eastAsia="宋体"/>
                      <w:color w:val="auto"/>
                      <w:sz w:val="18"/>
                      <w:szCs w:val="18"/>
                      <w:highlight w:val="none"/>
                      <w:lang w:val="en-US" w:eastAsia="zh-CN"/>
                    </w:rPr>
                  </w:pPr>
                  <w:r>
                    <w:rPr>
                      <w:rFonts w:hint="eastAsia"/>
                      <w:color w:val="auto"/>
                      <w:sz w:val="18"/>
                      <w:szCs w:val="18"/>
                      <w:highlight w:val="none"/>
                    </w:rPr>
                    <w:t>牵张场</w:t>
                  </w:r>
                  <w:r>
                    <w:rPr>
                      <w:rFonts w:hint="eastAsia"/>
                      <w:color w:val="auto"/>
                      <w:sz w:val="18"/>
                      <w:szCs w:val="18"/>
                      <w:highlight w:val="none"/>
                      <w:lang w:val="en-US" w:eastAsia="zh-CN"/>
                    </w:rPr>
                    <w:t>和跨越场</w:t>
                  </w:r>
                </w:p>
              </w:tc>
              <w:tc>
                <w:tcPr>
                  <w:tcW w:w="822" w:type="pct"/>
                  <w:tcBorders>
                    <w:tl2br w:val="nil"/>
                    <w:tr2bl w:val="nil"/>
                  </w:tcBorders>
                  <w:vAlign w:val="center"/>
                </w:tcPr>
                <w:p w14:paraId="72051A5B">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770</w:t>
                  </w:r>
                </w:p>
              </w:tc>
              <w:tc>
                <w:tcPr>
                  <w:tcW w:w="813" w:type="pct"/>
                  <w:tcBorders>
                    <w:tl2br w:val="nil"/>
                    <w:tr2bl w:val="nil"/>
                  </w:tcBorders>
                  <w:shd w:val="clear" w:color="000000" w:fill="auto"/>
                  <w:vAlign w:val="center"/>
                </w:tcPr>
                <w:p w14:paraId="0941C476">
                  <w:pPr>
                    <w:jc w:val="center"/>
                    <w:rPr>
                      <w:color w:val="auto"/>
                      <w:sz w:val="18"/>
                      <w:szCs w:val="18"/>
                      <w:highlight w:val="none"/>
                    </w:rPr>
                  </w:pPr>
                  <w:r>
                    <w:rPr>
                      <w:rFonts w:hint="eastAsia"/>
                      <w:color w:val="auto"/>
                      <w:sz w:val="18"/>
                      <w:szCs w:val="18"/>
                      <w:highlight w:val="none"/>
                    </w:rPr>
                    <w:t>林地</w:t>
                  </w:r>
                </w:p>
              </w:tc>
              <w:tc>
                <w:tcPr>
                  <w:tcW w:w="685" w:type="pct"/>
                  <w:vMerge w:val="restart"/>
                  <w:tcBorders>
                    <w:tl2br w:val="nil"/>
                    <w:tr2bl w:val="nil"/>
                  </w:tcBorders>
                  <w:shd w:val="clear" w:color="000000" w:fill="auto"/>
                  <w:vAlign w:val="center"/>
                </w:tcPr>
                <w:p w14:paraId="2D4D8F39">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7600</w:t>
                  </w:r>
                </w:p>
              </w:tc>
              <w:tc>
                <w:tcPr>
                  <w:tcW w:w="979" w:type="pct"/>
                  <w:vMerge w:val="continue"/>
                  <w:tcBorders>
                    <w:tl2br w:val="nil"/>
                    <w:tr2bl w:val="nil"/>
                  </w:tcBorders>
                  <w:shd w:val="clear" w:color="000000" w:fill="auto"/>
                  <w:vAlign w:val="center"/>
                </w:tcPr>
                <w:p w14:paraId="2A083180">
                  <w:pPr>
                    <w:jc w:val="center"/>
                    <w:rPr>
                      <w:color w:val="auto"/>
                      <w:sz w:val="18"/>
                      <w:szCs w:val="18"/>
                      <w:highlight w:val="none"/>
                    </w:rPr>
                  </w:pPr>
                </w:p>
              </w:tc>
            </w:tr>
            <w:tr w14:paraId="647D3A9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66F6C0A7">
                  <w:pPr>
                    <w:jc w:val="center"/>
                    <w:rPr>
                      <w:color w:val="auto"/>
                      <w:highlight w:val="none"/>
                    </w:rPr>
                  </w:pPr>
                </w:p>
              </w:tc>
              <w:tc>
                <w:tcPr>
                  <w:tcW w:w="992" w:type="pct"/>
                  <w:vMerge w:val="continue"/>
                  <w:tcBorders>
                    <w:tl2br w:val="nil"/>
                    <w:tr2bl w:val="nil"/>
                  </w:tcBorders>
                  <w:shd w:val="clear" w:color="auto" w:fill="auto"/>
                  <w:vAlign w:val="center"/>
                </w:tcPr>
                <w:p w14:paraId="0925C959">
                  <w:pPr>
                    <w:jc w:val="center"/>
                    <w:rPr>
                      <w:color w:val="auto"/>
                      <w:highlight w:val="none"/>
                    </w:rPr>
                  </w:pPr>
                </w:p>
              </w:tc>
              <w:tc>
                <w:tcPr>
                  <w:tcW w:w="822" w:type="pct"/>
                  <w:tcBorders>
                    <w:tl2br w:val="nil"/>
                    <w:tr2bl w:val="nil"/>
                  </w:tcBorders>
                  <w:vAlign w:val="center"/>
                </w:tcPr>
                <w:p w14:paraId="1FB7C995">
                  <w:pPr>
                    <w:jc w:val="center"/>
                    <w:rPr>
                      <w:rFonts w:hint="default"/>
                      <w:color w:val="auto"/>
                      <w:sz w:val="18"/>
                      <w:szCs w:val="18"/>
                      <w:highlight w:val="none"/>
                      <w:lang w:val="en-US" w:eastAsia="zh-CN"/>
                    </w:rPr>
                  </w:pPr>
                  <w:r>
                    <w:rPr>
                      <w:rFonts w:hint="eastAsia"/>
                      <w:color w:val="auto"/>
                      <w:sz w:val="18"/>
                      <w:szCs w:val="18"/>
                      <w:highlight w:val="none"/>
                      <w:lang w:val="en-US" w:eastAsia="zh-CN"/>
                    </w:rPr>
                    <w:t>4720</w:t>
                  </w:r>
                </w:p>
              </w:tc>
              <w:tc>
                <w:tcPr>
                  <w:tcW w:w="813" w:type="pct"/>
                  <w:tcBorders>
                    <w:tl2br w:val="nil"/>
                    <w:tr2bl w:val="nil"/>
                  </w:tcBorders>
                  <w:shd w:val="clear" w:color="000000" w:fill="auto"/>
                  <w:vAlign w:val="center"/>
                </w:tcPr>
                <w:p w14:paraId="732960D5">
                  <w:pPr>
                    <w:jc w:val="center"/>
                    <w:rPr>
                      <w:rFonts w:hint="eastAsia"/>
                      <w:color w:val="auto"/>
                      <w:sz w:val="18"/>
                      <w:szCs w:val="18"/>
                      <w:highlight w:val="none"/>
                      <w:lang w:val="en-US" w:eastAsia="zh-CN"/>
                    </w:rPr>
                  </w:pPr>
                  <w:r>
                    <w:rPr>
                      <w:rFonts w:hint="eastAsia"/>
                      <w:color w:val="auto"/>
                      <w:sz w:val="18"/>
                      <w:szCs w:val="18"/>
                      <w:highlight w:val="none"/>
                      <w:lang w:val="en-US" w:eastAsia="zh-CN"/>
                    </w:rPr>
                    <w:t>未利用地</w:t>
                  </w:r>
                </w:p>
              </w:tc>
              <w:tc>
                <w:tcPr>
                  <w:tcW w:w="685" w:type="pct"/>
                  <w:vMerge w:val="continue"/>
                  <w:tcBorders>
                    <w:tl2br w:val="nil"/>
                    <w:tr2bl w:val="nil"/>
                  </w:tcBorders>
                  <w:shd w:val="clear" w:color="000000" w:fill="auto"/>
                  <w:vAlign w:val="center"/>
                </w:tcPr>
                <w:p w14:paraId="0D70426D">
                  <w:pPr>
                    <w:jc w:val="center"/>
                    <w:rPr>
                      <w:rFonts w:hint="eastAsia"/>
                      <w:color w:val="auto"/>
                      <w:sz w:val="18"/>
                      <w:szCs w:val="18"/>
                      <w:highlight w:val="none"/>
                      <w:lang w:val="en-US" w:eastAsia="zh-CN"/>
                    </w:rPr>
                  </w:pPr>
                </w:p>
              </w:tc>
              <w:tc>
                <w:tcPr>
                  <w:tcW w:w="979" w:type="pct"/>
                  <w:vMerge w:val="continue"/>
                  <w:tcBorders>
                    <w:tl2br w:val="nil"/>
                    <w:tr2bl w:val="nil"/>
                  </w:tcBorders>
                  <w:shd w:val="clear" w:color="000000" w:fill="auto"/>
                  <w:vAlign w:val="center"/>
                </w:tcPr>
                <w:p w14:paraId="1BEBD82D">
                  <w:pPr>
                    <w:jc w:val="center"/>
                    <w:rPr>
                      <w:rFonts w:hint="eastAsia"/>
                      <w:color w:val="auto"/>
                      <w:sz w:val="18"/>
                      <w:szCs w:val="18"/>
                      <w:highlight w:val="none"/>
                      <w:lang w:val="en-US" w:eastAsia="zh-CN"/>
                    </w:rPr>
                  </w:pPr>
                </w:p>
              </w:tc>
            </w:tr>
            <w:tr w14:paraId="2CF69A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vMerge w:val="continue"/>
                  <w:tcBorders>
                    <w:tl2br w:val="nil"/>
                    <w:tr2bl w:val="nil"/>
                  </w:tcBorders>
                  <w:shd w:val="clear" w:color="auto" w:fill="auto"/>
                  <w:vAlign w:val="center"/>
                </w:tcPr>
                <w:p w14:paraId="45A74B6D">
                  <w:pPr>
                    <w:jc w:val="center"/>
                    <w:rPr>
                      <w:color w:val="auto"/>
                      <w:sz w:val="18"/>
                      <w:szCs w:val="18"/>
                      <w:highlight w:val="none"/>
                    </w:rPr>
                  </w:pPr>
                </w:p>
              </w:tc>
              <w:tc>
                <w:tcPr>
                  <w:tcW w:w="992" w:type="pct"/>
                  <w:vMerge w:val="continue"/>
                  <w:tcBorders>
                    <w:tl2br w:val="nil"/>
                    <w:tr2bl w:val="nil"/>
                  </w:tcBorders>
                  <w:shd w:val="clear" w:color="auto" w:fill="auto"/>
                  <w:vAlign w:val="center"/>
                </w:tcPr>
                <w:p w14:paraId="2E37BDD2">
                  <w:pPr>
                    <w:jc w:val="center"/>
                    <w:rPr>
                      <w:color w:val="auto"/>
                      <w:sz w:val="18"/>
                      <w:szCs w:val="18"/>
                      <w:highlight w:val="none"/>
                    </w:rPr>
                  </w:pPr>
                </w:p>
              </w:tc>
              <w:tc>
                <w:tcPr>
                  <w:tcW w:w="822" w:type="pct"/>
                  <w:tcBorders>
                    <w:tl2br w:val="nil"/>
                    <w:tr2bl w:val="nil"/>
                  </w:tcBorders>
                  <w:shd w:val="clear" w:color="auto" w:fill="auto"/>
                  <w:vAlign w:val="center"/>
                </w:tcPr>
                <w:p w14:paraId="0B4EB304">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1810</w:t>
                  </w:r>
                </w:p>
              </w:tc>
              <w:tc>
                <w:tcPr>
                  <w:tcW w:w="813" w:type="pct"/>
                  <w:tcBorders>
                    <w:tl2br w:val="nil"/>
                    <w:tr2bl w:val="nil"/>
                  </w:tcBorders>
                  <w:shd w:val="clear" w:color="000000" w:fill="auto"/>
                  <w:vAlign w:val="center"/>
                </w:tcPr>
                <w:p w14:paraId="4ABF04D3">
                  <w:pPr>
                    <w:jc w:val="center"/>
                    <w:rPr>
                      <w:color w:val="auto"/>
                      <w:sz w:val="18"/>
                      <w:szCs w:val="18"/>
                      <w:highlight w:val="none"/>
                    </w:rPr>
                  </w:pPr>
                  <w:r>
                    <w:rPr>
                      <w:rFonts w:hint="eastAsia"/>
                      <w:color w:val="auto"/>
                      <w:sz w:val="18"/>
                      <w:szCs w:val="18"/>
                      <w:highlight w:val="none"/>
                    </w:rPr>
                    <w:t>耕地</w:t>
                  </w:r>
                </w:p>
              </w:tc>
              <w:tc>
                <w:tcPr>
                  <w:tcW w:w="685" w:type="pct"/>
                  <w:vMerge w:val="continue"/>
                  <w:tcBorders>
                    <w:tl2br w:val="nil"/>
                    <w:tr2bl w:val="nil"/>
                  </w:tcBorders>
                  <w:shd w:val="clear" w:color="000000" w:fill="auto"/>
                  <w:vAlign w:val="center"/>
                </w:tcPr>
                <w:p w14:paraId="6285273C">
                  <w:pPr>
                    <w:jc w:val="center"/>
                    <w:rPr>
                      <w:color w:val="auto"/>
                      <w:sz w:val="18"/>
                      <w:szCs w:val="18"/>
                      <w:highlight w:val="none"/>
                    </w:rPr>
                  </w:pPr>
                </w:p>
              </w:tc>
              <w:tc>
                <w:tcPr>
                  <w:tcW w:w="979" w:type="pct"/>
                  <w:vMerge w:val="continue"/>
                  <w:tcBorders>
                    <w:tl2br w:val="nil"/>
                    <w:tr2bl w:val="nil"/>
                  </w:tcBorders>
                  <w:shd w:val="clear" w:color="000000" w:fill="auto"/>
                  <w:vAlign w:val="center"/>
                </w:tcPr>
                <w:p w14:paraId="3AB57281">
                  <w:pPr>
                    <w:jc w:val="center"/>
                    <w:rPr>
                      <w:color w:val="auto"/>
                      <w:sz w:val="18"/>
                      <w:szCs w:val="18"/>
                      <w:highlight w:val="none"/>
                    </w:rPr>
                  </w:pPr>
                </w:p>
              </w:tc>
            </w:tr>
            <w:tr w14:paraId="5E727A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21" w:type="pct"/>
                  <w:gridSpan w:val="3"/>
                  <w:tcBorders>
                    <w:tl2br w:val="nil"/>
                    <w:tr2bl w:val="nil"/>
                  </w:tcBorders>
                  <w:shd w:val="clear" w:color="auto" w:fill="auto"/>
                  <w:vAlign w:val="center"/>
                </w:tcPr>
                <w:p w14:paraId="07BECCC9">
                  <w:pPr>
                    <w:jc w:val="center"/>
                    <w:rPr>
                      <w:color w:val="auto"/>
                      <w:sz w:val="18"/>
                      <w:szCs w:val="18"/>
                      <w:highlight w:val="none"/>
                    </w:rPr>
                  </w:pPr>
                  <w:r>
                    <w:rPr>
                      <w:rFonts w:hint="eastAsia"/>
                      <w:color w:val="auto"/>
                      <w:sz w:val="18"/>
                      <w:szCs w:val="18"/>
                      <w:highlight w:val="none"/>
                    </w:rPr>
                    <w:t>合计</w:t>
                  </w:r>
                </w:p>
              </w:tc>
              <w:tc>
                <w:tcPr>
                  <w:tcW w:w="813" w:type="pct"/>
                  <w:tcBorders>
                    <w:tl2br w:val="nil"/>
                    <w:tr2bl w:val="nil"/>
                  </w:tcBorders>
                  <w:shd w:val="clear" w:color="000000" w:fill="auto"/>
                  <w:vAlign w:val="center"/>
                </w:tcPr>
                <w:p w14:paraId="0511481A">
                  <w:pPr>
                    <w:jc w:val="center"/>
                    <w:rPr>
                      <w:color w:val="auto"/>
                      <w:sz w:val="18"/>
                      <w:szCs w:val="18"/>
                      <w:highlight w:val="none"/>
                    </w:rPr>
                  </w:pPr>
                  <w:r>
                    <w:rPr>
                      <w:rFonts w:hint="eastAsia"/>
                      <w:color w:val="auto"/>
                      <w:sz w:val="18"/>
                      <w:szCs w:val="18"/>
                      <w:highlight w:val="none"/>
                    </w:rPr>
                    <w:t>/</w:t>
                  </w:r>
                </w:p>
              </w:tc>
              <w:tc>
                <w:tcPr>
                  <w:tcW w:w="685" w:type="pct"/>
                  <w:tcBorders>
                    <w:tl2br w:val="nil"/>
                    <w:tr2bl w:val="nil"/>
                  </w:tcBorders>
                  <w:shd w:val="clear" w:color="000000" w:fill="auto"/>
                  <w:vAlign w:val="center"/>
                </w:tcPr>
                <w:p w14:paraId="0547C689">
                  <w:pPr>
                    <w:jc w:val="center"/>
                    <w:rPr>
                      <w:rFonts w:hint="default"/>
                      <w:color w:val="auto"/>
                      <w:sz w:val="18"/>
                      <w:szCs w:val="18"/>
                      <w:highlight w:val="none"/>
                      <w:lang w:val="en-US"/>
                    </w:rPr>
                  </w:pPr>
                  <w:r>
                    <w:rPr>
                      <w:rFonts w:hint="eastAsia"/>
                      <w:color w:val="auto"/>
                      <w:sz w:val="18"/>
                      <w:szCs w:val="18"/>
                      <w:highlight w:val="none"/>
                      <w:lang w:val="en-US" w:eastAsia="zh-CN"/>
                    </w:rPr>
                    <w:t>73471</w:t>
                  </w:r>
                </w:p>
              </w:tc>
              <w:tc>
                <w:tcPr>
                  <w:tcW w:w="979" w:type="pct"/>
                  <w:tcBorders>
                    <w:tl2br w:val="nil"/>
                    <w:tr2bl w:val="nil"/>
                  </w:tcBorders>
                  <w:shd w:val="clear" w:color="000000" w:fill="auto"/>
                  <w:vAlign w:val="center"/>
                </w:tcPr>
                <w:p w14:paraId="3E7CD8BC">
                  <w:pPr>
                    <w:jc w:val="center"/>
                    <w:rPr>
                      <w:color w:val="auto"/>
                      <w:sz w:val="18"/>
                      <w:szCs w:val="18"/>
                      <w:highlight w:val="none"/>
                    </w:rPr>
                  </w:pPr>
                  <w:r>
                    <w:rPr>
                      <w:rFonts w:hint="eastAsia"/>
                      <w:color w:val="auto"/>
                      <w:sz w:val="18"/>
                      <w:szCs w:val="18"/>
                      <w:highlight w:val="none"/>
                    </w:rPr>
                    <w:t>/</w:t>
                  </w:r>
                </w:p>
              </w:tc>
            </w:tr>
          </w:tbl>
          <w:p w14:paraId="65274648">
            <w:pPr>
              <w:spacing w:line="360" w:lineRule="auto"/>
              <w:ind w:firstLine="420" w:firstLineChars="200"/>
              <w:rPr>
                <w:color w:val="auto"/>
                <w:szCs w:val="21"/>
                <w:highlight w:val="yellow"/>
              </w:rPr>
            </w:pPr>
            <w:r>
              <w:rPr>
                <w:rFonts w:hint="eastAsia"/>
                <w:color w:val="auto"/>
                <w:szCs w:val="21"/>
              </w:rPr>
              <w:t>经核实，本</w:t>
            </w:r>
            <w:r>
              <w:rPr>
                <w:rFonts w:hint="eastAsia"/>
                <w:color w:val="auto"/>
                <w:szCs w:val="21"/>
                <w:highlight w:val="none"/>
              </w:rPr>
              <w:t>项目永久占地中，</w:t>
            </w:r>
            <w:r>
              <w:rPr>
                <w:rFonts w:hint="eastAsia"/>
                <w:color w:val="auto"/>
                <w:szCs w:val="21"/>
                <w:highlight w:val="none"/>
                <w:lang w:val="en-US" w:eastAsia="zh-CN"/>
              </w:rPr>
              <w:t>耕地</w:t>
            </w:r>
            <w:r>
              <w:rPr>
                <w:rFonts w:hint="eastAsia"/>
                <w:color w:val="auto"/>
                <w:szCs w:val="21"/>
                <w:highlight w:val="none"/>
              </w:rPr>
              <w:t>占地面积为</w:t>
            </w:r>
            <w:r>
              <w:rPr>
                <w:rFonts w:hint="eastAsia"/>
                <w:color w:val="auto"/>
                <w:szCs w:val="21"/>
                <w:highlight w:val="none"/>
                <w:lang w:val="en-US" w:eastAsia="zh-CN"/>
              </w:rPr>
              <w:t>10990</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rPr>
              <w:t>，</w:t>
            </w:r>
            <w:r>
              <w:rPr>
                <w:rFonts w:hint="eastAsia"/>
                <w:color w:val="auto"/>
                <w:szCs w:val="21"/>
                <w:highlight w:val="none"/>
                <w:lang w:val="en-US" w:eastAsia="zh-CN"/>
              </w:rPr>
              <w:t>建设用地</w:t>
            </w:r>
            <w:r>
              <w:rPr>
                <w:rFonts w:hint="eastAsia"/>
                <w:color w:val="auto"/>
                <w:szCs w:val="21"/>
                <w:highlight w:val="none"/>
              </w:rPr>
              <w:t>占地面积为</w:t>
            </w:r>
            <w:r>
              <w:rPr>
                <w:rFonts w:hint="eastAsia"/>
                <w:color w:val="auto"/>
                <w:szCs w:val="21"/>
                <w:highlight w:val="none"/>
                <w:lang w:val="en-US" w:eastAsia="zh-CN"/>
              </w:rPr>
              <w:t>381</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rPr>
              <w:t>，林地（未跨越林区，跨越零星树木均为集体和私人林地）的占地面积为</w:t>
            </w:r>
            <w:r>
              <w:rPr>
                <w:rFonts w:hint="eastAsia"/>
                <w:color w:val="auto"/>
                <w:szCs w:val="21"/>
                <w:highlight w:val="none"/>
                <w:lang w:val="en-US" w:eastAsia="zh-CN"/>
              </w:rPr>
              <w:t>1360</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vertAlign w:val="baseline"/>
                <w:lang w:eastAsia="zh-CN"/>
              </w:rPr>
              <w:t>，</w:t>
            </w:r>
            <w:r>
              <w:rPr>
                <w:rFonts w:hint="eastAsia"/>
                <w:color w:val="auto"/>
                <w:szCs w:val="21"/>
                <w:highlight w:val="none"/>
                <w:vertAlign w:val="baseline"/>
                <w:lang w:val="en-US" w:eastAsia="zh-CN"/>
              </w:rPr>
              <w:t>未利用地的占地面积为7170</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vertAlign w:val="baseline"/>
                <w:lang w:eastAsia="zh-CN"/>
              </w:rPr>
              <w:t>，</w:t>
            </w:r>
            <w:r>
              <w:rPr>
                <w:rFonts w:hint="eastAsia"/>
                <w:color w:val="auto"/>
                <w:szCs w:val="21"/>
                <w:highlight w:val="none"/>
              </w:rPr>
              <w:t>本项目临时占地中，林地（未跨越林区，跨越零星树木均为集体和私人林地）的占地面积为</w:t>
            </w:r>
            <w:r>
              <w:rPr>
                <w:rFonts w:hint="eastAsia"/>
                <w:color w:val="auto"/>
                <w:szCs w:val="21"/>
                <w:highlight w:val="none"/>
                <w:lang w:val="en-US" w:eastAsia="zh-CN"/>
              </w:rPr>
              <w:t>6450</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rPr>
              <w:t>，</w:t>
            </w:r>
            <w:r>
              <w:rPr>
                <w:rFonts w:hint="eastAsia"/>
                <w:color w:val="auto"/>
                <w:szCs w:val="21"/>
                <w:highlight w:val="none"/>
                <w:vertAlign w:val="baseline"/>
                <w:lang w:val="en-US" w:eastAsia="zh-CN"/>
              </w:rPr>
              <w:t>未利用地的占地面积为30490</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vertAlign w:val="baseline"/>
                <w:lang w:eastAsia="zh-CN"/>
              </w:rPr>
              <w:t>，</w:t>
            </w:r>
            <w:r>
              <w:rPr>
                <w:rFonts w:hint="eastAsia"/>
                <w:color w:val="auto"/>
                <w:szCs w:val="21"/>
                <w:highlight w:val="none"/>
              </w:rPr>
              <w:t>耕地的占地面积为</w:t>
            </w:r>
            <w:r>
              <w:rPr>
                <w:rFonts w:hint="eastAsia"/>
                <w:color w:val="auto"/>
                <w:szCs w:val="21"/>
                <w:highlight w:val="none"/>
                <w:lang w:val="en-US" w:eastAsia="zh-CN"/>
              </w:rPr>
              <w:t>16330</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rPr>
              <w:t>。</w:t>
            </w:r>
          </w:p>
          <w:p w14:paraId="2184E608">
            <w:pPr>
              <w:spacing w:line="360" w:lineRule="auto"/>
              <w:ind w:firstLine="420" w:firstLineChars="200"/>
              <w:rPr>
                <w:color w:val="FF0000"/>
                <w:szCs w:val="21"/>
              </w:rPr>
            </w:pPr>
            <w:r>
              <w:rPr>
                <w:rFonts w:hint="default" w:ascii="Times New Roman" w:hAnsi="Times New Roman" w:eastAsia="宋体" w:cs="Times New Roman"/>
                <w:color w:val="auto"/>
                <w:kern w:val="2"/>
                <w:sz w:val="21"/>
                <w:szCs w:val="21"/>
                <w:highlight w:val="none"/>
                <w:lang w:val="en-US" w:eastAsia="zh-CN" w:bidi="ar-SA"/>
              </w:rPr>
              <w:t>根据四川省人民政府办公厅印发《关于提高电网建设项目行政审批效能的若干措施》的通知（川办规〔2025〕10号），“输配电架空电力线路走廊（含杆、塔基础）和电力电缆线路通道范围内土地，原则上不办理土地征收手续”，因此，本项目新建塔基占地不需要办理土地手续。</w:t>
            </w:r>
            <w:r>
              <w:rPr>
                <w:rFonts w:hint="default" w:ascii="Times New Roman" w:hAnsi="Times New Roman" w:cs="Times New Roman"/>
                <w:color w:val="auto"/>
                <w:szCs w:val="21"/>
                <w:highlight w:val="none"/>
              </w:rPr>
              <w:t>本项目永久占地和临时占地均不涉及国家公园、自然保护区、风景名胜区、世界文化和自然遗产地等需要特殊保护的区域。本次评</w:t>
            </w:r>
            <w:r>
              <w:rPr>
                <w:rFonts w:hint="default" w:ascii="Times New Roman" w:hAnsi="Times New Roman" w:cs="Times New Roman"/>
                <w:color w:val="auto"/>
                <w:szCs w:val="21"/>
              </w:rPr>
              <w:t>价要求建设单位在使用林地前取得审核审批手续和林木采伐许可手续，同时须做好对林地、林木所有者的经济补偿。根据建设单位提供的资料，林地使用所需手续目前还在办理中</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lang w:val="en-US" w:eastAsia="zh-CN"/>
              </w:rPr>
              <w:t>本次评价要求在项目开工前取得相关手续</w:t>
            </w:r>
            <w:r>
              <w:rPr>
                <w:rFonts w:hint="default" w:ascii="Times New Roman" w:hAnsi="Times New Roman" w:cs="Times New Roman"/>
                <w:color w:val="auto"/>
                <w:szCs w:val="21"/>
              </w:rPr>
              <w:t>。</w:t>
            </w:r>
            <w:r>
              <w:rPr>
                <w:rFonts w:hint="eastAsia"/>
                <w:color w:val="auto"/>
                <w:szCs w:val="21"/>
                <w:highlight w:val="none"/>
              </w:rPr>
              <w:t>项目施工平面布置见附图</w:t>
            </w:r>
            <w:r>
              <w:rPr>
                <w:rFonts w:hint="eastAsia"/>
                <w:color w:val="auto"/>
                <w:szCs w:val="21"/>
                <w:highlight w:val="none"/>
                <w:lang w:val="en-US" w:eastAsia="zh-CN"/>
              </w:rPr>
              <w:t>2、附图4</w:t>
            </w:r>
            <w:r>
              <w:rPr>
                <w:rFonts w:hint="eastAsia"/>
                <w:color w:val="auto"/>
                <w:szCs w:val="21"/>
                <w:highlight w:val="none"/>
              </w:rPr>
              <w:t>。</w:t>
            </w:r>
          </w:p>
        </w:tc>
      </w:tr>
      <w:tr w14:paraId="0BE9EB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4" w:hRule="atLeast"/>
          <w:jc w:val="center"/>
        </w:trPr>
        <w:tc>
          <w:tcPr>
            <w:tcW w:w="703" w:type="dxa"/>
            <w:vAlign w:val="center"/>
          </w:tcPr>
          <w:p w14:paraId="60E6FD38">
            <w:pPr>
              <w:jc w:val="center"/>
              <w:rPr>
                <w:color w:val="FF0000"/>
                <w:szCs w:val="21"/>
              </w:rPr>
            </w:pPr>
            <w:r>
              <w:rPr>
                <w:rFonts w:hint="eastAsia"/>
                <w:color w:val="auto"/>
                <w:szCs w:val="21"/>
                <w:lang w:eastAsia="zh-CN"/>
              </w:rPr>
              <w:t xml:space="preserve"> </w:t>
            </w:r>
            <w:r>
              <w:rPr>
                <w:color w:val="auto"/>
                <w:szCs w:val="21"/>
              </w:rPr>
              <w:t>施工方案</w:t>
            </w:r>
          </w:p>
        </w:tc>
        <w:tc>
          <w:tcPr>
            <w:tcW w:w="8753" w:type="dxa"/>
            <w:vAlign w:val="center"/>
          </w:tcPr>
          <w:p w14:paraId="0CF9D6C5">
            <w:pPr>
              <w:spacing w:line="360" w:lineRule="auto"/>
              <w:rPr>
                <w:rFonts w:eastAsia="黑体"/>
                <w:color w:val="auto"/>
                <w:szCs w:val="21"/>
              </w:rPr>
            </w:pPr>
            <w:r>
              <w:rPr>
                <w:rFonts w:hint="eastAsia" w:eastAsia="黑体"/>
                <w:color w:val="auto"/>
                <w:szCs w:val="21"/>
              </w:rPr>
              <w:t>一</w:t>
            </w:r>
            <w:r>
              <w:rPr>
                <w:rFonts w:eastAsia="黑体"/>
                <w:color w:val="auto"/>
                <w:szCs w:val="21"/>
              </w:rPr>
              <w:t>、施工交通运输</w:t>
            </w:r>
          </w:p>
          <w:p w14:paraId="4123FD31">
            <w:pPr>
              <w:spacing w:line="360" w:lineRule="auto"/>
              <w:ind w:firstLine="411" w:firstLineChars="196"/>
              <w:rPr>
                <w:color w:val="auto"/>
                <w:szCs w:val="21"/>
              </w:rPr>
            </w:pPr>
            <w:r>
              <w:rPr>
                <w:color w:val="auto"/>
                <w:szCs w:val="21"/>
              </w:rPr>
              <w:t>本工程</w:t>
            </w:r>
            <w:r>
              <w:rPr>
                <w:rFonts w:hint="eastAsia"/>
                <w:color w:val="auto"/>
                <w:szCs w:val="21"/>
                <w:lang w:val="en-US" w:eastAsia="zh-CN"/>
              </w:rPr>
              <w:t>司城</w:t>
            </w:r>
            <w:r>
              <w:rPr>
                <w:rFonts w:hint="eastAsia"/>
                <w:color w:val="auto"/>
                <w:szCs w:val="21"/>
                <w:lang w:eastAsia="zh-CN"/>
              </w:rPr>
              <w:t>110kV变电站新建工程</w:t>
            </w:r>
            <w:r>
              <w:rPr>
                <w:color w:val="auto"/>
                <w:szCs w:val="21"/>
              </w:rPr>
              <w:t>进站道路</w:t>
            </w:r>
            <w:r>
              <w:rPr>
                <w:rFonts w:hint="eastAsia"/>
                <w:color w:val="auto"/>
                <w:szCs w:val="21"/>
              </w:rPr>
              <w:t>由站区</w:t>
            </w:r>
            <w:r>
              <w:rPr>
                <w:rFonts w:hint="eastAsia"/>
                <w:color w:val="auto"/>
                <w:szCs w:val="21"/>
                <w:lang w:val="en-US" w:eastAsia="zh-CN"/>
              </w:rPr>
              <w:t>西北</w:t>
            </w:r>
            <w:r>
              <w:rPr>
                <w:rFonts w:hint="eastAsia"/>
                <w:color w:val="auto"/>
                <w:szCs w:val="21"/>
                <w:lang w:eastAsia="zh-CN"/>
              </w:rPr>
              <w:t>侧村道</w:t>
            </w:r>
            <w:r>
              <w:rPr>
                <w:rFonts w:hint="eastAsia"/>
                <w:color w:val="auto"/>
                <w:szCs w:val="21"/>
              </w:rPr>
              <w:t>接入</w:t>
            </w:r>
            <w:r>
              <w:rPr>
                <w:color w:val="auto"/>
                <w:szCs w:val="21"/>
              </w:rPr>
              <w:t>。</w:t>
            </w:r>
            <w:r>
              <w:rPr>
                <w:rFonts w:hint="eastAsia"/>
                <w:color w:val="auto"/>
                <w:szCs w:val="21"/>
              </w:rPr>
              <w:t>变电站</w:t>
            </w:r>
            <w:r>
              <w:rPr>
                <w:color w:val="auto"/>
                <w:szCs w:val="21"/>
              </w:rPr>
              <w:t>的大件运输</w:t>
            </w:r>
            <w:r>
              <w:rPr>
                <w:rFonts w:hint="eastAsia"/>
                <w:color w:val="auto"/>
                <w:szCs w:val="21"/>
              </w:rPr>
              <w:t>由制造厂家经过公路运输至巴中市</w:t>
            </w:r>
            <w:r>
              <w:rPr>
                <w:rFonts w:hint="eastAsia"/>
                <w:color w:val="auto"/>
                <w:szCs w:val="21"/>
                <w:lang w:eastAsia="zh-CN"/>
              </w:rPr>
              <w:t>，</w:t>
            </w:r>
            <w:r>
              <w:rPr>
                <w:rFonts w:hint="eastAsia"/>
                <w:color w:val="auto"/>
                <w:szCs w:val="21"/>
              </w:rPr>
              <w:t>然后经过市内公路运输至变电站站址内。</w:t>
            </w:r>
            <w:r>
              <w:rPr>
                <w:color w:val="auto"/>
                <w:szCs w:val="21"/>
              </w:rPr>
              <w:t>项目选址交通较为便利，本工程线路所经地段</w:t>
            </w:r>
            <w:r>
              <w:rPr>
                <w:color w:val="auto"/>
                <w:szCs w:val="21"/>
                <w:highlight w:val="none"/>
              </w:rPr>
              <w:t>有</w:t>
            </w:r>
            <w:r>
              <w:rPr>
                <w:rFonts w:hint="eastAsia"/>
                <w:color w:val="auto"/>
                <w:szCs w:val="21"/>
                <w:highlight w:val="none"/>
                <w:lang w:val="en-US" w:eastAsia="zh-CN"/>
              </w:rPr>
              <w:t>S302省道、G244国道</w:t>
            </w:r>
            <w:r>
              <w:rPr>
                <w:color w:val="auto"/>
                <w:szCs w:val="21"/>
                <w:highlight w:val="none"/>
              </w:rPr>
              <w:t>，交</w:t>
            </w:r>
            <w:r>
              <w:rPr>
                <w:color w:val="auto"/>
                <w:szCs w:val="21"/>
              </w:rPr>
              <w:t>通运输条件较好。</w:t>
            </w:r>
          </w:p>
          <w:p w14:paraId="10762CD8">
            <w:pPr>
              <w:spacing w:line="360" w:lineRule="auto"/>
              <w:ind w:firstLine="411" w:firstLineChars="196"/>
              <w:rPr>
                <w:color w:val="auto"/>
                <w:szCs w:val="21"/>
              </w:rPr>
            </w:pPr>
            <w:r>
              <w:rPr>
                <w:color w:val="auto"/>
                <w:szCs w:val="21"/>
              </w:rPr>
              <w:t>输电线路工程交通运输</w:t>
            </w:r>
            <w:r>
              <w:rPr>
                <w:rFonts w:hint="eastAsia"/>
                <w:color w:val="auto"/>
                <w:szCs w:val="21"/>
                <w:lang w:eastAsia="zh-CN"/>
              </w:rPr>
              <w:t>以公路为主</w:t>
            </w:r>
            <w:r>
              <w:rPr>
                <w:color w:val="auto"/>
                <w:szCs w:val="21"/>
              </w:rPr>
              <w:t>，</w:t>
            </w:r>
            <w:r>
              <w:rPr>
                <w:rFonts w:hint="eastAsia"/>
                <w:color w:val="auto"/>
                <w:szCs w:val="21"/>
                <w:highlight w:val="none"/>
              </w:rPr>
              <w:t>既有道路不可到达处共需设置</w:t>
            </w:r>
            <w:r>
              <w:rPr>
                <w:rFonts w:hint="eastAsia"/>
                <w:color w:val="auto"/>
                <w:szCs w:val="21"/>
                <w:highlight w:val="none"/>
                <w:lang w:val="en-US" w:eastAsia="zh-CN"/>
              </w:rPr>
              <w:t>1.75</w:t>
            </w:r>
            <w:r>
              <w:rPr>
                <w:rFonts w:hint="eastAsia"/>
                <w:color w:val="auto"/>
                <w:szCs w:val="21"/>
                <w:highlight w:val="none"/>
              </w:rPr>
              <w:t>km的人抬道路</w:t>
            </w:r>
            <w:r>
              <w:rPr>
                <w:color w:val="auto"/>
                <w:szCs w:val="21"/>
                <w:highlight w:val="none"/>
              </w:rPr>
              <w:t>，</w:t>
            </w:r>
            <w:r>
              <w:rPr>
                <w:rFonts w:hint="eastAsia" w:cs="Times New Roman"/>
                <w:color w:val="auto"/>
                <w:szCs w:val="21"/>
                <w:highlight w:val="none"/>
                <w:lang w:val="en-US" w:eastAsia="zh-CN"/>
              </w:rPr>
              <w:t>机械化施工的施工临时道路共需6</w:t>
            </w:r>
            <w:r>
              <w:rPr>
                <w:rFonts w:hint="default" w:ascii="Times New Roman" w:hAnsi="Times New Roman" w:cs="Times New Roman"/>
                <w:color w:val="auto"/>
                <w:szCs w:val="21"/>
                <w:highlight w:val="none"/>
              </w:rPr>
              <w:t>km</w:t>
            </w:r>
            <w:r>
              <w:rPr>
                <w:rFonts w:hint="eastAsia" w:ascii="Times New Roman" w:hAnsi="Times New Roman" w:cs="Times New Roman"/>
                <w:color w:val="auto"/>
                <w:szCs w:val="21"/>
                <w:highlight w:val="none"/>
                <w:lang w:val="en-US" w:eastAsia="zh-CN"/>
              </w:rPr>
              <w:t>的道路，</w:t>
            </w:r>
            <w:r>
              <w:rPr>
                <w:rFonts w:hint="eastAsia"/>
                <w:color w:val="auto"/>
                <w:szCs w:val="21"/>
                <w:highlight w:val="none"/>
              </w:rPr>
              <w:t>变</w:t>
            </w:r>
            <w:r>
              <w:rPr>
                <w:rFonts w:hint="eastAsia"/>
                <w:color w:val="auto"/>
                <w:szCs w:val="21"/>
              </w:rPr>
              <w:t>电站所在区域道路基本已建设完成，变电站施工期间在进站道路占地范围设置施工便道，不新增占地。</w:t>
            </w:r>
          </w:p>
          <w:p w14:paraId="75382B1D">
            <w:pPr>
              <w:spacing w:line="360" w:lineRule="auto"/>
              <w:rPr>
                <w:rFonts w:eastAsia="黑体"/>
                <w:color w:val="auto"/>
                <w:szCs w:val="21"/>
              </w:rPr>
            </w:pPr>
            <w:r>
              <w:rPr>
                <w:rFonts w:hint="eastAsia" w:eastAsia="黑体"/>
                <w:color w:val="auto"/>
                <w:szCs w:val="21"/>
              </w:rPr>
              <w:t>二</w:t>
            </w:r>
            <w:r>
              <w:rPr>
                <w:rFonts w:eastAsia="黑体"/>
                <w:color w:val="auto"/>
                <w:szCs w:val="21"/>
              </w:rPr>
              <w:t>、施工工序</w:t>
            </w:r>
          </w:p>
          <w:p w14:paraId="3E0A5E5F">
            <w:pPr>
              <w:spacing w:line="360" w:lineRule="auto"/>
              <w:ind w:firstLine="420" w:firstLineChars="200"/>
              <w:rPr>
                <w:color w:val="auto"/>
                <w:szCs w:val="21"/>
              </w:rPr>
            </w:pPr>
            <w:r>
              <w:rPr>
                <w:color w:val="auto"/>
                <w:szCs w:val="21"/>
              </w:rPr>
              <w:t>本项目施工</w:t>
            </w:r>
            <w:r>
              <w:rPr>
                <w:rFonts w:hint="eastAsia"/>
                <w:color w:val="auto"/>
                <w:szCs w:val="21"/>
              </w:rPr>
              <w:t>工艺</w:t>
            </w:r>
            <w:r>
              <w:rPr>
                <w:color w:val="auto"/>
                <w:szCs w:val="21"/>
              </w:rPr>
              <w:t>流程及产</w:t>
            </w:r>
            <w:r>
              <w:rPr>
                <w:rFonts w:hint="eastAsia"/>
                <w:color w:val="auto"/>
                <w:szCs w:val="21"/>
              </w:rPr>
              <w:t>污</w:t>
            </w:r>
            <w:r>
              <w:rPr>
                <w:color w:val="auto"/>
                <w:szCs w:val="21"/>
              </w:rPr>
              <w:t>环节见</w:t>
            </w:r>
            <w:r>
              <w:rPr>
                <w:rFonts w:hint="eastAsia"/>
                <w:color w:val="auto"/>
                <w:szCs w:val="21"/>
              </w:rPr>
              <w:t>下</w:t>
            </w:r>
            <w:r>
              <w:rPr>
                <w:color w:val="auto"/>
                <w:szCs w:val="21"/>
              </w:rPr>
              <w:t>图</w:t>
            </w:r>
            <w:r>
              <w:rPr>
                <w:rFonts w:hint="eastAsia"/>
                <w:color w:val="auto"/>
                <w:szCs w:val="21"/>
              </w:rPr>
              <w:t>。</w:t>
            </w:r>
          </w:p>
          <w:p w14:paraId="498BBECF">
            <w:pPr>
              <w:pStyle w:val="20"/>
              <w:jc w:val="center"/>
              <w:rPr>
                <w:rFonts w:hint="default" w:ascii="Times New Roman" w:hAnsi="Times New Roman" w:cs="Times New Roman"/>
                <w:color w:val="000000" w:themeColor="text1"/>
                <w:highlight w:val="none"/>
                <w14:textFill>
                  <w14:solidFill>
                    <w14:schemeClr w14:val="tx1"/>
                  </w14:solidFill>
                </w14:textFill>
              </w:rPr>
            </w:pPr>
            <w:bookmarkStart w:id="6" w:name="OLE_LINK8"/>
            <w:r>
              <w:rPr>
                <w:rFonts w:hint="default" w:ascii="Times New Roman" w:hAnsi="Times New Roman" w:cs="Times New Roman"/>
                <w:color w:val="000000" w:themeColor="text1"/>
                <w:highlight w:val="none"/>
                <w14:textFill>
                  <w14:solidFill>
                    <w14:schemeClr w14:val="tx1"/>
                  </w14:solidFill>
                </w14:textFill>
              </w:rPr>
              <w:object>
                <v:shape id="_x0000_i1025" o:spt="75" type="#_x0000_t75" style="height:244.55pt;width:389.85pt;" o:ole="t" filled="f" o:preferrelative="t" stroked="f" coordsize="21600,21600">
                  <v:path/>
                  <v:fill on="f" focussize="0,0"/>
                  <v:stroke on="f"/>
                  <v:imagedata r:id="rId11" o:title=""/>
                  <o:lock v:ext="edit" aspectratio="t"/>
                  <w10:wrap type="none"/>
                  <w10:anchorlock/>
                </v:shape>
                <o:OLEObject Type="Embed" ProgID="Visio.Drawing.11" ShapeID="_x0000_i1025" DrawAspect="Content" ObjectID="_1468075725" r:id="rId10">
                  <o:LockedField>false</o:LockedField>
                </o:OLEObject>
              </w:object>
            </w:r>
            <w:bookmarkEnd w:id="6"/>
          </w:p>
          <w:p w14:paraId="1AB0DB34">
            <w:pPr>
              <w:pStyle w:val="20"/>
              <w:spacing w:line="240" w:lineRule="auto"/>
              <w:jc w:val="center"/>
              <w:rPr>
                <w:rFonts w:hint="eastAsia" w:eastAsia="黑体"/>
                <w:color w:val="auto"/>
                <w:lang w:val="en-US" w:eastAsia="zh-CN"/>
              </w:rPr>
            </w:pPr>
            <w:r>
              <w:rPr>
                <w:rFonts w:eastAsia="黑体"/>
                <w:color w:val="auto"/>
                <w:szCs w:val="21"/>
              </w:rPr>
              <w:t>图</w:t>
            </w:r>
            <w:r>
              <w:rPr>
                <w:rFonts w:hint="eastAsia" w:eastAsia="黑体"/>
                <w:color w:val="auto"/>
                <w:szCs w:val="21"/>
              </w:rPr>
              <w:t>2</w:t>
            </w:r>
            <w:r>
              <w:rPr>
                <w:rFonts w:eastAsia="黑体"/>
                <w:color w:val="auto"/>
                <w:szCs w:val="21"/>
              </w:rPr>
              <w:t>-</w:t>
            </w:r>
            <w:r>
              <w:rPr>
                <w:rFonts w:hint="eastAsia" w:eastAsia="黑体"/>
                <w:color w:val="auto"/>
                <w:szCs w:val="21"/>
                <w:lang w:val="en-US" w:eastAsia="zh-CN"/>
              </w:rPr>
              <w:t>1</w:t>
            </w:r>
            <w:r>
              <w:rPr>
                <w:rFonts w:hint="eastAsia" w:eastAsia="黑体"/>
                <w:color w:val="auto"/>
                <w:szCs w:val="21"/>
              </w:rPr>
              <w:t xml:space="preserve"> </w:t>
            </w:r>
            <w:r>
              <w:rPr>
                <w:rFonts w:eastAsia="黑体"/>
                <w:color w:val="auto"/>
                <w:szCs w:val="21"/>
              </w:rPr>
              <w:t xml:space="preserve"> 本项目施工期工艺流程及产污环节图</w:t>
            </w:r>
          </w:p>
          <w:p w14:paraId="0ACF98CF">
            <w:pPr>
              <w:spacing w:line="360" w:lineRule="auto"/>
              <w:ind w:firstLine="413" w:firstLineChars="196"/>
              <w:rPr>
                <w:rFonts w:hint="eastAsia"/>
                <w:color w:val="auto"/>
                <w:szCs w:val="21"/>
              </w:rPr>
            </w:pPr>
            <w:r>
              <w:rPr>
                <w:rFonts w:hint="eastAsia"/>
                <w:b/>
                <w:color w:val="auto"/>
                <w:szCs w:val="21"/>
              </w:rPr>
              <w:t>1、</w:t>
            </w:r>
            <w:r>
              <w:rPr>
                <w:rFonts w:hint="eastAsia"/>
                <w:b/>
                <w:color w:val="auto"/>
                <w:szCs w:val="21"/>
                <w:lang w:val="en-US" w:eastAsia="zh-CN"/>
              </w:rPr>
              <w:t>司城</w:t>
            </w:r>
            <w:r>
              <w:rPr>
                <w:rFonts w:hint="eastAsia"/>
                <w:b/>
                <w:color w:val="auto"/>
                <w:szCs w:val="21"/>
                <w:lang w:eastAsia="zh-CN"/>
              </w:rPr>
              <w:t>110kV变电站新建工程</w:t>
            </w:r>
          </w:p>
          <w:p w14:paraId="6FC42E47">
            <w:pPr>
              <w:spacing w:line="360" w:lineRule="auto"/>
              <w:ind w:firstLine="420" w:firstLineChars="200"/>
              <w:jc w:val="left"/>
              <w:rPr>
                <w:rFonts w:hint="eastAsia"/>
                <w:color w:val="auto"/>
                <w:szCs w:val="21"/>
              </w:rPr>
            </w:pPr>
            <w:r>
              <w:rPr>
                <w:rFonts w:hint="eastAsia"/>
                <w:color w:val="auto"/>
                <w:szCs w:val="21"/>
                <w:lang w:val="en-US" w:eastAsia="zh-CN"/>
              </w:rPr>
              <w:t>司城</w:t>
            </w:r>
            <w:r>
              <w:rPr>
                <w:rFonts w:hint="eastAsia"/>
                <w:color w:val="auto"/>
                <w:szCs w:val="21"/>
              </w:rPr>
              <w:t>110kV变电站施工工序主要为施工准备、修筑围墙、构筑基础、设备安装。</w:t>
            </w:r>
          </w:p>
          <w:p w14:paraId="3F3476F1">
            <w:pPr>
              <w:spacing w:line="360" w:lineRule="auto"/>
              <w:ind w:firstLine="420" w:firstLineChars="200"/>
              <w:jc w:val="left"/>
              <w:rPr>
                <w:rFonts w:hint="default" w:eastAsia="宋体"/>
                <w:color w:val="auto"/>
                <w:szCs w:val="21"/>
                <w:lang w:val="en-US" w:eastAsia="zh-CN"/>
              </w:rPr>
            </w:pPr>
            <w:r>
              <w:rPr>
                <w:rFonts w:hint="eastAsia"/>
                <w:color w:val="auto"/>
                <w:szCs w:val="21"/>
              </w:rPr>
              <w:t>施工准备是对施工区域进行表土剥离，并将剥离后的土壤放置于指定的临时堆土点处，再进行场地平整，并修建进场道路和围墙，施工活动在指定的区域内进行。在场地平整、围墙修筑基本完成后，进行基础工程及各类建筑物的施工，站内建筑物内的电气设备视土建部分进展情况机动进入，但须保证设备的安全为前提。另外，需与土建配合的项目，如接地母线敷设等可与土建同步进行。</w:t>
            </w:r>
          </w:p>
          <w:p w14:paraId="19D64F5C">
            <w:pPr>
              <w:spacing w:line="360" w:lineRule="auto"/>
              <w:ind w:firstLine="413" w:firstLineChars="196"/>
              <w:rPr>
                <w:b/>
                <w:color w:val="auto"/>
                <w:szCs w:val="21"/>
              </w:rPr>
            </w:pPr>
            <w:r>
              <w:rPr>
                <w:rFonts w:hint="eastAsia"/>
                <w:b/>
                <w:color w:val="auto"/>
                <w:szCs w:val="21"/>
                <w:lang w:val="en-US" w:eastAsia="zh-CN"/>
              </w:rPr>
              <w:t>2</w:t>
            </w:r>
            <w:r>
              <w:rPr>
                <w:rFonts w:hint="eastAsia"/>
                <w:b/>
                <w:color w:val="auto"/>
                <w:szCs w:val="21"/>
              </w:rPr>
              <w:t>、架空</w:t>
            </w:r>
            <w:r>
              <w:rPr>
                <w:b/>
                <w:color w:val="auto"/>
                <w:szCs w:val="21"/>
              </w:rPr>
              <w:t>输电线路</w:t>
            </w:r>
          </w:p>
          <w:p w14:paraId="07664A99">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本工程输电线路施工工序为施工准备（施工备料）、基础施工、杆塔组立、架线。</w:t>
            </w:r>
          </w:p>
          <w:p w14:paraId="52C81EAD">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（1）施工准备：</w:t>
            </w:r>
          </w:p>
          <w:p w14:paraId="646167F0">
            <w:pPr>
              <w:spacing w:line="360" w:lineRule="auto"/>
              <w:ind w:firstLine="420" w:firstLineChars="200"/>
              <w:jc w:val="both"/>
              <w:rPr>
                <w:rFonts w:hint="eastAsia"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施工准备阶段主要是施工备料及临时道路的施工</w:t>
            </w: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本项目新建</w:t>
            </w:r>
            <w:r>
              <w:rPr>
                <w:rFonts w:hint="eastAsia"/>
                <w:lang w:val="en-US" w:eastAsia="zh-CN"/>
              </w:rPr>
              <w:t>司城</w:t>
            </w:r>
            <w:r>
              <w:rPr>
                <w:rFonts w:hint="default" w:ascii="Times New Roman" w:hAnsi="Times New Roman" w:cs="Times New Roman"/>
                <w:color w:val="000000" w:themeColor="text1"/>
                <w:szCs w:val="21"/>
                <w:highlight w:val="none"/>
                <w:lang w:val="en-US" w:eastAsia="zh-CN"/>
                <w14:textFill>
                  <w14:solidFill>
                    <w14:schemeClr w14:val="tx1"/>
                  </w14:solidFill>
                </w14:textFill>
              </w:rPr>
              <w:t>变电站进站道路拟从站区西北侧乡道引接，引接长度约98m，原辅材料通过</w:t>
            </w:r>
            <w:r>
              <w:rPr>
                <w:rFonts w:hint="eastAsia" w:cs="Times New Roman"/>
                <w:color w:val="000000" w:themeColor="text1"/>
                <w:szCs w:val="21"/>
                <w:highlight w:val="none"/>
                <w:lang w:val="en-US" w:eastAsia="zh-CN"/>
                <w14:textFill>
                  <w14:solidFill>
                    <w14:schemeClr w14:val="tx1"/>
                  </w14:solidFill>
                </w14:textFill>
              </w:rPr>
              <w:t>G244国道</w:t>
            </w:r>
            <w:r>
              <w:rPr>
                <w:rFonts w:hint="default" w:ascii="Times New Roman" w:hAnsi="Times New Roman" w:cs="Times New Roman"/>
                <w:color w:val="000000" w:themeColor="text1"/>
                <w:szCs w:val="21"/>
                <w:highlight w:val="none"/>
                <w:lang w:val="en-US"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S302省</w:t>
            </w:r>
            <w:r>
              <w:rPr>
                <w:rFonts w:hint="default" w:ascii="Times New Roman" w:hAnsi="Times New Roman" w:cs="Times New Roman"/>
                <w:color w:val="000000" w:themeColor="text1"/>
                <w:szCs w:val="21"/>
                <w:highlight w:val="none"/>
                <w:lang w:val="en-US" w:eastAsia="zh-CN"/>
                <w14:textFill>
                  <w14:solidFill>
                    <w14:schemeClr w14:val="tx1"/>
                  </w14:solidFill>
                </w14:textFill>
              </w:rPr>
              <w:t>道和进站道路运输</w:t>
            </w:r>
            <w:r>
              <w:rPr>
                <w:rFonts w:hint="eastAsia" w:cs="Times New Roman"/>
                <w:color w:val="000000" w:themeColor="text1"/>
                <w:szCs w:val="21"/>
                <w:highlight w:val="none"/>
                <w:lang w:val="en-US" w:eastAsia="zh-CN"/>
                <w14:textFill>
                  <w14:solidFill>
                    <w14:schemeClr w14:val="tx1"/>
                  </w14:solidFill>
                </w14:textFill>
              </w:rPr>
              <w:t>，交通条件较好。本项目塔基拟主要采用机械化施工，少数塔基位于低山、山顶、半坡，不宜采用机械化施工时，采用传统施工方式。</w:t>
            </w:r>
          </w:p>
          <w:p w14:paraId="218BCDF0">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①机械化施工道路</w:t>
            </w:r>
          </w:p>
          <w:p w14:paraId="0CE6FBF3">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尽量利用既有道路，根据机械化施工要求，当既有道路不能满足施工机械设备和车辆通行需要时，需对原有乡村道路和机耕道进行拓宽修整。对冲垮、塌陷段进行回填夯实，对路面剧烈起伏段进行找平修复，道路修整需满足工程运输车辆、拖拉机、履带运输车进场，整修后应确保道路宽度不小于3m，以保证材料运输车辆正常通行。</w:t>
            </w:r>
          </w:p>
          <w:p w14:paraId="1B82AE80">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②人抬道路修整</w:t>
            </w:r>
          </w:p>
          <w:p w14:paraId="5ADC8714">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人抬便道尽量利用既有上山小道进行修整，部分塔位无上山小道可利用时，需新建简易人抬便道。</w:t>
            </w:r>
          </w:p>
          <w:p w14:paraId="0CA89785">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（2）基础施工：</w:t>
            </w:r>
          </w:p>
          <w:p w14:paraId="144EB0FE">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在基础施工前，根据塔基情况估算土石方开挖量，按估算土石方量确定遮盖土石方所需要的彩条布和草袋。然后在塔基附近用所挖土石方装填的草袋围成一个小型堆土场地和一个小型材料场地，以便堆放基坑土石方和砂、石、水泥等施工材料。在施工后期基坑土石方回填后，清理所剩废弃土石至塔基处平整，不设弃渣场。施工结束后将养护的草皮铺设在临时占地区域，并加强抚育管理。</w:t>
            </w:r>
          </w:p>
          <w:p w14:paraId="4A6F279B">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（3）杆塔组立：</w:t>
            </w:r>
          </w:p>
          <w:p w14:paraId="3918D7D8">
            <w:pPr>
              <w:spacing w:line="360" w:lineRule="auto"/>
              <w:ind w:firstLine="420" w:firstLineChars="20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每基铁塔所用塔材均为3～5m长的杆材和组立杆材的螺栓等配件。它们均由现有公路用汽车运至塔基附近，然后</w:t>
            </w:r>
            <w:r>
              <w:rPr>
                <w:rFonts w:hint="eastAsia" w:cs="Times New Roman"/>
                <w:color w:val="000000" w:themeColor="text1"/>
                <w:szCs w:val="21"/>
                <w:highlight w:val="none"/>
                <w:lang w:val="en-US" w:eastAsia="zh-CN"/>
                <w14:textFill>
                  <w14:solidFill>
                    <w14:schemeClr w14:val="tx1"/>
                  </w14:solidFill>
                </w14:textFill>
              </w:rPr>
              <w:t>利用施工便道</w:t>
            </w:r>
            <w:r>
              <w:rPr>
                <w:rFonts w:hint="default" w:ascii="Times New Roman" w:hAnsi="Times New Roman" w:cs="Times New Roman"/>
                <w:color w:val="000000" w:themeColor="text1"/>
                <w:szCs w:val="21"/>
                <w:highlight w:val="none"/>
                <w14:textFill>
                  <w14:solidFill>
                    <w14:schemeClr w14:val="tx1"/>
                  </w14:solidFill>
                </w14:textFill>
              </w:rPr>
              <w:t>抬至塔位处，进行抱杆起立、铁塔底部吊装、抱杆提升、铁塔上部吊装、抱杆拆除、螺栓复紧与缺陷处理。对于塔基基位的选择应尽量避让林木，选择林木生长较少的疏林地或荒草地进行施工建设，减少林木砍伐量。</w:t>
            </w:r>
          </w:p>
          <w:p w14:paraId="1D0F2A66">
            <w:pPr>
              <w:spacing w:line="360" w:lineRule="auto"/>
              <w:ind w:firstLine="411" w:firstLineChars="196"/>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（5）放紧线和附件安装：</w:t>
            </w:r>
          </w:p>
          <w:p w14:paraId="269EBAFD">
            <w:pPr>
              <w:spacing w:line="360" w:lineRule="auto"/>
              <w:ind w:firstLine="420" w:firstLineChars="200"/>
              <w:jc w:val="both"/>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地线架设采用一牵一张力放线施工工艺，机械绞磨紧线，地面压接；导线架设方式采用一牵四放式张力放线。</w:t>
            </w:r>
            <w:r>
              <w:rPr>
                <w:rFonts w:hint="eastAsia"/>
                <w:color w:val="000000" w:themeColor="text1"/>
                <w:szCs w:val="21"/>
                <w:highlight w:val="none"/>
                <w14:textFill>
                  <w14:solidFill>
                    <w14:schemeClr w14:val="tx1"/>
                  </w14:solidFill>
                </w14:textFill>
              </w:rPr>
              <w:t>本项目共设置</w:t>
            </w:r>
            <w:r>
              <w:rPr>
                <w:rFonts w:hint="eastAsia"/>
                <w:color w:val="000000" w:themeColor="text1"/>
                <w:szCs w:val="21"/>
                <w:highlight w:val="none"/>
                <w:lang w:val="en-US" w:eastAsia="zh-CN"/>
                <w14:textFill>
                  <w14:solidFill>
                    <w14:schemeClr w14:val="tx1"/>
                  </w14:solidFill>
                </w14:textFill>
              </w:rPr>
              <w:t>10个</w:t>
            </w:r>
            <w:r>
              <w:rPr>
                <w:rFonts w:hint="eastAsia"/>
                <w:color w:val="000000" w:themeColor="text1"/>
                <w:szCs w:val="21"/>
                <w:highlight w:val="none"/>
                <w14:textFill>
                  <w14:solidFill>
                    <w14:schemeClr w14:val="tx1"/>
                  </w14:solidFill>
                </w14:textFill>
              </w:rPr>
              <w:t>牵张场</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9个跨越场</w:t>
            </w:r>
            <w:r>
              <w:rPr>
                <w:rFonts w:hint="eastAsia"/>
                <w:color w:val="000000" w:themeColor="text1"/>
                <w:szCs w:val="21"/>
                <w:highlight w:val="none"/>
                <w14:textFill>
                  <w14:solidFill>
                    <w14:schemeClr w14:val="tx1"/>
                  </w14:solidFill>
                </w14:textFill>
              </w:rPr>
              <w:t>。对于牵张场和跨越场的选择应避让林地，同时尽量选择没有林木的</w:t>
            </w:r>
            <w:r>
              <w:rPr>
                <w:rFonts w:hint="eastAsia"/>
                <w:color w:val="000000" w:themeColor="text1"/>
                <w:szCs w:val="21"/>
                <w:highlight w:val="none"/>
                <w:lang w:eastAsia="zh-CN"/>
                <w14:textFill>
                  <w14:solidFill>
                    <w14:schemeClr w14:val="tx1"/>
                  </w14:solidFill>
                </w14:textFill>
              </w:rPr>
              <w:t>未利用地</w:t>
            </w:r>
            <w:r>
              <w:rPr>
                <w:rFonts w:hint="eastAsia"/>
                <w:color w:val="000000" w:themeColor="text1"/>
                <w:szCs w:val="21"/>
                <w:highlight w:val="none"/>
                <w14:textFill>
                  <w14:solidFill>
                    <w14:schemeClr w14:val="tx1"/>
                  </w14:solidFill>
                </w14:textFill>
              </w:rPr>
              <w:t>进行布置，以减少林木砍伐量</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302C6345">
            <w:pPr>
              <w:spacing w:line="360" w:lineRule="auto"/>
              <w:ind w:firstLine="420" w:firstLineChars="200"/>
              <w:jc w:val="both"/>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施工期针对临时占地区域表土的剥离与利用应按照《表土剥离及其再利用技术要求》（GB/T45107-2024）的相关要求进行。表土剥离工艺如下：</w:t>
            </w:r>
          </w:p>
          <w:p w14:paraId="11C5BD5B">
            <w:pPr>
              <w:spacing w:line="360" w:lineRule="auto"/>
              <w:ind w:firstLine="420" w:firstLineChars="200"/>
              <w:jc w:val="both"/>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lang w:eastAsia="zh-CN"/>
                <w14:textFill>
                  <w14:solidFill>
                    <w14:schemeClr w14:val="tx1"/>
                  </w14:solidFill>
                </w14:textFill>
              </w:rPr>
              <w:t>表土剥离实施技术：在剥离表土前，对开挖区域及后期余土占压区域内的杂草、树木等有碍物进行彻底清除，进行土壤质量检测并确定表土剥离的厚度，本项目表土剥离的厚度按10cm~30cm，根据施工实际条件，新建变电站开挖区域、新修汽运道路开挖区域主要采取机械表土剥离，塔基占地区域、电缆沟开挖区域部分采取人工表土剥离，采用汽车或人力运输方式运至各个塔基施工临时占地范围内，并布设临时挡护、遮盖、排水等措施，避免暴雨冲刷使土壤大量流失，回填时应保证表土下方土块有足够的隔水层。为防止表土层底部为漏水层，在施工时应注意高程的控制，并配合平整进行表层覆土。</w:t>
            </w:r>
          </w:p>
          <w:p w14:paraId="4B032E80">
            <w:pPr>
              <w:spacing w:line="360" w:lineRule="auto"/>
              <w:rPr>
                <w:rFonts w:hint="default" w:ascii="Times New Roman" w:hAnsi="Times New Roman" w:eastAsia="黑体" w:cs="Times New Roman"/>
                <w:color w:val="000000" w:themeColor="text1"/>
                <w:szCs w:val="21"/>
                <w:highlight w:val="none"/>
                <w14:textFill>
                  <w14:solidFill>
                    <w14:schemeClr w14:val="tx1"/>
                  </w14:solidFill>
                </w14:textFill>
              </w:rPr>
            </w:pPr>
            <w:r>
              <w:rPr>
                <w:rFonts w:hint="default" w:ascii="Times New Roman" w:hAnsi="Times New Roman" w:eastAsia="黑体" w:cs="Times New Roman"/>
                <w:color w:val="000000" w:themeColor="text1"/>
                <w:szCs w:val="21"/>
                <w:highlight w:val="none"/>
                <w14:textFill>
                  <w14:solidFill>
                    <w14:schemeClr w14:val="tx1"/>
                  </w14:solidFill>
                </w14:textFill>
              </w:rPr>
              <w:t>三、施工时序及进度表</w:t>
            </w:r>
          </w:p>
          <w:p w14:paraId="1A953956">
            <w:pPr>
              <w:spacing w:line="360" w:lineRule="auto"/>
              <w:ind w:firstLine="411" w:firstLineChars="196"/>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本工程变电</w:t>
            </w:r>
            <w:r>
              <w:rPr>
                <w:rFonts w:hint="default" w:ascii="Times New Roman" w:hAnsi="Times New Roman" w:cs="Times New Roman"/>
                <w:color w:val="000000" w:themeColor="text1"/>
                <w:szCs w:val="21"/>
                <w:highlight w:val="none"/>
                <w:lang w:eastAsia="zh-CN"/>
                <w14:textFill>
                  <w14:solidFill>
                    <w14:schemeClr w14:val="tx1"/>
                  </w14:solidFill>
                </w14:textFill>
              </w:rPr>
              <w:t>工程</w:t>
            </w:r>
            <w:r>
              <w:rPr>
                <w:rFonts w:hint="default" w:ascii="Times New Roman" w:hAnsi="Times New Roman" w:cs="Times New Roman"/>
                <w:color w:val="000000" w:themeColor="text1"/>
                <w:szCs w:val="21"/>
                <w:highlight w:val="none"/>
                <w14:textFill>
                  <w14:solidFill>
                    <w14:schemeClr w14:val="tx1"/>
                  </w14:solidFill>
                </w14:textFill>
              </w:rPr>
              <w:t>、线路</w:t>
            </w:r>
            <w:r>
              <w:rPr>
                <w:rFonts w:hint="default" w:ascii="Times New Roman" w:hAnsi="Times New Roman" w:cs="Times New Roman"/>
                <w:color w:val="000000" w:themeColor="text1"/>
                <w:szCs w:val="21"/>
                <w:highlight w:val="none"/>
                <w:lang w:eastAsia="zh-CN"/>
                <w14:textFill>
                  <w14:solidFill>
                    <w14:schemeClr w14:val="tx1"/>
                  </w14:solidFill>
                </w14:textFill>
              </w:rPr>
              <w:t>工程</w:t>
            </w:r>
            <w:r>
              <w:rPr>
                <w:rFonts w:hint="default" w:ascii="Times New Roman" w:hAnsi="Times New Roman" w:cs="Times New Roman"/>
                <w:color w:val="000000" w:themeColor="text1"/>
                <w:szCs w:val="21"/>
                <w:highlight w:val="none"/>
                <w14:textFill>
                  <w14:solidFill>
                    <w14:schemeClr w14:val="tx1"/>
                  </w14:solidFill>
                </w14:textFill>
              </w:rPr>
              <w:t>同期进行，变电站新建</w:t>
            </w:r>
            <w:r>
              <w:rPr>
                <w:rFonts w:hint="eastAsia" w:cs="Times New Roman"/>
                <w:color w:val="000000" w:themeColor="text1"/>
                <w:szCs w:val="21"/>
                <w:highlight w:val="none"/>
                <w:lang w:val="en-US" w:eastAsia="zh-CN"/>
                <w14:textFill>
                  <w14:solidFill>
                    <w14:schemeClr w14:val="tx1"/>
                  </w14:solidFill>
                </w14:textFill>
              </w:rPr>
              <w:t>工程</w:t>
            </w:r>
            <w:r>
              <w:rPr>
                <w:rFonts w:hint="default" w:ascii="Times New Roman" w:hAnsi="Times New Roman" w:cs="Times New Roman"/>
                <w:color w:val="000000" w:themeColor="text1"/>
                <w:szCs w:val="21"/>
                <w:highlight w:val="none"/>
                <w14:textFill>
                  <w14:solidFill>
                    <w14:schemeClr w14:val="tx1"/>
                  </w14:solidFill>
                </w14:textFill>
              </w:rPr>
              <w:t>施工周期约需</w:t>
            </w:r>
            <w:r>
              <w:rPr>
                <w:rFonts w:hint="eastAsia" w:cs="Times New Roman"/>
                <w:color w:val="000000" w:themeColor="text1"/>
                <w:szCs w:val="21"/>
                <w:highlight w:val="none"/>
                <w:lang w:val="en-US" w:eastAsia="zh-CN"/>
                <w14:textFill>
                  <w14:solidFill>
                    <w14:schemeClr w14:val="tx1"/>
                  </w14:solidFill>
                </w14:textFill>
              </w:rPr>
              <w:t>15</w:t>
            </w:r>
            <w:r>
              <w:rPr>
                <w:rFonts w:hint="default" w:ascii="Times New Roman" w:hAnsi="Times New Roman" w:cs="Times New Roman"/>
                <w:color w:val="000000" w:themeColor="text1"/>
                <w:szCs w:val="21"/>
                <w:highlight w:val="none"/>
                <w14:textFill>
                  <w14:solidFill>
                    <w14:schemeClr w14:val="tx1"/>
                  </w14:solidFill>
                </w14:textFill>
              </w:rPr>
              <w:t>个月，输电线路</w:t>
            </w:r>
            <w:r>
              <w:rPr>
                <w:rFonts w:hint="default" w:ascii="Times New Roman" w:hAnsi="Times New Roman" w:cs="Times New Roman"/>
                <w:color w:val="000000" w:themeColor="text1"/>
                <w:szCs w:val="21"/>
                <w:highlight w:val="none"/>
                <w:lang w:val="en-US" w:eastAsia="zh-CN"/>
                <w14:textFill>
                  <w14:solidFill>
                    <w14:schemeClr w14:val="tx1"/>
                  </w14:solidFill>
                </w14:textFill>
              </w:rPr>
              <w:t>新建工程</w:t>
            </w:r>
            <w:r>
              <w:rPr>
                <w:rFonts w:hint="default" w:ascii="Times New Roman" w:hAnsi="Times New Roman" w:cs="Times New Roman"/>
                <w:color w:val="000000" w:themeColor="text1"/>
                <w:szCs w:val="21"/>
                <w:highlight w:val="none"/>
                <w14:textFill>
                  <w14:solidFill>
                    <w14:schemeClr w14:val="tx1"/>
                  </w14:solidFill>
                </w14:textFill>
              </w:rPr>
              <w:t>施工周期约需</w:t>
            </w:r>
            <w:r>
              <w:rPr>
                <w:rFonts w:hint="eastAsia" w:cs="Times New Roman"/>
                <w:color w:val="000000" w:themeColor="text1"/>
                <w:szCs w:val="21"/>
                <w:highlight w:val="none"/>
                <w:lang w:val="en-US" w:eastAsia="zh-CN"/>
                <w14:textFill>
                  <w14:solidFill>
                    <w14:schemeClr w14:val="tx1"/>
                  </w14:solidFill>
                </w14:textFill>
              </w:rPr>
              <w:t>12</w:t>
            </w:r>
            <w:r>
              <w:rPr>
                <w:rFonts w:hint="default" w:ascii="Times New Roman" w:hAnsi="Times New Roman" w:cs="Times New Roman"/>
                <w:color w:val="000000" w:themeColor="text1"/>
                <w:szCs w:val="21"/>
                <w:highlight w:val="none"/>
                <w14:textFill>
                  <w14:solidFill>
                    <w14:schemeClr w14:val="tx1"/>
                  </w14:solidFill>
                </w14:textFill>
              </w:rPr>
              <w:t>个月</w:t>
            </w:r>
            <w:r>
              <w:rPr>
                <w:rFonts w:hint="default" w:ascii="Times New Roman" w:hAnsi="Times New Roman" w:cs="Times New Roman"/>
                <w:color w:val="000000" w:themeColor="text1"/>
                <w:szCs w:val="21"/>
                <w:highlight w:val="none"/>
                <w:lang w:eastAsia="zh-CN"/>
                <w14:textFill>
                  <w14:solidFill>
                    <w14:schemeClr w14:val="tx1"/>
                  </w14:solidFill>
                </w14:textFill>
              </w:rPr>
              <w:t>，总的</w:t>
            </w:r>
            <w:r>
              <w:rPr>
                <w:rFonts w:hint="default" w:ascii="Times New Roman" w:hAnsi="Times New Roman" w:cs="Times New Roman"/>
                <w:color w:val="000000" w:themeColor="text1"/>
                <w:szCs w:val="21"/>
                <w:highlight w:val="none"/>
                <w14:textFill>
                  <w14:solidFill>
                    <w14:schemeClr w14:val="tx1"/>
                  </w14:solidFill>
                </w14:textFill>
              </w:rPr>
              <w:t>施工周期约需</w:t>
            </w:r>
            <w:r>
              <w:rPr>
                <w:rFonts w:hint="eastAsia" w:cs="Times New Roman"/>
                <w:color w:val="000000" w:themeColor="text1"/>
                <w:szCs w:val="21"/>
                <w:highlight w:val="none"/>
                <w:lang w:val="en-US" w:eastAsia="zh-CN"/>
                <w14:textFill>
                  <w14:solidFill>
                    <w14:schemeClr w14:val="tx1"/>
                  </w14:solidFill>
                </w14:textFill>
              </w:rPr>
              <w:t>15</w:t>
            </w:r>
            <w:r>
              <w:rPr>
                <w:rFonts w:hint="default" w:ascii="Times New Roman" w:hAnsi="Times New Roman" w:cs="Times New Roman"/>
                <w:color w:val="000000" w:themeColor="text1"/>
                <w:szCs w:val="21"/>
                <w:highlight w:val="none"/>
                <w14:textFill>
                  <w14:solidFill>
                    <w14:schemeClr w14:val="tx1"/>
                  </w14:solidFill>
                </w14:textFill>
              </w:rPr>
              <w:t>个月。具体施工时序及进度表见下表：</w:t>
            </w:r>
          </w:p>
          <w:p w14:paraId="79CF67F8">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r>
              <w:rPr>
                <w:rFonts w:hint="default" w:ascii="Times New Roman" w:hAnsi="Times New Roman" w:eastAsia="黑体" w:cs="Times New Roman"/>
                <w:color w:val="000000" w:themeColor="text1"/>
                <w:szCs w:val="21"/>
                <w:highlight w:val="none"/>
                <w14:textFill>
                  <w14:solidFill>
                    <w14:schemeClr w14:val="tx1"/>
                  </w14:solidFill>
                </w14:textFill>
              </w:rPr>
              <w:t>表2-</w:t>
            </w:r>
            <w:r>
              <w:rPr>
                <w:rFonts w:hint="default" w:ascii="Times New Roman" w:hAnsi="Times New Roman" w:eastAsia="黑体" w:cs="Times New Roman"/>
                <w:color w:val="000000" w:themeColor="text1"/>
                <w:szCs w:val="21"/>
                <w:highlight w:val="none"/>
                <w:lang w:val="en-US" w:eastAsia="zh-CN"/>
                <w14:textFill>
                  <w14:solidFill>
                    <w14:schemeClr w14:val="tx1"/>
                  </w14:solidFill>
                </w14:textFill>
              </w:rPr>
              <w:t>1</w:t>
            </w:r>
            <w:r>
              <w:rPr>
                <w:rFonts w:hint="eastAsia" w:eastAsia="黑体" w:cs="Times New Roman"/>
                <w:color w:val="000000" w:themeColor="text1"/>
                <w:szCs w:val="21"/>
                <w:highlight w:val="none"/>
                <w:lang w:val="en-US" w:eastAsia="zh-CN"/>
                <w14:textFill>
                  <w14:solidFill>
                    <w14:schemeClr w14:val="tx1"/>
                  </w14:solidFill>
                </w14:textFill>
              </w:rPr>
              <w:t>0</w:t>
            </w:r>
            <w:r>
              <w:rPr>
                <w:rFonts w:hint="default" w:ascii="Times New Roman" w:hAnsi="Times New Roman" w:eastAsia="黑体" w:cs="Times New Roman"/>
                <w:color w:val="000000" w:themeColor="text1"/>
                <w:szCs w:val="21"/>
                <w:highlight w:val="none"/>
                <w14:textFill>
                  <w14:solidFill>
                    <w14:schemeClr w14:val="tx1"/>
                  </w14:solidFill>
                </w14:textFill>
              </w:rPr>
              <w:t xml:space="preserve">  本项目施工时序及进度表</w:t>
            </w:r>
          </w:p>
          <w:tbl>
            <w:tblPr>
              <w:tblStyle w:val="26"/>
              <w:tblW w:w="4991"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1230"/>
              <w:gridCol w:w="464"/>
              <w:gridCol w:w="464"/>
              <w:gridCol w:w="464"/>
              <w:gridCol w:w="464"/>
              <w:gridCol w:w="464"/>
              <w:gridCol w:w="464"/>
              <w:gridCol w:w="464"/>
              <w:gridCol w:w="464"/>
              <w:gridCol w:w="464"/>
              <w:gridCol w:w="464"/>
              <w:gridCol w:w="464"/>
              <w:gridCol w:w="464"/>
              <w:gridCol w:w="464"/>
              <w:gridCol w:w="465"/>
              <w:gridCol w:w="467"/>
            </w:tblGrid>
            <w:tr w14:paraId="183BA3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972" w:type="pct"/>
                  <w:gridSpan w:val="2"/>
                  <w:tcBorders>
                    <w:tl2br w:val="nil"/>
                    <w:tr2bl w:val="nil"/>
                  </w:tcBorders>
                  <w:vAlign w:val="center"/>
                </w:tcPr>
                <w:p w14:paraId="3DE052EE">
                  <w:pPr>
                    <w:jc w:val="right"/>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时间</w:t>
                  </w:r>
                </w:p>
                <w:p w14:paraId="4C62994A">
                  <w:pPr>
                    <w:jc w:val="left"/>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名称</w:t>
                  </w:r>
                </w:p>
              </w:tc>
              <w:tc>
                <w:tcPr>
                  <w:tcW w:w="268" w:type="pct"/>
                  <w:tcBorders>
                    <w:tl2br w:val="nil"/>
                    <w:tr2bl w:val="nil"/>
                  </w:tcBorders>
                  <w:vAlign w:val="center"/>
                </w:tcPr>
                <w:p w14:paraId="370610E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535B3348">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01EA61E5">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55B90C91">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4</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42579101">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7BAD009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6</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64AE688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7</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4F1FCB2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8</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4E5FBBB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9</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3A43632F">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10</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7A134A5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11</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22DDA53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12</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27C7A94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13</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8" w:type="pct"/>
                  <w:tcBorders>
                    <w:tl2br w:val="nil"/>
                    <w:tr2bl w:val="nil"/>
                  </w:tcBorders>
                  <w:vAlign w:val="center"/>
                </w:tcPr>
                <w:p w14:paraId="4BFBE308">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14</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c>
                <w:tcPr>
                  <w:tcW w:w="269" w:type="pct"/>
                  <w:tcBorders>
                    <w:tl2br w:val="nil"/>
                    <w:tr2bl w:val="nil"/>
                  </w:tcBorders>
                  <w:vAlign w:val="center"/>
                </w:tcPr>
                <w:p w14:paraId="2ACF435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第</w:t>
                  </w:r>
                  <w:r>
                    <w:rPr>
                      <w:rFonts w:hint="eastAsia" w:cs="Times New Roman" w:eastAsiaTheme="minorEastAsia"/>
                      <w:color w:val="000000" w:themeColor="text1"/>
                      <w:sz w:val="18"/>
                      <w:szCs w:val="18"/>
                      <w:highlight w:val="none"/>
                      <w:lang w:val="en-US" w:eastAsia="zh-CN"/>
                      <w14:textFill>
                        <w14:solidFill>
                          <w14:schemeClr w14:val="tx1"/>
                        </w14:solidFill>
                      </w14:textFill>
                    </w:rPr>
                    <w:t>15</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月</w:t>
                  </w:r>
                </w:p>
              </w:tc>
            </w:tr>
            <w:tr w14:paraId="45F6D4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62" w:type="pct"/>
                  <w:vMerge w:val="restart"/>
                  <w:tcBorders>
                    <w:tl2br w:val="nil"/>
                    <w:tr2bl w:val="nil"/>
                  </w:tcBorders>
                  <w:vAlign w:val="center"/>
                </w:tcPr>
                <w:p w14:paraId="1D25B4E2">
                  <w:pPr>
                    <w:jc w:val="center"/>
                    <w:rPr>
                      <w:rFonts w:hint="default" w:ascii="Times New Roman" w:hAnsi="Times New Roman" w:cs="Times New Roman" w:eastAsiaTheme="minorEastAsia"/>
                      <w:color w:val="000000" w:themeColor="text1"/>
                      <w:sz w:val="18"/>
                      <w:szCs w:val="18"/>
                      <w:highlight w:val="none"/>
                      <w:lang w:val="en-US"/>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变电站新建工程</w:t>
                  </w:r>
                </w:p>
              </w:tc>
              <w:tc>
                <w:tcPr>
                  <w:tcW w:w="709" w:type="pct"/>
                  <w:tcBorders>
                    <w:tl2br w:val="nil"/>
                    <w:tr2bl w:val="nil"/>
                  </w:tcBorders>
                  <w:vAlign w:val="center"/>
                </w:tcPr>
                <w:p w14:paraId="0FA03B17">
                  <w:pPr>
                    <w:jc w:val="cente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pPr>
                  <w:r>
                    <w:rPr>
                      <w:rFonts w:hint="eastAsia" w:cs="Times New Roman" w:eastAsiaTheme="minorEastAsia"/>
                      <w:color w:val="000000" w:themeColor="text1"/>
                      <w:sz w:val="18"/>
                      <w:szCs w:val="18"/>
                      <w:highlight w:val="none"/>
                      <w:lang w:val="en-US" w:eastAsia="zh-CN"/>
                      <w14:textFill>
                        <w14:solidFill>
                          <w14:schemeClr w14:val="tx1"/>
                        </w14:solidFill>
                      </w14:textFill>
                    </w:rPr>
                    <w:t>施工准备</w:t>
                  </w:r>
                </w:p>
              </w:tc>
              <w:tc>
                <w:tcPr>
                  <w:tcW w:w="268" w:type="pct"/>
                  <w:tcBorders>
                    <w:tl2br w:val="nil"/>
                    <w:tr2bl w:val="nil"/>
                  </w:tcBorders>
                  <w:shd w:val="clear" w:color="auto" w:fill="BEBEBE" w:themeFill="background1" w:themeFillShade="BF"/>
                  <w:vAlign w:val="center"/>
                </w:tcPr>
                <w:p w14:paraId="3B44A498">
                  <w:pPr>
                    <w:jc w:val="center"/>
                    <w:rPr>
                      <w:rFonts w:hint="eastAsia" w:ascii="Times New Roman" w:hAnsi="Times New Roman" w:cs="Times New Roman" w:eastAsiaTheme="minorEastAsia"/>
                      <w:color w:val="000000" w:themeColor="text1"/>
                      <w:sz w:val="18"/>
                      <w:szCs w:val="18"/>
                      <w:highlight w:val="lightGray"/>
                      <w:lang w:val="en-US" w:eastAsia="zh-CN"/>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3C981B04">
                  <w:pPr>
                    <w:jc w:val="center"/>
                    <w:rPr>
                      <w:rFonts w:hint="default" w:ascii="Times New Roman" w:hAnsi="Times New Roman" w:cs="Times New Roman" w:eastAsiaTheme="minorEastAsia"/>
                      <w:color w:val="000000" w:themeColor="text1"/>
                      <w:sz w:val="18"/>
                      <w:szCs w:val="18"/>
                      <w:highlight w:val="lightGray"/>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7AB25DC2">
                  <w:pPr>
                    <w:jc w:val="center"/>
                    <w:rPr>
                      <w:rFonts w:hint="default" w:ascii="Times New Roman" w:hAnsi="Times New Roman" w:cs="Times New Roman" w:eastAsiaTheme="minorEastAsia"/>
                      <w:color w:val="000000" w:themeColor="text1"/>
                      <w:sz w:val="18"/>
                      <w:szCs w:val="18"/>
                      <w:highlight w:val="lightGray"/>
                      <w14:textFill>
                        <w14:solidFill>
                          <w14:schemeClr w14:val="tx1"/>
                        </w14:solidFill>
                      </w14:textFill>
                    </w:rPr>
                  </w:pPr>
                </w:p>
              </w:tc>
              <w:tc>
                <w:tcPr>
                  <w:tcW w:w="268" w:type="pct"/>
                  <w:tcBorders>
                    <w:tl2br w:val="nil"/>
                    <w:tr2bl w:val="nil"/>
                  </w:tcBorders>
                  <w:vAlign w:val="center"/>
                </w:tcPr>
                <w:p w14:paraId="035DB71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0D74F29F">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060524EF">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270C1B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077724B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3EA7BF3C">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298F24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7CE50CAE">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14176ADE">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3C5F7665">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70B84E28">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9" w:type="pct"/>
                  <w:tcBorders>
                    <w:tl2br w:val="nil"/>
                    <w:tr2bl w:val="nil"/>
                  </w:tcBorders>
                  <w:vAlign w:val="center"/>
                </w:tcPr>
                <w:p w14:paraId="3A28F74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14:paraId="2D816E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62" w:type="pct"/>
                  <w:vMerge w:val="continue"/>
                  <w:tcBorders>
                    <w:tl2br w:val="nil"/>
                    <w:tr2bl w:val="nil"/>
                  </w:tcBorders>
                  <w:vAlign w:val="center"/>
                </w:tcPr>
                <w:p w14:paraId="17D7592B">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709" w:type="pct"/>
                  <w:tcBorders>
                    <w:tl2br w:val="nil"/>
                    <w:tr2bl w:val="nil"/>
                  </w:tcBorders>
                  <w:vAlign w:val="center"/>
                </w:tcPr>
                <w:p w14:paraId="7896CDF5">
                  <w:pPr>
                    <w:jc w:val="cente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修筑围墙</w:t>
                  </w:r>
                </w:p>
              </w:tc>
              <w:tc>
                <w:tcPr>
                  <w:tcW w:w="268" w:type="pct"/>
                  <w:tcBorders>
                    <w:tl2br w:val="nil"/>
                    <w:tr2bl w:val="nil"/>
                  </w:tcBorders>
                  <w:vAlign w:val="center"/>
                </w:tcPr>
                <w:p w14:paraId="6EBC387A">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4D4AA0F">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F32EEDD">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4031150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B7F7812">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02BBC0EA">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8DE693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E55EA6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358C5B5">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57F285FF">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D86A59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73D4D0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1628357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959DA3A">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9" w:type="pct"/>
                  <w:tcBorders>
                    <w:tl2br w:val="nil"/>
                    <w:tr2bl w:val="nil"/>
                  </w:tcBorders>
                  <w:vAlign w:val="center"/>
                </w:tcPr>
                <w:p w14:paraId="254092D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14:paraId="587EF7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62" w:type="pct"/>
                  <w:vMerge w:val="continue"/>
                  <w:tcBorders>
                    <w:tl2br w:val="nil"/>
                    <w:tr2bl w:val="nil"/>
                  </w:tcBorders>
                  <w:vAlign w:val="center"/>
                </w:tcPr>
                <w:p w14:paraId="22FEA47D">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709" w:type="pct"/>
                  <w:tcBorders>
                    <w:tl2br w:val="nil"/>
                    <w:tr2bl w:val="nil"/>
                  </w:tcBorders>
                  <w:vAlign w:val="center"/>
                </w:tcPr>
                <w:p w14:paraId="01357E7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构筑基础</w:t>
                  </w:r>
                </w:p>
              </w:tc>
              <w:tc>
                <w:tcPr>
                  <w:tcW w:w="268" w:type="pct"/>
                  <w:tcBorders>
                    <w:tl2br w:val="nil"/>
                    <w:tr2bl w:val="nil"/>
                  </w:tcBorders>
                  <w:vAlign w:val="center"/>
                </w:tcPr>
                <w:p w14:paraId="3C49DB7F">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7C022D29">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27DACB7F">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41E87A6D">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591F7C70">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1BAAAEE2">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4A255309">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512F421F">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23E326A5">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09325FC1">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22B6D2C1">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0DB74D8E">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6C97E7D2">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3C96184E">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9" w:type="pct"/>
                  <w:tcBorders>
                    <w:tl2br w:val="nil"/>
                    <w:tr2bl w:val="nil"/>
                  </w:tcBorders>
                  <w:vAlign w:val="center"/>
                </w:tcPr>
                <w:p w14:paraId="0EBF85D5">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r>
            <w:tr w14:paraId="73EEB7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62" w:type="pct"/>
                  <w:vMerge w:val="continue"/>
                  <w:tcBorders>
                    <w:tl2br w:val="nil"/>
                    <w:tr2bl w:val="nil"/>
                  </w:tcBorders>
                  <w:vAlign w:val="center"/>
                </w:tcPr>
                <w:p w14:paraId="483169A1">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709" w:type="pct"/>
                  <w:tcBorders>
                    <w:tl2br w:val="nil"/>
                    <w:tr2bl w:val="nil"/>
                  </w:tcBorders>
                  <w:vAlign w:val="center"/>
                </w:tcPr>
                <w:p w14:paraId="096284B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设备安装</w:t>
                  </w:r>
                </w:p>
              </w:tc>
              <w:tc>
                <w:tcPr>
                  <w:tcW w:w="268" w:type="pct"/>
                  <w:tcBorders>
                    <w:tl2br w:val="nil"/>
                    <w:tr2bl w:val="nil"/>
                  </w:tcBorders>
                  <w:vAlign w:val="center"/>
                </w:tcPr>
                <w:p w14:paraId="14E8F8C2">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58E1EACE">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169F98DF">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220146A1">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716554A4">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04AC9EC1">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09E6BF71">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3A9347E6">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2371DE56">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556EA7E1">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4BC55C9E">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694E2EA5">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3E062B74">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38CEACAE">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9" w:type="pct"/>
                  <w:tcBorders>
                    <w:tl2br w:val="nil"/>
                    <w:tr2bl w:val="nil"/>
                  </w:tcBorders>
                  <w:shd w:val="clear" w:color="auto" w:fill="BEBEBE" w:themeFill="background1" w:themeFillShade="BF"/>
                  <w:vAlign w:val="center"/>
                </w:tcPr>
                <w:p w14:paraId="47AE9464">
                  <w:pPr>
                    <w:jc w:val="center"/>
                    <w:rPr>
                      <w:rFonts w:hint="default" w:ascii="Times New Roman" w:hAnsi="Times New Roman" w:cs="Times New Roman"/>
                      <w:color w:val="000000" w:themeColor="text1"/>
                      <w:sz w:val="18"/>
                      <w:highlight w:val="none"/>
                      <w14:textFill>
                        <w14:solidFill>
                          <w14:schemeClr w14:val="tx1"/>
                        </w14:solidFill>
                      </w14:textFill>
                    </w:rPr>
                  </w:pPr>
                </w:p>
              </w:tc>
            </w:tr>
            <w:tr w14:paraId="4286B5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62" w:type="pct"/>
                  <w:vMerge w:val="restart"/>
                  <w:tcBorders>
                    <w:tl2br w:val="nil"/>
                    <w:tr2bl w:val="nil"/>
                  </w:tcBorders>
                  <w:vAlign w:val="center"/>
                </w:tcPr>
                <w:p w14:paraId="7E99F08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架空</w:t>
                  </w:r>
                  <w:r>
                    <w:rPr>
                      <w:rFonts w:hint="default" w:ascii="Times New Roman" w:hAnsi="Times New Roman" w:cs="Times New Roman" w:eastAsiaTheme="minorEastAsia"/>
                      <w:color w:val="000000" w:themeColor="text1"/>
                      <w:sz w:val="18"/>
                      <w:szCs w:val="18"/>
                      <w:highlight w:val="none"/>
                      <w:lang w:val="en-US" w:eastAsia="zh-CN"/>
                      <w14:textFill>
                        <w14:solidFill>
                          <w14:schemeClr w14:val="tx1"/>
                        </w14:solidFill>
                      </w14:textFill>
                    </w:rPr>
                    <w:t>线路</w:t>
                  </w: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新建</w:t>
                  </w: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工程</w:t>
                  </w:r>
                </w:p>
              </w:tc>
              <w:tc>
                <w:tcPr>
                  <w:tcW w:w="709" w:type="pct"/>
                  <w:tcBorders>
                    <w:tl2br w:val="nil"/>
                    <w:tr2bl w:val="nil"/>
                  </w:tcBorders>
                  <w:vAlign w:val="center"/>
                </w:tcPr>
                <w:p w14:paraId="3AD5BFFC">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施工准备</w:t>
                  </w:r>
                </w:p>
              </w:tc>
              <w:tc>
                <w:tcPr>
                  <w:tcW w:w="268" w:type="pct"/>
                  <w:tcBorders>
                    <w:tl2br w:val="nil"/>
                    <w:tr2bl w:val="nil"/>
                  </w:tcBorders>
                  <w:vAlign w:val="center"/>
                </w:tcPr>
                <w:p w14:paraId="0FAD70A5">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1F5F1A8B">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11674DBA">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042D86B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11E237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F76B15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72C0C85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5AB4E341">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5708C6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EAD2A8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9E9355E">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72C9B10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F770E6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5973CBD8">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9" w:type="pct"/>
                  <w:tcBorders>
                    <w:tl2br w:val="nil"/>
                    <w:tr2bl w:val="nil"/>
                  </w:tcBorders>
                  <w:vAlign w:val="center"/>
                </w:tcPr>
                <w:p w14:paraId="3F0A27C8">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14:paraId="152252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62" w:type="pct"/>
                  <w:vMerge w:val="continue"/>
                  <w:tcBorders>
                    <w:tl2br w:val="nil"/>
                    <w:tr2bl w:val="nil"/>
                  </w:tcBorders>
                  <w:vAlign w:val="center"/>
                </w:tcPr>
                <w:p w14:paraId="6C8A2EEC">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709" w:type="pct"/>
                  <w:tcBorders>
                    <w:tl2br w:val="nil"/>
                    <w:tr2bl w:val="nil"/>
                  </w:tcBorders>
                  <w:vAlign w:val="center"/>
                </w:tcPr>
                <w:p w14:paraId="6A7BE783">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基础施工</w:t>
                  </w:r>
                </w:p>
              </w:tc>
              <w:tc>
                <w:tcPr>
                  <w:tcW w:w="268" w:type="pct"/>
                  <w:tcBorders>
                    <w:tl2br w:val="nil"/>
                    <w:tr2bl w:val="nil"/>
                  </w:tcBorders>
                  <w:vAlign w:val="center"/>
                </w:tcPr>
                <w:p w14:paraId="2596B503">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F4CEA18">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770852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BBB926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6186897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4F267E2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0850DB0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05333BBC">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59EBEB93">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F9AF3D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4292DC2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622453F">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3A9BCEE3">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112B685E">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9" w:type="pct"/>
                  <w:tcBorders>
                    <w:tl2br w:val="nil"/>
                    <w:tr2bl w:val="nil"/>
                  </w:tcBorders>
                  <w:vAlign w:val="center"/>
                </w:tcPr>
                <w:p w14:paraId="7FAA2545">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14:paraId="513498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262" w:type="pct"/>
                  <w:vMerge w:val="continue"/>
                  <w:tcBorders>
                    <w:tl2br w:val="nil"/>
                    <w:tr2bl w:val="nil"/>
                  </w:tcBorders>
                  <w:vAlign w:val="center"/>
                </w:tcPr>
                <w:p w14:paraId="5B71811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709" w:type="pct"/>
                  <w:tcBorders>
                    <w:tl2br w:val="nil"/>
                    <w:tr2bl w:val="nil"/>
                  </w:tcBorders>
                  <w:vAlign w:val="center"/>
                </w:tcPr>
                <w:p w14:paraId="7BBCA58B">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14:textFill>
                        <w14:solidFill>
                          <w14:schemeClr w14:val="tx1"/>
                        </w14:solidFill>
                      </w14:textFill>
                    </w:rPr>
                    <w:t>杆塔组立</w:t>
                  </w:r>
                </w:p>
              </w:tc>
              <w:tc>
                <w:tcPr>
                  <w:tcW w:w="268" w:type="pct"/>
                  <w:tcBorders>
                    <w:tl2br w:val="nil"/>
                    <w:tr2bl w:val="nil"/>
                  </w:tcBorders>
                  <w:vAlign w:val="center"/>
                </w:tcPr>
                <w:p w14:paraId="27E7B014">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1F7945E">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FDFCD9E">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04CB8F3">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3204D250">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3E9C4162">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63CF287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26FB0071">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70891DAC">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3600EA7E">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19B2154A">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0983BD8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3986AC37">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8" w:type="pct"/>
                  <w:tcBorders>
                    <w:tl2br w:val="nil"/>
                    <w:tr2bl w:val="nil"/>
                  </w:tcBorders>
                  <w:vAlign w:val="center"/>
                </w:tcPr>
                <w:p w14:paraId="75F1C5F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269" w:type="pct"/>
                  <w:tcBorders>
                    <w:tl2br w:val="nil"/>
                    <w:tr2bl w:val="nil"/>
                  </w:tcBorders>
                  <w:vAlign w:val="center"/>
                </w:tcPr>
                <w:p w14:paraId="45B840D6">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r>
            <w:tr w14:paraId="128BEB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2" w:type="pct"/>
                  <w:vMerge w:val="continue"/>
                  <w:tcBorders>
                    <w:tl2br w:val="nil"/>
                    <w:tr2bl w:val="nil"/>
                  </w:tcBorders>
                  <w:vAlign w:val="center"/>
                </w:tcPr>
                <w:p w14:paraId="14480C72">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p>
              </w:tc>
              <w:tc>
                <w:tcPr>
                  <w:tcW w:w="709" w:type="pct"/>
                  <w:tcBorders>
                    <w:tl2br w:val="nil"/>
                    <w:tr2bl w:val="nil"/>
                  </w:tcBorders>
                  <w:vAlign w:val="center"/>
                </w:tcPr>
                <w:p w14:paraId="0A7EA029">
                  <w:pPr>
                    <w:jc w:val="center"/>
                    <w:rPr>
                      <w:rFonts w:hint="default" w:ascii="Times New Roman" w:hAnsi="Times New Roman" w:cs="Times New Roman" w:eastAsiaTheme="minorEastAsia"/>
                      <w:color w:val="000000" w:themeColor="text1"/>
                      <w:sz w:val="18"/>
                      <w:szCs w:val="18"/>
                      <w:highlight w:val="none"/>
                      <w14:textFill>
                        <w14:solidFill>
                          <w14:schemeClr w14:val="tx1"/>
                        </w14:solidFill>
                      </w14:textFill>
                    </w:rPr>
                  </w:pPr>
                  <w:r>
                    <w:rPr>
                      <w:rFonts w:hint="default" w:ascii="Times New Roman" w:hAnsi="Times New Roman" w:cs="Times New Roman" w:eastAsiaTheme="minorEastAsia"/>
                      <w:color w:val="000000" w:themeColor="text1"/>
                      <w:sz w:val="18"/>
                      <w:szCs w:val="18"/>
                      <w:highlight w:val="none"/>
                      <w:lang w:eastAsia="zh-CN"/>
                      <w14:textFill>
                        <w14:solidFill>
                          <w14:schemeClr w14:val="tx1"/>
                        </w14:solidFill>
                      </w14:textFill>
                    </w:rPr>
                    <w:t>架线</w:t>
                  </w:r>
                </w:p>
              </w:tc>
              <w:tc>
                <w:tcPr>
                  <w:tcW w:w="268" w:type="pct"/>
                  <w:tcBorders>
                    <w:tl2br w:val="nil"/>
                    <w:tr2bl w:val="nil"/>
                  </w:tcBorders>
                  <w:vAlign w:val="center"/>
                </w:tcPr>
                <w:p w14:paraId="6B6B6EB6">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2296139C">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16232F06">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1F6B7736">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699F92DD">
                  <w:pPr>
                    <w:jc w:val="center"/>
                    <w:rPr>
                      <w:rFonts w:hint="default" w:ascii="Times New Roman" w:hAnsi="Times New Roman" w:cs="Times New Roman" w:eastAsiaTheme="minorEastAsia"/>
                      <w:b/>
                      <w:color w:val="000000" w:themeColor="text1"/>
                      <w:spacing w:val="-20"/>
                      <w:sz w:val="18"/>
                      <w:szCs w:val="18"/>
                      <w:highlight w:val="none"/>
                      <w14:textFill>
                        <w14:solidFill>
                          <w14:schemeClr w14:val="tx1"/>
                        </w14:solidFill>
                      </w14:textFill>
                    </w:rPr>
                  </w:pPr>
                </w:p>
              </w:tc>
              <w:tc>
                <w:tcPr>
                  <w:tcW w:w="268" w:type="pct"/>
                  <w:tcBorders>
                    <w:tl2br w:val="nil"/>
                    <w:tr2bl w:val="nil"/>
                  </w:tcBorders>
                  <w:vAlign w:val="center"/>
                </w:tcPr>
                <w:p w14:paraId="666916C1">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210F8055">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248429A2">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150839D8">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7B9FDEC3">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63F4970D">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536DDFAB">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vAlign w:val="center"/>
                </w:tcPr>
                <w:p w14:paraId="11C1FD94">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8" w:type="pct"/>
                  <w:tcBorders>
                    <w:tl2br w:val="nil"/>
                    <w:tr2bl w:val="nil"/>
                  </w:tcBorders>
                  <w:shd w:val="clear" w:color="auto" w:fill="BEBEBE" w:themeFill="background1" w:themeFillShade="BF"/>
                  <w:vAlign w:val="center"/>
                </w:tcPr>
                <w:p w14:paraId="334C1491">
                  <w:pPr>
                    <w:jc w:val="center"/>
                    <w:rPr>
                      <w:rFonts w:hint="default" w:ascii="Times New Roman" w:hAnsi="Times New Roman" w:cs="Times New Roman"/>
                      <w:color w:val="000000" w:themeColor="text1"/>
                      <w:sz w:val="18"/>
                      <w:highlight w:val="none"/>
                      <w14:textFill>
                        <w14:solidFill>
                          <w14:schemeClr w14:val="tx1"/>
                        </w14:solidFill>
                      </w14:textFill>
                    </w:rPr>
                  </w:pPr>
                </w:p>
              </w:tc>
              <w:tc>
                <w:tcPr>
                  <w:tcW w:w="269" w:type="pct"/>
                  <w:tcBorders>
                    <w:tl2br w:val="nil"/>
                    <w:tr2bl w:val="nil"/>
                  </w:tcBorders>
                  <w:shd w:val="clear" w:color="auto" w:fill="BEBEBE" w:themeFill="background1" w:themeFillShade="BF"/>
                  <w:vAlign w:val="center"/>
                </w:tcPr>
                <w:p w14:paraId="1A1993B4">
                  <w:pPr>
                    <w:jc w:val="center"/>
                    <w:rPr>
                      <w:rFonts w:hint="default" w:ascii="Times New Roman" w:hAnsi="Times New Roman" w:cs="Times New Roman"/>
                      <w:color w:val="000000" w:themeColor="text1"/>
                      <w:sz w:val="18"/>
                      <w:highlight w:val="none"/>
                      <w14:textFill>
                        <w14:solidFill>
                          <w14:schemeClr w14:val="tx1"/>
                        </w14:solidFill>
                      </w14:textFill>
                    </w:rPr>
                  </w:pPr>
                </w:p>
              </w:tc>
            </w:tr>
          </w:tbl>
          <w:p w14:paraId="79DA3017">
            <w:pPr>
              <w:spacing w:line="360" w:lineRule="auto"/>
              <w:rPr>
                <w:rFonts w:eastAsia="黑体"/>
                <w:color w:val="auto"/>
                <w:szCs w:val="21"/>
              </w:rPr>
            </w:pPr>
            <w:r>
              <w:rPr>
                <w:rFonts w:hint="eastAsia" w:eastAsia="黑体"/>
                <w:color w:val="auto"/>
                <w:szCs w:val="21"/>
              </w:rPr>
              <w:t>四</w:t>
            </w:r>
            <w:r>
              <w:rPr>
                <w:rFonts w:eastAsia="黑体"/>
                <w:color w:val="auto"/>
                <w:szCs w:val="21"/>
              </w:rPr>
              <w:t>、施工周期及人员</w:t>
            </w:r>
          </w:p>
          <w:p w14:paraId="5E9028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szCs w:val="21"/>
              </w:rPr>
            </w:pPr>
            <w:r>
              <w:rPr>
                <w:rFonts w:hint="eastAsia" w:ascii="Times New Roman" w:hAnsi="Times New Roman" w:eastAsia="宋体" w:cs="Times New Roman"/>
                <w:bCs/>
                <w:color w:val="auto"/>
                <w:szCs w:val="21"/>
              </w:rPr>
              <w:t>本项目总施工周期约为</w:t>
            </w:r>
            <w:r>
              <w:rPr>
                <w:rFonts w:hint="eastAsia" w:cs="Times New Roman"/>
                <w:bCs/>
                <w:color w:val="auto"/>
                <w:szCs w:val="21"/>
                <w:lang w:val="en-US" w:eastAsia="zh-CN"/>
              </w:rPr>
              <w:t>15</w:t>
            </w:r>
            <w:r>
              <w:rPr>
                <w:rFonts w:hint="eastAsia" w:ascii="Times New Roman" w:hAnsi="Times New Roman" w:eastAsia="宋体" w:cs="Times New Roman"/>
                <w:bCs/>
                <w:color w:val="auto"/>
                <w:szCs w:val="21"/>
              </w:rPr>
              <w:t>个月，</w:t>
            </w:r>
            <w:r>
              <w:rPr>
                <w:rFonts w:hint="eastAsia" w:cs="Times New Roman"/>
                <w:bCs/>
                <w:color w:val="auto"/>
                <w:szCs w:val="21"/>
                <w:lang w:val="en-US" w:eastAsia="zh-CN"/>
              </w:rPr>
              <w:t>司城</w:t>
            </w:r>
            <w:r>
              <w:rPr>
                <w:rFonts w:hint="eastAsia" w:cs="Times New Roman"/>
                <w:bCs/>
                <w:color w:val="auto"/>
                <w:szCs w:val="21"/>
                <w:lang w:eastAsia="zh-CN"/>
              </w:rPr>
              <w:t>110kV变电站新建工程</w:t>
            </w:r>
            <w:r>
              <w:rPr>
                <w:rFonts w:hint="eastAsia" w:ascii="Times New Roman" w:hAnsi="Times New Roman" w:eastAsia="宋体" w:cs="Times New Roman"/>
                <w:bCs/>
                <w:color w:val="auto"/>
                <w:szCs w:val="21"/>
              </w:rPr>
              <w:t>平均每天布置技工10人，民工20人，共30人。</w:t>
            </w:r>
            <w:r>
              <w:rPr>
                <w:rFonts w:hint="eastAsia" w:cs="Times New Roman"/>
                <w:bCs/>
                <w:color w:val="auto"/>
                <w:szCs w:val="21"/>
                <w:lang w:eastAsia="zh-CN"/>
              </w:rPr>
              <w:t>线路工程</w:t>
            </w:r>
            <w:r>
              <w:rPr>
                <w:rFonts w:hint="eastAsia" w:ascii="Times New Roman" w:hAnsi="Times New Roman" w:eastAsia="宋体" w:cs="Times New Roman"/>
                <w:bCs/>
                <w:color w:val="auto"/>
                <w:szCs w:val="21"/>
              </w:rPr>
              <w:t>平均每天布置技工10人，民工20人，共30人。</w:t>
            </w:r>
          </w:p>
          <w:p w14:paraId="0E400B45">
            <w:pPr>
              <w:spacing w:line="360" w:lineRule="auto"/>
              <w:rPr>
                <w:rFonts w:hint="default" w:ascii="Times New Roman" w:hAnsi="Times New Roman" w:cs="Times New Roman"/>
                <w:color w:val="auto"/>
                <w:szCs w:val="21"/>
                <w:highlight w:val="none"/>
                <w:lang w:val="en-US" w:eastAsia="zh-CN"/>
              </w:rPr>
            </w:pPr>
            <w:r>
              <w:rPr>
                <w:rFonts w:hint="eastAsia" w:eastAsia="黑体"/>
                <w:color w:val="auto"/>
                <w:szCs w:val="21"/>
              </w:rPr>
              <w:t>五</w:t>
            </w:r>
            <w:r>
              <w:rPr>
                <w:rFonts w:eastAsia="黑体"/>
                <w:color w:val="auto"/>
                <w:szCs w:val="21"/>
              </w:rPr>
              <w:t>、</w:t>
            </w:r>
            <w:r>
              <w:rPr>
                <w:rFonts w:hint="eastAsia" w:eastAsia="黑体"/>
                <w:color w:val="auto"/>
                <w:szCs w:val="21"/>
              </w:rPr>
              <w:t>土石方</w:t>
            </w:r>
            <w:r>
              <w:rPr>
                <w:rFonts w:eastAsia="黑体"/>
                <w:color w:val="auto"/>
                <w:szCs w:val="21"/>
              </w:rPr>
              <w:t>平衡</w:t>
            </w:r>
            <w:bookmarkStart w:id="7" w:name="OLE_LINK3"/>
          </w:p>
          <w:p w14:paraId="1958368E">
            <w:pPr>
              <w:keepNext w:val="0"/>
              <w:keepLines w:val="0"/>
              <w:pageBreakBefore w:val="0"/>
              <w:widowControl w:val="0"/>
              <w:kinsoku/>
              <w:wordWrap/>
              <w:overflowPunct/>
              <w:topLinePunct w:val="0"/>
              <w:autoSpaceDE/>
              <w:autoSpaceDN/>
              <w:bidi w:val="0"/>
              <w:snapToGrid/>
              <w:spacing w:line="360" w:lineRule="auto"/>
              <w:ind w:firstLine="420" w:firstLineChars="200"/>
              <w:textAlignment w:val="auto"/>
              <w:rPr>
                <w:rFonts w:hint="eastAsia"/>
                <w:b/>
                <w:color w:val="auto"/>
                <w:szCs w:val="21"/>
                <w:lang w:val="en-US" w:eastAsia="zh-CN"/>
              </w:rPr>
            </w:pPr>
            <w:r>
              <w:rPr>
                <w:rFonts w:hint="default" w:ascii="Times New Roman" w:hAnsi="Times New Roman" w:cs="Times New Roman"/>
                <w:color w:val="auto"/>
                <w:szCs w:val="21"/>
                <w:highlight w:val="none"/>
                <w:lang w:val="en-US" w:eastAsia="zh-CN"/>
              </w:rPr>
              <w:t>根据</w:t>
            </w:r>
            <w:r>
              <w:rPr>
                <w:rFonts w:hint="default" w:ascii="Times New Roman" w:hAnsi="Times New Roman" w:cs="Times New Roman"/>
                <w:color w:val="auto"/>
                <w:szCs w:val="21"/>
                <w:highlight w:val="none"/>
              </w:rPr>
              <w:t>《</w:t>
            </w:r>
            <w:r>
              <w:rPr>
                <w:rFonts w:hint="eastAsia"/>
                <w:color w:val="auto"/>
                <w:szCs w:val="21"/>
                <w:lang w:val="en-US" w:eastAsia="zh-CN"/>
              </w:rPr>
              <w:t>巴中恩阳司城110千伏输变电工程初步设计说明书</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，本项目</w:t>
            </w:r>
            <w:r>
              <w:rPr>
                <w:rFonts w:hint="default" w:ascii="Times New Roman" w:hAnsi="Times New Roman" w:cs="Times New Roman"/>
                <w:color w:val="auto"/>
                <w:szCs w:val="21"/>
                <w:highlight w:val="none"/>
              </w:rPr>
              <w:t>总挖方</w:t>
            </w:r>
            <w:r>
              <w:rPr>
                <w:rFonts w:hint="default" w:ascii="Times New Roman" w:hAnsi="Times New Roman" w:cs="Times New Roman"/>
                <w:color w:val="auto"/>
                <w:szCs w:val="21"/>
                <w:highlight w:val="none"/>
                <w:lang w:eastAsia="zh-CN"/>
              </w:rPr>
              <w:t>量约为</w:t>
            </w:r>
            <w:r>
              <w:rPr>
                <w:rFonts w:hint="eastAsia" w:cs="Times New Roman"/>
                <w:color w:val="auto"/>
                <w:szCs w:val="21"/>
                <w:highlight w:val="none"/>
                <w:lang w:val="en-US" w:eastAsia="zh-CN"/>
              </w:rPr>
              <w:t>23741</w:t>
            </w:r>
            <w:r>
              <w:rPr>
                <w:rFonts w:hint="default" w:ascii="Times New Roman" w:hAnsi="Times New Roman" w:cs="Times New Roman"/>
                <w:color w:val="auto"/>
                <w:szCs w:val="21"/>
                <w:highlight w:val="none"/>
              </w:rPr>
              <w:t>m³</w:t>
            </w:r>
            <w:r>
              <w:rPr>
                <w:rFonts w:hint="eastAsia"/>
                <w:color w:val="auto"/>
                <w:szCs w:val="21"/>
                <w:vertAlign w:val="baseline"/>
              </w:rPr>
              <w:t>（含表土</w:t>
            </w:r>
            <w:r>
              <w:rPr>
                <w:rFonts w:hint="eastAsia"/>
                <w:color w:val="auto"/>
                <w:szCs w:val="21"/>
                <w:vertAlign w:val="baseline"/>
                <w:lang w:val="en-US" w:eastAsia="zh-CN"/>
              </w:rPr>
              <w:t>7480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总填方</w:t>
            </w:r>
            <w:r>
              <w:rPr>
                <w:rFonts w:hint="default" w:ascii="Times New Roman" w:hAnsi="Times New Roman" w:cs="Times New Roman"/>
                <w:color w:val="auto"/>
                <w:szCs w:val="21"/>
                <w:highlight w:val="none"/>
                <w:lang w:eastAsia="zh-CN"/>
              </w:rPr>
              <w:t>量约为</w:t>
            </w:r>
            <w:r>
              <w:rPr>
                <w:rFonts w:hint="eastAsia" w:cs="Times New Roman"/>
                <w:color w:val="auto"/>
                <w:szCs w:val="21"/>
                <w:highlight w:val="none"/>
                <w:lang w:val="en-US" w:eastAsia="zh-CN"/>
              </w:rPr>
              <w:t>21966</w:t>
            </w:r>
            <w:r>
              <w:rPr>
                <w:rFonts w:hint="default" w:ascii="Times New Roman" w:hAnsi="Times New Roman" w:cs="Times New Roman"/>
                <w:color w:val="auto"/>
                <w:szCs w:val="21"/>
                <w:highlight w:val="none"/>
              </w:rPr>
              <w:t>m³</w:t>
            </w:r>
            <w:r>
              <w:rPr>
                <w:rFonts w:hint="eastAsia"/>
                <w:color w:val="auto"/>
                <w:szCs w:val="21"/>
                <w:vertAlign w:val="baseline"/>
              </w:rPr>
              <w:t>（含表土</w:t>
            </w:r>
            <w:r>
              <w:rPr>
                <w:rFonts w:hint="eastAsia"/>
                <w:color w:val="auto"/>
                <w:szCs w:val="21"/>
                <w:vertAlign w:val="baseline"/>
                <w:lang w:val="en-US" w:eastAsia="zh-CN"/>
              </w:rPr>
              <w:t>7480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余方</w:t>
            </w:r>
            <w:r>
              <w:rPr>
                <w:rFonts w:hint="default" w:ascii="Times New Roman" w:hAnsi="Times New Roman" w:cs="Times New Roman"/>
                <w:color w:val="auto"/>
                <w:szCs w:val="21"/>
                <w:highlight w:val="none"/>
                <w:lang w:eastAsia="zh-CN"/>
              </w:rPr>
              <w:t>量</w:t>
            </w:r>
            <w:r>
              <w:rPr>
                <w:rFonts w:hint="default" w:ascii="Times New Roman" w:hAnsi="Times New Roman" w:cs="Times New Roman"/>
                <w:color w:val="auto"/>
                <w:szCs w:val="21"/>
                <w:highlight w:val="none"/>
                <w:lang w:val="en-US" w:eastAsia="zh-CN"/>
              </w:rPr>
              <w:t>约</w:t>
            </w:r>
            <w:r>
              <w:rPr>
                <w:rFonts w:hint="default" w:ascii="Times New Roman" w:hAnsi="Times New Roman" w:cs="Times New Roman"/>
                <w:color w:val="auto"/>
                <w:szCs w:val="21"/>
                <w:highlight w:val="none"/>
                <w:lang w:eastAsia="zh-CN"/>
              </w:rPr>
              <w:t>为</w:t>
            </w:r>
            <w:r>
              <w:rPr>
                <w:rFonts w:hint="eastAsia" w:cs="Times New Roman"/>
                <w:color w:val="auto"/>
                <w:szCs w:val="21"/>
                <w:highlight w:val="none"/>
                <w:lang w:val="en-US" w:eastAsia="zh-CN"/>
              </w:rPr>
              <w:t>1775</w:t>
            </w:r>
            <w:r>
              <w:rPr>
                <w:rFonts w:hint="default" w:ascii="Times New Roman" w:hAnsi="Times New Roman" w:cs="Times New Roman"/>
                <w:color w:val="auto"/>
                <w:szCs w:val="21"/>
                <w:highlight w:val="none"/>
                <w:lang w:val="en-US" w:eastAsia="zh-CN"/>
              </w:rPr>
              <w:t>m</w:t>
            </w:r>
            <w:r>
              <w:rPr>
                <w:rFonts w:hint="default" w:ascii="Times New Roman" w:hAnsi="Times New Roman" w:cs="Times New Roman"/>
                <w:color w:val="auto"/>
                <w:szCs w:val="21"/>
                <w:highlight w:val="none"/>
                <w:vertAlign w:val="superscript"/>
                <w:lang w:val="en-US" w:eastAsia="zh-CN"/>
              </w:rPr>
              <w:t>3</w:t>
            </w:r>
            <w:r>
              <w:rPr>
                <w:rFonts w:hint="eastAsia" w:cs="Times New Roman"/>
                <w:color w:val="auto"/>
                <w:szCs w:val="21"/>
                <w:highlight w:val="none"/>
                <w:vertAlign w:val="baseline"/>
                <w:lang w:val="en-US" w:eastAsia="zh-CN"/>
              </w:rPr>
              <w:t>。</w:t>
            </w:r>
          </w:p>
          <w:p w14:paraId="75BADF90">
            <w:pPr>
              <w:keepNext w:val="0"/>
              <w:keepLines w:val="0"/>
              <w:pageBreakBefore w:val="0"/>
              <w:widowControl w:val="0"/>
              <w:kinsoku/>
              <w:wordWrap/>
              <w:overflowPunct/>
              <w:topLinePunct w:val="0"/>
              <w:autoSpaceDE/>
              <w:autoSpaceDN/>
              <w:bidi w:val="0"/>
              <w:snapToGrid/>
              <w:spacing w:line="360" w:lineRule="auto"/>
              <w:ind w:firstLine="422" w:firstLineChars="200"/>
              <w:textAlignment w:val="auto"/>
              <w:rPr>
                <w:color w:val="auto"/>
                <w:szCs w:val="21"/>
              </w:rPr>
            </w:pPr>
            <w:r>
              <w:rPr>
                <w:rFonts w:hint="eastAsia"/>
                <w:b/>
                <w:color w:val="auto"/>
                <w:szCs w:val="21"/>
                <w:lang w:val="en-US" w:eastAsia="zh-CN"/>
              </w:rPr>
              <w:t>1</w:t>
            </w:r>
            <w:r>
              <w:rPr>
                <w:rFonts w:hint="eastAsia"/>
                <w:b/>
                <w:color w:val="auto"/>
                <w:szCs w:val="21"/>
              </w:rPr>
              <w:t>、输电线路工程</w:t>
            </w:r>
          </w:p>
          <w:p w14:paraId="71902E12">
            <w:pPr>
              <w:pStyle w:val="7"/>
              <w:spacing w:line="360" w:lineRule="auto"/>
              <w:ind w:firstLine="420" w:firstLineChars="200"/>
              <w:rPr>
                <w:rFonts w:hint="eastAsia" w:eastAsia="宋体"/>
                <w:color w:val="auto"/>
                <w:lang w:val="en-US" w:eastAsia="zh-CN"/>
              </w:rPr>
            </w:pPr>
            <w:r>
              <w:rPr>
                <w:rFonts w:hint="eastAsia"/>
                <w:color w:val="auto"/>
                <w:szCs w:val="21"/>
              </w:rPr>
              <w:t>本次输电线路施工土石方挖方总量约</w:t>
            </w:r>
            <w:r>
              <w:rPr>
                <w:rFonts w:hint="eastAsia"/>
                <w:color w:val="auto"/>
                <w:szCs w:val="21"/>
                <w:lang w:val="en-US" w:eastAsia="zh-CN"/>
              </w:rPr>
              <w:t>11955</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4140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，回填总量约</w:t>
            </w:r>
            <w:r>
              <w:rPr>
                <w:rFonts w:hint="eastAsia"/>
                <w:color w:val="auto"/>
                <w:szCs w:val="21"/>
                <w:lang w:val="en-US" w:eastAsia="zh-CN"/>
              </w:rPr>
              <w:t>10180</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4140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w:t>
            </w:r>
            <w:r>
              <w:rPr>
                <w:rFonts w:hint="eastAsia"/>
                <w:color w:val="auto"/>
                <w:szCs w:val="21"/>
                <w:lang w:val="en-US" w:eastAsia="zh-CN"/>
              </w:rPr>
              <w:t>余方</w:t>
            </w:r>
            <w:r>
              <w:rPr>
                <w:rFonts w:hint="eastAsia"/>
                <w:color w:val="auto"/>
                <w:szCs w:val="21"/>
              </w:rPr>
              <w:t>量为</w:t>
            </w:r>
            <w:r>
              <w:rPr>
                <w:rFonts w:hint="eastAsia"/>
                <w:color w:val="auto"/>
                <w:szCs w:val="21"/>
                <w:lang w:val="en-US" w:eastAsia="zh-CN"/>
              </w:rPr>
              <w:t>1775</w:t>
            </w:r>
            <w:r>
              <w:rPr>
                <w:rFonts w:hint="eastAsia"/>
                <w:color w:val="auto"/>
                <w:szCs w:val="21"/>
              </w:rPr>
              <w:t>m</w:t>
            </w:r>
            <w:r>
              <w:rPr>
                <w:rFonts w:hint="eastAsia"/>
                <w:color w:val="auto"/>
                <w:szCs w:val="21"/>
                <w:vertAlign w:val="superscript"/>
              </w:rPr>
              <w:t>3</w:t>
            </w:r>
            <w:r>
              <w:rPr>
                <w:rFonts w:hint="eastAsia"/>
                <w:color w:val="auto"/>
                <w:szCs w:val="21"/>
                <w:vertAlign w:val="baseline"/>
                <w:lang w:eastAsia="zh-CN"/>
              </w:rPr>
              <w:t>。</w:t>
            </w:r>
            <w:r>
              <w:rPr>
                <w:color w:val="auto"/>
                <w:szCs w:val="21"/>
              </w:rPr>
              <w:t>线路工程开挖方</w:t>
            </w:r>
            <w:r>
              <w:rPr>
                <w:rFonts w:hint="eastAsia"/>
                <w:color w:val="auto"/>
                <w:szCs w:val="21"/>
              </w:rPr>
              <w:t>表土</w:t>
            </w:r>
            <w:r>
              <w:rPr>
                <w:color w:val="auto"/>
                <w:szCs w:val="21"/>
              </w:rPr>
              <w:t>为剥离表土，将于塔基临时堆土点堆放后，在施工后期作为绿化覆土回铺于塔基区和塔基临时占地区</w:t>
            </w:r>
            <w:r>
              <w:rPr>
                <w:rFonts w:hint="eastAsia"/>
                <w:color w:val="auto"/>
                <w:szCs w:val="21"/>
              </w:rPr>
              <w:t>，本项目输电线路施工土石方来源于塔基开挖，由于施工位置分散，每个塔基挖方回填以后余方很少，位于坡地的塔基可以用于塔基区植被恢复或采用浆砌石挡土墙拦挡后进行植被恢复，位于平坦地形的塔基，回填后剩余弃土堆放在铁塔下方夯实，塔基余方可以用于塔基区植被恢复或采用浆砌石挡土墙拦挡后进行植被恢复，挖填方量可实现平衡</w:t>
            </w:r>
            <w:r>
              <w:rPr>
                <w:color w:val="auto"/>
                <w:szCs w:val="21"/>
              </w:rPr>
              <w:t>，</w:t>
            </w:r>
            <w:r>
              <w:rPr>
                <w:rFonts w:hint="eastAsia"/>
                <w:color w:val="auto"/>
                <w:szCs w:val="21"/>
              </w:rPr>
              <w:t>无需</w:t>
            </w:r>
            <w:r>
              <w:rPr>
                <w:color w:val="auto"/>
                <w:szCs w:val="21"/>
              </w:rPr>
              <w:t>设置弃土场</w:t>
            </w:r>
            <w:r>
              <w:rPr>
                <w:rFonts w:hint="eastAsia"/>
                <w:color w:val="auto"/>
                <w:szCs w:val="21"/>
                <w:lang w:eastAsia="zh-CN"/>
              </w:rPr>
              <w:t>。</w:t>
            </w:r>
          </w:p>
          <w:p w14:paraId="03DECDC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eastAsia="宋体"/>
                <w:color w:val="auto"/>
                <w:szCs w:val="21"/>
                <w:lang w:eastAsia="zh-CN"/>
              </w:rPr>
            </w:pPr>
            <w:r>
              <w:rPr>
                <w:rFonts w:hint="eastAsia"/>
                <w:b/>
                <w:color w:val="auto"/>
                <w:szCs w:val="21"/>
                <w:lang w:val="en-US" w:eastAsia="zh-CN"/>
              </w:rPr>
              <w:t>2</w:t>
            </w:r>
            <w:r>
              <w:rPr>
                <w:rFonts w:hint="eastAsia"/>
                <w:b/>
                <w:color w:val="auto"/>
                <w:szCs w:val="21"/>
              </w:rPr>
              <w:t>、</w:t>
            </w:r>
            <w:r>
              <w:rPr>
                <w:rFonts w:hint="eastAsia"/>
                <w:b/>
                <w:color w:val="auto"/>
                <w:szCs w:val="21"/>
                <w:lang w:val="en-US" w:eastAsia="zh-CN"/>
              </w:rPr>
              <w:t>司城</w:t>
            </w:r>
            <w:r>
              <w:rPr>
                <w:rFonts w:hint="eastAsia"/>
                <w:b/>
                <w:color w:val="auto"/>
                <w:szCs w:val="21"/>
                <w:lang w:eastAsia="zh-CN"/>
              </w:rPr>
              <w:t>110kV变电站新建工程</w:t>
            </w:r>
          </w:p>
          <w:p w14:paraId="38107A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szCs w:val="21"/>
              </w:rPr>
            </w:pPr>
            <w:r>
              <w:rPr>
                <w:rFonts w:hint="eastAsia"/>
                <w:color w:val="auto"/>
                <w:szCs w:val="21"/>
              </w:rPr>
              <w:t>本次变电站新建工程施工土石方挖方总量约</w:t>
            </w:r>
            <w:r>
              <w:rPr>
                <w:rFonts w:hint="eastAsia"/>
                <w:color w:val="auto"/>
                <w:szCs w:val="21"/>
                <w:lang w:val="en-US" w:eastAsia="zh-CN"/>
              </w:rPr>
              <w:t>11786</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3340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，回填总量约</w:t>
            </w:r>
            <w:r>
              <w:rPr>
                <w:rFonts w:hint="eastAsia"/>
                <w:color w:val="auto"/>
                <w:szCs w:val="21"/>
                <w:lang w:val="en-US" w:eastAsia="zh-CN"/>
              </w:rPr>
              <w:t>11786</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3340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w:t>
            </w:r>
            <w:r>
              <w:rPr>
                <w:rFonts w:hint="eastAsia"/>
                <w:color w:val="auto"/>
                <w:szCs w:val="21"/>
                <w:lang w:eastAsia="zh-CN"/>
              </w:rPr>
              <w:t>变电站挖填方平衡</w:t>
            </w:r>
            <w:r>
              <w:rPr>
                <w:rFonts w:hint="eastAsia"/>
                <w:color w:val="auto"/>
                <w:szCs w:val="21"/>
              </w:rPr>
              <w:t>，无需</w:t>
            </w:r>
            <w:r>
              <w:rPr>
                <w:color w:val="auto"/>
                <w:szCs w:val="21"/>
              </w:rPr>
              <w:t>设置弃土场</w:t>
            </w:r>
            <w:r>
              <w:rPr>
                <w:rFonts w:hint="eastAsia"/>
                <w:color w:val="auto"/>
                <w:szCs w:val="21"/>
              </w:rPr>
              <w:t>。</w:t>
            </w:r>
          </w:p>
          <w:p w14:paraId="1498C6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szCs w:val="21"/>
              </w:rPr>
            </w:pPr>
            <w:r>
              <w:rPr>
                <w:rFonts w:hint="eastAsia"/>
                <w:color w:val="auto"/>
                <w:szCs w:val="21"/>
              </w:rPr>
              <w:t>本项目土石方平衡情况详见下表：</w:t>
            </w:r>
          </w:p>
          <w:bookmarkEnd w:id="7"/>
          <w:p w14:paraId="4626F22D">
            <w:pPr>
              <w:wordWrap w:val="0"/>
              <w:jc w:val="center"/>
              <w:rPr>
                <w:rFonts w:eastAsia="黑体"/>
                <w:color w:val="auto"/>
                <w:szCs w:val="21"/>
              </w:rPr>
            </w:pPr>
            <w:r>
              <w:rPr>
                <w:rFonts w:hint="eastAsia" w:eastAsia="黑体"/>
                <w:color w:val="auto"/>
                <w:szCs w:val="21"/>
              </w:rPr>
              <w:t>表</w:t>
            </w:r>
            <w:r>
              <w:rPr>
                <w:rFonts w:eastAsia="黑体"/>
                <w:color w:val="auto"/>
                <w:szCs w:val="21"/>
              </w:rPr>
              <w:t>2-</w:t>
            </w:r>
            <w:r>
              <w:rPr>
                <w:rFonts w:hint="eastAsia" w:eastAsia="黑体"/>
                <w:color w:val="auto"/>
                <w:szCs w:val="21"/>
              </w:rPr>
              <w:t>1</w:t>
            </w:r>
            <w:r>
              <w:rPr>
                <w:rFonts w:hint="eastAsia" w:eastAsia="黑体"/>
                <w:color w:val="auto"/>
                <w:szCs w:val="21"/>
                <w:lang w:val="en-US" w:eastAsia="zh-CN"/>
              </w:rPr>
              <w:t>7</w:t>
            </w:r>
            <w:r>
              <w:rPr>
                <w:rFonts w:eastAsia="黑体"/>
                <w:color w:val="auto"/>
                <w:szCs w:val="21"/>
              </w:rPr>
              <w:t xml:space="preserve">  </w:t>
            </w:r>
            <w:r>
              <w:rPr>
                <w:rFonts w:hint="eastAsia" w:eastAsia="黑体"/>
                <w:color w:val="auto"/>
                <w:szCs w:val="21"/>
              </w:rPr>
              <w:t>本项目土石方平衡表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5"/>
              <w:gridCol w:w="2065"/>
              <w:gridCol w:w="2273"/>
              <w:gridCol w:w="1861"/>
            </w:tblGrid>
            <w:tr w14:paraId="622BC2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jc w:val="center"/>
              </w:trPr>
              <w:tc>
                <w:tcPr>
                  <w:tcW w:w="1422" w:type="pct"/>
                  <w:tcBorders>
                    <w:tl2br w:val="nil"/>
                    <w:tr2bl w:val="nil"/>
                  </w:tcBorders>
                  <w:vAlign w:val="center"/>
                </w:tcPr>
                <w:p w14:paraId="578CC973">
                  <w:pPr>
                    <w:wordWrap w:val="0"/>
                    <w:jc w:val="center"/>
                    <w:rPr>
                      <w:color w:val="auto"/>
                      <w:sz w:val="18"/>
                      <w:szCs w:val="18"/>
                    </w:rPr>
                  </w:pPr>
                  <w:r>
                    <w:rPr>
                      <w:rFonts w:hint="eastAsia"/>
                      <w:color w:val="auto"/>
                      <w:sz w:val="18"/>
                      <w:szCs w:val="18"/>
                    </w:rPr>
                    <w:t>项目</w:t>
                  </w:r>
                </w:p>
              </w:tc>
              <w:tc>
                <w:tcPr>
                  <w:tcW w:w="1191" w:type="pct"/>
                  <w:tcBorders>
                    <w:tl2br w:val="nil"/>
                    <w:tr2bl w:val="nil"/>
                  </w:tcBorders>
                  <w:vAlign w:val="center"/>
                </w:tcPr>
                <w:p w14:paraId="1E7E6A9F">
                  <w:pPr>
                    <w:wordWrap w:val="0"/>
                    <w:jc w:val="center"/>
                    <w:rPr>
                      <w:color w:val="auto"/>
                      <w:sz w:val="18"/>
                      <w:szCs w:val="18"/>
                    </w:rPr>
                  </w:pPr>
                  <w:r>
                    <w:rPr>
                      <w:rFonts w:hint="eastAsia"/>
                      <w:color w:val="auto"/>
                      <w:sz w:val="18"/>
                      <w:szCs w:val="18"/>
                    </w:rPr>
                    <w:t>总挖方量</w:t>
                  </w:r>
                  <w:r>
                    <w:rPr>
                      <w:rFonts w:hint="eastAsia"/>
                      <w:color w:val="auto"/>
                      <w:sz w:val="18"/>
                      <w:szCs w:val="18"/>
                      <w:lang w:eastAsia="zh-CN"/>
                    </w:rPr>
                    <w:t>（</w:t>
                  </w:r>
                  <w:r>
                    <w:rPr>
                      <w:rFonts w:eastAsia="黑体"/>
                      <w:color w:val="auto"/>
                      <w:sz w:val="18"/>
                      <w:szCs w:val="18"/>
                    </w:rPr>
                    <w:t>m</w:t>
                  </w:r>
                  <w:r>
                    <w:rPr>
                      <w:rFonts w:eastAsia="黑体"/>
                      <w:color w:val="auto"/>
                      <w:sz w:val="18"/>
                      <w:szCs w:val="18"/>
                      <w:vertAlign w:val="superscript"/>
                    </w:rPr>
                    <w:t>3</w:t>
                  </w:r>
                  <w:r>
                    <w:rPr>
                      <w:rFonts w:hint="eastAsia"/>
                      <w:color w:val="auto"/>
                      <w:sz w:val="18"/>
                      <w:szCs w:val="18"/>
                      <w:lang w:eastAsia="zh-CN"/>
                    </w:rPr>
                    <w:t>）</w:t>
                  </w:r>
                </w:p>
              </w:tc>
              <w:tc>
                <w:tcPr>
                  <w:tcW w:w="1311" w:type="pct"/>
                  <w:tcBorders>
                    <w:tl2br w:val="nil"/>
                    <w:tr2bl w:val="nil"/>
                  </w:tcBorders>
                  <w:vAlign w:val="center"/>
                </w:tcPr>
                <w:p w14:paraId="2196A5A1">
                  <w:pPr>
                    <w:wordWrap w:val="0"/>
                    <w:jc w:val="center"/>
                    <w:rPr>
                      <w:color w:val="auto"/>
                      <w:sz w:val="18"/>
                      <w:szCs w:val="18"/>
                    </w:rPr>
                  </w:pPr>
                  <w:r>
                    <w:rPr>
                      <w:rFonts w:hint="eastAsia"/>
                      <w:color w:val="auto"/>
                      <w:sz w:val="18"/>
                      <w:szCs w:val="18"/>
                    </w:rPr>
                    <w:t>填方量</w:t>
                  </w:r>
                  <w:r>
                    <w:rPr>
                      <w:rFonts w:hint="eastAsia"/>
                      <w:color w:val="auto"/>
                      <w:sz w:val="18"/>
                      <w:szCs w:val="18"/>
                      <w:lang w:eastAsia="zh-CN"/>
                    </w:rPr>
                    <w:t>（</w:t>
                  </w:r>
                  <w:r>
                    <w:rPr>
                      <w:rFonts w:eastAsia="黑体"/>
                      <w:color w:val="auto"/>
                      <w:sz w:val="18"/>
                      <w:szCs w:val="18"/>
                    </w:rPr>
                    <w:t>m</w:t>
                  </w:r>
                  <w:r>
                    <w:rPr>
                      <w:rFonts w:eastAsia="黑体"/>
                      <w:color w:val="auto"/>
                      <w:sz w:val="18"/>
                      <w:szCs w:val="18"/>
                      <w:vertAlign w:val="superscript"/>
                    </w:rPr>
                    <w:t>3</w:t>
                  </w:r>
                  <w:r>
                    <w:rPr>
                      <w:rFonts w:hint="eastAsia"/>
                      <w:color w:val="auto"/>
                      <w:sz w:val="18"/>
                      <w:szCs w:val="18"/>
                      <w:lang w:eastAsia="zh-CN"/>
                    </w:rPr>
                    <w:t>）</w:t>
                  </w:r>
                </w:p>
              </w:tc>
              <w:tc>
                <w:tcPr>
                  <w:tcW w:w="1073" w:type="pct"/>
                  <w:tcBorders>
                    <w:tl2br w:val="nil"/>
                    <w:tr2bl w:val="nil"/>
                  </w:tcBorders>
                  <w:vAlign w:val="center"/>
                </w:tcPr>
                <w:p w14:paraId="2035582D">
                  <w:pPr>
                    <w:wordWrap w:val="0"/>
                    <w:jc w:val="center"/>
                    <w:rPr>
                      <w:color w:val="auto"/>
                      <w:sz w:val="18"/>
                      <w:szCs w:val="18"/>
                    </w:rPr>
                  </w:pPr>
                  <w:r>
                    <w:rPr>
                      <w:rFonts w:hint="eastAsia"/>
                      <w:color w:val="auto"/>
                      <w:sz w:val="18"/>
                      <w:szCs w:val="18"/>
                      <w:lang w:val="en-US" w:eastAsia="zh-CN"/>
                    </w:rPr>
                    <w:t>余方</w:t>
                  </w:r>
                  <w:r>
                    <w:rPr>
                      <w:color w:val="auto"/>
                      <w:sz w:val="18"/>
                      <w:szCs w:val="18"/>
                    </w:rPr>
                    <w:t>/</w:t>
                  </w:r>
                  <w:r>
                    <w:rPr>
                      <w:rFonts w:hint="eastAsia"/>
                      <w:color w:val="auto"/>
                      <w:sz w:val="18"/>
                      <w:szCs w:val="18"/>
                    </w:rPr>
                    <w:t>借方</w:t>
                  </w:r>
                  <w:r>
                    <w:rPr>
                      <w:rFonts w:hint="eastAsia"/>
                      <w:color w:val="auto"/>
                      <w:sz w:val="18"/>
                      <w:szCs w:val="18"/>
                      <w:lang w:eastAsia="zh-CN"/>
                    </w:rPr>
                    <w:t>（</w:t>
                  </w:r>
                  <w:r>
                    <w:rPr>
                      <w:rFonts w:eastAsia="黑体"/>
                      <w:color w:val="auto"/>
                      <w:sz w:val="18"/>
                      <w:szCs w:val="18"/>
                    </w:rPr>
                    <w:t>m</w:t>
                  </w:r>
                  <w:r>
                    <w:rPr>
                      <w:rFonts w:eastAsia="黑体"/>
                      <w:color w:val="auto"/>
                      <w:sz w:val="18"/>
                      <w:szCs w:val="18"/>
                      <w:vertAlign w:val="superscript"/>
                    </w:rPr>
                    <w:t>3</w:t>
                  </w:r>
                  <w:r>
                    <w:rPr>
                      <w:rFonts w:hint="eastAsia"/>
                      <w:color w:val="auto"/>
                      <w:sz w:val="18"/>
                      <w:szCs w:val="18"/>
                      <w:lang w:eastAsia="zh-CN"/>
                    </w:rPr>
                    <w:t>）</w:t>
                  </w:r>
                </w:p>
              </w:tc>
            </w:tr>
            <w:tr w14:paraId="266EE0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2" w:type="pct"/>
                  <w:tcBorders>
                    <w:tl2br w:val="nil"/>
                    <w:tr2bl w:val="nil"/>
                  </w:tcBorders>
                  <w:vAlign w:val="center"/>
                </w:tcPr>
                <w:p w14:paraId="476AFD0E">
                  <w:pPr>
                    <w:wordWrap w:val="0"/>
                    <w:jc w:val="center"/>
                    <w:rPr>
                      <w:color w:val="auto"/>
                      <w:sz w:val="18"/>
                      <w:szCs w:val="18"/>
                    </w:rPr>
                  </w:pPr>
                  <w:r>
                    <w:rPr>
                      <w:rFonts w:hint="eastAsia"/>
                      <w:color w:val="auto"/>
                      <w:sz w:val="18"/>
                      <w:szCs w:val="18"/>
                    </w:rPr>
                    <w:t>变电站新建工程</w:t>
                  </w:r>
                </w:p>
              </w:tc>
              <w:tc>
                <w:tcPr>
                  <w:tcW w:w="2028" w:type="dxa"/>
                  <w:tcBorders>
                    <w:tl2br w:val="nil"/>
                    <w:tr2bl w:val="nil"/>
                  </w:tcBorders>
                  <w:vAlign w:val="center"/>
                </w:tcPr>
                <w:p w14:paraId="679EF9BD">
                  <w:pPr>
                    <w:wordWrap w:val="0"/>
                    <w:jc w:val="center"/>
                    <w:rPr>
                      <w:rFonts w:hint="default"/>
                      <w:color w:val="auto"/>
                      <w:sz w:val="18"/>
                      <w:szCs w:val="18"/>
                      <w:lang w:val="en-US"/>
                    </w:rPr>
                  </w:pPr>
                  <w:r>
                    <w:rPr>
                      <w:rFonts w:hint="eastAsia"/>
                      <w:color w:val="auto"/>
                      <w:sz w:val="18"/>
                      <w:szCs w:val="18"/>
                      <w:lang w:val="en-US" w:eastAsia="zh-CN"/>
                    </w:rPr>
                    <w:t>11786</w:t>
                  </w:r>
                  <w:r>
                    <w:rPr>
                      <w:rFonts w:hint="eastAsia" w:ascii="Times New Roman" w:hAnsi="Times New Roman" w:eastAsia="宋体" w:cs="Times New Roman"/>
                      <w:color w:val="auto"/>
                      <w:sz w:val="18"/>
                      <w:szCs w:val="18"/>
                      <w:lang w:val="en-US" w:eastAsia="zh-CN"/>
                    </w:rPr>
                    <w:t>（含表土3340m</w:t>
                  </w:r>
                  <w:r>
                    <w:rPr>
                      <w:rFonts w:hint="eastAsia" w:ascii="Times New Roman" w:hAnsi="Times New Roman" w:eastAsia="宋体" w:cs="Times New Roman"/>
                      <w:color w:val="auto"/>
                      <w:sz w:val="18"/>
                      <w:szCs w:val="18"/>
                      <w:vertAlign w:val="superscript"/>
                      <w:lang w:val="en-US" w:eastAsia="zh-CN"/>
                    </w:rPr>
                    <w:t>3</w:t>
                  </w:r>
                  <w:r>
                    <w:rPr>
                      <w:rFonts w:hint="eastAsia" w:ascii="Times New Roman" w:hAnsi="Times New Roman" w:eastAsia="宋体" w:cs="Times New Roman"/>
                      <w:color w:val="auto"/>
                      <w:sz w:val="18"/>
                      <w:szCs w:val="18"/>
                      <w:lang w:val="en-US" w:eastAsia="zh-CN"/>
                    </w:rPr>
                    <w:t>）</w:t>
                  </w:r>
                </w:p>
              </w:tc>
              <w:tc>
                <w:tcPr>
                  <w:tcW w:w="2232" w:type="dxa"/>
                  <w:tcBorders>
                    <w:tl2br w:val="nil"/>
                    <w:tr2bl w:val="nil"/>
                  </w:tcBorders>
                  <w:vAlign w:val="center"/>
                </w:tcPr>
                <w:p w14:paraId="60FEFF9A">
                  <w:pPr>
                    <w:wordWrap w:val="0"/>
                    <w:jc w:val="center"/>
                    <w:rPr>
                      <w:rFonts w:hint="default"/>
                      <w:color w:val="auto"/>
                      <w:sz w:val="18"/>
                      <w:szCs w:val="18"/>
                      <w:lang w:val="en-US"/>
                    </w:rPr>
                  </w:pPr>
                  <w:r>
                    <w:rPr>
                      <w:rFonts w:hint="eastAsia"/>
                      <w:color w:val="auto"/>
                      <w:sz w:val="18"/>
                      <w:szCs w:val="18"/>
                      <w:lang w:val="en-US" w:eastAsia="zh-CN"/>
                    </w:rPr>
                    <w:t>11786</w:t>
                  </w:r>
                  <w:r>
                    <w:rPr>
                      <w:rFonts w:hint="eastAsia" w:ascii="Times New Roman" w:hAnsi="Times New Roman" w:eastAsia="宋体" w:cs="Times New Roman"/>
                      <w:color w:val="auto"/>
                      <w:sz w:val="18"/>
                      <w:szCs w:val="18"/>
                      <w:lang w:val="en-US" w:eastAsia="zh-CN"/>
                    </w:rPr>
                    <w:t>（含表土3340m</w:t>
                  </w:r>
                  <w:r>
                    <w:rPr>
                      <w:rFonts w:hint="eastAsia" w:ascii="Times New Roman" w:hAnsi="Times New Roman" w:eastAsia="宋体" w:cs="Times New Roman"/>
                      <w:color w:val="auto"/>
                      <w:sz w:val="18"/>
                      <w:szCs w:val="18"/>
                      <w:vertAlign w:val="superscript"/>
                      <w:lang w:val="en-US" w:eastAsia="zh-CN"/>
                    </w:rPr>
                    <w:t>3</w:t>
                  </w:r>
                  <w:r>
                    <w:rPr>
                      <w:rFonts w:hint="eastAsia" w:ascii="Times New Roman" w:hAnsi="Times New Roman" w:eastAsia="宋体" w:cs="Times New Roman"/>
                      <w:color w:val="auto"/>
                      <w:sz w:val="18"/>
                      <w:szCs w:val="18"/>
                      <w:lang w:val="en-US" w:eastAsia="zh-CN"/>
                    </w:rPr>
                    <w:t>）</w:t>
                  </w:r>
                </w:p>
              </w:tc>
              <w:tc>
                <w:tcPr>
                  <w:tcW w:w="1827" w:type="dxa"/>
                  <w:tcBorders>
                    <w:tl2br w:val="nil"/>
                    <w:tr2bl w:val="nil"/>
                  </w:tcBorders>
                  <w:vAlign w:val="center"/>
                </w:tcPr>
                <w:p w14:paraId="21BD0438">
                  <w:pPr>
                    <w:wordWrap w:val="0"/>
                    <w:jc w:val="center"/>
                    <w:rPr>
                      <w:rFonts w:hint="default" w:eastAsia="宋体"/>
                      <w:color w:val="auto"/>
                      <w:sz w:val="18"/>
                      <w:szCs w:val="18"/>
                      <w:lang w:val="en-US" w:eastAsia="zh-CN"/>
                    </w:rPr>
                  </w:pPr>
                  <w:r>
                    <w:rPr>
                      <w:rFonts w:hint="eastAsia"/>
                      <w:color w:val="auto"/>
                      <w:kern w:val="0"/>
                      <w:sz w:val="18"/>
                      <w:szCs w:val="18"/>
                      <w:lang w:val="en-US" w:eastAsia="zh-CN"/>
                    </w:rPr>
                    <w:t>0</w:t>
                  </w:r>
                  <w:r>
                    <w:rPr>
                      <w:color w:val="auto"/>
                      <w:kern w:val="0"/>
                      <w:sz w:val="18"/>
                      <w:szCs w:val="18"/>
                    </w:rPr>
                    <w:t>/</w:t>
                  </w:r>
                  <w:r>
                    <w:rPr>
                      <w:rFonts w:hint="eastAsia"/>
                      <w:color w:val="auto"/>
                      <w:kern w:val="0"/>
                      <w:sz w:val="18"/>
                      <w:szCs w:val="18"/>
                      <w:lang w:val="en-US" w:eastAsia="zh-CN"/>
                    </w:rPr>
                    <w:t>0</w:t>
                  </w:r>
                </w:p>
              </w:tc>
            </w:tr>
            <w:tr w14:paraId="716BE3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2" w:type="pct"/>
                  <w:tcBorders>
                    <w:tl2br w:val="nil"/>
                    <w:tr2bl w:val="nil"/>
                  </w:tcBorders>
                  <w:vAlign w:val="center"/>
                </w:tcPr>
                <w:p w14:paraId="0297C286">
                  <w:pPr>
                    <w:wordWrap w:val="0"/>
                    <w:jc w:val="center"/>
                    <w:rPr>
                      <w:color w:val="auto"/>
                      <w:sz w:val="18"/>
                      <w:szCs w:val="18"/>
                    </w:rPr>
                  </w:pPr>
                  <w:r>
                    <w:rPr>
                      <w:rFonts w:hint="eastAsia"/>
                      <w:color w:val="auto"/>
                      <w:sz w:val="18"/>
                      <w:szCs w:val="18"/>
                    </w:rPr>
                    <w:t>输电线路</w:t>
                  </w:r>
                </w:p>
              </w:tc>
              <w:tc>
                <w:tcPr>
                  <w:tcW w:w="1191" w:type="pct"/>
                  <w:tcBorders>
                    <w:tl2br w:val="nil"/>
                    <w:tr2bl w:val="nil"/>
                  </w:tcBorders>
                  <w:vAlign w:val="center"/>
                </w:tcPr>
                <w:p w14:paraId="2C4B1589">
                  <w:pPr>
                    <w:wordWrap w:val="0"/>
                    <w:jc w:val="center"/>
                    <w:rPr>
                      <w:rFonts w:hint="default"/>
                      <w:color w:val="auto"/>
                      <w:sz w:val="18"/>
                      <w:szCs w:val="18"/>
                      <w:lang w:val="en-US"/>
                    </w:rPr>
                  </w:pPr>
                  <w:r>
                    <w:rPr>
                      <w:rFonts w:hint="default"/>
                      <w:color w:val="auto"/>
                      <w:sz w:val="18"/>
                      <w:szCs w:val="18"/>
                      <w:lang w:val="en-US"/>
                    </w:rPr>
                    <w:t>11955（含表土4140m</w:t>
                  </w:r>
                  <w:r>
                    <w:rPr>
                      <w:rFonts w:hint="default"/>
                      <w:color w:val="auto"/>
                      <w:sz w:val="18"/>
                      <w:szCs w:val="18"/>
                      <w:vertAlign w:val="superscript"/>
                      <w:lang w:val="en-US"/>
                    </w:rPr>
                    <w:t>3</w:t>
                  </w:r>
                  <w:r>
                    <w:rPr>
                      <w:rFonts w:hint="default"/>
                      <w:color w:val="auto"/>
                      <w:sz w:val="18"/>
                      <w:szCs w:val="18"/>
                      <w:lang w:val="en-US"/>
                    </w:rPr>
                    <w:t>）</w:t>
                  </w:r>
                </w:p>
              </w:tc>
              <w:tc>
                <w:tcPr>
                  <w:tcW w:w="1311" w:type="pct"/>
                  <w:tcBorders>
                    <w:tl2br w:val="nil"/>
                    <w:tr2bl w:val="nil"/>
                  </w:tcBorders>
                  <w:vAlign w:val="center"/>
                </w:tcPr>
                <w:p w14:paraId="6070B506">
                  <w:pPr>
                    <w:wordWrap w:val="0"/>
                    <w:jc w:val="center"/>
                    <w:rPr>
                      <w:rFonts w:hint="default" w:eastAsia="宋体"/>
                      <w:color w:val="auto"/>
                      <w:sz w:val="18"/>
                      <w:szCs w:val="18"/>
                      <w:lang w:val="en-US" w:eastAsia="zh-CN"/>
                    </w:rPr>
                  </w:pPr>
                  <w:r>
                    <w:rPr>
                      <w:rFonts w:hint="eastAsia" w:ascii="Times New Roman" w:hAnsi="Times New Roman" w:eastAsia="宋体" w:cs="Times New Roman"/>
                      <w:color w:val="auto"/>
                      <w:sz w:val="18"/>
                      <w:szCs w:val="18"/>
                      <w:lang w:val="en-US" w:eastAsia="zh-CN"/>
                    </w:rPr>
                    <w:t>10180（含表土4140m</w:t>
                  </w:r>
                  <w:r>
                    <w:rPr>
                      <w:rFonts w:hint="eastAsia" w:ascii="Times New Roman" w:hAnsi="Times New Roman" w:eastAsia="宋体" w:cs="Times New Roman"/>
                      <w:color w:val="auto"/>
                      <w:sz w:val="18"/>
                      <w:szCs w:val="18"/>
                      <w:vertAlign w:val="superscript"/>
                      <w:lang w:val="en-US" w:eastAsia="zh-CN"/>
                    </w:rPr>
                    <w:t>3</w:t>
                  </w:r>
                  <w:r>
                    <w:rPr>
                      <w:rFonts w:hint="eastAsia" w:ascii="Times New Roman" w:hAnsi="Times New Roman" w:eastAsia="宋体" w:cs="Times New Roman"/>
                      <w:color w:val="auto"/>
                      <w:sz w:val="18"/>
                      <w:szCs w:val="18"/>
                      <w:lang w:val="en-US" w:eastAsia="zh-CN"/>
                    </w:rPr>
                    <w:t>）</w:t>
                  </w:r>
                </w:p>
              </w:tc>
              <w:tc>
                <w:tcPr>
                  <w:tcW w:w="1073" w:type="pct"/>
                  <w:tcBorders>
                    <w:tl2br w:val="nil"/>
                    <w:tr2bl w:val="nil"/>
                  </w:tcBorders>
                  <w:vAlign w:val="center"/>
                </w:tcPr>
                <w:p w14:paraId="1DD386B0">
                  <w:pPr>
                    <w:wordWrap w:val="0"/>
                    <w:jc w:val="center"/>
                    <w:rPr>
                      <w:color w:val="auto"/>
                      <w:kern w:val="0"/>
                      <w:sz w:val="18"/>
                      <w:szCs w:val="18"/>
                    </w:rPr>
                  </w:pPr>
                  <w:r>
                    <w:rPr>
                      <w:rFonts w:hint="eastAsia"/>
                      <w:color w:val="auto"/>
                      <w:kern w:val="0"/>
                      <w:sz w:val="18"/>
                      <w:szCs w:val="18"/>
                      <w:lang w:val="en-US" w:eastAsia="zh-CN"/>
                    </w:rPr>
                    <w:t>1775</w:t>
                  </w:r>
                  <w:r>
                    <w:rPr>
                      <w:color w:val="auto"/>
                      <w:kern w:val="0"/>
                      <w:sz w:val="18"/>
                      <w:szCs w:val="18"/>
                    </w:rPr>
                    <w:t>/0</w:t>
                  </w:r>
                </w:p>
              </w:tc>
            </w:tr>
            <w:tr w14:paraId="7ED587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2" w:type="pct"/>
                  <w:tcBorders>
                    <w:tl2br w:val="nil"/>
                    <w:tr2bl w:val="nil"/>
                  </w:tcBorders>
                  <w:vAlign w:val="center"/>
                </w:tcPr>
                <w:p w14:paraId="187B6CF9">
                  <w:pPr>
                    <w:wordWrap w:val="0"/>
                    <w:jc w:val="center"/>
                    <w:rPr>
                      <w:color w:val="auto"/>
                      <w:sz w:val="18"/>
                      <w:szCs w:val="18"/>
                    </w:rPr>
                  </w:pPr>
                  <w:r>
                    <w:rPr>
                      <w:rFonts w:hint="eastAsia"/>
                      <w:color w:val="auto"/>
                      <w:sz w:val="18"/>
                      <w:szCs w:val="18"/>
                    </w:rPr>
                    <w:t>合计</w:t>
                  </w:r>
                </w:p>
              </w:tc>
              <w:tc>
                <w:tcPr>
                  <w:tcW w:w="2028" w:type="dxa"/>
                  <w:tcBorders>
                    <w:tl2br w:val="nil"/>
                    <w:tr2bl w:val="nil"/>
                  </w:tcBorders>
                  <w:vAlign w:val="center"/>
                </w:tcPr>
                <w:p w14:paraId="6835A7BD">
                  <w:pPr>
                    <w:keepNext w:val="0"/>
                    <w:keepLines w:val="0"/>
                    <w:widowControl/>
                    <w:suppressLineNumbers w:val="0"/>
                    <w:jc w:val="center"/>
                    <w:textAlignment w:val="center"/>
                    <w:rPr>
                      <w:rFonts w:hint="default" w:eastAsia="宋体"/>
                      <w:bCs/>
                      <w:color w:val="auto"/>
                      <w:kern w:val="0"/>
                      <w:sz w:val="18"/>
                      <w:szCs w:val="18"/>
                      <w:lang w:val="en-US" w:eastAsia="zh-CN"/>
                    </w:rPr>
                  </w:pPr>
                  <w:r>
                    <w:rPr>
                      <w:rFonts w:hint="eastAsia"/>
                      <w:bCs/>
                      <w:color w:val="auto"/>
                      <w:kern w:val="0"/>
                      <w:sz w:val="18"/>
                      <w:szCs w:val="18"/>
                      <w:lang w:val="en-US" w:eastAsia="zh-CN"/>
                    </w:rPr>
                    <w:t>23741（含表土7480m</w:t>
                  </w:r>
                  <w:r>
                    <w:rPr>
                      <w:rFonts w:hint="eastAsia"/>
                      <w:bCs/>
                      <w:color w:val="auto"/>
                      <w:kern w:val="0"/>
                      <w:sz w:val="18"/>
                      <w:szCs w:val="18"/>
                      <w:vertAlign w:val="superscript"/>
                      <w:lang w:val="en-US" w:eastAsia="zh-CN"/>
                    </w:rPr>
                    <w:t>3</w:t>
                  </w:r>
                  <w:r>
                    <w:rPr>
                      <w:rFonts w:hint="eastAsia"/>
                      <w:bCs/>
                      <w:color w:val="auto"/>
                      <w:kern w:val="0"/>
                      <w:sz w:val="18"/>
                      <w:szCs w:val="18"/>
                      <w:lang w:val="en-US" w:eastAsia="zh-CN"/>
                    </w:rPr>
                    <w:t>）</w:t>
                  </w:r>
                </w:p>
              </w:tc>
              <w:tc>
                <w:tcPr>
                  <w:tcW w:w="2232" w:type="dxa"/>
                  <w:tcBorders>
                    <w:tl2br w:val="nil"/>
                    <w:tr2bl w:val="nil"/>
                  </w:tcBorders>
                  <w:vAlign w:val="center"/>
                </w:tcPr>
                <w:p w14:paraId="2AD676C1">
                  <w:pPr>
                    <w:keepNext w:val="0"/>
                    <w:keepLines w:val="0"/>
                    <w:widowControl/>
                    <w:suppressLineNumbers w:val="0"/>
                    <w:jc w:val="center"/>
                    <w:textAlignment w:val="center"/>
                    <w:rPr>
                      <w:rFonts w:hint="default" w:eastAsia="宋体"/>
                      <w:bCs/>
                      <w:color w:val="auto"/>
                      <w:kern w:val="0"/>
                      <w:sz w:val="18"/>
                      <w:szCs w:val="18"/>
                      <w:lang w:val="en-US" w:eastAsia="zh-CN"/>
                    </w:rPr>
                  </w:pPr>
                  <w:r>
                    <w:rPr>
                      <w:rFonts w:hint="eastAsia"/>
                      <w:bCs/>
                      <w:color w:val="auto"/>
                      <w:kern w:val="0"/>
                      <w:sz w:val="18"/>
                      <w:szCs w:val="18"/>
                      <w:lang w:val="en-US" w:eastAsia="zh-CN"/>
                    </w:rPr>
                    <w:t>21966（含表土7480m</w:t>
                  </w:r>
                  <w:r>
                    <w:rPr>
                      <w:rFonts w:hint="eastAsia"/>
                      <w:bCs/>
                      <w:color w:val="auto"/>
                      <w:kern w:val="0"/>
                      <w:sz w:val="18"/>
                      <w:szCs w:val="18"/>
                      <w:vertAlign w:val="superscript"/>
                      <w:lang w:val="en-US" w:eastAsia="zh-CN"/>
                    </w:rPr>
                    <w:t>3</w:t>
                  </w:r>
                  <w:r>
                    <w:rPr>
                      <w:rFonts w:hint="eastAsia"/>
                      <w:bCs/>
                      <w:color w:val="auto"/>
                      <w:kern w:val="0"/>
                      <w:sz w:val="18"/>
                      <w:szCs w:val="18"/>
                      <w:lang w:val="en-US" w:eastAsia="zh-CN"/>
                    </w:rPr>
                    <w:t>）</w:t>
                  </w:r>
                </w:p>
              </w:tc>
              <w:tc>
                <w:tcPr>
                  <w:tcW w:w="1073" w:type="pct"/>
                  <w:tcBorders>
                    <w:tl2br w:val="nil"/>
                    <w:tr2bl w:val="nil"/>
                  </w:tcBorders>
                  <w:vAlign w:val="center"/>
                </w:tcPr>
                <w:p w14:paraId="760CD0D0">
                  <w:pPr>
                    <w:wordWrap w:val="0"/>
                    <w:jc w:val="center"/>
                    <w:rPr>
                      <w:rFonts w:hint="eastAsia" w:eastAsia="宋体"/>
                      <w:color w:val="auto"/>
                      <w:kern w:val="0"/>
                      <w:sz w:val="18"/>
                      <w:szCs w:val="18"/>
                      <w:lang w:val="en-US" w:eastAsia="zh-CN"/>
                    </w:rPr>
                  </w:pPr>
                  <w:r>
                    <w:rPr>
                      <w:rFonts w:hint="eastAsia"/>
                      <w:color w:val="auto"/>
                      <w:kern w:val="0"/>
                      <w:sz w:val="18"/>
                      <w:szCs w:val="18"/>
                      <w:lang w:val="en-US" w:eastAsia="zh-CN"/>
                    </w:rPr>
                    <w:t>1775</w:t>
                  </w:r>
                  <w:r>
                    <w:rPr>
                      <w:color w:val="auto"/>
                      <w:kern w:val="0"/>
                      <w:sz w:val="18"/>
                      <w:szCs w:val="18"/>
                    </w:rPr>
                    <w:t>/</w:t>
                  </w:r>
                  <w:r>
                    <w:rPr>
                      <w:rFonts w:hint="eastAsia"/>
                      <w:color w:val="auto"/>
                      <w:kern w:val="0"/>
                      <w:sz w:val="18"/>
                      <w:szCs w:val="18"/>
                      <w:lang w:val="en-US" w:eastAsia="zh-CN"/>
                    </w:rPr>
                    <w:t>0</w:t>
                  </w:r>
                </w:p>
              </w:tc>
            </w:tr>
          </w:tbl>
          <w:p w14:paraId="784E8010">
            <w:pPr>
              <w:spacing w:line="240" w:lineRule="auto"/>
              <w:rPr>
                <w:rFonts w:hint="eastAsia" w:eastAsia="宋体"/>
                <w:color w:val="auto"/>
                <w:sz w:val="18"/>
                <w:szCs w:val="18"/>
                <w:lang w:val="en-US" w:eastAsia="zh-CN"/>
              </w:rPr>
            </w:pPr>
            <w:r>
              <w:rPr>
                <w:rFonts w:hint="eastAsia" w:eastAsia="宋体"/>
                <w:color w:val="auto"/>
                <w:sz w:val="18"/>
                <w:szCs w:val="18"/>
                <w:lang w:val="en-US" w:eastAsia="zh-CN"/>
              </w:rPr>
              <w:t>注：</w:t>
            </w:r>
            <w:r>
              <w:rPr>
                <w:rFonts w:hint="eastAsia"/>
                <w:color w:val="auto"/>
                <w:sz w:val="18"/>
                <w:szCs w:val="18"/>
                <w:lang w:val="en-US" w:eastAsia="zh-CN"/>
              </w:rPr>
              <w:t>①</w:t>
            </w:r>
            <w:r>
              <w:rPr>
                <w:rFonts w:hint="eastAsia" w:eastAsia="宋体"/>
                <w:color w:val="auto"/>
                <w:sz w:val="18"/>
                <w:szCs w:val="18"/>
                <w:lang w:val="en-US" w:eastAsia="zh-CN"/>
              </w:rPr>
              <w:t>本项目无需设置取土场和弃土场。</w:t>
            </w:r>
          </w:p>
          <w:p w14:paraId="0B613487">
            <w:pPr>
              <w:spacing w:line="240" w:lineRule="auto"/>
              <w:ind w:firstLine="360" w:firstLineChars="200"/>
              <w:rPr>
                <w:rFonts w:hint="eastAsia" w:eastAsia="宋体"/>
                <w:color w:val="auto"/>
                <w:sz w:val="18"/>
                <w:szCs w:val="18"/>
                <w:lang w:val="en-US" w:eastAsia="zh-CN"/>
              </w:rPr>
            </w:pPr>
            <w:r>
              <w:rPr>
                <w:rFonts w:hint="eastAsia"/>
                <w:color w:val="auto"/>
                <w:sz w:val="18"/>
                <w:szCs w:val="18"/>
                <w:lang w:val="en-US" w:eastAsia="zh-CN"/>
              </w:rPr>
              <w:t>②</w:t>
            </w:r>
            <w:r>
              <w:rPr>
                <w:rFonts w:hint="eastAsia" w:eastAsia="宋体"/>
                <w:color w:val="auto"/>
                <w:sz w:val="18"/>
                <w:szCs w:val="18"/>
                <w:lang w:val="en-US" w:eastAsia="zh-CN"/>
              </w:rPr>
              <w:t>本项目输电线路施工土石方来源于塔基开挖，由于施工位置分散，每个塔基挖方回填以后余方很少，位于坡地的塔基可以用于塔基区植被恢复或采用浆砌石挡土墙拦挡后进行植被恢复，位于平坦地形的塔基，回填后剩余弃土堆放在铁塔下方夯实，塔基余方可以用于塔基区植被恢复或采用浆砌石挡土墙拦挡后进行植被恢复</w:t>
            </w:r>
            <w:r>
              <w:rPr>
                <w:rFonts w:hint="eastAsia"/>
                <w:color w:val="auto"/>
                <w:sz w:val="18"/>
                <w:szCs w:val="18"/>
                <w:lang w:val="en-US" w:eastAsia="zh-CN"/>
              </w:rPr>
              <w:t>。</w:t>
            </w:r>
          </w:p>
          <w:p w14:paraId="76ED67D9">
            <w:pPr>
              <w:keepNext w:val="0"/>
              <w:keepLines w:val="0"/>
              <w:pageBreakBefore w:val="0"/>
              <w:widowControl w:val="0"/>
              <w:kinsoku/>
              <w:wordWrap/>
              <w:overflowPunct/>
              <w:topLinePunct w:val="0"/>
              <w:autoSpaceDE/>
              <w:autoSpaceDN/>
              <w:bidi w:val="0"/>
              <w:adjustRightInd w:val="0"/>
              <w:snapToGrid/>
              <w:spacing w:line="360" w:lineRule="auto"/>
              <w:textAlignment w:val="auto"/>
              <w:rPr>
                <w:rFonts w:eastAsia="黑体"/>
                <w:color w:val="auto"/>
                <w:szCs w:val="21"/>
              </w:rPr>
            </w:pPr>
            <w:r>
              <w:rPr>
                <w:rFonts w:hint="eastAsia" w:eastAsia="黑体"/>
                <w:color w:val="auto"/>
                <w:szCs w:val="21"/>
              </w:rPr>
              <w:t>六</w:t>
            </w:r>
            <w:r>
              <w:rPr>
                <w:rFonts w:eastAsia="黑体"/>
                <w:color w:val="auto"/>
                <w:szCs w:val="21"/>
              </w:rPr>
              <w:t>、</w:t>
            </w:r>
            <w:r>
              <w:rPr>
                <w:rFonts w:hint="eastAsia" w:eastAsia="黑体"/>
                <w:color w:val="auto"/>
                <w:szCs w:val="21"/>
              </w:rPr>
              <w:t>树木砍伐情况</w:t>
            </w:r>
          </w:p>
          <w:p w14:paraId="2D5A19B5">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color w:val="auto"/>
                <w:szCs w:val="21"/>
              </w:rPr>
            </w:pPr>
            <w:r>
              <w:rPr>
                <w:color w:val="auto"/>
                <w:szCs w:val="21"/>
              </w:rPr>
              <w:t>由于本项目</w:t>
            </w:r>
            <w:r>
              <w:rPr>
                <w:rFonts w:hint="eastAsia"/>
                <w:color w:val="auto"/>
                <w:szCs w:val="21"/>
                <w:lang w:eastAsia="zh-CN"/>
              </w:rPr>
              <w:t>新建架空线路</w:t>
            </w:r>
            <w:r>
              <w:rPr>
                <w:color w:val="auto"/>
                <w:szCs w:val="21"/>
              </w:rPr>
              <w:t>实施时，沿线环境仍为农村区域。对分布在档中的树木，按设计规程进行削伐，不砍伐通道，对竹林、成片树林、主要道路两旁的防护林、经济林等按高跨进行设计，对稀疏的个别林木（非古树和特殊保护的林木）在过分加高杆塔不经济的情况下，予以砍伐。具体砍伐原则是：</w:t>
            </w:r>
          </w:p>
          <w:p w14:paraId="2A3888D6">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color w:val="auto"/>
                <w:szCs w:val="21"/>
              </w:rPr>
            </w:pPr>
            <w:r>
              <w:rPr>
                <w:rFonts w:hint="eastAsia"/>
                <w:color w:val="auto"/>
                <w:szCs w:val="21"/>
              </w:rPr>
              <w:t>①</w:t>
            </w:r>
            <w:r>
              <w:rPr>
                <w:color w:val="auto"/>
                <w:szCs w:val="21"/>
              </w:rPr>
              <w:t>对</w:t>
            </w:r>
            <w:r>
              <w:rPr>
                <w:rFonts w:hint="eastAsia"/>
                <w:color w:val="auto"/>
                <w:szCs w:val="21"/>
              </w:rPr>
              <w:t>树林</w:t>
            </w:r>
            <w:r>
              <w:rPr>
                <w:color w:val="auto"/>
                <w:szCs w:val="21"/>
              </w:rPr>
              <w:t>集中地段，尽量升高铁塔采用高跨方式以减少树木砍伐；</w:t>
            </w:r>
          </w:p>
          <w:p w14:paraId="4D4B8960">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color w:val="auto"/>
                <w:szCs w:val="21"/>
              </w:rPr>
            </w:pPr>
            <w:r>
              <w:rPr>
                <w:rFonts w:hint="eastAsia"/>
                <w:color w:val="auto"/>
                <w:szCs w:val="21"/>
              </w:rPr>
              <w:t>②</w:t>
            </w:r>
            <w:r>
              <w:rPr>
                <w:color w:val="auto"/>
                <w:szCs w:val="21"/>
              </w:rPr>
              <w:t>导线与树木（考虑三年树木自然生长高度后）最小垂直距离不小于</w:t>
            </w:r>
            <w:r>
              <w:rPr>
                <w:rFonts w:hint="eastAsia"/>
                <w:color w:val="auto"/>
                <w:szCs w:val="21"/>
                <w:lang w:val="en-US" w:eastAsia="zh-CN"/>
              </w:rPr>
              <w:t>4</w:t>
            </w:r>
            <w:r>
              <w:rPr>
                <w:color w:val="auto"/>
                <w:szCs w:val="21"/>
              </w:rPr>
              <w:t>m，在最大风偏情况下与树木的净空距离不小于</w:t>
            </w:r>
            <w:r>
              <w:rPr>
                <w:rFonts w:hint="eastAsia"/>
                <w:color w:val="auto"/>
                <w:szCs w:val="21"/>
                <w:lang w:val="en-US" w:eastAsia="zh-CN"/>
              </w:rPr>
              <w:t>3.5</w:t>
            </w:r>
            <w:r>
              <w:rPr>
                <w:color w:val="auto"/>
                <w:szCs w:val="21"/>
              </w:rPr>
              <w:t>m的树木不砍；</w:t>
            </w:r>
          </w:p>
          <w:p w14:paraId="5C5D7905">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color w:val="auto"/>
                <w:szCs w:val="21"/>
              </w:rPr>
            </w:pPr>
            <w:r>
              <w:rPr>
                <w:rFonts w:hint="eastAsia"/>
                <w:color w:val="auto"/>
                <w:szCs w:val="21"/>
              </w:rPr>
              <w:t>③</w:t>
            </w:r>
            <w:r>
              <w:rPr>
                <w:color w:val="auto"/>
                <w:szCs w:val="21"/>
              </w:rPr>
              <w:t>自然生长高度不超过2.0m的灌木丛原则上不砍；</w:t>
            </w:r>
          </w:p>
          <w:p w14:paraId="239601C0">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color w:val="auto"/>
                <w:szCs w:val="21"/>
              </w:rPr>
            </w:pPr>
            <w:r>
              <w:rPr>
                <w:rFonts w:hint="eastAsia"/>
                <w:color w:val="auto"/>
                <w:szCs w:val="21"/>
              </w:rPr>
              <w:t>④</w:t>
            </w:r>
            <w:r>
              <w:rPr>
                <w:color w:val="auto"/>
                <w:szCs w:val="21"/>
              </w:rPr>
              <w:t>线路通过果林、经济作物及灌木林时不应砍伐通道，三年内能保证距净空</w:t>
            </w:r>
            <w:r>
              <w:rPr>
                <w:rFonts w:hint="eastAsia"/>
                <w:color w:val="auto"/>
                <w:szCs w:val="21"/>
                <w:lang w:val="en-US" w:eastAsia="zh-CN"/>
              </w:rPr>
              <w:t>3</w:t>
            </w:r>
            <w:r>
              <w:rPr>
                <w:color w:val="auto"/>
                <w:szCs w:val="21"/>
              </w:rPr>
              <w:t>m即可。</w:t>
            </w:r>
          </w:p>
          <w:p w14:paraId="2B8F7CAC">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eastAsia="宋体"/>
                <w:color w:val="FF0000"/>
                <w:szCs w:val="21"/>
                <w:lang w:eastAsia="zh-CN"/>
              </w:rPr>
            </w:pPr>
            <w:r>
              <w:rPr>
                <w:rFonts w:hint="eastAsia"/>
                <w:color w:val="auto"/>
                <w:szCs w:val="21"/>
                <w:lang w:val="en-US" w:eastAsia="zh-CN"/>
              </w:rPr>
              <w:t>本项目新建架空线路</w:t>
            </w:r>
            <w:r>
              <w:rPr>
                <w:color w:val="auto"/>
                <w:szCs w:val="21"/>
              </w:rPr>
              <w:t>途经地区海拔在</w:t>
            </w:r>
            <w:r>
              <w:rPr>
                <w:rFonts w:hint="eastAsia"/>
                <w:color w:val="auto"/>
                <w:szCs w:val="21"/>
                <w:lang w:val="en-US" w:eastAsia="zh-CN"/>
              </w:rPr>
              <w:t>300</w:t>
            </w:r>
            <w:r>
              <w:rPr>
                <w:rFonts w:hint="eastAsia"/>
                <w:color w:val="auto"/>
                <w:szCs w:val="21"/>
                <w:lang w:eastAsia="zh-CN"/>
              </w:rPr>
              <w:t>～</w:t>
            </w:r>
            <w:r>
              <w:rPr>
                <w:rFonts w:hint="eastAsia"/>
                <w:color w:val="auto"/>
                <w:szCs w:val="21"/>
                <w:lang w:val="en-US" w:eastAsia="zh-CN"/>
              </w:rPr>
              <w:t>650</w:t>
            </w:r>
            <w:r>
              <w:rPr>
                <w:rFonts w:hint="eastAsia"/>
                <w:color w:val="auto"/>
                <w:szCs w:val="21"/>
              </w:rPr>
              <w:t>m</w:t>
            </w:r>
            <w:r>
              <w:rPr>
                <w:color w:val="auto"/>
                <w:szCs w:val="21"/>
              </w:rPr>
              <w:t>之间。</w:t>
            </w:r>
            <w:r>
              <w:rPr>
                <w:rFonts w:hint="eastAsia"/>
                <w:color w:val="auto"/>
                <w:szCs w:val="21"/>
              </w:rPr>
              <w:t>在满足相关设计规程</w:t>
            </w:r>
            <w:r>
              <w:rPr>
                <w:rFonts w:hint="eastAsia"/>
                <w:color w:val="auto"/>
                <w:szCs w:val="21"/>
                <w:lang w:eastAsia="zh-CN"/>
              </w:rPr>
              <w:t>的</w:t>
            </w:r>
            <w:r>
              <w:rPr>
                <w:rFonts w:hint="eastAsia"/>
                <w:color w:val="auto"/>
                <w:szCs w:val="21"/>
              </w:rPr>
              <w:t>情况下，施工过程中尽</w:t>
            </w:r>
            <w:r>
              <w:rPr>
                <w:rFonts w:hint="eastAsia"/>
                <w:color w:val="auto"/>
                <w:szCs w:val="21"/>
                <w:lang w:eastAsia="zh-CN"/>
              </w:rPr>
              <w:t>可能</w:t>
            </w:r>
            <w:r>
              <w:rPr>
                <w:rFonts w:hint="eastAsia"/>
                <w:color w:val="auto"/>
                <w:szCs w:val="21"/>
              </w:rPr>
              <w:t>减轻对生态环境的影响</w:t>
            </w:r>
            <w:r>
              <w:rPr>
                <w:rFonts w:hint="eastAsia"/>
                <w:color w:val="auto"/>
                <w:szCs w:val="21"/>
                <w:lang w:eastAsia="zh-CN"/>
              </w:rPr>
              <w:t>，</w:t>
            </w:r>
            <w:r>
              <w:rPr>
                <w:rFonts w:hint="eastAsia"/>
                <w:b/>
                <w:bCs/>
                <w:color w:val="auto"/>
                <w:lang w:val="en-US" w:eastAsia="zh-Hans"/>
              </w:rPr>
              <w:t>树木砍伐需取得林业部门许可后方可动工</w:t>
            </w:r>
            <w:r>
              <w:rPr>
                <w:rFonts w:hint="eastAsia"/>
                <w:color w:val="auto"/>
                <w:szCs w:val="21"/>
              </w:rPr>
              <w:t>。</w:t>
            </w:r>
          </w:p>
        </w:tc>
      </w:tr>
      <w:tr w14:paraId="231311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3" w:type="dxa"/>
            <w:vAlign w:val="center"/>
          </w:tcPr>
          <w:p w14:paraId="7426151B">
            <w:pPr>
              <w:jc w:val="center"/>
              <w:rPr>
                <w:color w:val="FF0000"/>
                <w:szCs w:val="21"/>
              </w:rPr>
            </w:pPr>
            <w:r>
              <w:rPr>
                <w:color w:val="auto"/>
                <w:szCs w:val="21"/>
              </w:rPr>
              <w:t>其他</w:t>
            </w:r>
          </w:p>
        </w:tc>
        <w:tc>
          <w:tcPr>
            <w:tcW w:w="8761" w:type="dxa"/>
            <w:gridSpan w:val="2"/>
            <w:vAlign w:val="center"/>
          </w:tcPr>
          <w:p w14:paraId="08ED5041">
            <w:pPr>
              <w:spacing w:line="360" w:lineRule="auto"/>
              <w:rPr>
                <w:rFonts w:eastAsia="黑体"/>
                <w:color w:val="auto"/>
                <w:szCs w:val="21"/>
              </w:rPr>
            </w:pPr>
            <w:r>
              <w:rPr>
                <w:rFonts w:hint="eastAsia" w:eastAsia="黑体"/>
                <w:color w:val="auto"/>
                <w:szCs w:val="21"/>
              </w:rPr>
              <w:t>一、变电站站址比选：</w:t>
            </w:r>
          </w:p>
          <w:p w14:paraId="0C16313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szCs w:val="21"/>
              </w:rPr>
            </w:pPr>
            <w:r>
              <w:rPr>
                <w:rFonts w:hint="eastAsia"/>
                <w:b/>
                <w:color w:val="auto"/>
                <w:szCs w:val="21"/>
              </w:rPr>
              <w:t>1、选址一般原则</w:t>
            </w:r>
          </w:p>
          <w:p w14:paraId="324700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szCs w:val="21"/>
              </w:rPr>
            </w:pPr>
            <w:r>
              <w:rPr>
                <w:rFonts w:hint="eastAsia"/>
                <w:color w:val="auto"/>
                <w:szCs w:val="21"/>
              </w:rPr>
              <w:t>根据设计资料，本项目</w:t>
            </w:r>
            <w:r>
              <w:rPr>
                <w:rFonts w:hint="eastAsia"/>
                <w:bCs/>
                <w:color w:val="auto"/>
                <w:szCs w:val="21"/>
                <w:lang w:val="en-US" w:eastAsia="zh-CN"/>
              </w:rPr>
              <w:t>司城</w:t>
            </w:r>
            <w:r>
              <w:rPr>
                <w:rFonts w:hint="eastAsia"/>
                <w:color w:val="auto"/>
                <w:szCs w:val="21"/>
              </w:rPr>
              <w:t>110kV</w:t>
            </w:r>
            <w:r>
              <w:rPr>
                <w:color w:val="auto"/>
                <w:szCs w:val="21"/>
              </w:rPr>
              <w:t>变电站</w:t>
            </w:r>
            <w:r>
              <w:rPr>
                <w:rFonts w:hint="eastAsia"/>
                <w:color w:val="auto"/>
                <w:szCs w:val="21"/>
              </w:rPr>
              <w:t>选择基本原则如下：</w:t>
            </w:r>
          </w:p>
          <w:p w14:paraId="1AA5EA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Cs/>
                <w:color w:val="auto"/>
                <w:szCs w:val="21"/>
              </w:rPr>
            </w:pPr>
            <w:r>
              <w:rPr>
                <w:rFonts w:hint="eastAsia"/>
                <w:bCs/>
                <w:color w:val="auto"/>
                <w:szCs w:val="21"/>
              </w:rPr>
              <w:t>①符合电网规划的布点要求，尽量靠近负荷中心，尽量降低线路建设投资和运行费用。</w:t>
            </w:r>
          </w:p>
          <w:p w14:paraId="01B19F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Cs/>
                <w:color w:val="auto"/>
                <w:szCs w:val="21"/>
              </w:rPr>
            </w:pPr>
            <w:r>
              <w:rPr>
                <w:rFonts w:hint="eastAsia"/>
                <w:bCs/>
                <w:color w:val="auto"/>
                <w:szCs w:val="21"/>
              </w:rPr>
              <w:t>②注意节约用地，尽量利用荒地、劣地、不占或少占耕地；尽量减少拆迁，障碍物清理工作。</w:t>
            </w:r>
          </w:p>
          <w:p w14:paraId="3E1582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Cs/>
                <w:color w:val="auto"/>
                <w:szCs w:val="21"/>
              </w:rPr>
            </w:pPr>
            <w:r>
              <w:rPr>
                <w:rFonts w:hint="eastAsia"/>
                <w:bCs/>
                <w:color w:val="auto"/>
                <w:szCs w:val="21"/>
              </w:rPr>
              <w:t>③充分考虑进出线条件，留出线路走廊，避免或减少线路的相互交叉跨越。</w:t>
            </w:r>
          </w:p>
          <w:p w14:paraId="41A42A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Cs/>
                <w:color w:val="auto"/>
                <w:szCs w:val="21"/>
              </w:rPr>
            </w:pPr>
            <w:r>
              <w:rPr>
                <w:rFonts w:hint="eastAsia"/>
                <w:bCs/>
                <w:color w:val="auto"/>
                <w:szCs w:val="21"/>
              </w:rPr>
              <w:t>④站址交通运输应方便，减少进站道路长度，避免建造桥梁等设施。地形条件好，减少工程土石方量。</w:t>
            </w:r>
          </w:p>
          <w:p w14:paraId="08F2650E">
            <w:pPr>
              <w:spacing w:line="360" w:lineRule="auto"/>
              <w:ind w:firstLine="420" w:firstLineChars="200"/>
              <w:rPr>
                <w:bCs/>
                <w:color w:val="auto"/>
                <w:szCs w:val="21"/>
              </w:rPr>
            </w:pPr>
            <w:r>
              <w:rPr>
                <w:rFonts w:hint="eastAsia"/>
                <w:bCs/>
                <w:color w:val="auto"/>
                <w:szCs w:val="21"/>
              </w:rPr>
              <w:t>⑤站址选择应避开滑坡、泥石流、明和暗的河塘、塌陷区和地质断裂地带等不良地质构造。避开溶洞、采空区、岸边冲刷区、易发生滚石的地段。</w:t>
            </w:r>
          </w:p>
          <w:p w14:paraId="219AEA94">
            <w:pPr>
              <w:spacing w:line="360" w:lineRule="auto"/>
              <w:ind w:firstLine="420" w:firstLineChars="200"/>
              <w:rPr>
                <w:bCs/>
                <w:color w:val="auto"/>
                <w:szCs w:val="21"/>
              </w:rPr>
            </w:pPr>
            <w:r>
              <w:rPr>
                <w:rFonts w:hint="eastAsia"/>
                <w:bCs/>
                <w:color w:val="auto"/>
                <w:szCs w:val="21"/>
              </w:rPr>
              <w:t>⑥站址选择应避免或减少破坏林木和环境自然地貌，避让重点保护的自然区、人文遗址和重要开采价值的矿藏。</w:t>
            </w:r>
          </w:p>
          <w:p w14:paraId="757A55DD">
            <w:pPr>
              <w:spacing w:line="360" w:lineRule="auto"/>
              <w:ind w:firstLine="420" w:firstLineChars="200"/>
              <w:rPr>
                <w:bCs/>
                <w:color w:val="auto"/>
                <w:szCs w:val="21"/>
              </w:rPr>
            </w:pPr>
            <w:r>
              <w:rPr>
                <w:rFonts w:hint="eastAsia"/>
                <w:bCs/>
                <w:color w:val="auto"/>
                <w:szCs w:val="21"/>
              </w:rPr>
              <w:t>⑦站址选择宜避让大气严重污染地区和严重盐污地区。必要时，应采取相应的防污染措施。</w:t>
            </w:r>
          </w:p>
          <w:p w14:paraId="27354F03">
            <w:pPr>
              <w:spacing w:line="360" w:lineRule="auto"/>
              <w:ind w:firstLine="420" w:firstLineChars="200"/>
              <w:rPr>
                <w:bCs/>
                <w:color w:val="auto"/>
                <w:szCs w:val="21"/>
              </w:rPr>
            </w:pPr>
            <w:r>
              <w:rPr>
                <w:rFonts w:hint="eastAsia"/>
                <w:bCs/>
                <w:color w:val="auto"/>
                <w:szCs w:val="21"/>
              </w:rPr>
              <w:t>⑧具有适宜的地质条件，注意防、排洪问题。站址标高应在50年一遇最高洪水位上。</w:t>
            </w:r>
          </w:p>
          <w:p w14:paraId="7335269A">
            <w:pPr>
              <w:spacing w:line="360" w:lineRule="auto"/>
              <w:ind w:firstLine="422" w:firstLineChars="200"/>
              <w:rPr>
                <w:b/>
                <w:color w:val="auto"/>
                <w:szCs w:val="21"/>
              </w:rPr>
            </w:pPr>
            <w:r>
              <w:rPr>
                <w:rFonts w:hint="eastAsia"/>
                <w:b/>
                <w:color w:val="auto"/>
                <w:szCs w:val="21"/>
              </w:rPr>
              <w:t>2、站址比选方案</w:t>
            </w:r>
          </w:p>
          <w:p w14:paraId="0D1545B8">
            <w:pPr>
              <w:spacing w:line="360" w:lineRule="auto"/>
              <w:ind w:firstLine="420" w:firstLineChars="200"/>
              <w:rPr>
                <w:bCs/>
                <w:color w:val="auto"/>
                <w:szCs w:val="21"/>
              </w:rPr>
            </w:pPr>
            <w:r>
              <w:rPr>
                <w:rFonts w:hint="eastAsia"/>
                <w:bCs/>
                <w:color w:val="auto"/>
              </w:rPr>
              <w:t>根据</w:t>
            </w:r>
            <w:r>
              <w:rPr>
                <w:rFonts w:hint="eastAsia"/>
                <w:bCs/>
                <w:color w:val="auto"/>
                <w:lang w:eastAsia="zh-CN"/>
              </w:rPr>
              <w:t>四川南充电力设计有限公司</w:t>
            </w:r>
            <w:r>
              <w:rPr>
                <w:rFonts w:hint="eastAsia"/>
                <w:bCs/>
                <w:color w:val="auto"/>
              </w:rPr>
              <w:t>编制的</w:t>
            </w:r>
            <w:r>
              <w:rPr>
                <w:rFonts w:hint="eastAsia"/>
                <w:bCs/>
                <w:color w:val="auto"/>
                <w:sz w:val="21"/>
                <w:szCs w:val="24"/>
                <w:highlight w:val="none"/>
                <w:lang w:eastAsia="zh-CN"/>
              </w:rPr>
              <w:t>《</w:t>
            </w:r>
            <w:r>
              <w:rPr>
                <w:rFonts w:hint="eastAsia"/>
                <w:color w:val="auto"/>
                <w:szCs w:val="21"/>
                <w:highlight w:val="none"/>
                <w:lang w:val="en-US" w:eastAsia="zh-CN"/>
              </w:rPr>
              <w:t>巴中恩阳司城110千伏输变电工程可行性研究报告</w:t>
            </w:r>
            <w:r>
              <w:rPr>
                <w:rFonts w:hint="eastAsia"/>
                <w:bCs/>
                <w:color w:val="auto"/>
                <w:highlight w:val="none"/>
              </w:rPr>
              <w:t>》</w:t>
            </w:r>
            <w:r>
              <w:rPr>
                <w:rFonts w:hint="eastAsia"/>
                <w:bCs/>
                <w:color w:val="auto"/>
                <w:szCs w:val="21"/>
              </w:rPr>
              <w:t>，</w:t>
            </w:r>
            <w:r>
              <w:rPr>
                <w:rFonts w:hint="eastAsia"/>
                <w:bCs/>
                <w:color w:val="auto"/>
                <w:szCs w:val="21"/>
                <w:lang w:val="en-US" w:eastAsia="zh-CN"/>
              </w:rPr>
              <w:t>工程选址首先要根据变电站在系统中的功能地位，布点位置及规划线路应避免跨越（穿越）已建成城市区域、规划城市建设用地、同时接入系统线路还要减少与已建线路交叉，方便35kV配套送出线路出线，方便10kV出线方向城区延伸走线。其次。站址的选择还要符合城市规划要求，应避免基本农田，满足建站地质及建设条件和进出线通道要求。</w:t>
            </w:r>
          </w:p>
          <w:p w14:paraId="6E488282">
            <w:pPr>
              <w:spacing w:line="360" w:lineRule="auto"/>
              <w:ind w:firstLine="420" w:firstLineChars="200"/>
              <w:rPr>
                <w:rFonts w:hint="default" w:eastAsia="宋体"/>
                <w:bCs/>
                <w:color w:val="auto"/>
                <w:szCs w:val="21"/>
                <w:lang w:val="en-US" w:eastAsia="zh-CN"/>
              </w:rPr>
            </w:pPr>
            <w:r>
              <w:rPr>
                <w:rFonts w:hint="eastAsia"/>
                <w:bCs/>
                <w:color w:val="auto"/>
                <w:szCs w:val="21"/>
                <w:lang w:val="en-US" w:eastAsia="zh-CN"/>
              </w:rPr>
              <w:t>根据上述选址原则，</w:t>
            </w:r>
            <w:r>
              <w:rPr>
                <w:rFonts w:hint="default" w:ascii="Times New Roman" w:hAnsi="Times New Roman" w:cs="Times New Roman"/>
                <w:bCs/>
                <w:color w:val="auto"/>
                <w:szCs w:val="21"/>
                <w:highlight w:val="none"/>
                <w:lang w:eastAsia="zh-CN"/>
              </w:rPr>
              <w:t>建设单位在</w:t>
            </w:r>
            <w:r>
              <w:rPr>
                <w:rFonts w:hint="eastAsia"/>
                <w:color w:val="auto"/>
                <w:lang w:val="en-US" w:eastAsia="zh-CN"/>
              </w:rPr>
              <w:t>恩阳区</w:t>
            </w:r>
            <w:r>
              <w:rPr>
                <w:rFonts w:hint="default" w:ascii="Times New Roman" w:hAnsi="Times New Roman" w:cs="Times New Roman"/>
                <w:bCs/>
                <w:color w:val="auto"/>
                <w:szCs w:val="21"/>
                <w:highlight w:val="none"/>
              </w:rPr>
              <w:t>区域多处站址进行了详细踏勘</w:t>
            </w:r>
            <w:r>
              <w:rPr>
                <w:rFonts w:hint="eastAsia"/>
                <w:bCs/>
                <w:color w:val="auto"/>
                <w:szCs w:val="21"/>
                <w:lang w:val="en-US" w:eastAsia="zh-CN"/>
              </w:rPr>
              <w:t>，最后确定了两个站址：</w:t>
            </w:r>
          </w:p>
          <w:p w14:paraId="1D3E3ED5">
            <w:pPr>
              <w:spacing w:line="360" w:lineRule="auto"/>
              <w:ind w:firstLine="420" w:firstLineChars="200"/>
              <w:rPr>
                <w:rFonts w:hint="eastAsia"/>
                <w:color w:val="auto"/>
                <w:lang w:val="en-US" w:eastAsia="zh-CN"/>
              </w:rPr>
            </w:pPr>
            <w:r>
              <w:rPr>
                <w:rFonts w:hint="eastAsia"/>
                <w:bCs/>
                <w:color w:val="auto"/>
                <w:szCs w:val="21"/>
                <w:lang w:val="en-US" w:eastAsia="zh-CN"/>
              </w:rPr>
              <w:t>站址一（推荐站址）：位于巴中恩阳司城110kV变电站站址位于巴中市恩阳区登科街道石马社区五组</w:t>
            </w:r>
            <w:r>
              <w:rPr>
                <w:rFonts w:hint="eastAsia"/>
                <w:color w:val="auto"/>
                <w:lang w:val="en-US" w:eastAsia="zh-CN"/>
              </w:rPr>
              <w:t>。</w:t>
            </w:r>
          </w:p>
          <w:p w14:paraId="5725E83C">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right="0"/>
              <w:jc w:val="center"/>
              <w:textAlignment w:val="baseline"/>
              <w:rPr>
                <w:rFonts w:hint="eastAsia"/>
                <w:color w:val="auto"/>
                <w:lang w:val="en-US" w:eastAsia="zh-CN"/>
              </w:rPr>
            </w:pPr>
            <w:r>
              <w:rPr>
                <w:rFonts w:hint="eastAsia" w:ascii="宋体" w:hAnsi="宋体" w:eastAsia="宋体" w:cs="宋体"/>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margin">
                        <wp:posOffset>2667000</wp:posOffset>
                      </wp:positionH>
                      <wp:positionV relativeFrom="paragraph">
                        <wp:posOffset>244475</wp:posOffset>
                      </wp:positionV>
                      <wp:extent cx="915670" cy="323850"/>
                      <wp:effectExtent l="6350" t="6350" r="7620" b="477520"/>
                      <wp:wrapNone/>
                      <wp:docPr id="3" name="矩形标注 3"/>
                      <wp:cNvGraphicFramePr/>
                      <a:graphic xmlns:a="http://schemas.openxmlformats.org/drawingml/2006/main">
                        <a:graphicData uri="http://schemas.microsoft.com/office/word/2010/wordprocessingShape">
                          <wps:wsp>
                            <wps:cNvSpPr/>
                            <wps:spPr>
                              <a:xfrm>
                                <a:off x="0" y="0"/>
                                <a:ext cx="915670" cy="323850"/>
                              </a:xfrm>
                              <a:prstGeom prst="wedgeRectCallout">
                                <a:avLst>
                                  <a:gd name="adj1" fmla="val 35574"/>
                                  <a:gd name="adj2" fmla="val 187255"/>
                                </a:avLst>
                              </a:prstGeom>
                              <a:solidFill>
                                <a:srgbClr val="FFFFFF"/>
                              </a:solidFill>
                              <a:ln w="12700" cap="flat" cmpd="sng">
                                <a:solidFill>
                                  <a:srgbClr val="FFC000"/>
                                </a:solidFill>
                                <a:prstDash val="dash"/>
                                <a:miter/>
                                <a:headEnd type="none" w="med" len="med"/>
                                <a:tailEnd type="none" w="med" len="med"/>
                              </a:ln>
                            </wps:spPr>
                            <wps:txbx>
                              <w:txbxContent>
                                <w:p w14:paraId="274D25EC">
                                  <w:pPr>
                                    <w:ind w:left="0" w:leftChars="0" w:firstLine="0" w:firstLineChars="0"/>
                                    <w:rPr>
                                      <w:rFonts w:hint="default"/>
                                      <w:sz w:val="22"/>
                                    </w:rPr>
                                  </w:pPr>
                                  <w:r>
                                    <w:rPr>
                                      <w:rFonts w:hint="eastAsia"/>
                                      <w:sz w:val="22"/>
                                      <w:lang w:eastAsia="zh-CN"/>
                                    </w:rPr>
                                    <w:t>司城</w:t>
                                  </w:r>
                                  <w:r>
                                    <w:rPr>
                                      <w:sz w:val="22"/>
                                    </w:rPr>
                                    <w:t>站址二</w:t>
                                  </w:r>
                                </w:p>
                              </w:txbxContent>
                            </wps:txbx>
                            <wps:bodyPr upright="1"/>
                          </wps:wsp>
                        </a:graphicData>
                      </a:graphic>
                    </wp:anchor>
                  </w:drawing>
                </mc:Choice>
                <mc:Fallback>
                  <w:pict>
                    <v:shape id="_x0000_s1026" o:spid="_x0000_s1026" o:spt="61" type="#_x0000_t61" style="position:absolute;left:0pt;margin-left:210pt;margin-top:19.25pt;height:25.5pt;width:72.1pt;mso-position-horizontal-relative:margin;z-index:251659264;mso-width-relative:page;mso-height-relative:page;" fillcolor="#FFFFFF" filled="t" stroked="t" coordsize="21600,21600" o:gfxdata="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JY1NoAAAAJAQAADwAAAAAAAAABACAAAAAiAAAAZHJz&#10;L2Rvd25yZXYueG1sUEsBAhQAFAAAAAgAh07iQHUypiI7AgAAjAQAAA4AAAAAAAAAAQAgAAAAKQEA&#10;AGRycy9lMm9Eb2MueG1sUEsFBgAAAAAGAAYAWQEAANYFAAAAAA==&#10;" adj="18484,51247">
                      <v:fill on="t" focussize="0,0"/>
                      <v:stroke weight="1pt" color="#FFC000" joinstyle="miter" dashstyle="dash"/>
                      <v:imagedata o:title=""/>
                      <o:lock v:ext="edit" aspectratio="f"/>
                      <v:textbox>
                        <w:txbxContent>
                          <w:p w14:paraId="274D25EC">
                            <w:pPr>
                              <w:ind w:left="0" w:leftChars="0" w:firstLine="0" w:firstLineChars="0"/>
                              <w:rPr>
                                <w:rFonts w:hint="default"/>
                                <w:sz w:val="22"/>
                              </w:rPr>
                            </w:pPr>
                            <w:r>
                              <w:rPr>
                                <w:rFonts w:hint="eastAsia"/>
                                <w:sz w:val="22"/>
                                <w:lang w:eastAsia="zh-CN"/>
                              </w:rPr>
                              <w:t>司城</w:t>
                            </w:r>
                            <w:r>
                              <w:rPr>
                                <w:sz w:val="22"/>
                              </w:rPr>
                              <w:t>站址二</w:t>
                            </w:r>
                          </w:p>
                        </w:txbxContent>
                      </v:textbox>
                    </v:shape>
                  </w:pict>
                </mc:Fallback>
              </mc:AlternateContent>
            </w:r>
            <w:r>
              <w:rPr>
                <w:rFonts w:hint="eastAsia" w:ascii="宋体" w:hAnsi="宋体" w:eastAsia="宋体" w:cs="宋体"/>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margin">
                        <wp:posOffset>2955925</wp:posOffset>
                      </wp:positionH>
                      <wp:positionV relativeFrom="paragraph">
                        <wp:posOffset>2012950</wp:posOffset>
                      </wp:positionV>
                      <wp:extent cx="915670" cy="323850"/>
                      <wp:effectExtent l="6350" t="508000" r="7620" b="6350"/>
                      <wp:wrapNone/>
                      <wp:docPr id="1" name="矩形标注 1"/>
                      <wp:cNvGraphicFramePr/>
                      <a:graphic xmlns:a="http://schemas.openxmlformats.org/drawingml/2006/main">
                        <a:graphicData uri="http://schemas.microsoft.com/office/word/2010/wordprocessingShape">
                          <wps:wsp>
                            <wps:cNvSpPr/>
                            <wps:spPr>
                              <a:xfrm>
                                <a:off x="0" y="0"/>
                                <a:ext cx="915670" cy="323850"/>
                              </a:xfrm>
                              <a:prstGeom prst="wedgeRectCallout">
                                <a:avLst>
                                  <a:gd name="adj1" fmla="val 21981"/>
                                  <a:gd name="adj2" fmla="val -198426"/>
                                </a:avLst>
                              </a:prstGeom>
                              <a:solidFill>
                                <a:srgbClr val="FFFFFF"/>
                              </a:solidFill>
                              <a:ln w="12700" cap="flat" cmpd="sng">
                                <a:solidFill>
                                  <a:srgbClr val="FFC000"/>
                                </a:solidFill>
                                <a:prstDash val="dash"/>
                                <a:miter/>
                                <a:headEnd type="none" w="med" len="med"/>
                                <a:tailEnd type="none" w="med" len="med"/>
                              </a:ln>
                            </wps:spPr>
                            <wps:txbx>
                              <w:txbxContent>
                                <w:p w14:paraId="5B145FAC">
                                  <w:pPr>
                                    <w:ind w:left="0" w:leftChars="0" w:firstLine="0" w:firstLineChars="0"/>
                                    <w:rPr>
                                      <w:rFonts w:hint="default"/>
                                      <w:sz w:val="22"/>
                                    </w:rPr>
                                  </w:pPr>
                                  <w:r>
                                    <w:rPr>
                                      <w:rFonts w:hint="eastAsia"/>
                                      <w:sz w:val="22"/>
                                      <w:lang w:eastAsia="zh-CN"/>
                                    </w:rPr>
                                    <w:t>司城</w:t>
                                  </w:r>
                                  <w:r>
                                    <w:rPr>
                                      <w:sz w:val="22"/>
                                    </w:rPr>
                                    <w:t>站址一</w:t>
                                  </w:r>
                                </w:p>
                              </w:txbxContent>
                            </wps:txbx>
                            <wps:bodyPr upright="1"/>
                          </wps:wsp>
                        </a:graphicData>
                      </a:graphic>
                    </wp:anchor>
                  </w:drawing>
                </mc:Choice>
                <mc:Fallback>
                  <w:pict>
                    <v:shape id="_x0000_s1026" o:spid="_x0000_s1026" o:spt="61" type="#_x0000_t61" style="position:absolute;left:0pt;margin-left:232.75pt;margin-top:158.5pt;height:25.5pt;width:72.1pt;mso-position-horizontal-relative:margin;z-index:251660288;mso-width-relative:page;mso-height-relative:page;" fillcolor="#FFFFFF" filled="t" stroked="t" coordsize="21600,21600" o:gfxdata="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6oIJZ2QAAAAsBAAAPAAAAAAAAAAEAIAAAACIAAABkcnMv&#10;ZG93bnJldi54bWxQSwECFAAUAAAACACHTuJASKYYrjsCAACNBAAADgAAAAAAAAABACAAAAAoAQAA&#10;ZHJzL2Uyb0RvYy54bWxQSwUGAAAAAAYABgBZAQAA1QUAAAAA&#10;" adj="15548,-32060">
                      <v:fill on="t" focussize="0,0"/>
                      <v:stroke weight="1pt" color="#FFC000" joinstyle="miter" dashstyle="dash"/>
                      <v:imagedata o:title=""/>
                      <o:lock v:ext="edit" aspectratio="f"/>
                      <v:textbox>
                        <w:txbxContent>
                          <w:p w14:paraId="5B145FAC">
                            <w:pPr>
                              <w:ind w:left="0" w:leftChars="0" w:firstLine="0" w:firstLineChars="0"/>
                              <w:rPr>
                                <w:rFonts w:hint="default"/>
                                <w:sz w:val="22"/>
                              </w:rPr>
                            </w:pPr>
                            <w:r>
                              <w:rPr>
                                <w:rFonts w:hint="eastAsia"/>
                                <w:sz w:val="22"/>
                                <w:lang w:eastAsia="zh-CN"/>
                              </w:rPr>
                              <w:t>司城</w:t>
                            </w:r>
                            <w:r>
                              <w:rPr>
                                <w:sz w:val="22"/>
                              </w:rPr>
                              <w:t>站址一</w:t>
                            </w:r>
                          </w:p>
                        </w:txbxContent>
                      </v:textbox>
                    </v:shape>
                  </w:pict>
                </mc:Fallback>
              </mc:AlternateContent>
            </w:r>
            <w:r>
              <w:rPr>
                <w:color w:val="auto"/>
                <w:highlight w:val="none"/>
              </w:rPr>
              <w:drawing>
                <wp:inline distT="0" distB="0" distL="114300" distR="114300">
                  <wp:extent cx="5459730" cy="2843530"/>
                  <wp:effectExtent l="0" t="0" r="11430" b="6350"/>
                  <wp:docPr id="95" name="图片 95" descr="c70c690bfb6dc9ffcf84a42c5c91f9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c70c690bfb6dc9ffcf84a42c5c91f91d"/>
                          <pic:cNvPicPr>
                            <a:picLocks noChangeAspect="1"/>
                          </pic:cNvPicPr>
                        </pic:nvPicPr>
                        <pic:blipFill>
                          <a:blip r:embed="rId12"/>
                          <a:stretch>
                            <a:fillRect/>
                          </a:stretch>
                        </pic:blipFill>
                        <pic:spPr>
                          <a:xfrm>
                            <a:off x="0" y="0"/>
                            <a:ext cx="5459730" cy="2843530"/>
                          </a:xfrm>
                          <a:prstGeom prst="rect">
                            <a:avLst/>
                          </a:prstGeom>
                        </pic:spPr>
                      </pic:pic>
                    </a:graphicData>
                  </a:graphic>
                </wp:inline>
              </w:drawing>
            </w:r>
          </w:p>
          <w:p w14:paraId="58791B15">
            <w:pPr>
              <w:spacing w:line="240" w:lineRule="auto"/>
              <w:ind w:firstLine="420" w:firstLineChars="200"/>
              <w:jc w:val="center"/>
              <w:rPr>
                <w:rFonts w:hint="default"/>
                <w:color w:val="auto"/>
                <w:lang w:val="en-US" w:eastAsia="zh-CN"/>
              </w:rPr>
            </w:pPr>
            <w:r>
              <w:rPr>
                <w:rFonts w:hint="eastAsia" w:ascii="Times New Roman" w:hAnsi="Times New Roman" w:eastAsia="黑体" w:cs="Times New Roman"/>
                <w:color w:val="auto"/>
                <w:szCs w:val="21"/>
                <w:highlight w:val="none"/>
                <w:lang w:val="en-US" w:eastAsia="zh-CN"/>
              </w:rPr>
              <w:t>图</w:t>
            </w:r>
            <w:r>
              <w:rPr>
                <w:rFonts w:hint="eastAsia" w:eastAsia="黑体" w:cs="Times New Roman"/>
                <w:color w:val="auto"/>
                <w:szCs w:val="21"/>
                <w:highlight w:val="none"/>
                <w:lang w:val="en-US" w:eastAsia="zh-CN"/>
              </w:rPr>
              <w:t>2</w:t>
            </w:r>
            <w:r>
              <w:rPr>
                <w:rFonts w:hint="eastAsia" w:ascii="Times New Roman" w:hAnsi="Times New Roman" w:eastAsia="黑体" w:cs="Times New Roman"/>
                <w:color w:val="auto"/>
                <w:szCs w:val="21"/>
                <w:highlight w:val="none"/>
                <w:lang w:val="en-US" w:eastAsia="zh-CN"/>
              </w:rPr>
              <w:t>-</w:t>
            </w:r>
            <w:r>
              <w:rPr>
                <w:rFonts w:hint="eastAsia" w:eastAsia="黑体" w:cs="Times New Roman"/>
                <w:color w:val="auto"/>
                <w:szCs w:val="21"/>
                <w:highlight w:val="none"/>
                <w:lang w:val="en-US" w:eastAsia="zh-CN"/>
              </w:rPr>
              <w:t>2</w:t>
            </w:r>
            <w:r>
              <w:rPr>
                <w:rFonts w:hint="eastAsia" w:ascii="Times New Roman" w:hAnsi="Times New Roman" w:eastAsia="黑体" w:cs="Times New Roman"/>
                <w:color w:val="auto"/>
                <w:szCs w:val="21"/>
                <w:highlight w:val="none"/>
                <w:lang w:val="en-US" w:eastAsia="zh-CN"/>
              </w:rPr>
              <w:t xml:space="preserve">  司城110kV变电站选址位置示意图</w:t>
            </w:r>
          </w:p>
          <w:p w14:paraId="6E832F29">
            <w:pPr>
              <w:spacing w:line="240" w:lineRule="auto"/>
              <w:jc w:val="center"/>
              <w:rPr>
                <w:rFonts w:hint="eastAsia" w:eastAsia="宋体"/>
                <w:bCs/>
                <w:color w:val="FF0000"/>
                <w:szCs w:val="21"/>
                <w:lang w:eastAsia="zh-CN"/>
              </w:rPr>
            </w:pPr>
            <w:r>
              <w:rPr>
                <w:rFonts w:hint="eastAsia" w:eastAsia="宋体"/>
                <w:bCs/>
                <w:color w:val="FF0000"/>
                <w:szCs w:val="21"/>
                <w:lang w:eastAsia="zh-CN"/>
              </w:rPr>
              <w:drawing>
                <wp:inline distT="0" distB="0" distL="114300" distR="114300">
                  <wp:extent cx="5316855" cy="3725545"/>
                  <wp:effectExtent l="0" t="0" r="1905" b="8255"/>
                  <wp:docPr id="2" name="图片 2" descr="微信图片_2025072310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723102643"/>
                          <pic:cNvPicPr>
                            <a:picLocks noChangeAspect="1"/>
                          </pic:cNvPicPr>
                        </pic:nvPicPr>
                        <pic:blipFill>
                          <a:blip r:embed="rId13"/>
                          <a:stretch>
                            <a:fillRect/>
                          </a:stretch>
                        </pic:blipFill>
                        <pic:spPr>
                          <a:xfrm>
                            <a:off x="0" y="0"/>
                            <a:ext cx="5316855" cy="3725545"/>
                          </a:xfrm>
                          <a:prstGeom prst="rect">
                            <a:avLst/>
                          </a:prstGeom>
                        </pic:spPr>
                      </pic:pic>
                    </a:graphicData>
                  </a:graphic>
                </wp:inline>
              </w:drawing>
            </w:r>
          </w:p>
          <w:p w14:paraId="61EDFE02">
            <w:pPr>
              <w:spacing w:line="240" w:lineRule="auto"/>
              <w:jc w:val="center"/>
              <w:rPr>
                <w:rFonts w:hint="eastAsia" w:ascii="Times New Roman" w:hAnsi="Times New Roman" w:eastAsia="黑体" w:cs="Times New Roman"/>
                <w:color w:val="auto"/>
                <w:szCs w:val="21"/>
                <w:highlight w:val="none"/>
                <w:lang w:val="en-US" w:eastAsia="zh-CN"/>
              </w:rPr>
            </w:pPr>
            <w:r>
              <w:rPr>
                <w:rFonts w:hint="eastAsia" w:ascii="Times New Roman" w:hAnsi="Times New Roman" w:eastAsia="黑体" w:cs="Times New Roman"/>
                <w:color w:val="auto"/>
                <w:szCs w:val="21"/>
                <w:highlight w:val="none"/>
                <w:lang w:val="en-US" w:eastAsia="zh-CN"/>
              </w:rPr>
              <w:t>图</w:t>
            </w:r>
            <w:r>
              <w:rPr>
                <w:rFonts w:hint="eastAsia" w:eastAsia="黑体" w:cs="Times New Roman"/>
                <w:color w:val="auto"/>
                <w:szCs w:val="21"/>
                <w:highlight w:val="none"/>
                <w:lang w:val="en-US" w:eastAsia="zh-CN"/>
              </w:rPr>
              <w:t>2</w:t>
            </w:r>
            <w:r>
              <w:rPr>
                <w:rFonts w:hint="eastAsia" w:ascii="Times New Roman" w:hAnsi="Times New Roman" w:eastAsia="黑体" w:cs="Times New Roman"/>
                <w:color w:val="auto"/>
                <w:szCs w:val="21"/>
                <w:highlight w:val="none"/>
                <w:lang w:val="en-US" w:eastAsia="zh-CN"/>
              </w:rPr>
              <w:t>-</w:t>
            </w:r>
            <w:r>
              <w:rPr>
                <w:rFonts w:hint="eastAsia" w:eastAsia="黑体" w:cs="Times New Roman"/>
                <w:color w:val="auto"/>
                <w:szCs w:val="21"/>
                <w:highlight w:val="none"/>
                <w:lang w:val="en-US" w:eastAsia="zh-CN"/>
              </w:rPr>
              <w:t>3</w:t>
            </w:r>
            <w:r>
              <w:rPr>
                <w:rFonts w:hint="eastAsia" w:ascii="Times New Roman" w:hAnsi="Times New Roman" w:eastAsia="黑体" w:cs="Times New Roman"/>
                <w:color w:val="auto"/>
                <w:szCs w:val="21"/>
                <w:highlight w:val="none"/>
                <w:lang w:val="en-US" w:eastAsia="zh-CN"/>
              </w:rPr>
              <w:t xml:space="preserve">  站址一（推荐站址）现场图</w:t>
            </w:r>
          </w:p>
          <w:p w14:paraId="3906E11B">
            <w:pPr>
              <w:spacing w:line="360" w:lineRule="auto"/>
              <w:ind w:firstLine="420" w:firstLineChars="200"/>
              <w:rPr>
                <w:rFonts w:hint="default"/>
                <w:bCs/>
                <w:color w:val="auto"/>
                <w:szCs w:val="21"/>
                <w:highlight w:val="none"/>
                <w:lang w:val="en-US"/>
              </w:rPr>
            </w:pPr>
            <w:r>
              <w:rPr>
                <w:rFonts w:hint="eastAsia"/>
                <w:bCs/>
                <w:color w:val="auto"/>
                <w:szCs w:val="21"/>
                <w:highlight w:val="none"/>
                <w:lang w:val="en-US" w:eastAsia="zh-CN"/>
              </w:rPr>
              <w:t>站址二（比选站址）</w:t>
            </w:r>
            <w:r>
              <w:rPr>
                <w:rFonts w:hint="eastAsia"/>
                <w:bCs/>
                <w:color w:val="auto"/>
                <w:szCs w:val="21"/>
                <w:highlight w:val="none"/>
              </w:rPr>
              <w:t>：</w:t>
            </w:r>
            <w:r>
              <w:rPr>
                <w:rFonts w:hint="eastAsia"/>
                <w:bCs/>
                <w:color w:val="auto"/>
                <w:szCs w:val="21"/>
                <w:highlight w:val="none"/>
                <w:lang w:val="en-US" w:eastAsia="zh-CN"/>
              </w:rPr>
              <w:t>位于巴中市恩阳区义阳山路白玉社区</w:t>
            </w:r>
            <w:r>
              <w:rPr>
                <w:rFonts w:hint="eastAsia"/>
                <w:color w:val="auto"/>
                <w:highlight w:val="none"/>
                <w:lang w:eastAsia="zh-CN"/>
              </w:rPr>
              <w:t>，</w:t>
            </w:r>
            <w:r>
              <w:rPr>
                <w:rFonts w:hint="eastAsia"/>
                <w:color w:val="auto"/>
                <w:highlight w:val="none"/>
                <w:lang w:val="en-US" w:eastAsia="zh-CN"/>
              </w:rPr>
              <w:t>地处恩阳区以北</w:t>
            </w:r>
            <w:r>
              <w:rPr>
                <w:rFonts w:hint="eastAsia"/>
                <w:color w:val="auto"/>
                <w:highlight w:val="none"/>
                <w:lang w:eastAsia="zh-CN"/>
              </w:rPr>
              <w:t>。</w:t>
            </w:r>
          </w:p>
          <w:p w14:paraId="228E4D39">
            <w:pPr>
              <w:spacing w:line="360" w:lineRule="auto"/>
              <w:jc w:val="center"/>
              <w:rPr>
                <w:rFonts w:hint="eastAsia" w:eastAsia="宋体"/>
                <w:bCs/>
                <w:color w:val="auto"/>
                <w:szCs w:val="21"/>
                <w:highlight w:val="none"/>
                <w:lang w:eastAsia="zh-CN"/>
              </w:rPr>
            </w:pPr>
            <w:r>
              <w:rPr>
                <w:rFonts w:hint="eastAsia" w:eastAsia="宋体"/>
                <w:bCs/>
                <w:color w:val="auto"/>
                <w:szCs w:val="21"/>
                <w:highlight w:val="none"/>
                <w:lang w:eastAsia="zh-CN"/>
              </w:rPr>
              <w:drawing>
                <wp:inline distT="0" distB="0" distL="114300" distR="114300">
                  <wp:extent cx="5518150" cy="3558540"/>
                  <wp:effectExtent l="0" t="0" r="6350" b="3810"/>
                  <wp:docPr id="7" name="图片 7" descr="站址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站址二(1)"/>
                          <pic:cNvPicPr>
                            <a:picLocks noChangeAspect="1"/>
                          </pic:cNvPicPr>
                        </pic:nvPicPr>
                        <pic:blipFill>
                          <a:blip r:embed="rId14"/>
                          <a:stretch>
                            <a:fillRect/>
                          </a:stretch>
                        </pic:blipFill>
                        <pic:spPr>
                          <a:xfrm>
                            <a:off x="0" y="0"/>
                            <a:ext cx="5518150" cy="3558540"/>
                          </a:xfrm>
                          <a:prstGeom prst="rect">
                            <a:avLst/>
                          </a:prstGeom>
                        </pic:spPr>
                      </pic:pic>
                    </a:graphicData>
                  </a:graphic>
                </wp:inline>
              </w:drawing>
            </w:r>
          </w:p>
          <w:p w14:paraId="20F84140">
            <w:pPr>
              <w:jc w:val="center"/>
              <w:rPr>
                <w:rFonts w:hint="eastAsia" w:eastAsia="黑体"/>
                <w:color w:val="auto"/>
                <w:szCs w:val="21"/>
                <w:highlight w:val="none"/>
              </w:rPr>
            </w:pPr>
            <w:r>
              <w:rPr>
                <w:rFonts w:eastAsia="黑体"/>
                <w:color w:val="auto"/>
                <w:szCs w:val="21"/>
                <w:highlight w:val="none"/>
              </w:rPr>
              <w:t>图</w:t>
            </w:r>
            <w:r>
              <w:rPr>
                <w:rFonts w:hint="eastAsia" w:eastAsia="黑体"/>
                <w:color w:val="auto"/>
                <w:szCs w:val="21"/>
                <w:highlight w:val="none"/>
              </w:rPr>
              <w:t>2</w:t>
            </w:r>
            <w:r>
              <w:rPr>
                <w:rFonts w:eastAsia="黑体"/>
                <w:color w:val="auto"/>
                <w:szCs w:val="21"/>
                <w:highlight w:val="none"/>
              </w:rPr>
              <w:t>-</w:t>
            </w:r>
            <w:r>
              <w:rPr>
                <w:rFonts w:hint="eastAsia" w:eastAsia="黑体"/>
                <w:color w:val="auto"/>
                <w:szCs w:val="21"/>
                <w:highlight w:val="none"/>
                <w:lang w:val="en-US" w:eastAsia="zh-CN"/>
              </w:rPr>
              <w:t>4</w:t>
            </w:r>
            <w:r>
              <w:rPr>
                <w:rFonts w:hint="eastAsia" w:eastAsia="黑体"/>
                <w:color w:val="auto"/>
                <w:szCs w:val="21"/>
                <w:highlight w:val="none"/>
              </w:rPr>
              <w:t xml:space="preserve"> </w:t>
            </w:r>
            <w:r>
              <w:rPr>
                <w:rFonts w:eastAsia="黑体"/>
                <w:color w:val="auto"/>
                <w:szCs w:val="21"/>
                <w:highlight w:val="none"/>
              </w:rPr>
              <w:t xml:space="preserve"> </w:t>
            </w:r>
            <w:r>
              <w:rPr>
                <w:rFonts w:hint="eastAsia" w:eastAsia="黑体"/>
                <w:color w:val="auto"/>
                <w:szCs w:val="21"/>
                <w:highlight w:val="none"/>
                <w:lang w:val="en-US" w:eastAsia="zh-CN"/>
              </w:rPr>
              <w:t>站址二（</w:t>
            </w:r>
            <w:r>
              <w:rPr>
                <w:rFonts w:hint="eastAsia" w:eastAsia="黑体"/>
                <w:color w:val="auto"/>
                <w:szCs w:val="21"/>
                <w:highlight w:val="none"/>
              </w:rPr>
              <w:t>比选站址</w:t>
            </w:r>
            <w:r>
              <w:rPr>
                <w:rFonts w:hint="eastAsia" w:eastAsia="黑体"/>
                <w:color w:val="auto"/>
                <w:szCs w:val="21"/>
                <w:highlight w:val="none"/>
                <w:lang w:val="en-US" w:eastAsia="zh-CN"/>
              </w:rPr>
              <w:t>）</w:t>
            </w:r>
            <w:r>
              <w:rPr>
                <w:rFonts w:hint="eastAsia" w:eastAsia="黑体"/>
                <w:color w:val="auto"/>
                <w:szCs w:val="21"/>
                <w:highlight w:val="none"/>
              </w:rPr>
              <w:t>现场图</w:t>
            </w:r>
          </w:p>
          <w:p w14:paraId="71D32595">
            <w:pPr>
              <w:spacing w:line="360" w:lineRule="auto"/>
              <w:ind w:firstLine="420" w:firstLineChars="200"/>
              <w:rPr>
                <w:bCs/>
                <w:color w:val="auto"/>
                <w:szCs w:val="21"/>
              </w:rPr>
            </w:pPr>
            <w:r>
              <w:rPr>
                <w:rFonts w:hint="eastAsia"/>
                <w:bCs/>
                <w:color w:val="auto"/>
                <w:szCs w:val="21"/>
              </w:rPr>
              <w:t>两个站址方案主要环境保护情况见下表。</w:t>
            </w:r>
          </w:p>
          <w:p w14:paraId="436B670B">
            <w:pPr>
              <w:wordWrap w:val="0"/>
              <w:jc w:val="center"/>
              <w:rPr>
                <w:rFonts w:eastAsia="黑体"/>
                <w:color w:val="auto"/>
                <w:szCs w:val="21"/>
              </w:rPr>
            </w:pPr>
            <w:r>
              <w:rPr>
                <w:rFonts w:hint="eastAsia" w:eastAsia="黑体"/>
                <w:color w:val="auto"/>
                <w:szCs w:val="21"/>
              </w:rPr>
              <w:t>表</w:t>
            </w:r>
            <w:r>
              <w:rPr>
                <w:rFonts w:eastAsia="黑体"/>
                <w:color w:val="auto"/>
                <w:szCs w:val="21"/>
              </w:rPr>
              <w:t>2-</w:t>
            </w:r>
            <w:r>
              <w:rPr>
                <w:rFonts w:hint="eastAsia" w:eastAsia="黑体"/>
                <w:color w:val="auto"/>
                <w:szCs w:val="21"/>
              </w:rPr>
              <w:t>1</w:t>
            </w:r>
            <w:r>
              <w:rPr>
                <w:rFonts w:hint="eastAsia" w:eastAsia="黑体"/>
                <w:color w:val="auto"/>
                <w:szCs w:val="21"/>
                <w:lang w:val="en-US" w:eastAsia="zh-CN"/>
              </w:rPr>
              <w:t>8</w:t>
            </w:r>
            <w:r>
              <w:rPr>
                <w:rFonts w:eastAsia="黑体"/>
                <w:color w:val="auto"/>
                <w:szCs w:val="21"/>
              </w:rPr>
              <w:t xml:space="preserve">  </w:t>
            </w:r>
            <w:r>
              <w:rPr>
                <w:rFonts w:hint="eastAsia" w:eastAsia="黑体"/>
                <w:color w:val="auto"/>
                <w:szCs w:val="21"/>
                <w:lang w:val="en-US" w:eastAsia="zh-CN"/>
              </w:rPr>
              <w:t>司城</w:t>
            </w:r>
            <w:r>
              <w:rPr>
                <w:rFonts w:hint="eastAsia" w:eastAsia="黑体"/>
                <w:color w:val="auto"/>
                <w:szCs w:val="21"/>
              </w:rPr>
              <w:t>110kV</w:t>
            </w:r>
            <w:r>
              <w:rPr>
                <w:rFonts w:eastAsia="黑体"/>
                <w:color w:val="auto"/>
                <w:szCs w:val="21"/>
              </w:rPr>
              <w:t>变电站</w:t>
            </w:r>
            <w:r>
              <w:rPr>
                <w:rFonts w:hint="eastAsia" w:eastAsia="黑体"/>
                <w:color w:val="auto"/>
                <w:szCs w:val="21"/>
              </w:rPr>
              <w:t>站址比选方案情况表</w:t>
            </w:r>
          </w:p>
          <w:tbl>
            <w:tblPr>
              <w:tblStyle w:val="26"/>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986"/>
              <w:gridCol w:w="3068"/>
              <w:gridCol w:w="3057"/>
              <w:gridCol w:w="949"/>
            </w:tblGrid>
            <w:tr w14:paraId="6FA0E5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09A88DB7">
                  <w:pPr>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序号</w:t>
                  </w:r>
                </w:p>
              </w:tc>
              <w:tc>
                <w:tcPr>
                  <w:tcW w:w="986" w:type="dxa"/>
                  <w:tcBorders>
                    <w:tl2br w:val="nil"/>
                    <w:tr2bl w:val="nil"/>
                  </w:tcBorders>
                  <w:vAlign w:val="center"/>
                </w:tcPr>
                <w:p w14:paraId="5C0303CB">
                  <w:pPr>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比较内容</w:t>
                  </w:r>
                </w:p>
              </w:tc>
              <w:tc>
                <w:tcPr>
                  <w:tcW w:w="3068" w:type="dxa"/>
                  <w:tcBorders>
                    <w:tl2br w:val="nil"/>
                    <w:tr2bl w:val="nil"/>
                  </w:tcBorders>
                  <w:vAlign w:val="center"/>
                </w:tcPr>
                <w:p w14:paraId="74E2D467">
                  <w:pPr>
                    <w:jc w:val="center"/>
                    <w:rPr>
                      <w:rFonts w:hint="default" w:ascii="Times New Roman" w:hAnsi="Times New Roman" w:eastAsia="宋体" w:cs="Times New Roman"/>
                      <w:b/>
                      <w:color w:val="auto"/>
                      <w:sz w:val="18"/>
                      <w:szCs w:val="18"/>
                      <w:lang w:val="en-US" w:eastAsia="zh-CN"/>
                    </w:rPr>
                  </w:pPr>
                  <w:r>
                    <w:rPr>
                      <w:rFonts w:hint="default" w:ascii="Times New Roman" w:hAnsi="Times New Roman" w:eastAsia="宋体" w:cs="Times New Roman"/>
                      <w:b/>
                      <w:color w:val="auto"/>
                      <w:sz w:val="18"/>
                      <w:szCs w:val="18"/>
                      <w:lang w:val="en-US" w:eastAsia="zh-CN"/>
                    </w:rPr>
                    <w:t>站址一（推荐站址）</w:t>
                  </w:r>
                </w:p>
              </w:tc>
              <w:tc>
                <w:tcPr>
                  <w:tcW w:w="3057" w:type="dxa"/>
                  <w:tcBorders>
                    <w:tl2br w:val="nil"/>
                    <w:tr2bl w:val="nil"/>
                  </w:tcBorders>
                  <w:vAlign w:val="center"/>
                </w:tcPr>
                <w:p w14:paraId="37A1B9BE">
                  <w:pPr>
                    <w:jc w:val="center"/>
                    <w:rPr>
                      <w:rFonts w:hint="default" w:ascii="Times New Roman" w:hAnsi="Times New Roman" w:eastAsia="宋体" w:cs="Times New Roman"/>
                      <w:b/>
                      <w:color w:val="auto"/>
                      <w:sz w:val="18"/>
                      <w:szCs w:val="18"/>
                      <w:lang w:val="en-US" w:eastAsia="zh-CN"/>
                    </w:rPr>
                  </w:pPr>
                  <w:r>
                    <w:rPr>
                      <w:rFonts w:hint="default" w:ascii="Times New Roman" w:hAnsi="Times New Roman" w:eastAsia="宋体" w:cs="Times New Roman"/>
                      <w:b/>
                      <w:color w:val="auto"/>
                      <w:sz w:val="18"/>
                      <w:szCs w:val="18"/>
                      <w:lang w:val="en-US" w:eastAsia="zh-CN"/>
                    </w:rPr>
                    <w:t>站址二（比选站址）</w:t>
                  </w:r>
                </w:p>
              </w:tc>
              <w:tc>
                <w:tcPr>
                  <w:tcW w:w="949" w:type="dxa"/>
                  <w:tcBorders>
                    <w:tl2br w:val="nil"/>
                    <w:tr2bl w:val="nil"/>
                  </w:tcBorders>
                  <w:vAlign w:val="center"/>
                </w:tcPr>
                <w:p w14:paraId="01138E6C">
                  <w:pPr>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比较结果</w:t>
                  </w:r>
                </w:p>
              </w:tc>
            </w:tr>
            <w:tr w14:paraId="56B33F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67E9BCA0">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1</w:t>
                  </w:r>
                </w:p>
              </w:tc>
              <w:tc>
                <w:tcPr>
                  <w:tcW w:w="986" w:type="dxa"/>
                  <w:tcBorders>
                    <w:tl2br w:val="nil"/>
                    <w:tr2bl w:val="nil"/>
                  </w:tcBorders>
                  <w:vAlign w:val="center"/>
                </w:tcPr>
                <w:p w14:paraId="10889C25">
                  <w:pPr>
                    <w:jc w:val="center"/>
                    <w:rPr>
                      <w:color w:val="auto"/>
                      <w:sz w:val="18"/>
                      <w:szCs w:val="18"/>
                    </w:rPr>
                  </w:pPr>
                  <w:r>
                    <w:rPr>
                      <w:color w:val="auto"/>
                      <w:sz w:val="18"/>
                      <w:szCs w:val="18"/>
                    </w:rPr>
                    <w:t>地理</w:t>
                  </w:r>
                </w:p>
                <w:p w14:paraId="445A5B5E">
                  <w:pPr>
                    <w:jc w:val="center"/>
                    <w:rPr>
                      <w:rFonts w:hint="default" w:ascii="Times New Roman" w:hAnsi="Times New Roman" w:eastAsia="宋体" w:cs="Times New Roman"/>
                      <w:bCs/>
                      <w:color w:val="auto"/>
                      <w:sz w:val="18"/>
                      <w:szCs w:val="18"/>
                    </w:rPr>
                  </w:pPr>
                  <w:r>
                    <w:rPr>
                      <w:color w:val="auto"/>
                      <w:sz w:val="18"/>
                      <w:szCs w:val="18"/>
                    </w:rPr>
                    <w:t>位置</w:t>
                  </w:r>
                </w:p>
              </w:tc>
              <w:tc>
                <w:tcPr>
                  <w:tcW w:w="3068" w:type="dxa"/>
                  <w:tcBorders>
                    <w:tl2br w:val="nil"/>
                    <w:tr2bl w:val="nil"/>
                  </w:tcBorders>
                  <w:vAlign w:val="center"/>
                </w:tcPr>
                <w:p w14:paraId="30A10E2C">
                  <w:pPr>
                    <w:jc w:val="center"/>
                    <w:rPr>
                      <w:rFonts w:hint="default" w:ascii="Times New Roman" w:hAnsi="Times New Roman" w:eastAsia="宋体" w:cs="Times New Roman"/>
                      <w:bCs/>
                      <w:color w:val="auto"/>
                      <w:sz w:val="18"/>
                      <w:szCs w:val="18"/>
                      <w:lang w:val="en-US" w:eastAsia="zh-CN"/>
                    </w:rPr>
                  </w:pPr>
                  <w:r>
                    <w:rPr>
                      <w:rFonts w:hint="eastAsia" w:cs="Times New Roman"/>
                      <w:bCs/>
                      <w:color w:val="auto"/>
                      <w:sz w:val="18"/>
                      <w:szCs w:val="18"/>
                      <w:lang w:val="en-US" w:eastAsia="zh-CN"/>
                    </w:rPr>
                    <w:t>巴中市恩阳区登科街道石马社区5组</w:t>
                  </w:r>
                  <w:r>
                    <w:rPr>
                      <w:rFonts w:hint="default" w:ascii="Times New Roman" w:hAnsi="Times New Roman" w:eastAsia="宋体" w:cs="Times New Roman"/>
                      <w:bCs/>
                      <w:color w:val="auto"/>
                      <w:sz w:val="18"/>
                      <w:szCs w:val="18"/>
                    </w:rPr>
                    <w:t>，</w:t>
                  </w:r>
                  <w:r>
                    <w:rPr>
                      <w:rFonts w:hint="eastAsia" w:cs="Times New Roman"/>
                      <w:bCs/>
                      <w:color w:val="auto"/>
                      <w:sz w:val="18"/>
                      <w:szCs w:val="18"/>
                      <w:lang w:val="en-US" w:eastAsia="zh-CN"/>
                    </w:rPr>
                    <w:t>地处恩阳区以北</w:t>
                  </w:r>
                  <w:r>
                    <w:rPr>
                      <w:rFonts w:hint="default" w:ascii="Times New Roman" w:hAnsi="Times New Roman" w:eastAsia="宋体" w:cs="Times New Roman"/>
                      <w:bCs/>
                      <w:color w:val="auto"/>
                      <w:sz w:val="18"/>
                      <w:szCs w:val="18"/>
                      <w:lang w:eastAsia="zh-CN"/>
                    </w:rPr>
                    <w:t>。</w:t>
                  </w:r>
                </w:p>
              </w:tc>
              <w:tc>
                <w:tcPr>
                  <w:tcW w:w="3057" w:type="dxa"/>
                  <w:tcBorders>
                    <w:tl2br w:val="nil"/>
                    <w:tr2bl w:val="nil"/>
                  </w:tcBorders>
                  <w:vAlign w:val="center"/>
                </w:tcPr>
                <w:p w14:paraId="295046E9">
                  <w:pPr>
                    <w:jc w:val="center"/>
                    <w:rPr>
                      <w:rFonts w:hint="default" w:ascii="Times New Roman" w:hAnsi="Times New Roman" w:eastAsia="宋体" w:cs="Times New Roman"/>
                      <w:bCs/>
                      <w:color w:val="auto"/>
                      <w:sz w:val="18"/>
                      <w:szCs w:val="18"/>
                      <w:lang w:eastAsia="zh-CN"/>
                    </w:rPr>
                  </w:pPr>
                  <w:r>
                    <w:rPr>
                      <w:rFonts w:hint="eastAsia" w:cs="Times New Roman"/>
                      <w:bCs/>
                      <w:color w:val="auto"/>
                      <w:sz w:val="18"/>
                      <w:szCs w:val="18"/>
                      <w:lang w:val="en-US" w:eastAsia="zh-CN"/>
                    </w:rPr>
                    <w:t>巴中市恩阳区义阳山路白玉社区，地处恩阳区以北</w:t>
                  </w:r>
                  <w:r>
                    <w:rPr>
                      <w:rFonts w:hint="default" w:ascii="Times New Roman" w:hAnsi="Times New Roman" w:eastAsia="宋体" w:cs="Times New Roman"/>
                      <w:bCs/>
                      <w:color w:val="auto"/>
                      <w:sz w:val="18"/>
                      <w:szCs w:val="18"/>
                      <w:lang w:eastAsia="zh-CN"/>
                    </w:rPr>
                    <w:t>。</w:t>
                  </w:r>
                </w:p>
              </w:tc>
              <w:tc>
                <w:tcPr>
                  <w:tcW w:w="949" w:type="dxa"/>
                  <w:tcBorders>
                    <w:tl2br w:val="nil"/>
                    <w:tr2bl w:val="nil"/>
                  </w:tcBorders>
                  <w:vAlign w:val="center"/>
                </w:tcPr>
                <w:p w14:paraId="7B0A3F90">
                  <w:pPr>
                    <w:jc w:val="center"/>
                    <w:rPr>
                      <w:rFonts w:hint="default" w:ascii="Times New Roman" w:hAnsi="Times New Roman" w:eastAsia="宋体" w:cs="Times New Roman"/>
                      <w:bCs/>
                      <w:color w:val="auto"/>
                      <w:sz w:val="18"/>
                      <w:szCs w:val="18"/>
                      <w:lang w:val="en-US"/>
                    </w:rPr>
                  </w:pPr>
                  <w:r>
                    <w:rPr>
                      <w:rFonts w:hint="eastAsia" w:cs="Times New Roman"/>
                      <w:bCs/>
                      <w:color w:val="auto"/>
                      <w:sz w:val="18"/>
                      <w:szCs w:val="18"/>
                      <w:lang w:val="en-US" w:eastAsia="zh-CN"/>
                    </w:rPr>
                    <w:t>两站相当</w:t>
                  </w:r>
                </w:p>
              </w:tc>
            </w:tr>
            <w:tr w14:paraId="48A110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481788AE">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2</w:t>
                  </w:r>
                </w:p>
              </w:tc>
              <w:tc>
                <w:tcPr>
                  <w:tcW w:w="986" w:type="dxa"/>
                  <w:tcBorders>
                    <w:tl2br w:val="nil"/>
                    <w:tr2bl w:val="nil"/>
                  </w:tcBorders>
                  <w:vAlign w:val="center"/>
                </w:tcPr>
                <w:p w14:paraId="5ECB38F8">
                  <w:pPr>
                    <w:jc w:val="center"/>
                    <w:rPr>
                      <w:rFonts w:hint="default" w:ascii="Times New Roman" w:hAnsi="Times New Roman" w:eastAsia="宋体" w:cs="Times New Roman"/>
                      <w:bCs/>
                      <w:color w:val="auto"/>
                      <w:sz w:val="18"/>
                      <w:szCs w:val="18"/>
                    </w:rPr>
                  </w:pPr>
                  <w:r>
                    <w:rPr>
                      <w:color w:val="auto"/>
                      <w:sz w:val="18"/>
                      <w:szCs w:val="18"/>
                    </w:rPr>
                    <w:t>接入系统条件</w:t>
                  </w:r>
                </w:p>
              </w:tc>
              <w:tc>
                <w:tcPr>
                  <w:tcW w:w="3068" w:type="dxa"/>
                  <w:tcBorders>
                    <w:tl2br w:val="nil"/>
                    <w:tr2bl w:val="nil"/>
                  </w:tcBorders>
                  <w:vAlign w:val="center"/>
                </w:tcPr>
                <w:p w14:paraId="58277DAE">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110kV为架空出线、</w:t>
                  </w:r>
                  <w:r>
                    <w:rPr>
                      <w:rFonts w:hint="default" w:ascii="Times New Roman" w:hAnsi="Times New Roman" w:eastAsia="宋体" w:cs="Times New Roman"/>
                      <w:bCs/>
                      <w:color w:val="auto"/>
                      <w:sz w:val="18"/>
                      <w:szCs w:val="18"/>
                      <w:lang w:val="en-US" w:eastAsia="zh-CN"/>
                    </w:rPr>
                    <w:t>35kV和</w:t>
                  </w:r>
                  <w:r>
                    <w:rPr>
                      <w:rFonts w:hint="default" w:ascii="Times New Roman" w:hAnsi="Times New Roman" w:eastAsia="宋体" w:cs="Times New Roman"/>
                      <w:bCs/>
                      <w:color w:val="auto"/>
                      <w:sz w:val="18"/>
                      <w:szCs w:val="18"/>
                    </w:rPr>
                    <w:t>10kV为电缆出线；110kV进出线走廊相对开阔，出线侧无</w:t>
                  </w:r>
                  <w:r>
                    <w:rPr>
                      <w:rFonts w:hint="default" w:ascii="Times New Roman" w:hAnsi="Times New Roman" w:eastAsia="宋体" w:cs="Times New Roman"/>
                      <w:bCs/>
                      <w:color w:val="auto"/>
                      <w:sz w:val="18"/>
                      <w:szCs w:val="18"/>
                      <w:lang w:val="en-US" w:eastAsia="zh-CN"/>
                    </w:rPr>
                    <w:t>电磁环境</w:t>
                  </w:r>
                  <w:r>
                    <w:rPr>
                      <w:rFonts w:hint="default" w:ascii="Times New Roman" w:hAnsi="Times New Roman" w:eastAsia="宋体" w:cs="Times New Roman"/>
                      <w:bCs/>
                      <w:color w:val="auto"/>
                      <w:sz w:val="18"/>
                      <w:szCs w:val="18"/>
                    </w:rPr>
                    <w:t>敏感目标。</w:t>
                  </w:r>
                </w:p>
              </w:tc>
              <w:tc>
                <w:tcPr>
                  <w:tcW w:w="3057" w:type="dxa"/>
                  <w:tcBorders>
                    <w:tl2br w:val="nil"/>
                    <w:tr2bl w:val="nil"/>
                  </w:tcBorders>
                  <w:vAlign w:val="center"/>
                </w:tcPr>
                <w:p w14:paraId="63281915">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110kV向东架空出线，35kV及10kV</w:t>
                  </w:r>
                  <w:r>
                    <w:rPr>
                      <w:rFonts w:hint="eastAsia" w:cs="Times New Roman"/>
                      <w:bCs/>
                      <w:color w:val="auto"/>
                      <w:sz w:val="18"/>
                      <w:szCs w:val="18"/>
                      <w:lang w:val="en-US" w:eastAsia="zh-CN"/>
                    </w:rPr>
                    <w:t>为电缆出线；</w:t>
                  </w:r>
                  <w:r>
                    <w:rPr>
                      <w:rFonts w:hint="default" w:ascii="Times New Roman" w:hAnsi="Times New Roman" w:eastAsia="宋体" w:cs="Times New Roman"/>
                      <w:bCs/>
                      <w:color w:val="auto"/>
                      <w:sz w:val="18"/>
                      <w:szCs w:val="18"/>
                    </w:rPr>
                    <w:t>110kV进出线走廊相对开阔，出线侧无</w:t>
                  </w:r>
                  <w:r>
                    <w:rPr>
                      <w:rFonts w:hint="default" w:ascii="Times New Roman" w:hAnsi="Times New Roman" w:eastAsia="宋体" w:cs="Times New Roman"/>
                      <w:bCs/>
                      <w:color w:val="auto"/>
                      <w:sz w:val="18"/>
                      <w:szCs w:val="18"/>
                      <w:lang w:val="en-US" w:eastAsia="zh-CN"/>
                    </w:rPr>
                    <w:t>电磁环境</w:t>
                  </w:r>
                  <w:r>
                    <w:rPr>
                      <w:rFonts w:hint="default" w:ascii="Times New Roman" w:hAnsi="Times New Roman" w:eastAsia="宋体" w:cs="Times New Roman"/>
                      <w:bCs/>
                      <w:color w:val="auto"/>
                      <w:sz w:val="18"/>
                      <w:szCs w:val="18"/>
                    </w:rPr>
                    <w:t>敏感目标。</w:t>
                  </w:r>
                </w:p>
              </w:tc>
              <w:tc>
                <w:tcPr>
                  <w:tcW w:w="949" w:type="dxa"/>
                  <w:tcBorders>
                    <w:tl2br w:val="nil"/>
                    <w:tr2bl w:val="nil"/>
                  </w:tcBorders>
                  <w:vAlign w:val="center"/>
                </w:tcPr>
                <w:p w14:paraId="5DF6AE0A">
                  <w:pPr>
                    <w:jc w:val="center"/>
                    <w:rPr>
                      <w:rFonts w:hint="default" w:ascii="Times New Roman" w:hAnsi="Times New Roman" w:eastAsia="宋体" w:cs="Times New Roman"/>
                      <w:bCs/>
                      <w:color w:val="auto"/>
                      <w:sz w:val="18"/>
                      <w:szCs w:val="18"/>
                      <w:lang w:val="en-US" w:eastAsia="zh-CN"/>
                    </w:rPr>
                  </w:pPr>
                  <w:r>
                    <w:rPr>
                      <w:rFonts w:hint="eastAsia" w:cs="Times New Roman"/>
                      <w:bCs/>
                      <w:color w:val="auto"/>
                      <w:sz w:val="18"/>
                      <w:szCs w:val="18"/>
                      <w:lang w:val="en-US" w:eastAsia="zh-CN"/>
                    </w:rPr>
                    <w:t>两站相当</w:t>
                  </w:r>
                </w:p>
              </w:tc>
            </w:tr>
            <w:tr w14:paraId="52F625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375A5D42">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3</w:t>
                  </w:r>
                </w:p>
              </w:tc>
              <w:tc>
                <w:tcPr>
                  <w:tcW w:w="986" w:type="dxa"/>
                  <w:tcBorders>
                    <w:tl2br w:val="nil"/>
                    <w:tr2bl w:val="nil"/>
                  </w:tcBorders>
                  <w:vAlign w:val="center"/>
                </w:tcPr>
                <w:p w14:paraId="17B2532B">
                  <w:pPr>
                    <w:jc w:val="center"/>
                    <w:rPr>
                      <w:rFonts w:hint="default" w:ascii="Times New Roman" w:hAnsi="Times New Roman" w:eastAsia="宋体" w:cs="Times New Roman"/>
                      <w:color w:val="auto"/>
                      <w:sz w:val="18"/>
                      <w:szCs w:val="18"/>
                      <w:lang w:val="en-US" w:eastAsia="zh-CN"/>
                    </w:rPr>
                  </w:pPr>
                  <w:r>
                    <w:rPr>
                      <w:color w:val="auto"/>
                      <w:sz w:val="18"/>
                      <w:szCs w:val="18"/>
                    </w:rPr>
                    <w:t>土地性质</w:t>
                  </w:r>
                </w:p>
              </w:tc>
              <w:tc>
                <w:tcPr>
                  <w:tcW w:w="3068" w:type="dxa"/>
                  <w:tcBorders>
                    <w:tl2br w:val="nil"/>
                    <w:tr2bl w:val="nil"/>
                  </w:tcBorders>
                  <w:vAlign w:val="center"/>
                </w:tcPr>
                <w:p w14:paraId="78F2E993">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建设用地、耕地</w:t>
                  </w:r>
                </w:p>
              </w:tc>
              <w:tc>
                <w:tcPr>
                  <w:tcW w:w="3057" w:type="dxa"/>
                  <w:tcBorders>
                    <w:tl2br w:val="nil"/>
                    <w:tr2bl w:val="nil"/>
                  </w:tcBorders>
                  <w:vAlign w:val="center"/>
                </w:tcPr>
                <w:p w14:paraId="45E03A90">
                  <w:pPr>
                    <w:jc w:val="center"/>
                    <w:rPr>
                      <w:rFonts w:hint="default" w:ascii="Times New Roman" w:hAnsi="Times New Roman" w:eastAsia="宋体" w:cs="Times New Roman"/>
                      <w:bCs/>
                      <w:color w:val="auto"/>
                      <w:sz w:val="18"/>
                      <w:szCs w:val="18"/>
                      <w:lang w:val="en-US"/>
                    </w:rPr>
                  </w:pPr>
                  <w:r>
                    <w:rPr>
                      <w:rFonts w:hint="eastAsia" w:cs="Times New Roman"/>
                      <w:bCs/>
                      <w:color w:val="auto"/>
                      <w:sz w:val="18"/>
                      <w:szCs w:val="18"/>
                      <w:lang w:val="en-US" w:eastAsia="zh-CN"/>
                    </w:rPr>
                    <w:t>耕地</w:t>
                  </w:r>
                  <w:r>
                    <w:rPr>
                      <w:rFonts w:hint="default" w:ascii="Times New Roman" w:hAnsi="Times New Roman" w:eastAsia="宋体" w:cs="Times New Roman"/>
                      <w:bCs/>
                      <w:color w:val="auto"/>
                      <w:sz w:val="18"/>
                      <w:szCs w:val="18"/>
                      <w:lang w:val="en-US" w:eastAsia="zh-CN"/>
                    </w:rPr>
                    <w:t>、林地</w:t>
                  </w:r>
                  <w:r>
                    <w:rPr>
                      <w:rFonts w:hint="eastAsia" w:cs="Times New Roman"/>
                      <w:bCs/>
                      <w:color w:val="auto"/>
                      <w:sz w:val="18"/>
                      <w:szCs w:val="18"/>
                      <w:lang w:val="en-US" w:eastAsia="zh-CN"/>
                    </w:rPr>
                    <w:t>、宅基地</w:t>
                  </w:r>
                </w:p>
              </w:tc>
              <w:tc>
                <w:tcPr>
                  <w:tcW w:w="949" w:type="dxa"/>
                  <w:tcBorders>
                    <w:tl2br w:val="nil"/>
                    <w:tr2bl w:val="nil"/>
                  </w:tcBorders>
                  <w:vAlign w:val="center"/>
                </w:tcPr>
                <w:p w14:paraId="39CA9445">
                  <w:pPr>
                    <w:jc w:val="center"/>
                    <w:rPr>
                      <w:rFonts w:hint="default" w:ascii="Times New Roman" w:hAnsi="Times New Roman" w:eastAsia="宋体" w:cs="Times New Roman"/>
                      <w:bCs/>
                      <w:color w:val="auto"/>
                      <w:sz w:val="18"/>
                      <w:szCs w:val="18"/>
                      <w:lang w:val="en-US" w:eastAsia="zh-CN"/>
                    </w:rPr>
                  </w:pPr>
                  <w:r>
                    <w:rPr>
                      <w:rFonts w:hint="eastAsia" w:cs="Times New Roman"/>
                      <w:bCs/>
                      <w:color w:val="auto"/>
                      <w:sz w:val="18"/>
                      <w:szCs w:val="18"/>
                      <w:lang w:val="en-US" w:eastAsia="zh-CN"/>
                    </w:rPr>
                    <w:t>站址一优</w:t>
                  </w:r>
                </w:p>
              </w:tc>
            </w:tr>
            <w:tr w14:paraId="359D99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63D8895D">
                  <w:pPr>
                    <w:jc w:val="center"/>
                    <w:rPr>
                      <w:rFonts w:hint="default" w:ascii="Times New Roman" w:hAnsi="Times New Roman" w:eastAsia="宋体" w:cs="Times New Roman"/>
                      <w:bCs/>
                      <w:color w:val="auto"/>
                      <w:sz w:val="18"/>
                      <w:szCs w:val="18"/>
                      <w:lang w:eastAsia="zh-CN"/>
                    </w:rPr>
                  </w:pPr>
                  <w:r>
                    <w:rPr>
                      <w:rFonts w:hint="default" w:ascii="Times New Roman" w:hAnsi="Times New Roman" w:eastAsia="宋体" w:cs="Times New Roman"/>
                      <w:bCs/>
                      <w:color w:val="auto"/>
                      <w:sz w:val="18"/>
                      <w:szCs w:val="18"/>
                      <w:lang w:val="en-US" w:eastAsia="zh-CN"/>
                    </w:rPr>
                    <w:t>4</w:t>
                  </w:r>
                </w:p>
              </w:tc>
              <w:tc>
                <w:tcPr>
                  <w:tcW w:w="986" w:type="dxa"/>
                  <w:tcBorders>
                    <w:tl2br w:val="nil"/>
                    <w:tr2bl w:val="nil"/>
                  </w:tcBorders>
                  <w:vAlign w:val="center"/>
                </w:tcPr>
                <w:p w14:paraId="79E8EAB8">
                  <w:pPr>
                    <w:jc w:val="center"/>
                    <w:rPr>
                      <w:rFonts w:hint="default" w:ascii="Times New Roman" w:hAnsi="Times New Roman" w:eastAsia="宋体" w:cs="Times New Roman"/>
                      <w:bCs/>
                      <w:color w:val="auto"/>
                      <w:sz w:val="18"/>
                      <w:szCs w:val="18"/>
                    </w:rPr>
                  </w:pPr>
                  <w:r>
                    <w:rPr>
                      <w:rFonts w:hint="eastAsia"/>
                      <w:color w:val="auto"/>
                      <w:sz w:val="18"/>
                      <w:szCs w:val="18"/>
                    </w:rPr>
                    <w:t>变电站建设条件</w:t>
                  </w:r>
                </w:p>
              </w:tc>
              <w:tc>
                <w:tcPr>
                  <w:tcW w:w="3068" w:type="dxa"/>
                  <w:tcBorders>
                    <w:tl2br w:val="nil"/>
                    <w:tr2bl w:val="nil"/>
                  </w:tcBorders>
                  <w:vAlign w:val="center"/>
                </w:tcPr>
                <w:p w14:paraId="4A043148">
                  <w:pPr>
                    <w:jc w:val="center"/>
                    <w:rPr>
                      <w:rFonts w:hint="default" w:ascii="Times New Roman" w:hAnsi="Times New Roman" w:eastAsia="宋体" w:cs="Times New Roman"/>
                      <w:bCs/>
                      <w:color w:val="auto"/>
                      <w:sz w:val="18"/>
                      <w:szCs w:val="18"/>
                      <w:vertAlign w:val="superscript"/>
                      <w:lang w:val="en-US" w:eastAsia="zh-CN"/>
                    </w:rPr>
                  </w:pPr>
                  <w:r>
                    <w:rPr>
                      <w:rFonts w:hint="default" w:ascii="Times New Roman" w:hAnsi="Times New Roman" w:eastAsia="宋体" w:cs="Times New Roman"/>
                      <w:bCs/>
                      <w:color w:val="auto"/>
                      <w:sz w:val="18"/>
                      <w:szCs w:val="18"/>
                    </w:rPr>
                    <w:fldChar w:fldCharType="begin"/>
                  </w:r>
                  <w:r>
                    <w:rPr>
                      <w:rFonts w:hint="default" w:ascii="Times New Roman" w:hAnsi="Times New Roman" w:eastAsia="宋体" w:cs="Times New Roman"/>
                      <w:bCs/>
                      <w:color w:val="auto"/>
                      <w:sz w:val="18"/>
                      <w:szCs w:val="18"/>
                    </w:rPr>
                    <w:instrText xml:space="preserve"> = 1 \* GB3 </w:instrText>
                  </w:r>
                  <w:r>
                    <w:rPr>
                      <w:rFonts w:hint="default" w:ascii="Times New Roman" w:hAnsi="Times New Roman" w:eastAsia="宋体" w:cs="Times New Roman"/>
                      <w:bCs/>
                      <w:color w:val="auto"/>
                      <w:sz w:val="18"/>
                      <w:szCs w:val="18"/>
                    </w:rPr>
                    <w:fldChar w:fldCharType="separate"/>
                  </w:r>
                  <w:r>
                    <w:rPr>
                      <w:rFonts w:hint="default" w:ascii="Times New Roman" w:hAnsi="Times New Roman" w:eastAsia="宋体" w:cs="Times New Roman"/>
                      <w:bCs/>
                      <w:color w:val="auto"/>
                      <w:sz w:val="18"/>
                      <w:szCs w:val="18"/>
                    </w:rPr>
                    <w:t>①</w:t>
                  </w:r>
                  <w:r>
                    <w:rPr>
                      <w:rFonts w:hint="default" w:ascii="Times New Roman" w:hAnsi="Times New Roman" w:eastAsia="宋体" w:cs="Times New Roman"/>
                      <w:bCs/>
                      <w:color w:val="auto"/>
                      <w:sz w:val="18"/>
                      <w:szCs w:val="18"/>
                    </w:rPr>
                    <w:fldChar w:fldCharType="end"/>
                  </w:r>
                  <w:r>
                    <w:rPr>
                      <w:rFonts w:hint="default" w:ascii="Times New Roman" w:hAnsi="Times New Roman" w:eastAsia="宋体" w:cs="Times New Roman"/>
                      <w:bCs/>
                      <w:color w:val="auto"/>
                      <w:sz w:val="18"/>
                      <w:szCs w:val="18"/>
                    </w:rPr>
                    <w:t>缓坡坡地与坡地平台地貌；站址场地地势较开阔，相对高差</w:t>
                  </w:r>
                  <w:r>
                    <w:rPr>
                      <w:rFonts w:hint="eastAsia" w:cs="Times New Roman"/>
                      <w:bCs/>
                      <w:color w:val="auto"/>
                      <w:sz w:val="18"/>
                      <w:szCs w:val="18"/>
                      <w:lang w:val="en-US" w:eastAsia="zh-CN"/>
                    </w:rPr>
                    <w:t>18</w:t>
                  </w:r>
                  <w:r>
                    <w:rPr>
                      <w:rFonts w:hint="default" w:ascii="Times New Roman" w:hAnsi="Times New Roman" w:eastAsia="宋体" w:cs="Times New Roman"/>
                      <w:bCs/>
                      <w:color w:val="auto"/>
                      <w:sz w:val="18"/>
                      <w:szCs w:val="18"/>
                    </w:rPr>
                    <w:t>m，地形平均坡度约</w:t>
                  </w:r>
                  <w:r>
                    <w:rPr>
                      <w:rFonts w:hint="eastAsia" w:cs="Times New Roman"/>
                      <w:bCs/>
                      <w:color w:val="auto"/>
                      <w:sz w:val="18"/>
                      <w:szCs w:val="18"/>
                      <w:lang w:val="en-US" w:eastAsia="zh-CN"/>
                    </w:rPr>
                    <w:t>12</w:t>
                  </w:r>
                  <w:r>
                    <w:rPr>
                      <w:rFonts w:hint="default" w:ascii="Times New Roman" w:hAnsi="Times New Roman" w:eastAsia="宋体" w:cs="Times New Roman"/>
                      <w:bCs/>
                      <w:color w:val="auto"/>
                      <w:sz w:val="18"/>
                      <w:szCs w:val="18"/>
                    </w:rPr>
                    <w:t>°；无地下水，无影响工程稳定的不良地质作用和地质灾害；</w:t>
                  </w:r>
                  <w:r>
                    <w:rPr>
                      <w:rFonts w:hint="default" w:ascii="Times New Roman" w:hAnsi="Times New Roman" w:eastAsia="宋体" w:cs="Times New Roman"/>
                      <w:bCs/>
                      <w:color w:val="auto"/>
                      <w:sz w:val="18"/>
                      <w:szCs w:val="18"/>
                    </w:rPr>
                    <w:fldChar w:fldCharType="begin"/>
                  </w:r>
                  <w:r>
                    <w:rPr>
                      <w:rFonts w:hint="default" w:ascii="Times New Roman" w:hAnsi="Times New Roman" w:eastAsia="宋体" w:cs="Times New Roman"/>
                      <w:bCs/>
                      <w:color w:val="auto"/>
                      <w:sz w:val="18"/>
                      <w:szCs w:val="18"/>
                    </w:rPr>
                    <w:instrText xml:space="preserve"> = 2 \* GB3 </w:instrText>
                  </w:r>
                  <w:r>
                    <w:rPr>
                      <w:rFonts w:hint="default" w:ascii="Times New Roman" w:hAnsi="Times New Roman" w:eastAsia="宋体" w:cs="Times New Roman"/>
                      <w:bCs/>
                      <w:color w:val="auto"/>
                      <w:sz w:val="18"/>
                      <w:szCs w:val="18"/>
                    </w:rPr>
                    <w:fldChar w:fldCharType="separate"/>
                  </w:r>
                  <w:r>
                    <w:rPr>
                      <w:rFonts w:hint="default" w:ascii="Times New Roman" w:hAnsi="Times New Roman" w:eastAsia="宋体" w:cs="Times New Roman"/>
                      <w:bCs/>
                      <w:color w:val="auto"/>
                      <w:sz w:val="18"/>
                      <w:szCs w:val="18"/>
                    </w:rPr>
                    <w:t>②</w:t>
                  </w:r>
                  <w:r>
                    <w:rPr>
                      <w:rFonts w:hint="default" w:ascii="Times New Roman" w:hAnsi="Times New Roman" w:eastAsia="宋体" w:cs="Times New Roman"/>
                      <w:bCs/>
                      <w:color w:val="auto"/>
                      <w:sz w:val="18"/>
                      <w:szCs w:val="18"/>
                    </w:rPr>
                    <w:fldChar w:fldCharType="end"/>
                  </w:r>
                  <w:r>
                    <w:rPr>
                      <w:rFonts w:hint="default" w:ascii="Times New Roman" w:hAnsi="Times New Roman" w:eastAsia="宋体" w:cs="Times New Roman"/>
                      <w:bCs/>
                      <w:color w:val="auto"/>
                      <w:sz w:val="18"/>
                      <w:szCs w:val="18"/>
                    </w:rPr>
                    <w:t>新建进站道路约</w:t>
                  </w:r>
                  <w:r>
                    <w:rPr>
                      <w:rFonts w:hint="eastAsia" w:cs="Times New Roman"/>
                      <w:bCs/>
                      <w:color w:val="auto"/>
                      <w:sz w:val="18"/>
                      <w:szCs w:val="18"/>
                      <w:lang w:val="en-US" w:eastAsia="zh-CN"/>
                    </w:rPr>
                    <w:t>98</w:t>
                  </w:r>
                  <w:r>
                    <w:rPr>
                      <w:rFonts w:hint="default" w:ascii="Times New Roman" w:hAnsi="Times New Roman" w:eastAsia="宋体" w:cs="Times New Roman"/>
                      <w:bCs/>
                      <w:color w:val="auto"/>
                      <w:sz w:val="18"/>
                      <w:szCs w:val="18"/>
                    </w:rPr>
                    <w:t>m，进站道路两侧</w:t>
                  </w:r>
                  <w:r>
                    <w:rPr>
                      <w:rFonts w:hint="default" w:ascii="Times New Roman" w:hAnsi="Times New Roman" w:eastAsia="宋体" w:cs="Times New Roman"/>
                      <w:bCs/>
                      <w:color w:val="auto"/>
                      <w:sz w:val="18"/>
                      <w:szCs w:val="18"/>
                      <w:lang w:val="en-US" w:eastAsia="zh-CN"/>
                    </w:rPr>
                    <w:t>无</w:t>
                  </w:r>
                  <w:r>
                    <w:rPr>
                      <w:rFonts w:hint="default" w:ascii="Times New Roman" w:hAnsi="Times New Roman" w:eastAsia="宋体" w:cs="Times New Roman"/>
                      <w:bCs/>
                      <w:color w:val="auto"/>
                      <w:sz w:val="18"/>
                      <w:szCs w:val="18"/>
                    </w:rPr>
                    <w:t>民房；</w:t>
                  </w:r>
                  <w:r>
                    <w:rPr>
                      <w:rFonts w:hint="default" w:ascii="Times New Roman" w:hAnsi="Times New Roman" w:eastAsia="宋体" w:cs="Times New Roman"/>
                      <w:bCs/>
                      <w:color w:val="auto"/>
                      <w:sz w:val="18"/>
                      <w:szCs w:val="18"/>
                    </w:rPr>
                    <w:fldChar w:fldCharType="begin"/>
                  </w:r>
                  <w:r>
                    <w:rPr>
                      <w:rFonts w:hint="default" w:ascii="Times New Roman" w:hAnsi="Times New Roman" w:eastAsia="宋体" w:cs="Times New Roman"/>
                      <w:bCs/>
                      <w:color w:val="auto"/>
                      <w:sz w:val="18"/>
                      <w:szCs w:val="18"/>
                    </w:rPr>
                    <w:instrText xml:space="preserve"> = 3 \* GB3 </w:instrText>
                  </w:r>
                  <w:r>
                    <w:rPr>
                      <w:rFonts w:hint="default" w:ascii="Times New Roman" w:hAnsi="Times New Roman" w:eastAsia="宋体" w:cs="Times New Roman"/>
                      <w:bCs/>
                      <w:color w:val="auto"/>
                      <w:sz w:val="18"/>
                      <w:szCs w:val="18"/>
                    </w:rPr>
                    <w:fldChar w:fldCharType="separate"/>
                  </w:r>
                  <w:r>
                    <w:rPr>
                      <w:rFonts w:hint="default" w:ascii="Times New Roman" w:hAnsi="Times New Roman" w:eastAsia="宋体" w:cs="Times New Roman"/>
                      <w:bCs/>
                      <w:color w:val="auto"/>
                      <w:sz w:val="18"/>
                      <w:szCs w:val="18"/>
                    </w:rPr>
                    <w:t>③</w:t>
                  </w:r>
                  <w:r>
                    <w:rPr>
                      <w:rFonts w:hint="default" w:ascii="Times New Roman" w:hAnsi="Times New Roman" w:eastAsia="宋体" w:cs="Times New Roman"/>
                      <w:bCs/>
                      <w:color w:val="auto"/>
                      <w:sz w:val="18"/>
                      <w:szCs w:val="18"/>
                    </w:rPr>
                    <w:fldChar w:fldCharType="end"/>
                  </w:r>
                  <w:r>
                    <w:rPr>
                      <w:rFonts w:hint="default" w:ascii="Times New Roman" w:hAnsi="Times New Roman" w:eastAsia="宋体" w:cs="Times New Roman"/>
                      <w:bCs/>
                      <w:color w:val="auto"/>
                      <w:sz w:val="18"/>
                      <w:szCs w:val="18"/>
                    </w:rPr>
                    <w:t>大件运输在</w:t>
                  </w:r>
                  <w:r>
                    <w:rPr>
                      <w:rFonts w:hint="default" w:ascii="Times New Roman" w:hAnsi="Times New Roman" w:eastAsia="宋体" w:cs="Times New Roman"/>
                      <w:bCs/>
                      <w:color w:val="auto"/>
                      <w:sz w:val="18"/>
                      <w:szCs w:val="18"/>
                      <w:lang w:val="en-US" w:eastAsia="zh-CN"/>
                    </w:rPr>
                    <w:t>巴中</w:t>
                  </w:r>
                  <w:r>
                    <w:rPr>
                      <w:rFonts w:hint="default" w:ascii="Times New Roman" w:hAnsi="Times New Roman" w:eastAsia="宋体" w:cs="Times New Roman"/>
                      <w:bCs/>
                      <w:color w:val="auto"/>
                      <w:sz w:val="18"/>
                      <w:szCs w:val="18"/>
                      <w:lang w:eastAsia="zh-CN"/>
                    </w:rPr>
                    <w:t>市</w:t>
                  </w:r>
                  <w:r>
                    <w:rPr>
                      <w:rFonts w:hint="default" w:ascii="Times New Roman" w:hAnsi="Times New Roman" w:eastAsia="宋体" w:cs="Times New Roman"/>
                      <w:bCs/>
                      <w:color w:val="auto"/>
                      <w:sz w:val="18"/>
                      <w:szCs w:val="18"/>
                    </w:rPr>
                    <w:t>火车站卸货后通过</w:t>
                  </w:r>
                  <w:r>
                    <w:rPr>
                      <w:rFonts w:hint="eastAsia" w:cs="Times New Roman"/>
                      <w:bCs/>
                      <w:color w:val="auto"/>
                      <w:sz w:val="18"/>
                      <w:szCs w:val="18"/>
                      <w:lang w:val="en-US" w:eastAsia="zh-CN"/>
                    </w:rPr>
                    <w:t>恩阳</w:t>
                  </w:r>
                  <w:r>
                    <w:rPr>
                      <w:rFonts w:hint="default" w:ascii="Times New Roman" w:hAnsi="Times New Roman" w:eastAsia="宋体" w:cs="Times New Roman"/>
                      <w:bCs/>
                      <w:color w:val="auto"/>
                      <w:sz w:val="18"/>
                      <w:szCs w:val="18"/>
                      <w:lang w:val="en-US" w:eastAsia="zh-CN"/>
                    </w:rPr>
                    <w:t>主干路</w:t>
                  </w:r>
                  <w:r>
                    <w:rPr>
                      <w:rFonts w:hint="default" w:ascii="Times New Roman" w:hAnsi="Times New Roman" w:eastAsia="宋体" w:cs="Times New Roman"/>
                      <w:bCs/>
                      <w:color w:val="auto"/>
                      <w:sz w:val="18"/>
                      <w:szCs w:val="18"/>
                    </w:rPr>
                    <w:t>、乡道运至本站</w:t>
                  </w:r>
                  <w:r>
                    <w:rPr>
                      <w:rFonts w:hint="default" w:ascii="Times New Roman" w:hAnsi="Times New Roman" w:eastAsia="宋体" w:cs="Times New Roman"/>
                      <w:bCs/>
                      <w:color w:val="auto"/>
                      <w:sz w:val="18"/>
                      <w:szCs w:val="18"/>
                      <w:lang w:eastAsia="zh-CN"/>
                    </w:rPr>
                    <w:t>。④</w:t>
                  </w:r>
                  <w:r>
                    <w:rPr>
                      <w:rFonts w:hint="default" w:ascii="Times New Roman" w:hAnsi="Times New Roman" w:eastAsia="宋体" w:cs="Times New Roman"/>
                      <w:bCs/>
                      <w:color w:val="auto"/>
                      <w:sz w:val="18"/>
                      <w:szCs w:val="18"/>
                      <w:lang w:val="en-US" w:eastAsia="zh-CN"/>
                    </w:rPr>
                    <w:t>占地面积：</w:t>
                  </w:r>
                  <w:r>
                    <w:rPr>
                      <w:rFonts w:hint="eastAsia" w:cs="Times New Roman"/>
                      <w:bCs/>
                      <w:color w:val="auto"/>
                      <w:sz w:val="18"/>
                      <w:szCs w:val="18"/>
                      <w:lang w:val="en-US" w:eastAsia="zh-CN"/>
                    </w:rPr>
                    <w:t>8141</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vertAlign w:val="superscript"/>
                      <w:lang w:val="en-US" w:eastAsia="zh-CN"/>
                    </w:rPr>
                    <w:t>2</w:t>
                  </w:r>
                </w:p>
              </w:tc>
              <w:tc>
                <w:tcPr>
                  <w:tcW w:w="3057" w:type="dxa"/>
                  <w:tcBorders>
                    <w:tl2br w:val="nil"/>
                    <w:tr2bl w:val="nil"/>
                  </w:tcBorders>
                  <w:vAlign w:val="center"/>
                </w:tcPr>
                <w:p w14:paraId="38E4322D">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fldChar w:fldCharType="begin"/>
                  </w:r>
                  <w:r>
                    <w:rPr>
                      <w:rFonts w:hint="default" w:ascii="Times New Roman" w:hAnsi="Times New Roman" w:eastAsia="宋体" w:cs="Times New Roman"/>
                      <w:bCs/>
                      <w:color w:val="auto"/>
                      <w:sz w:val="18"/>
                      <w:szCs w:val="18"/>
                    </w:rPr>
                    <w:instrText xml:space="preserve"> = 1 \* GB3 </w:instrText>
                  </w:r>
                  <w:r>
                    <w:rPr>
                      <w:rFonts w:hint="default" w:ascii="Times New Roman" w:hAnsi="Times New Roman" w:eastAsia="宋体" w:cs="Times New Roman"/>
                      <w:bCs/>
                      <w:color w:val="auto"/>
                      <w:sz w:val="18"/>
                      <w:szCs w:val="18"/>
                    </w:rPr>
                    <w:fldChar w:fldCharType="separate"/>
                  </w:r>
                  <w:r>
                    <w:rPr>
                      <w:rFonts w:hint="default" w:ascii="Times New Roman" w:hAnsi="Times New Roman" w:eastAsia="宋体" w:cs="Times New Roman"/>
                      <w:bCs/>
                      <w:color w:val="auto"/>
                      <w:sz w:val="18"/>
                      <w:szCs w:val="18"/>
                    </w:rPr>
                    <w:t>①</w:t>
                  </w:r>
                  <w:r>
                    <w:rPr>
                      <w:rFonts w:hint="default" w:ascii="Times New Roman" w:hAnsi="Times New Roman" w:eastAsia="宋体" w:cs="Times New Roman"/>
                      <w:bCs/>
                      <w:color w:val="auto"/>
                      <w:sz w:val="18"/>
                      <w:szCs w:val="18"/>
                    </w:rPr>
                    <w:fldChar w:fldCharType="end"/>
                  </w:r>
                  <w:r>
                    <w:rPr>
                      <w:rFonts w:hint="default" w:ascii="Times New Roman" w:hAnsi="Times New Roman" w:eastAsia="宋体" w:cs="Times New Roman"/>
                      <w:bCs/>
                      <w:color w:val="auto"/>
                      <w:sz w:val="18"/>
                      <w:szCs w:val="18"/>
                    </w:rPr>
                    <w:t>阶梯状台地地貌；站址场地地势较开阔，相对高差2</w:t>
                  </w:r>
                  <w:r>
                    <w:rPr>
                      <w:rFonts w:hint="eastAsia" w:cs="Times New Roman"/>
                      <w:bCs/>
                      <w:color w:val="auto"/>
                      <w:sz w:val="18"/>
                      <w:szCs w:val="18"/>
                      <w:lang w:val="en-US" w:eastAsia="zh-CN"/>
                    </w:rPr>
                    <w:t>9</w:t>
                  </w:r>
                  <w:r>
                    <w:rPr>
                      <w:rFonts w:hint="default" w:ascii="Times New Roman" w:hAnsi="Times New Roman" w:eastAsia="宋体" w:cs="Times New Roman"/>
                      <w:bCs/>
                      <w:color w:val="auto"/>
                      <w:sz w:val="18"/>
                      <w:szCs w:val="18"/>
                    </w:rPr>
                    <w:t>m，地形平均坡度约20°；无地下水，无影响工程稳定的不良地质作用和地质灾害；</w:t>
                  </w:r>
                  <w:r>
                    <w:rPr>
                      <w:rFonts w:hint="default" w:ascii="Times New Roman" w:hAnsi="Times New Roman" w:eastAsia="宋体" w:cs="Times New Roman"/>
                      <w:bCs/>
                      <w:color w:val="auto"/>
                      <w:sz w:val="18"/>
                      <w:szCs w:val="18"/>
                    </w:rPr>
                    <w:fldChar w:fldCharType="begin"/>
                  </w:r>
                  <w:r>
                    <w:rPr>
                      <w:rFonts w:hint="default" w:ascii="Times New Roman" w:hAnsi="Times New Roman" w:eastAsia="宋体" w:cs="Times New Roman"/>
                      <w:bCs/>
                      <w:color w:val="auto"/>
                      <w:sz w:val="18"/>
                      <w:szCs w:val="18"/>
                    </w:rPr>
                    <w:instrText xml:space="preserve"> = 2 \* GB3 </w:instrText>
                  </w:r>
                  <w:r>
                    <w:rPr>
                      <w:rFonts w:hint="default" w:ascii="Times New Roman" w:hAnsi="Times New Roman" w:eastAsia="宋体" w:cs="Times New Roman"/>
                      <w:bCs/>
                      <w:color w:val="auto"/>
                      <w:sz w:val="18"/>
                      <w:szCs w:val="18"/>
                    </w:rPr>
                    <w:fldChar w:fldCharType="separate"/>
                  </w:r>
                  <w:r>
                    <w:rPr>
                      <w:rFonts w:hint="default" w:ascii="Times New Roman" w:hAnsi="Times New Roman" w:eastAsia="宋体" w:cs="Times New Roman"/>
                      <w:bCs/>
                      <w:color w:val="auto"/>
                      <w:sz w:val="18"/>
                      <w:szCs w:val="18"/>
                    </w:rPr>
                    <w:t>②</w:t>
                  </w:r>
                  <w:r>
                    <w:rPr>
                      <w:rFonts w:hint="default" w:ascii="Times New Roman" w:hAnsi="Times New Roman" w:eastAsia="宋体" w:cs="Times New Roman"/>
                      <w:bCs/>
                      <w:color w:val="auto"/>
                      <w:sz w:val="18"/>
                      <w:szCs w:val="18"/>
                    </w:rPr>
                    <w:fldChar w:fldCharType="end"/>
                  </w:r>
                  <w:r>
                    <w:rPr>
                      <w:rFonts w:hint="default" w:ascii="Times New Roman" w:hAnsi="Times New Roman" w:eastAsia="宋体" w:cs="Times New Roman"/>
                      <w:bCs/>
                      <w:color w:val="auto"/>
                      <w:sz w:val="18"/>
                      <w:szCs w:val="18"/>
                    </w:rPr>
                    <w:t>新建进站道路</w:t>
                  </w:r>
                  <w:r>
                    <w:rPr>
                      <w:rFonts w:hint="eastAsia" w:cs="Times New Roman"/>
                      <w:bCs/>
                      <w:color w:val="auto"/>
                      <w:sz w:val="18"/>
                      <w:szCs w:val="18"/>
                      <w:lang w:val="en-US" w:eastAsia="zh-CN"/>
                    </w:rPr>
                    <w:t>124</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rPr>
                    <w:t>进站道路两侧</w:t>
                  </w:r>
                  <w:r>
                    <w:rPr>
                      <w:rFonts w:hint="default" w:ascii="Times New Roman" w:hAnsi="Times New Roman" w:eastAsia="宋体" w:cs="Times New Roman"/>
                      <w:bCs/>
                      <w:color w:val="auto"/>
                      <w:sz w:val="18"/>
                      <w:szCs w:val="18"/>
                      <w:lang w:val="en-US" w:eastAsia="zh-CN"/>
                    </w:rPr>
                    <w:t>有</w:t>
                  </w:r>
                  <w:r>
                    <w:rPr>
                      <w:rFonts w:hint="default" w:ascii="Times New Roman" w:hAnsi="Times New Roman" w:eastAsia="宋体" w:cs="Times New Roman"/>
                      <w:bCs/>
                      <w:color w:val="auto"/>
                      <w:sz w:val="18"/>
                      <w:szCs w:val="18"/>
                    </w:rPr>
                    <w:t>民房；</w:t>
                  </w:r>
                  <w:r>
                    <w:rPr>
                      <w:rFonts w:hint="default" w:ascii="Times New Roman" w:hAnsi="Times New Roman" w:eastAsia="宋体" w:cs="Times New Roman"/>
                      <w:bCs/>
                      <w:color w:val="auto"/>
                      <w:sz w:val="18"/>
                      <w:szCs w:val="18"/>
                    </w:rPr>
                    <w:fldChar w:fldCharType="begin"/>
                  </w:r>
                  <w:r>
                    <w:rPr>
                      <w:rFonts w:hint="default" w:ascii="Times New Roman" w:hAnsi="Times New Roman" w:eastAsia="宋体" w:cs="Times New Roman"/>
                      <w:bCs/>
                      <w:color w:val="auto"/>
                      <w:sz w:val="18"/>
                      <w:szCs w:val="18"/>
                    </w:rPr>
                    <w:instrText xml:space="preserve"> = 3 \* GB3 </w:instrText>
                  </w:r>
                  <w:r>
                    <w:rPr>
                      <w:rFonts w:hint="default" w:ascii="Times New Roman" w:hAnsi="Times New Roman" w:eastAsia="宋体" w:cs="Times New Roman"/>
                      <w:bCs/>
                      <w:color w:val="auto"/>
                      <w:sz w:val="18"/>
                      <w:szCs w:val="18"/>
                    </w:rPr>
                    <w:fldChar w:fldCharType="separate"/>
                  </w:r>
                  <w:r>
                    <w:rPr>
                      <w:rFonts w:hint="default" w:ascii="Times New Roman" w:hAnsi="Times New Roman" w:eastAsia="宋体" w:cs="Times New Roman"/>
                      <w:bCs/>
                      <w:color w:val="auto"/>
                      <w:sz w:val="18"/>
                      <w:szCs w:val="18"/>
                    </w:rPr>
                    <w:t>③</w:t>
                  </w:r>
                  <w:r>
                    <w:rPr>
                      <w:rFonts w:hint="default" w:ascii="Times New Roman" w:hAnsi="Times New Roman" w:eastAsia="宋体" w:cs="Times New Roman"/>
                      <w:bCs/>
                      <w:color w:val="auto"/>
                      <w:sz w:val="18"/>
                      <w:szCs w:val="18"/>
                    </w:rPr>
                    <w:fldChar w:fldCharType="end"/>
                  </w:r>
                  <w:r>
                    <w:rPr>
                      <w:rFonts w:hint="default" w:ascii="Times New Roman" w:hAnsi="Times New Roman" w:eastAsia="宋体" w:cs="Times New Roman"/>
                      <w:bCs/>
                      <w:color w:val="auto"/>
                      <w:sz w:val="18"/>
                      <w:szCs w:val="18"/>
                    </w:rPr>
                    <w:t>大件运输在</w:t>
                  </w:r>
                  <w:r>
                    <w:rPr>
                      <w:rFonts w:hint="default" w:ascii="Times New Roman" w:hAnsi="Times New Roman" w:eastAsia="宋体" w:cs="Times New Roman"/>
                      <w:bCs/>
                      <w:color w:val="auto"/>
                      <w:sz w:val="18"/>
                      <w:szCs w:val="18"/>
                      <w:lang w:val="en-US" w:eastAsia="zh-CN"/>
                    </w:rPr>
                    <w:t>巴中</w:t>
                  </w:r>
                  <w:r>
                    <w:rPr>
                      <w:rFonts w:hint="default" w:ascii="Times New Roman" w:hAnsi="Times New Roman" w:eastAsia="宋体" w:cs="Times New Roman"/>
                      <w:bCs/>
                      <w:color w:val="auto"/>
                      <w:sz w:val="18"/>
                      <w:szCs w:val="18"/>
                      <w:lang w:eastAsia="zh-CN"/>
                    </w:rPr>
                    <w:t>市</w:t>
                  </w:r>
                  <w:r>
                    <w:rPr>
                      <w:rFonts w:hint="default" w:ascii="Times New Roman" w:hAnsi="Times New Roman" w:eastAsia="宋体" w:cs="Times New Roman"/>
                      <w:bCs/>
                      <w:color w:val="auto"/>
                      <w:sz w:val="18"/>
                      <w:szCs w:val="18"/>
                    </w:rPr>
                    <w:t>火车站卸货后通过</w:t>
                  </w:r>
                  <w:r>
                    <w:rPr>
                      <w:rFonts w:hint="eastAsia" w:cs="Times New Roman"/>
                      <w:bCs/>
                      <w:color w:val="auto"/>
                      <w:sz w:val="18"/>
                      <w:szCs w:val="18"/>
                      <w:lang w:val="en-US" w:eastAsia="zh-CN"/>
                    </w:rPr>
                    <w:t>恩阳</w:t>
                  </w:r>
                  <w:r>
                    <w:rPr>
                      <w:rFonts w:hint="default" w:ascii="Times New Roman" w:hAnsi="Times New Roman" w:eastAsia="宋体" w:cs="Times New Roman"/>
                      <w:bCs/>
                      <w:color w:val="auto"/>
                      <w:sz w:val="18"/>
                      <w:szCs w:val="18"/>
                      <w:lang w:val="en-US" w:eastAsia="zh-CN"/>
                    </w:rPr>
                    <w:t>主干路</w:t>
                  </w:r>
                  <w:r>
                    <w:rPr>
                      <w:rFonts w:hint="default" w:ascii="Times New Roman" w:hAnsi="Times New Roman" w:eastAsia="宋体" w:cs="Times New Roman"/>
                      <w:bCs/>
                      <w:color w:val="auto"/>
                      <w:sz w:val="18"/>
                      <w:szCs w:val="18"/>
                    </w:rPr>
                    <w:t>、乡道运至本站</w:t>
                  </w:r>
                  <w:r>
                    <w:rPr>
                      <w:rFonts w:hint="default" w:ascii="Times New Roman" w:hAnsi="Times New Roman" w:eastAsia="宋体" w:cs="Times New Roman"/>
                      <w:bCs/>
                      <w:color w:val="auto"/>
                      <w:sz w:val="18"/>
                      <w:szCs w:val="18"/>
                      <w:lang w:eastAsia="zh-CN"/>
                    </w:rPr>
                    <w:t>。④</w:t>
                  </w:r>
                  <w:r>
                    <w:rPr>
                      <w:rFonts w:hint="default" w:ascii="Times New Roman" w:hAnsi="Times New Roman" w:eastAsia="宋体" w:cs="Times New Roman"/>
                      <w:bCs/>
                      <w:color w:val="auto"/>
                      <w:sz w:val="18"/>
                      <w:szCs w:val="18"/>
                      <w:lang w:val="en-US" w:eastAsia="zh-CN"/>
                    </w:rPr>
                    <w:t>占地面积：</w:t>
                  </w:r>
                  <w:r>
                    <w:rPr>
                      <w:rFonts w:hint="eastAsia" w:cs="Times New Roman"/>
                      <w:bCs/>
                      <w:color w:val="auto"/>
                      <w:sz w:val="18"/>
                      <w:szCs w:val="18"/>
                      <w:lang w:val="en-US" w:eastAsia="zh-CN"/>
                    </w:rPr>
                    <w:t>9516</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vertAlign w:val="superscript"/>
                      <w:lang w:val="en-US" w:eastAsia="zh-CN"/>
                    </w:rPr>
                    <w:t>2</w:t>
                  </w:r>
                </w:p>
              </w:tc>
              <w:tc>
                <w:tcPr>
                  <w:tcW w:w="949" w:type="dxa"/>
                  <w:tcBorders>
                    <w:tl2br w:val="nil"/>
                    <w:tr2bl w:val="nil"/>
                  </w:tcBorders>
                  <w:vAlign w:val="center"/>
                </w:tcPr>
                <w:p w14:paraId="21ABC510">
                  <w:pPr>
                    <w:jc w:val="center"/>
                    <w:rPr>
                      <w:rFonts w:hint="default" w:ascii="Times New Roman" w:hAnsi="Times New Roman" w:eastAsia="宋体" w:cs="Times New Roman"/>
                      <w:bCs/>
                      <w:color w:val="auto"/>
                      <w:sz w:val="18"/>
                      <w:szCs w:val="18"/>
                      <w:lang w:val="en-US"/>
                    </w:rPr>
                  </w:pPr>
                  <w:r>
                    <w:rPr>
                      <w:rFonts w:hint="eastAsia" w:cs="Times New Roman"/>
                      <w:bCs/>
                      <w:color w:val="auto"/>
                      <w:sz w:val="18"/>
                      <w:szCs w:val="18"/>
                      <w:lang w:val="en-US" w:eastAsia="zh-CN"/>
                    </w:rPr>
                    <w:t>站址一优</w:t>
                  </w:r>
                </w:p>
              </w:tc>
            </w:tr>
            <w:tr w14:paraId="203FA3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175CE06A">
                  <w:pPr>
                    <w:jc w:val="center"/>
                    <w:rPr>
                      <w:rFonts w:hint="default" w:ascii="Times New Roman" w:hAnsi="Times New Roman" w:eastAsia="宋体" w:cs="Times New Roman"/>
                      <w:bCs/>
                      <w:color w:val="auto"/>
                      <w:sz w:val="18"/>
                      <w:szCs w:val="18"/>
                      <w:lang w:eastAsia="zh-CN"/>
                    </w:rPr>
                  </w:pPr>
                  <w:r>
                    <w:rPr>
                      <w:rFonts w:hint="default" w:ascii="Times New Roman" w:hAnsi="Times New Roman" w:eastAsia="宋体" w:cs="Times New Roman"/>
                      <w:bCs/>
                      <w:color w:val="auto"/>
                      <w:sz w:val="18"/>
                      <w:szCs w:val="18"/>
                      <w:lang w:val="en-US" w:eastAsia="zh-CN"/>
                    </w:rPr>
                    <w:t>5</w:t>
                  </w:r>
                </w:p>
              </w:tc>
              <w:tc>
                <w:tcPr>
                  <w:tcW w:w="986" w:type="dxa"/>
                  <w:tcBorders>
                    <w:tl2br w:val="nil"/>
                    <w:tr2bl w:val="nil"/>
                  </w:tcBorders>
                  <w:vAlign w:val="center"/>
                </w:tcPr>
                <w:p w14:paraId="6BFF6989">
                  <w:pPr>
                    <w:jc w:val="center"/>
                    <w:rPr>
                      <w:rFonts w:hint="default" w:ascii="Times New Roman" w:hAnsi="Times New Roman" w:eastAsia="宋体" w:cs="Times New Roman"/>
                      <w:bCs/>
                      <w:color w:val="auto"/>
                      <w:sz w:val="18"/>
                      <w:szCs w:val="18"/>
                    </w:rPr>
                  </w:pPr>
                  <w:r>
                    <w:rPr>
                      <w:rFonts w:hint="eastAsia"/>
                      <w:color w:val="auto"/>
                      <w:sz w:val="18"/>
                      <w:szCs w:val="18"/>
                    </w:rPr>
                    <w:t>外环境情况</w:t>
                  </w:r>
                </w:p>
              </w:tc>
              <w:tc>
                <w:tcPr>
                  <w:tcW w:w="3068" w:type="dxa"/>
                  <w:tcBorders>
                    <w:tl2br w:val="nil"/>
                    <w:tr2bl w:val="nil"/>
                  </w:tcBorders>
                  <w:vAlign w:val="center"/>
                </w:tcPr>
                <w:p w14:paraId="74552543">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变电站周围</w:t>
                  </w:r>
                  <w:r>
                    <w:rPr>
                      <w:rFonts w:hint="eastAsia" w:cs="Times New Roman"/>
                      <w:bCs/>
                      <w:color w:val="auto"/>
                      <w:sz w:val="18"/>
                      <w:szCs w:val="18"/>
                      <w:lang w:val="en-US" w:eastAsia="zh-CN"/>
                    </w:rPr>
                    <w:t>200</w:t>
                  </w:r>
                  <w:r>
                    <w:rPr>
                      <w:rFonts w:hint="default" w:ascii="Times New Roman" w:hAnsi="Times New Roman" w:eastAsia="宋体" w:cs="Times New Roman"/>
                      <w:bCs/>
                      <w:color w:val="auto"/>
                      <w:sz w:val="18"/>
                      <w:szCs w:val="18"/>
                    </w:rPr>
                    <w:t>m范围</w:t>
                  </w:r>
                  <w:r>
                    <w:rPr>
                      <w:rFonts w:hint="default" w:ascii="Times New Roman" w:hAnsi="Times New Roman" w:eastAsia="宋体" w:cs="Times New Roman"/>
                      <w:bCs/>
                      <w:color w:val="auto"/>
                      <w:sz w:val="18"/>
                      <w:szCs w:val="18"/>
                      <w:lang w:val="en-US" w:eastAsia="zh-CN"/>
                    </w:rPr>
                    <w:t>内</w:t>
                  </w:r>
                  <w:r>
                    <w:rPr>
                      <w:rFonts w:hint="default" w:ascii="Times New Roman" w:hAnsi="Times New Roman" w:eastAsia="宋体" w:cs="Times New Roman"/>
                      <w:bCs/>
                      <w:color w:val="auto"/>
                      <w:sz w:val="18"/>
                      <w:szCs w:val="18"/>
                    </w:rPr>
                    <w:t>有</w:t>
                  </w:r>
                  <w:r>
                    <w:rPr>
                      <w:rFonts w:hint="default" w:ascii="Times New Roman" w:hAnsi="Times New Roman" w:eastAsia="宋体" w:cs="Times New Roman"/>
                      <w:bCs/>
                      <w:color w:val="auto"/>
                      <w:sz w:val="18"/>
                      <w:szCs w:val="18"/>
                      <w:lang w:val="en-US" w:eastAsia="zh-CN"/>
                    </w:rPr>
                    <w:t>约</w:t>
                  </w:r>
                  <w:r>
                    <w:rPr>
                      <w:rFonts w:hint="eastAsia" w:cs="Times New Roman"/>
                      <w:bCs/>
                      <w:color w:val="auto"/>
                      <w:sz w:val="18"/>
                      <w:szCs w:val="18"/>
                      <w:lang w:val="en-US" w:eastAsia="zh-CN"/>
                    </w:rPr>
                    <w:t>15</w:t>
                  </w:r>
                  <w:r>
                    <w:rPr>
                      <w:rFonts w:hint="default" w:ascii="Times New Roman" w:hAnsi="Times New Roman" w:eastAsia="宋体" w:cs="Times New Roman"/>
                      <w:bCs/>
                      <w:color w:val="auto"/>
                      <w:sz w:val="18"/>
                      <w:szCs w:val="18"/>
                    </w:rPr>
                    <w:t>户敏感目标。</w:t>
                  </w:r>
                </w:p>
              </w:tc>
              <w:tc>
                <w:tcPr>
                  <w:tcW w:w="3057" w:type="dxa"/>
                  <w:tcBorders>
                    <w:tl2br w:val="nil"/>
                    <w:tr2bl w:val="nil"/>
                  </w:tcBorders>
                  <w:vAlign w:val="center"/>
                </w:tcPr>
                <w:p w14:paraId="107E0115">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变电站周围</w:t>
                  </w:r>
                  <w:r>
                    <w:rPr>
                      <w:rFonts w:hint="eastAsia" w:cs="Times New Roman"/>
                      <w:bCs/>
                      <w:color w:val="auto"/>
                      <w:sz w:val="18"/>
                      <w:szCs w:val="18"/>
                      <w:lang w:val="en-US" w:eastAsia="zh-CN"/>
                    </w:rPr>
                    <w:t>200</w:t>
                  </w:r>
                  <w:r>
                    <w:rPr>
                      <w:rFonts w:hint="default" w:ascii="Times New Roman" w:hAnsi="Times New Roman" w:eastAsia="宋体" w:cs="Times New Roman"/>
                      <w:bCs/>
                      <w:color w:val="auto"/>
                      <w:sz w:val="18"/>
                      <w:szCs w:val="18"/>
                    </w:rPr>
                    <w:t>m范围</w:t>
                  </w:r>
                  <w:r>
                    <w:rPr>
                      <w:rFonts w:hint="default" w:ascii="Times New Roman" w:hAnsi="Times New Roman" w:eastAsia="宋体" w:cs="Times New Roman"/>
                      <w:bCs/>
                      <w:color w:val="auto"/>
                      <w:sz w:val="18"/>
                      <w:szCs w:val="18"/>
                      <w:lang w:val="en-US" w:eastAsia="zh-CN"/>
                    </w:rPr>
                    <w:t>内</w:t>
                  </w:r>
                  <w:r>
                    <w:rPr>
                      <w:rFonts w:hint="default" w:ascii="Times New Roman" w:hAnsi="Times New Roman" w:eastAsia="宋体" w:cs="Times New Roman"/>
                      <w:bCs/>
                      <w:color w:val="auto"/>
                      <w:sz w:val="18"/>
                      <w:szCs w:val="18"/>
                    </w:rPr>
                    <w:t>有</w:t>
                  </w:r>
                  <w:r>
                    <w:rPr>
                      <w:rFonts w:hint="default" w:ascii="Times New Roman" w:hAnsi="Times New Roman" w:eastAsia="宋体" w:cs="Times New Roman"/>
                      <w:bCs/>
                      <w:color w:val="auto"/>
                      <w:sz w:val="18"/>
                      <w:szCs w:val="18"/>
                      <w:lang w:val="en-US" w:eastAsia="zh-CN"/>
                    </w:rPr>
                    <w:t>约</w:t>
                  </w:r>
                  <w:r>
                    <w:rPr>
                      <w:rFonts w:hint="eastAsia" w:cs="Times New Roman"/>
                      <w:bCs/>
                      <w:color w:val="auto"/>
                      <w:sz w:val="18"/>
                      <w:szCs w:val="18"/>
                      <w:lang w:val="en-US" w:eastAsia="zh-CN"/>
                    </w:rPr>
                    <w:t>6</w:t>
                  </w:r>
                  <w:r>
                    <w:rPr>
                      <w:rFonts w:hint="default" w:ascii="Times New Roman" w:hAnsi="Times New Roman" w:eastAsia="宋体" w:cs="Times New Roman"/>
                      <w:bCs/>
                      <w:color w:val="auto"/>
                      <w:sz w:val="18"/>
                      <w:szCs w:val="18"/>
                    </w:rPr>
                    <w:t>户敏感目标。</w:t>
                  </w:r>
                </w:p>
              </w:tc>
              <w:tc>
                <w:tcPr>
                  <w:tcW w:w="949" w:type="dxa"/>
                  <w:tcBorders>
                    <w:tl2br w:val="nil"/>
                    <w:tr2bl w:val="nil"/>
                  </w:tcBorders>
                  <w:vAlign w:val="center"/>
                </w:tcPr>
                <w:p w14:paraId="7A851A5E">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lang w:val="en-US" w:eastAsia="zh-CN"/>
                    </w:rPr>
                    <w:t>站址</w:t>
                  </w:r>
                  <w:r>
                    <w:rPr>
                      <w:rFonts w:hint="eastAsia" w:cs="Times New Roman"/>
                      <w:bCs/>
                      <w:color w:val="auto"/>
                      <w:sz w:val="18"/>
                      <w:szCs w:val="18"/>
                      <w:lang w:val="en-US" w:eastAsia="zh-CN"/>
                    </w:rPr>
                    <w:t>二</w:t>
                  </w:r>
                  <w:r>
                    <w:rPr>
                      <w:rFonts w:hint="default" w:ascii="Times New Roman" w:hAnsi="Times New Roman" w:eastAsia="宋体" w:cs="Times New Roman"/>
                      <w:bCs/>
                      <w:color w:val="auto"/>
                      <w:sz w:val="18"/>
                      <w:szCs w:val="18"/>
                    </w:rPr>
                    <w:t>优</w:t>
                  </w:r>
                </w:p>
              </w:tc>
            </w:tr>
            <w:tr w14:paraId="1B2AC4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3742012C">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6</w:t>
                  </w:r>
                </w:p>
              </w:tc>
              <w:tc>
                <w:tcPr>
                  <w:tcW w:w="986" w:type="dxa"/>
                  <w:tcBorders>
                    <w:tl2br w:val="nil"/>
                    <w:tr2bl w:val="nil"/>
                  </w:tcBorders>
                  <w:vAlign w:val="center"/>
                </w:tcPr>
                <w:p w14:paraId="6C83F271">
                  <w:pPr>
                    <w:jc w:val="center"/>
                    <w:rPr>
                      <w:rFonts w:hint="default" w:ascii="Times New Roman" w:hAnsi="Times New Roman" w:eastAsia="宋体" w:cs="Times New Roman"/>
                      <w:color w:val="auto"/>
                      <w:sz w:val="18"/>
                      <w:szCs w:val="18"/>
                      <w:lang w:val="en-US" w:eastAsia="zh-CN"/>
                    </w:rPr>
                  </w:pPr>
                  <w:r>
                    <w:rPr>
                      <w:color w:val="auto"/>
                      <w:sz w:val="18"/>
                      <w:szCs w:val="18"/>
                    </w:rPr>
                    <w:t>工程</w:t>
                  </w:r>
                  <w:r>
                    <w:rPr>
                      <w:rFonts w:hint="eastAsia"/>
                      <w:color w:val="auto"/>
                      <w:sz w:val="18"/>
                      <w:szCs w:val="18"/>
                    </w:rPr>
                    <w:t>投资</w:t>
                  </w:r>
                </w:p>
              </w:tc>
              <w:tc>
                <w:tcPr>
                  <w:tcW w:w="3068" w:type="dxa"/>
                  <w:tcBorders>
                    <w:tl2br w:val="nil"/>
                    <w:tr2bl w:val="nil"/>
                  </w:tcBorders>
                  <w:vAlign w:val="center"/>
                </w:tcPr>
                <w:p w14:paraId="6C8B3BE3">
                  <w:pPr>
                    <w:jc w:val="center"/>
                    <w:rPr>
                      <w:rFonts w:hint="default" w:ascii="Times New Roman" w:hAnsi="Times New Roman" w:eastAsia="宋体" w:cs="Times New Roman"/>
                      <w:bCs/>
                      <w:color w:val="auto"/>
                      <w:sz w:val="18"/>
                      <w:szCs w:val="18"/>
                    </w:rPr>
                  </w:pPr>
                  <w:r>
                    <w:rPr>
                      <w:rFonts w:hint="eastAsia" w:cs="Times New Roman"/>
                      <w:bCs/>
                      <w:color w:val="auto"/>
                      <w:sz w:val="18"/>
                      <w:szCs w:val="18"/>
                      <w:lang w:val="en-US" w:eastAsia="zh-CN"/>
                    </w:rPr>
                    <w:t>6508</w:t>
                  </w:r>
                  <w:r>
                    <w:rPr>
                      <w:rFonts w:hint="default" w:ascii="Times New Roman" w:hAnsi="Times New Roman" w:eastAsia="宋体" w:cs="Times New Roman"/>
                      <w:i w:val="0"/>
                      <w:iCs w:val="0"/>
                      <w:color w:val="auto"/>
                      <w:kern w:val="0"/>
                      <w:sz w:val="18"/>
                      <w:szCs w:val="18"/>
                      <w:u w:val="none"/>
                      <w:lang w:val="en-US" w:eastAsia="zh-CN" w:bidi="ar"/>
                    </w:rPr>
                    <w:t>万元</w:t>
                  </w:r>
                </w:p>
              </w:tc>
              <w:tc>
                <w:tcPr>
                  <w:tcW w:w="3057" w:type="dxa"/>
                  <w:tcBorders>
                    <w:tl2br w:val="nil"/>
                    <w:tr2bl w:val="nil"/>
                  </w:tcBorders>
                  <w:vAlign w:val="center"/>
                </w:tcPr>
                <w:p w14:paraId="5A0846C2">
                  <w:pPr>
                    <w:jc w:val="center"/>
                    <w:rPr>
                      <w:rFonts w:hint="default" w:ascii="Times New Roman" w:hAnsi="Times New Roman" w:eastAsia="宋体" w:cs="Times New Roman"/>
                      <w:bCs/>
                      <w:color w:val="auto"/>
                      <w:sz w:val="18"/>
                      <w:szCs w:val="18"/>
                      <w:lang w:val="en-US"/>
                    </w:rPr>
                  </w:pPr>
                  <w:r>
                    <w:rPr>
                      <w:rFonts w:hint="eastAsia" w:cs="Times New Roman"/>
                      <w:bCs/>
                      <w:color w:val="auto"/>
                      <w:sz w:val="18"/>
                      <w:szCs w:val="18"/>
                      <w:lang w:val="en-US" w:eastAsia="zh-CN"/>
                    </w:rPr>
                    <w:t>7629</w:t>
                  </w:r>
                  <w:r>
                    <w:rPr>
                      <w:rFonts w:hint="default" w:ascii="Times New Roman" w:hAnsi="Times New Roman" w:eastAsia="宋体" w:cs="Times New Roman"/>
                      <w:i w:val="0"/>
                      <w:iCs w:val="0"/>
                      <w:color w:val="auto"/>
                      <w:kern w:val="0"/>
                      <w:sz w:val="18"/>
                      <w:szCs w:val="18"/>
                      <w:u w:val="none"/>
                      <w:lang w:val="en-US" w:eastAsia="zh-CN" w:bidi="ar"/>
                    </w:rPr>
                    <w:t>万元</w:t>
                  </w:r>
                </w:p>
              </w:tc>
              <w:tc>
                <w:tcPr>
                  <w:tcW w:w="949" w:type="dxa"/>
                  <w:tcBorders>
                    <w:tl2br w:val="nil"/>
                    <w:tr2bl w:val="nil"/>
                  </w:tcBorders>
                  <w:vAlign w:val="center"/>
                </w:tcPr>
                <w:p w14:paraId="48F05286">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站址一</w:t>
                  </w:r>
                  <w:r>
                    <w:rPr>
                      <w:rFonts w:hint="default" w:ascii="Times New Roman" w:hAnsi="Times New Roman" w:eastAsia="宋体" w:cs="Times New Roman"/>
                      <w:bCs/>
                      <w:color w:val="auto"/>
                      <w:sz w:val="18"/>
                      <w:szCs w:val="18"/>
                    </w:rPr>
                    <w:t>优</w:t>
                  </w:r>
                </w:p>
              </w:tc>
            </w:tr>
            <w:tr w14:paraId="66BA72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54EA57A5">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7</w:t>
                  </w:r>
                </w:p>
              </w:tc>
              <w:tc>
                <w:tcPr>
                  <w:tcW w:w="986" w:type="dxa"/>
                  <w:tcBorders>
                    <w:tl2br w:val="nil"/>
                    <w:tr2bl w:val="nil"/>
                  </w:tcBorders>
                  <w:vAlign w:val="center"/>
                </w:tcPr>
                <w:p w14:paraId="4730AC8C">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土石方</w:t>
                  </w:r>
                </w:p>
              </w:tc>
              <w:tc>
                <w:tcPr>
                  <w:tcW w:w="3068" w:type="dxa"/>
                  <w:tcBorders>
                    <w:tl2br w:val="nil"/>
                    <w:tr2bl w:val="nil"/>
                  </w:tcBorders>
                  <w:vAlign w:val="center"/>
                </w:tcPr>
                <w:p w14:paraId="1445C7B9">
                  <w:pPr>
                    <w:jc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站址挖方</w:t>
                  </w:r>
                  <w:r>
                    <w:rPr>
                      <w:rFonts w:hint="eastAsia" w:cs="Times New Roman"/>
                      <w:bCs/>
                      <w:color w:val="auto"/>
                      <w:sz w:val="18"/>
                      <w:szCs w:val="18"/>
                      <w:lang w:val="en-US" w:eastAsia="zh-CN"/>
                    </w:rPr>
                    <w:t>11786</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vertAlign w:val="superscript"/>
                      <w:lang w:val="en-US" w:eastAsia="zh-CN"/>
                    </w:rPr>
                    <w:t>3</w:t>
                  </w:r>
                  <w:r>
                    <w:rPr>
                      <w:rFonts w:hint="default" w:ascii="Times New Roman" w:hAnsi="Times New Roman" w:eastAsia="宋体" w:cs="Times New Roman"/>
                      <w:bCs/>
                      <w:color w:val="auto"/>
                      <w:sz w:val="18"/>
                      <w:szCs w:val="18"/>
                      <w:vertAlign w:val="baseline"/>
                      <w:lang w:val="en-US" w:eastAsia="zh-CN"/>
                    </w:rPr>
                    <w:t>，填方</w:t>
                  </w:r>
                  <w:r>
                    <w:rPr>
                      <w:rFonts w:hint="eastAsia" w:cs="Times New Roman"/>
                      <w:bCs/>
                      <w:color w:val="auto"/>
                      <w:sz w:val="18"/>
                      <w:szCs w:val="18"/>
                      <w:vertAlign w:val="baseline"/>
                      <w:lang w:val="en-US" w:eastAsia="zh-CN"/>
                    </w:rPr>
                    <w:t>11786</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vertAlign w:val="superscript"/>
                      <w:lang w:val="en-US" w:eastAsia="zh-CN"/>
                    </w:rPr>
                    <w:t>3</w:t>
                  </w:r>
                  <w:r>
                    <w:rPr>
                      <w:rFonts w:hint="default" w:ascii="Times New Roman" w:hAnsi="Times New Roman" w:eastAsia="宋体" w:cs="Times New Roman"/>
                      <w:bCs/>
                      <w:color w:val="auto"/>
                      <w:sz w:val="18"/>
                      <w:szCs w:val="18"/>
                      <w:vertAlign w:val="baseline"/>
                      <w:lang w:val="en-US" w:eastAsia="zh-CN"/>
                    </w:rPr>
                    <w:t>，</w:t>
                  </w:r>
                  <w:r>
                    <w:rPr>
                      <w:rFonts w:hint="eastAsia" w:cs="Times New Roman"/>
                      <w:bCs/>
                      <w:color w:val="auto"/>
                      <w:sz w:val="18"/>
                      <w:szCs w:val="18"/>
                      <w:vertAlign w:val="baseline"/>
                      <w:lang w:val="en-US" w:eastAsia="zh-CN"/>
                    </w:rPr>
                    <w:t>无弃土</w:t>
                  </w:r>
                  <w:r>
                    <w:rPr>
                      <w:rFonts w:hint="default" w:ascii="Times New Roman" w:hAnsi="Times New Roman" w:eastAsia="宋体" w:cs="Times New Roman"/>
                      <w:bCs/>
                      <w:color w:val="auto"/>
                      <w:sz w:val="18"/>
                      <w:szCs w:val="18"/>
                      <w:vertAlign w:val="baseline"/>
                      <w:lang w:val="en-US" w:eastAsia="zh-CN"/>
                    </w:rPr>
                    <w:t>。</w:t>
                  </w:r>
                </w:p>
              </w:tc>
              <w:tc>
                <w:tcPr>
                  <w:tcW w:w="3057" w:type="dxa"/>
                  <w:tcBorders>
                    <w:tl2br w:val="nil"/>
                    <w:tr2bl w:val="nil"/>
                  </w:tcBorders>
                  <w:vAlign w:val="center"/>
                </w:tcPr>
                <w:p w14:paraId="69857D0D">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站址挖方</w:t>
                  </w:r>
                  <w:r>
                    <w:rPr>
                      <w:rFonts w:hint="eastAsia" w:cs="Times New Roman"/>
                      <w:bCs/>
                      <w:color w:val="auto"/>
                      <w:sz w:val="18"/>
                      <w:szCs w:val="18"/>
                      <w:lang w:val="en-US" w:eastAsia="zh-CN"/>
                    </w:rPr>
                    <w:t>12407</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vertAlign w:val="superscript"/>
                      <w:lang w:val="en-US" w:eastAsia="zh-CN"/>
                    </w:rPr>
                    <w:t>3</w:t>
                  </w:r>
                  <w:r>
                    <w:rPr>
                      <w:rFonts w:hint="default" w:ascii="Times New Roman" w:hAnsi="Times New Roman" w:eastAsia="宋体" w:cs="Times New Roman"/>
                      <w:bCs/>
                      <w:color w:val="auto"/>
                      <w:sz w:val="18"/>
                      <w:szCs w:val="18"/>
                      <w:lang w:val="en-US" w:eastAsia="zh-CN"/>
                    </w:rPr>
                    <w:t>，填方</w:t>
                  </w:r>
                  <w:r>
                    <w:rPr>
                      <w:rFonts w:hint="eastAsia" w:cs="Times New Roman"/>
                      <w:bCs/>
                      <w:color w:val="auto"/>
                      <w:sz w:val="18"/>
                      <w:szCs w:val="18"/>
                      <w:lang w:val="en-US" w:eastAsia="zh-CN"/>
                    </w:rPr>
                    <w:t>10359</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vertAlign w:val="superscript"/>
                      <w:lang w:val="en-US" w:eastAsia="zh-CN"/>
                    </w:rPr>
                    <w:t>3</w:t>
                  </w:r>
                  <w:r>
                    <w:rPr>
                      <w:rFonts w:hint="default" w:ascii="Times New Roman" w:hAnsi="Times New Roman" w:eastAsia="宋体" w:cs="Times New Roman"/>
                      <w:bCs/>
                      <w:color w:val="auto"/>
                      <w:sz w:val="18"/>
                      <w:szCs w:val="18"/>
                      <w:lang w:val="en-US" w:eastAsia="zh-CN"/>
                    </w:rPr>
                    <w:t>，弃土</w:t>
                  </w:r>
                  <w:r>
                    <w:rPr>
                      <w:rFonts w:hint="eastAsia" w:cs="Times New Roman"/>
                      <w:bCs/>
                      <w:color w:val="auto"/>
                      <w:sz w:val="18"/>
                      <w:szCs w:val="18"/>
                      <w:lang w:val="en-US" w:eastAsia="zh-CN"/>
                    </w:rPr>
                    <w:t>2048</w:t>
                  </w:r>
                  <w:r>
                    <w:rPr>
                      <w:rFonts w:hint="default" w:ascii="Times New Roman" w:hAnsi="Times New Roman" w:eastAsia="宋体" w:cs="Times New Roman"/>
                      <w:bCs/>
                      <w:color w:val="auto"/>
                      <w:sz w:val="18"/>
                      <w:szCs w:val="18"/>
                      <w:lang w:val="en-US" w:eastAsia="zh-CN"/>
                    </w:rPr>
                    <w:t>m</w:t>
                  </w:r>
                  <w:r>
                    <w:rPr>
                      <w:rFonts w:hint="default" w:ascii="Times New Roman" w:hAnsi="Times New Roman" w:eastAsia="宋体" w:cs="Times New Roman"/>
                      <w:bCs/>
                      <w:color w:val="auto"/>
                      <w:sz w:val="18"/>
                      <w:szCs w:val="18"/>
                      <w:vertAlign w:val="superscript"/>
                      <w:lang w:val="en-US" w:eastAsia="zh-CN"/>
                    </w:rPr>
                    <w:t>3</w:t>
                  </w:r>
                  <w:r>
                    <w:rPr>
                      <w:rFonts w:hint="default" w:ascii="Times New Roman" w:hAnsi="Times New Roman" w:eastAsia="宋体" w:cs="Times New Roman"/>
                      <w:bCs/>
                      <w:color w:val="auto"/>
                      <w:sz w:val="18"/>
                      <w:szCs w:val="18"/>
                      <w:vertAlign w:val="baseline"/>
                      <w:lang w:val="en-US" w:eastAsia="zh-CN"/>
                    </w:rPr>
                    <w:t>。</w:t>
                  </w:r>
                </w:p>
              </w:tc>
              <w:tc>
                <w:tcPr>
                  <w:tcW w:w="949" w:type="dxa"/>
                  <w:tcBorders>
                    <w:tl2br w:val="nil"/>
                    <w:tr2bl w:val="nil"/>
                  </w:tcBorders>
                  <w:vAlign w:val="center"/>
                </w:tcPr>
                <w:p w14:paraId="61443A09">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站址一</w:t>
                  </w:r>
                  <w:r>
                    <w:rPr>
                      <w:rFonts w:hint="default" w:ascii="Times New Roman" w:hAnsi="Times New Roman" w:eastAsia="宋体" w:cs="Times New Roman"/>
                      <w:bCs/>
                      <w:color w:val="auto"/>
                      <w:sz w:val="18"/>
                      <w:szCs w:val="18"/>
                    </w:rPr>
                    <w:t>优</w:t>
                  </w:r>
                </w:p>
              </w:tc>
            </w:tr>
            <w:tr w14:paraId="3BD23E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388D78D4">
                  <w:pPr>
                    <w:jc w:val="center"/>
                    <w:rPr>
                      <w:rFonts w:hint="default" w:ascii="Times New Roman" w:hAnsi="Times New Roman" w:eastAsia="宋体" w:cs="Times New Roman"/>
                      <w:bCs/>
                      <w:color w:val="auto"/>
                      <w:sz w:val="18"/>
                      <w:szCs w:val="18"/>
                      <w:lang w:val="en-US" w:eastAsia="zh-CN"/>
                    </w:rPr>
                  </w:pPr>
                  <w:r>
                    <w:rPr>
                      <w:rFonts w:hint="eastAsia" w:cs="Times New Roman"/>
                      <w:bCs/>
                      <w:color w:val="auto"/>
                      <w:sz w:val="18"/>
                      <w:szCs w:val="18"/>
                      <w:lang w:val="en-US" w:eastAsia="zh-CN"/>
                    </w:rPr>
                    <w:t>9</w:t>
                  </w:r>
                </w:p>
              </w:tc>
              <w:tc>
                <w:tcPr>
                  <w:tcW w:w="986" w:type="dxa"/>
                  <w:tcBorders>
                    <w:tl2br w:val="nil"/>
                    <w:tr2bl w:val="nil"/>
                  </w:tcBorders>
                  <w:vAlign w:val="center"/>
                </w:tcPr>
                <w:p w14:paraId="05CAA5F4">
                  <w:pPr>
                    <w:jc w:val="center"/>
                    <w:rPr>
                      <w:rFonts w:hint="eastAsia"/>
                      <w:color w:val="auto"/>
                      <w:sz w:val="18"/>
                      <w:szCs w:val="18"/>
                      <w:lang w:val="en-US" w:eastAsia="zh-CN"/>
                    </w:rPr>
                  </w:pPr>
                  <w:r>
                    <w:rPr>
                      <w:rFonts w:hint="eastAsia"/>
                      <w:color w:val="auto"/>
                      <w:sz w:val="18"/>
                      <w:szCs w:val="18"/>
                      <w:lang w:val="en-US" w:eastAsia="zh-CN"/>
                    </w:rPr>
                    <w:t>林木砍伐</w:t>
                  </w:r>
                </w:p>
                <w:p w14:paraId="29385858">
                  <w:pPr>
                    <w:jc w:val="center"/>
                    <w:rPr>
                      <w:rFonts w:hint="default" w:ascii="Times New Roman" w:hAnsi="Times New Roman" w:eastAsia="宋体" w:cs="Times New Roman"/>
                      <w:color w:val="auto"/>
                      <w:sz w:val="18"/>
                      <w:szCs w:val="18"/>
                      <w:lang w:val="en-US" w:eastAsia="zh-CN"/>
                    </w:rPr>
                  </w:pPr>
                  <w:r>
                    <w:rPr>
                      <w:rFonts w:hint="eastAsia"/>
                      <w:color w:val="auto"/>
                      <w:sz w:val="18"/>
                      <w:szCs w:val="18"/>
                      <w:lang w:val="en-US" w:eastAsia="zh-CN"/>
                    </w:rPr>
                    <w:t>情况</w:t>
                  </w:r>
                </w:p>
              </w:tc>
              <w:tc>
                <w:tcPr>
                  <w:tcW w:w="3068" w:type="dxa"/>
                  <w:tcBorders>
                    <w:tl2br w:val="nil"/>
                    <w:tr2bl w:val="nil"/>
                  </w:tcBorders>
                  <w:vAlign w:val="center"/>
                </w:tcPr>
                <w:p w14:paraId="4E5FDC4B">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i w:val="0"/>
                      <w:iCs w:val="0"/>
                      <w:color w:val="auto"/>
                      <w:kern w:val="0"/>
                      <w:sz w:val="18"/>
                      <w:szCs w:val="18"/>
                      <w:u w:val="none"/>
                      <w:lang w:val="en-US" w:eastAsia="zh-CN" w:bidi="ar"/>
                    </w:rPr>
                    <w:t>挖填方量较少，占地面积较</w:t>
                  </w:r>
                  <w:r>
                    <w:rPr>
                      <w:rFonts w:hint="eastAsia" w:cs="Times New Roman"/>
                      <w:i w:val="0"/>
                      <w:iCs w:val="0"/>
                      <w:color w:val="auto"/>
                      <w:kern w:val="0"/>
                      <w:sz w:val="18"/>
                      <w:szCs w:val="18"/>
                      <w:u w:val="none"/>
                      <w:lang w:val="en-US" w:eastAsia="zh-CN" w:bidi="ar"/>
                    </w:rPr>
                    <w:t>小</w:t>
                  </w:r>
                  <w:r>
                    <w:rPr>
                      <w:rFonts w:hint="default" w:ascii="Times New Roman" w:hAnsi="Times New Roman" w:eastAsia="宋体" w:cs="Times New Roman"/>
                      <w:i w:val="0"/>
                      <w:iCs w:val="0"/>
                      <w:color w:val="auto"/>
                      <w:kern w:val="0"/>
                      <w:sz w:val="18"/>
                      <w:szCs w:val="18"/>
                      <w:u w:val="none"/>
                      <w:lang w:val="en-US" w:eastAsia="zh-CN" w:bidi="ar"/>
                    </w:rPr>
                    <w:t>，砍伐树木较少。</w:t>
                  </w:r>
                </w:p>
              </w:tc>
              <w:tc>
                <w:tcPr>
                  <w:tcW w:w="3057" w:type="dxa"/>
                  <w:tcBorders>
                    <w:tl2br w:val="nil"/>
                    <w:tr2bl w:val="nil"/>
                  </w:tcBorders>
                  <w:vAlign w:val="center"/>
                </w:tcPr>
                <w:p w14:paraId="386B519E">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i w:val="0"/>
                      <w:iCs w:val="0"/>
                      <w:color w:val="auto"/>
                      <w:kern w:val="0"/>
                      <w:sz w:val="18"/>
                      <w:szCs w:val="18"/>
                      <w:u w:val="none"/>
                      <w:lang w:val="en-US" w:eastAsia="zh-CN" w:bidi="ar"/>
                    </w:rPr>
                    <w:t>挖填方量较多，占地面积较大，砍伐树木较多。</w:t>
                  </w:r>
                </w:p>
              </w:tc>
              <w:tc>
                <w:tcPr>
                  <w:tcW w:w="949" w:type="dxa"/>
                  <w:tcBorders>
                    <w:tl2br w:val="nil"/>
                    <w:tr2bl w:val="nil"/>
                  </w:tcBorders>
                  <w:vAlign w:val="center"/>
                </w:tcPr>
                <w:p w14:paraId="68BB94C2">
                  <w:pPr>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站址一</w:t>
                  </w:r>
                  <w:r>
                    <w:rPr>
                      <w:rFonts w:hint="default" w:ascii="Times New Roman" w:hAnsi="Times New Roman" w:eastAsia="宋体" w:cs="Times New Roman"/>
                      <w:bCs/>
                      <w:color w:val="auto"/>
                      <w:sz w:val="18"/>
                      <w:szCs w:val="18"/>
                    </w:rPr>
                    <w:t>优</w:t>
                  </w:r>
                </w:p>
              </w:tc>
            </w:tr>
            <w:tr w14:paraId="277257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 w:type="dxa"/>
                  <w:tcBorders>
                    <w:tl2br w:val="nil"/>
                    <w:tr2bl w:val="nil"/>
                  </w:tcBorders>
                  <w:vAlign w:val="center"/>
                </w:tcPr>
                <w:p w14:paraId="0845FA88">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结论</w:t>
                  </w:r>
                </w:p>
              </w:tc>
              <w:tc>
                <w:tcPr>
                  <w:tcW w:w="8060" w:type="dxa"/>
                  <w:gridSpan w:val="4"/>
                  <w:tcBorders>
                    <w:tl2br w:val="nil"/>
                    <w:tr2bl w:val="nil"/>
                  </w:tcBorders>
                  <w:vAlign w:val="center"/>
                </w:tcPr>
                <w:p w14:paraId="503EB611">
                  <w:pPr>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站址一优</w:t>
                  </w:r>
                </w:p>
              </w:tc>
            </w:tr>
          </w:tbl>
          <w:p w14:paraId="322A1B6F">
            <w:pPr>
              <w:spacing w:line="360" w:lineRule="auto"/>
              <w:ind w:firstLine="420" w:firstLineChars="200"/>
              <w:rPr>
                <w:bCs/>
                <w:color w:val="auto"/>
                <w:szCs w:val="21"/>
              </w:rPr>
            </w:pPr>
            <w:r>
              <w:rPr>
                <w:rFonts w:hint="eastAsia"/>
                <w:bCs/>
                <w:color w:val="auto"/>
                <w:szCs w:val="21"/>
              </w:rPr>
              <w:t>从上述两个站址方案的环境角度进行分析：</w:t>
            </w:r>
          </w:p>
          <w:p w14:paraId="09173DF8">
            <w:pPr>
              <w:spacing w:line="360" w:lineRule="auto"/>
              <w:ind w:firstLine="420" w:firstLineChars="200"/>
              <w:rPr>
                <w:rFonts w:hint="eastAsia"/>
                <w:bCs/>
                <w:color w:val="auto"/>
                <w:szCs w:val="21"/>
              </w:rPr>
            </w:pPr>
            <w:r>
              <w:rPr>
                <w:rFonts w:hint="eastAsia"/>
                <w:bCs/>
                <w:color w:val="auto"/>
                <w:szCs w:val="21"/>
              </w:rPr>
              <w:t>（</w:t>
            </w:r>
            <w:r>
              <w:rPr>
                <w:rFonts w:hint="eastAsia"/>
                <w:bCs/>
                <w:color w:val="auto"/>
                <w:szCs w:val="21"/>
                <w:lang w:val="en-US" w:eastAsia="zh-CN"/>
              </w:rPr>
              <w:t>1</w:t>
            </w:r>
            <w:r>
              <w:rPr>
                <w:rFonts w:hint="eastAsia"/>
                <w:bCs/>
                <w:color w:val="auto"/>
                <w:szCs w:val="21"/>
              </w:rPr>
              <w:t>）</w:t>
            </w:r>
            <w:r>
              <w:rPr>
                <w:rFonts w:hint="eastAsia"/>
                <w:bCs/>
                <w:color w:val="auto"/>
                <w:szCs w:val="21"/>
                <w:lang w:val="en-US" w:eastAsia="zh-CN"/>
              </w:rPr>
              <w:t>从占地面积及土石方来看，站址一占地面积较小，挖填方量较少，无弃土，站址二的占地面积更大，挖填方量更多</w:t>
            </w:r>
            <w:r>
              <w:rPr>
                <w:rFonts w:hint="eastAsia"/>
                <w:bCs/>
                <w:color w:val="auto"/>
                <w:szCs w:val="21"/>
              </w:rPr>
              <w:t>，</w:t>
            </w:r>
            <w:r>
              <w:rPr>
                <w:rFonts w:hint="eastAsia"/>
                <w:bCs/>
                <w:color w:val="auto"/>
                <w:szCs w:val="21"/>
                <w:lang w:val="en-US" w:eastAsia="zh-CN"/>
              </w:rPr>
              <w:t>弃土也更多，</w:t>
            </w:r>
            <w:r>
              <w:rPr>
                <w:rFonts w:hint="eastAsia"/>
                <w:bCs/>
                <w:color w:val="auto"/>
                <w:szCs w:val="21"/>
              </w:rPr>
              <w:t>因此，</w:t>
            </w:r>
            <w:r>
              <w:rPr>
                <w:rFonts w:hint="eastAsia"/>
                <w:bCs/>
                <w:color w:val="auto"/>
                <w:szCs w:val="21"/>
                <w:lang w:val="en-US" w:eastAsia="zh-CN"/>
              </w:rPr>
              <w:t>站址一相较站址二对</w:t>
            </w:r>
            <w:r>
              <w:rPr>
                <w:rFonts w:hint="eastAsia"/>
                <w:bCs/>
                <w:color w:val="auto"/>
                <w:szCs w:val="21"/>
              </w:rPr>
              <w:t>生态</w:t>
            </w:r>
            <w:r>
              <w:rPr>
                <w:rFonts w:hint="eastAsia"/>
                <w:bCs/>
                <w:color w:val="auto"/>
                <w:szCs w:val="21"/>
                <w:lang w:val="en-US" w:eastAsia="zh-CN"/>
              </w:rPr>
              <w:t>环境</w:t>
            </w:r>
            <w:r>
              <w:rPr>
                <w:rFonts w:hint="eastAsia"/>
                <w:bCs/>
                <w:color w:val="auto"/>
                <w:szCs w:val="21"/>
              </w:rPr>
              <w:t>及水土流失</w:t>
            </w:r>
            <w:r>
              <w:rPr>
                <w:rFonts w:hint="eastAsia"/>
                <w:bCs/>
                <w:color w:val="auto"/>
                <w:szCs w:val="21"/>
                <w:lang w:eastAsia="zh-CN"/>
              </w:rPr>
              <w:t>的</w:t>
            </w:r>
            <w:r>
              <w:rPr>
                <w:rFonts w:hint="eastAsia"/>
                <w:bCs/>
                <w:color w:val="auto"/>
                <w:szCs w:val="21"/>
                <w:lang w:val="en-US" w:eastAsia="zh-CN"/>
              </w:rPr>
              <w:t>影响更小</w:t>
            </w:r>
            <w:r>
              <w:rPr>
                <w:rFonts w:hint="eastAsia"/>
                <w:bCs/>
                <w:color w:val="auto"/>
                <w:szCs w:val="21"/>
              </w:rPr>
              <w:t>。</w:t>
            </w:r>
          </w:p>
          <w:p w14:paraId="1D1F23FF">
            <w:pPr>
              <w:pStyle w:val="24"/>
              <w:spacing w:after="0" w:line="360" w:lineRule="auto"/>
              <w:ind w:left="0" w:leftChars="0" w:firstLine="420" w:firstLineChars="200"/>
              <w:rPr>
                <w:rFonts w:hint="eastAsia" w:eastAsia="宋体"/>
                <w:color w:val="auto"/>
                <w:lang w:eastAsia="zh-CN"/>
              </w:rPr>
            </w:pPr>
            <w:r>
              <w:rPr>
                <w:rFonts w:hint="eastAsia"/>
                <w:bCs/>
                <w:color w:val="auto"/>
                <w:szCs w:val="21"/>
                <w:lang w:eastAsia="zh-CN"/>
              </w:rPr>
              <w:t>（</w:t>
            </w:r>
            <w:r>
              <w:rPr>
                <w:rFonts w:hint="eastAsia"/>
                <w:bCs/>
                <w:color w:val="auto"/>
                <w:szCs w:val="21"/>
                <w:lang w:val="en-US" w:eastAsia="zh-CN"/>
              </w:rPr>
              <w:t>3</w:t>
            </w:r>
            <w:r>
              <w:rPr>
                <w:rFonts w:hint="eastAsia"/>
                <w:bCs/>
                <w:color w:val="auto"/>
                <w:szCs w:val="21"/>
                <w:lang w:eastAsia="zh-CN"/>
              </w:rPr>
              <w:t>）</w:t>
            </w:r>
            <w:r>
              <w:rPr>
                <w:rFonts w:hint="eastAsia"/>
                <w:bCs/>
                <w:color w:val="auto"/>
                <w:szCs w:val="21"/>
                <w:lang w:val="en-US" w:eastAsia="zh-CN"/>
              </w:rPr>
              <w:t>从地理位置及林木砍伐情况来看，相比站址二，站址一距城区更近，交通便利。站址二土地性质是耕地、林地，占用林地，砍伐量较大。站址一土地性质是建设用地、耕地，占用建设用地，减少了对树木的砍伐和破坏</w:t>
            </w:r>
            <w:r>
              <w:rPr>
                <w:rFonts w:hint="eastAsia"/>
                <w:bCs/>
                <w:color w:val="auto"/>
                <w:szCs w:val="21"/>
                <w:lang w:eastAsia="zh-CN"/>
              </w:rPr>
              <w:t>，对</w:t>
            </w:r>
            <w:r>
              <w:rPr>
                <w:rFonts w:hint="eastAsia"/>
                <w:bCs/>
                <w:color w:val="auto"/>
                <w:szCs w:val="21"/>
                <w:lang w:val="en-US" w:eastAsia="zh-CN"/>
              </w:rPr>
              <w:t>生态环境及</w:t>
            </w:r>
            <w:r>
              <w:rPr>
                <w:rFonts w:hint="eastAsia"/>
                <w:bCs/>
                <w:color w:val="auto"/>
                <w:szCs w:val="21"/>
                <w:lang w:eastAsia="zh-CN"/>
              </w:rPr>
              <w:t>当地居民生产生活的影响</w:t>
            </w:r>
            <w:r>
              <w:rPr>
                <w:rFonts w:hint="eastAsia"/>
                <w:bCs/>
                <w:color w:val="auto"/>
                <w:szCs w:val="21"/>
                <w:lang w:val="en-US" w:eastAsia="zh-CN"/>
              </w:rPr>
              <w:t>更小</w:t>
            </w:r>
            <w:r>
              <w:rPr>
                <w:rFonts w:hint="eastAsia"/>
                <w:bCs/>
                <w:color w:val="auto"/>
                <w:szCs w:val="21"/>
                <w:lang w:eastAsia="zh-CN"/>
              </w:rPr>
              <w:t>。</w:t>
            </w:r>
          </w:p>
          <w:p w14:paraId="3A6F58E6">
            <w:pPr>
              <w:spacing w:line="360" w:lineRule="auto"/>
              <w:ind w:firstLine="420" w:firstLineChars="200"/>
              <w:rPr>
                <w:rFonts w:hint="eastAsia"/>
                <w:bCs/>
                <w:color w:val="auto"/>
                <w:szCs w:val="21"/>
              </w:rPr>
            </w:pPr>
            <w:r>
              <w:rPr>
                <w:rFonts w:hint="eastAsia"/>
                <w:bCs/>
                <w:color w:val="auto"/>
                <w:szCs w:val="21"/>
              </w:rPr>
              <w:t>综上所述，从环境保护角度分析，</w:t>
            </w:r>
            <w:r>
              <w:rPr>
                <w:rFonts w:hint="eastAsia"/>
                <w:bCs/>
                <w:color w:val="auto"/>
                <w:szCs w:val="21"/>
                <w:lang w:val="en-US" w:eastAsia="zh-CN"/>
              </w:rPr>
              <w:t>站址一需修建的进站道路较短，砍伐树木较少，挖填方量较少，</w:t>
            </w:r>
            <w:r>
              <w:rPr>
                <w:rFonts w:hint="eastAsia"/>
                <w:bCs/>
                <w:color w:val="auto"/>
                <w:szCs w:val="21"/>
              </w:rPr>
              <w:t>相比之下，更适合变电站及配套输电线路的建设，因此，本次评价推荐采用</w:t>
            </w:r>
            <w:r>
              <w:rPr>
                <w:rFonts w:hint="eastAsia"/>
                <w:bCs/>
                <w:color w:val="auto"/>
                <w:szCs w:val="21"/>
                <w:lang w:val="en-US" w:eastAsia="zh-CN"/>
              </w:rPr>
              <w:t>站址一</w:t>
            </w:r>
            <w:r>
              <w:rPr>
                <w:rFonts w:hint="eastAsia"/>
                <w:bCs/>
                <w:color w:val="auto"/>
                <w:szCs w:val="21"/>
              </w:rPr>
              <w:t>（</w:t>
            </w:r>
            <w:r>
              <w:rPr>
                <w:rFonts w:hint="eastAsia"/>
                <w:bCs/>
                <w:color w:val="auto"/>
                <w:szCs w:val="21"/>
                <w:lang w:eastAsia="zh-CN"/>
              </w:rPr>
              <w:t>巴中市恩阳区登科街道石马社区5组</w:t>
            </w:r>
            <w:r>
              <w:rPr>
                <w:rFonts w:hint="eastAsia"/>
                <w:bCs/>
                <w:color w:val="auto"/>
                <w:szCs w:val="21"/>
              </w:rPr>
              <w:t>）作为变电站的建设站址。同时，该站址已经取得了</w:t>
            </w:r>
            <w:r>
              <w:rPr>
                <w:rFonts w:hint="eastAsia"/>
                <w:bCs/>
                <w:color w:val="auto"/>
                <w:szCs w:val="21"/>
                <w:lang w:val="en-US" w:eastAsia="zh-CN"/>
              </w:rPr>
              <w:t>建设项目</w:t>
            </w:r>
            <w:r>
              <w:rPr>
                <w:rFonts w:hint="eastAsia"/>
                <w:bCs/>
                <w:color w:val="auto"/>
                <w:szCs w:val="21"/>
              </w:rPr>
              <w:t>用地预审</w:t>
            </w:r>
            <w:r>
              <w:rPr>
                <w:rFonts w:hint="eastAsia"/>
                <w:bCs/>
                <w:color w:val="auto"/>
                <w:szCs w:val="21"/>
                <w:highlight w:val="none"/>
              </w:rPr>
              <w:t>与选址意见书（用字第5119032025XS0003543号）</w:t>
            </w:r>
            <w:r>
              <w:rPr>
                <w:rFonts w:hint="eastAsia"/>
                <w:bCs/>
                <w:color w:val="auto"/>
                <w:szCs w:val="21"/>
                <w:highlight w:val="none"/>
                <w:lang w:val="en-US" w:eastAsia="zh-CN"/>
              </w:rPr>
              <w:t>以及</w:t>
            </w:r>
            <w:r>
              <w:rPr>
                <w:rFonts w:hint="eastAsia"/>
                <w:color w:val="auto"/>
                <w:szCs w:val="21"/>
                <w:highlight w:val="none"/>
                <w:lang w:val="en-US" w:eastAsia="zh-CN"/>
              </w:rPr>
              <w:t>巴中市自然资源和规划局恩阳分局出具的《关于巴中恩阳司城110千伏输变电工程变电站站址及线路路径走廊的复函》（</w:t>
            </w:r>
            <w:r>
              <w:rPr>
                <w:rFonts w:hint="eastAsia"/>
                <w:color w:val="auto"/>
                <w:szCs w:val="21"/>
                <w:highlight w:val="none"/>
              </w:rPr>
              <w:t>见附件</w:t>
            </w:r>
            <w:r>
              <w:rPr>
                <w:rFonts w:hint="eastAsia"/>
                <w:color w:val="auto"/>
                <w:szCs w:val="21"/>
                <w:highlight w:val="none"/>
                <w:lang w:val="en-US" w:eastAsia="zh-CN"/>
              </w:rPr>
              <w:t>5</w:t>
            </w:r>
            <w:r>
              <w:rPr>
                <w:rFonts w:hint="eastAsia"/>
                <w:color w:val="auto"/>
                <w:szCs w:val="21"/>
                <w:highlight w:val="none"/>
              </w:rPr>
              <w:t>）</w:t>
            </w:r>
            <w:r>
              <w:rPr>
                <w:rFonts w:hint="eastAsia"/>
                <w:color w:val="auto"/>
                <w:szCs w:val="21"/>
                <w:highlight w:val="none"/>
                <w:lang w:eastAsia="zh-CN"/>
              </w:rPr>
              <w:t>，</w:t>
            </w:r>
            <w:r>
              <w:rPr>
                <w:rFonts w:hint="eastAsia"/>
                <w:bCs/>
                <w:color w:val="auto"/>
                <w:szCs w:val="21"/>
              </w:rPr>
              <w:t>本项目的建设符合</w:t>
            </w:r>
            <w:r>
              <w:rPr>
                <w:rFonts w:hint="eastAsia"/>
                <w:color w:val="auto"/>
                <w:szCs w:val="21"/>
                <w:lang w:val="en-US" w:eastAsia="zh-CN"/>
              </w:rPr>
              <w:t>巴中</w:t>
            </w:r>
            <w:r>
              <w:rPr>
                <w:rFonts w:hint="eastAsia"/>
                <w:color w:val="auto"/>
                <w:szCs w:val="21"/>
                <w:lang w:eastAsia="zh-CN"/>
              </w:rPr>
              <w:t>市</w:t>
            </w:r>
            <w:r>
              <w:rPr>
                <w:rFonts w:hint="eastAsia"/>
                <w:color w:val="auto"/>
                <w:szCs w:val="21"/>
              </w:rPr>
              <w:t>国土空间规划</w:t>
            </w:r>
            <w:r>
              <w:rPr>
                <w:rFonts w:hint="eastAsia"/>
                <w:bCs/>
                <w:color w:val="auto"/>
                <w:szCs w:val="21"/>
              </w:rPr>
              <w:t>和城乡建设规划。</w:t>
            </w:r>
          </w:p>
          <w:p w14:paraId="59D66EEA">
            <w:pPr>
              <w:spacing w:line="360" w:lineRule="auto"/>
              <w:ind w:firstLine="420" w:firstLineChars="200"/>
              <w:rPr>
                <w:color w:val="auto"/>
                <w:szCs w:val="21"/>
              </w:rPr>
            </w:pPr>
            <w:r>
              <w:rPr>
                <w:color w:val="auto"/>
                <w:szCs w:val="21"/>
              </w:rPr>
              <w:t>该站址具有以下特点：</w:t>
            </w:r>
            <w:r>
              <w:rPr>
                <w:rFonts w:hint="eastAsia" w:ascii="宋体" w:hAnsi="宋体" w:cs="宋体"/>
                <w:color w:val="auto"/>
                <w:szCs w:val="21"/>
              </w:rPr>
              <w:t>①</w:t>
            </w:r>
            <w:r>
              <w:rPr>
                <w:color w:val="auto"/>
                <w:szCs w:val="21"/>
              </w:rPr>
              <w:t>站址附近无军事设施、飞机场等重要无线电保护设施，地势开阔；</w:t>
            </w:r>
            <w:r>
              <w:rPr>
                <w:rFonts w:hint="eastAsia" w:ascii="宋体" w:hAnsi="宋体" w:cs="宋体"/>
                <w:color w:val="auto"/>
                <w:szCs w:val="21"/>
              </w:rPr>
              <w:t>②</w:t>
            </w:r>
            <w:r>
              <w:rPr>
                <w:color w:val="auto"/>
                <w:szCs w:val="21"/>
              </w:rPr>
              <w:t>站址附近无风景名胜区、自然保护区、森林公园等生态敏感</w:t>
            </w:r>
            <w:r>
              <w:rPr>
                <w:rFonts w:hint="eastAsia"/>
                <w:color w:val="auto"/>
                <w:szCs w:val="21"/>
                <w:lang w:val="en-US" w:eastAsia="zh-CN"/>
              </w:rPr>
              <w:t>区</w:t>
            </w:r>
            <w:r>
              <w:rPr>
                <w:color w:val="auto"/>
                <w:szCs w:val="21"/>
              </w:rPr>
              <w:t>；</w:t>
            </w:r>
            <w:r>
              <w:rPr>
                <w:rFonts w:hint="eastAsia" w:ascii="宋体" w:hAnsi="宋体" w:cs="宋体"/>
                <w:color w:val="auto"/>
                <w:szCs w:val="21"/>
              </w:rPr>
              <w:t>③</w:t>
            </w:r>
            <w:r>
              <w:rPr>
                <w:color w:val="auto"/>
                <w:szCs w:val="21"/>
              </w:rPr>
              <w:t>站址附近无地下矿藏、管线，站区范围内无不良地质现象，地质稳定；</w:t>
            </w:r>
            <w:r>
              <w:rPr>
                <w:rFonts w:hint="eastAsia" w:ascii="宋体" w:hAnsi="宋体" w:cs="宋体"/>
                <w:color w:val="auto"/>
                <w:szCs w:val="21"/>
              </w:rPr>
              <w:t>④</w:t>
            </w:r>
            <w:r>
              <w:rPr>
                <w:color w:val="auto"/>
                <w:szCs w:val="21"/>
              </w:rPr>
              <w:t>站址区内构造不发育，场地区域构造稳定；</w:t>
            </w:r>
            <w:r>
              <w:rPr>
                <w:rFonts w:hint="eastAsia" w:ascii="宋体" w:hAnsi="宋体" w:cs="宋体"/>
                <w:color w:val="auto"/>
                <w:szCs w:val="21"/>
              </w:rPr>
              <w:t>⑤</w:t>
            </w:r>
            <w:r>
              <w:rPr>
                <w:color w:val="auto"/>
                <w:szCs w:val="21"/>
              </w:rPr>
              <w:t>站址满足50年一遇防洪需要；</w:t>
            </w:r>
            <w:r>
              <w:rPr>
                <w:rFonts w:hint="eastAsia" w:ascii="宋体" w:hAnsi="宋体" w:cs="宋体"/>
                <w:color w:val="auto"/>
                <w:szCs w:val="21"/>
              </w:rPr>
              <w:t>⑥</w:t>
            </w:r>
            <w:r>
              <w:rPr>
                <w:color w:val="auto"/>
                <w:szCs w:val="21"/>
              </w:rPr>
              <w:t>站址110kV出线通道情况良好</w:t>
            </w:r>
            <w:r>
              <w:rPr>
                <w:rFonts w:hint="eastAsia"/>
                <w:color w:val="auto"/>
                <w:szCs w:val="21"/>
              </w:rPr>
              <w:t>；</w:t>
            </w:r>
            <w:r>
              <w:rPr>
                <w:rFonts w:hint="eastAsia" w:ascii="宋体" w:hAnsi="宋体"/>
                <w:color w:val="auto"/>
                <w:szCs w:val="21"/>
              </w:rPr>
              <w:t>⑦</w:t>
            </w:r>
            <w:r>
              <w:rPr>
                <w:rFonts w:hint="eastAsia"/>
                <w:color w:val="auto"/>
                <w:szCs w:val="21"/>
              </w:rPr>
              <w:t>符合《输变电建设项目环境保护技术要求》（HJ1113-2020）的要求</w:t>
            </w:r>
            <w:r>
              <w:rPr>
                <w:color w:val="auto"/>
                <w:szCs w:val="21"/>
              </w:rPr>
              <w:t>。</w:t>
            </w:r>
          </w:p>
          <w:p w14:paraId="10B6A7AB">
            <w:pPr>
              <w:spacing w:line="360" w:lineRule="auto"/>
              <w:rPr>
                <w:rFonts w:eastAsia="黑体"/>
                <w:color w:val="auto"/>
                <w:szCs w:val="21"/>
              </w:rPr>
            </w:pPr>
            <w:r>
              <w:rPr>
                <w:rFonts w:hint="eastAsia" w:eastAsia="黑体"/>
                <w:color w:val="auto"/>
                <w:szCs w:val="21"/>
              </w:rPr>
              <w:t>二、输电线路路径比选：</w:t>
            </w:r>
          </w:p>
          <w:p w14:paraId="4182D7C9">
            <w:pPr>
              <w:spacing w:line="360" w:lineRule="auto"/>
              <w:ind w:firstLine="422" w:firstLineChars="200"/>
              <w:rPr>
                <w:b/>
                <w:color w:val="auto"/>
                <w:szCs w:val="21"/>
              </w:rPr>
            </w:pPr>
            <w:r>
              <w:rPr>
                <w:rFonts w:hint="eastAsia"/>
                <w:b/>
                <w:color w:val="auto"/>
                <w:szCs w:val="21"/>
              </w:rPr>
              <w:t>1、路径选择基本原则</w:t>
            </w:r>
          </w:p>
          <w:p w14:paraId="579C6C5D">
            <w:pPr>
              <w:spacing w:line="360" w:lineRule="auto"/>
              <w:ind w:firstLine="420" w:firstLineChars="200"/>
              <w:rPr>
                <w:color w:val="auto"/>
                <w:szCs w:val="21"/>
              </w:rPr>
            </w:pPr>
            <w:r>
              <w:rPr>
                <w:rFonts w:hint="eastAsia"/>
                <w:color w:val="auto"/>
                <w:szCs w:val="21"/>
              </w:rPr>
              <w:t>根据设计资料，本项目线路路径选择基本原则如下：</w:t>
            </w:r>
          </w:p>
          <w:p w14:paraId="1379DC77">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1</w:t>
            </w:r>
            <w:r>
              <w:rPr>
                <w:rFonts w:hint="eastAsia" w:cs="Times New Roman"/>
                <w:color w:val="auto"/>
                <w:szCs w:val="21"/>
                <w:highlight w:val="none"/>
                <w:lang w:eastAsia="zh-CN"/>
              </w:rPr>
              <w:t>）</w:t>
            </w:r>
            <w:r>
              <w:rPr>
                <w:color w:val="auto"/>
                <w:highlight w:val="none"/>
              </w:rPr>
              <w:t>根据系统设计要求，综合考虑线路长度、地形地貌、地质、水文气象、冰区、交通、林木、矿产、障碍设施、交叉跨越、施工、运行及地方政府意见等因素、进行多方案比较，使路径走向安全可靠，经济合理，远近结合。</w:t>
            </w:r>
          </w:p>
          <w:p w14:paraId="1B5CD623">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2</w:t>
            </w:r>
            <w:r>
              <w:rPr>
                <w:rFonts w:hint="eastAsia" w:cs="Times New Roman"/>
                <w:color w:val="auto"/>
                <w:szCs w:val="21"/>
                <w:highlight w:val="none"/>
                <w:lang w:eastAsia="zh-CN"/>
              </w:rPr>
              <w:t>）</w:t>
            </w:r>
            <w:r>
              <w:rPr>
                <w:color w:val="auto"/>
                <w:highlight w:val="none"/>
              </w:rPr>
              <w:t>让沿线市区（县城）、乡镇规划区，避让沿线工业园区，军事设施、大型工矿企业及重要通信设施，减少线路工程建设对地方经济发展的影响。</w:t>
            </w:r>
          </w:p>
          <w:p w14:paraId="2EBCE515">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3</w:t>
            </w:r>
            <w:r>
              <w:rPr>
                <w:rFonts w:hint="eastAsia" w:cs="Times New Roman"/>
                <w:color w:val="auto"/>
                <w:szCs w:val="21"/>
                <w:highlight w:val="none"/>
                <w:lang w:eastAsia="zh-CN"/>
              </w:rPr>
              <w:t>）</w:t>
            </w:r>
            <w:r>
              <w:rPr>
                <w:color w:val="auto"/>
                <w:highlight w:val="none"/>
              </w:rPr>
              <w:t>尽量靠近现有公路（高速公路除外）、充分利用各支公路及机耕道，以减小人力运输距离，便于施工及运行维护。</w:t>
            </w:r>
          </w:p>
          <w:p w14:paraId="2BCE7534">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4</w:t>
            </w:r>
            <w:r>
              <w:rPr>
                <w:rFonts w:hint="eastAsia" w:cs="Times New Roman"/>
                <w:color w:val="auto"/>
                <w:szCs w:val="21"/>
                <w:highlight w:val="none"/>
                <w:lang w:eastAsia="zh-CN"/>
              </w:rPr>
              <w:t>）</w:t>
            </w:r>
            <w:r>
              <w:rPr>
                <w:color w:val="auto"/>
                <w:highlight w:val="none"/>
              </w:rPr>
              <w:t>尽量缩短线路路径的长度，降低整个工程造价。</w:t>
            </w:r>
          </w:p>
          <w:p w14:paraId="07A74FD9">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5</w:t>
            </w:r>
            <w:r>
              <w:rPr>
                <w:rFonts w:hint="eastAsia" w:cs="Times New Roman"/>
                <w:color w:val="auto"/>
                <w:szCs w:val="21"/>
                <w:highlight w:val="none"/>
                <w:lang w:eastAsia="zh-CN"/>
              </w:rPr>
              <w:t>）</w:t>
            </w:r>
            <w:r>
              <w:rPr>
                <w:color w:val="auto"/>
                <w:highlight w:val="none"/>
              </w:rPr>
              <w:t>尽量避让I级通信线路(架空或地埋)、无线电设施、电台、飞机导航台等。</w:t>
            </w:r>
          </w:p>
          <w:p w14:paraId="2DB52CFF">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6</w:t>
            </w:r>
            <w:r>
              <w:rPr>
                <w:rFonts w:hint="eastAsia" w:cs="Times New Roman"/>
                <w:color w:val="auto"/>
                <w:szCs w:val="21"/>
                <w:highlight w:val="none"/>
                <w:lang w:eastAsia="zh-CN"/>
              </w:rPr>
              <w:t>）</w:t>
            </w:r>
            <w:r>
              <w:rPr>
                <w:color w:val="auto"/>
                <w:highlight w:val="none"/>
              </w:rPr>
              <w:t>尽可能避开矿区、采石场等的开采范围及采空区，对炸药库、鞭炮厂、天然气站及油库等易燃易爆建筑物应保证其安全距离。</w:t>
            </w:r>
          </w:p>
          <w:p w14:paraId="09343C7E">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7</w:t>
            </w:r>
            <w:r>
              <w:rPr>
                <w:rFonts w:hint="eastAsia" w:cs="Times New Roman"/>
                <w:color w:val="auto"/>
                <w:szCs w:val="21"/>
                <w:highlight w:val="none"/>
                <w:lang w:eastAsia="zh-CN"/>
              </w:rPr>
              <w:t>）</w:t>
            </w:r>
            <w:r>
              <w:rPr>
                <w:color w:val="auto"/>
                <w:highlight w:val="none"/>
              </w:rPr>
              <w:t>避开滑坡、泥石流等自然灾害的区段；尽量避开重冰区。</w:t>
            </w:r>
          </w:p>
          <w:p w14:paraId="0B3504B9">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8</w:t>
            </w:r>
            <w:r>
              <w:rPr>
                <w:rFonts w:hint="eastAsia" w:cs="Times New Roman"/>
                <w:color w:val="auto"/>
                <w:szCs w:val="21"/>
                <w:highlight w:val="none"/>
                <w:lang w:eastAsia="zh-CN"/>
              </w:rPr>
              <w:t>）</w:t>
            </w:r>
            <w:r>
              <w:rPr>
                <w:color w:val="auto"/>
                <w:highlight w:val="none"/>
              </w:rPr>
              <w:t>跨越河流时，尽量利用地势、缩短档距。充分考虑地形、地貌、避免大档距、大高差、相邻档距相差悬殊地段，并力求避开严重覆冰地段。</w:t>
            </w:r>
          </w:p>
          <w:p w14:paraId="11F6965D">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9</w:t>
            </w:r>
            <w:r>
              <w:rPr>
                <w:rFonts w:hint="eastAsia" w:cs="Times New Roman"/>
                <w:color w:val="auto"/>
                <w:szCs w:val="21"/>
                <w:highlight w:val="none"/>
                <w:lang w:eastAsia="zh-CN"/>
              </w:rPr>
              <w:t>）</w:t>
            </w:r>
            <w:r>
              <w:rPr>
                <w:color w:val="auto"/>
                <w:highlight w:val="none"/>
              </w:rPr>
              <w:t>尽量避开文物保护区、风景区、大型水库、成片住房区、厂矿、林区、自然保护区和沿线规划的森林公园等，减少林木砍伐赔偿费用。</w:t>
            </w:r>
          </w:p>
          <w:p w14:paraId="32FE38A7">
            <w:pPr>
              <w:spacing w:line="360" w:lineRule="auto"/>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10</w:t>
            </w:r>
            <w:r>
              <w:rPr>
                <w:rFonts w:hint="eastAsia" w:cs="Times New Roman"/>
                <w:color w:val="auto"/>
                <w:szCs w:val="21"/>
                <w:highlight w:val="none"/>
                <w:lang w:eastAsia="zh-CN"/>
              </w:rPr>
              <w:t>）</w:t>
            </w:r>
            <w:r>
              <w:rPr>
                <w:color w:val="auto"/>
                <w:highlight w:val="none"/>
              </w:rPr>
              <w:t>尽可能减少与已建35kV及以上送电线路、高速公路的交叉跨越，特别是主干线路及重要用户的送电线路等，以方便施工，降低施工过程中的跨越措施费用、停电损失及赔偿费用。</w:t>
            </w:r>
          </w:p>
          <w:p w14:paraId="2181DE95">
            <w:pPr>
              <w:spacing w:line="360" w:lineRule="auto"/>
              <w:ind w:firstLine="420" w:firstLineChars="200"/>
              <w:rPr>
                <w:color w:val="auto"/>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11</w:t>
            </w:r>
            <w:r>
              <w:rPr>
                <w:rFonts w:hint="eastAsia" w:cs="Times New Roman"/>
                <w:color w:val="auto"/>
                <w:szCs w:val="21"/>
                <w:highlight w:val="none"/>
                <w:lang w:eastAsia="zh-CN"/>
              </w:rPr>
              <w:t>）</w:t>
            </w:r>
            <w:r>
              <w:rPr>
                <w:color w:val="auto"/>
                <w:highlight w:val="none"/>
              </w:rPr>
              <w:t>在路径选择中，充分体现以人为本、保护环境的意识，避免大面积拆迁民房。</w:t>
            </w:r>
          </w:p>
          <w:p w14:paraId="2C87DEA0">
            <w:pPr>
              <w:spacing w:line="360" w:lineRule="auto"/>
              <w:ind w:firstLine="422" w:firstLineChars="200"/>
              <w:rPr>
                <w:rFonts w:hint="default" w:eastAsia="宋体"/>
                <w:b/>
                <w:color w:val="auto"/>
                <w:szCs w:val="21"/>
                <w:lang w:val="en-US" w:eastAsia="zh-CN"/>
              </w:rPr>
            </w:pPr>
            <w:r>
              <w:rPr>
                <w:rFonts w:hint="eastAsia"/>
                <w:b/>
                <w:color w:val="auto"/>
                <w:szCs w:val="21"/>
              </w:rPr>
              <w:t>2、</w:t>
            </w:r>
            <w:r>
              <w:rPr>
                <w:rFonts w:hint="eastAsia"/>
                <w:b/>
                <w:color w:val="auto"/>
                <w:szCs w:val="21"/>
                <w:lang w:val="en-US" w:eastAsia="zh-CN"/>
              </w:rPr>
              <w:t>路径比选方案</w:t>
            </w:r>
          </w:p>
          <w:p w14:paraId="7FE82D4B">
            <w:pPr>
              <w:spacing w:line="360" w:lineRule="auto"/>
              <w:ind w:firstLine="420" w:firstLineChars="200"/>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按上述原则，建设单位和设计单位</w:t>
            </w:r>
            <w:r>
              <w:rPr>
                <w:rFonts w:hint="eastAsia" w:ascii="Times New Roman" w:hAnsi="Times New Roman" w:cs="Times New Roman"/>
                <w:color w:val="auto"/>
                <w:szCs w:val="21"/>
                <w:highlight w:val="none"/>
                <w:lang w:val="en-US" w:eastAsia="zh-CN"/>
              </w:rPr>
              <w:t>根据</w:t>
            </w:r>
            <w:r>
              <w:rPr>
                <w:rFonts w:hint="eastAsia" w:cs="Times New Roman"/>
                <w:color w:val="auto"/>
                <w:szCs w:val="21"/>
                <w:highlight w:val="none"/>
                <w:lang w:val="en-US" w:eastAsia="zh-CN"/>
              </w:rPr>
              <w:t>拟建司城110kV变电站</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已建盘兴</w:t>
            </w:r>
            <w:r>
              <w:rPr>
                <w:rFonts w:hint="eastAsia"/>
                <w:color w:val="auto"/>
                <w:szCs w:val="21"/>
                <w:lang w:eastAsia="zh-CN"/>
              </w:rPr>
              <w:t>220kV变电站、</w:t>
            </w:r>
            <w:r>
              <w:rPr>
                <w:rFonts w:hint="eastAsia"/>
                <w:color w:val="auto"/>
                <w:szCs w:val="21"/>
                <w:lang w:val="en-US" w:eastAsia="zh-CN"/>
              </w:rPr>
              <w:t>在建印合</w:t>
            </w:r>
            <w:r>
              <w:rPr>
                <w:rFonts w:hint="eastAsia" w:cs="Times New Roman"/>
                <w:color w:val="auto"/>
                <w:szCs w:val="21"/>
                <w:highlight w:val="none"/>
                <w:lang w:val="en-US" w:eastAsia="zh-CN"/>
              </w:rPr>
              <w:t>110kV变电站和</w:t>
            </w:r>
            <w:r>
              <w:rPr>
                <w:rFonts w:hint="default" w:ascii="Times New Roman" w:hAnsi="Times New Roman" w:cs="Times New Roman"/>
                <w:color w:val="auto"/>
                <w:szCs w:val="21"/>
                <w:highlight w:val="none"/>
              </w:rPr>
              <w:t>规划电力通道走线等</w:t>
            </w:r>
            <w:r>
              <w:rPr>
                <w:rFonts w:hint="default" w:ascii="Times New Roman" w:hAnsi="Times New Roman" w:cs="Times New Roman"/>
                <w:color w:val="auto"/>
                <w:szCs w:val="21"/>
                <w:highlight w:val="none"/>
                <w:lang w:eastAsia="zh-CN"/>
              </w:rPr>
              <w:t>的位置</w:t>
            </w:r>
            <w:r>
              <w:rPr>
                <w:rFonts w:hint="default" w:ascii="Times New Roman" w:hAnsi="Times New Roman" w:cs="Times New Roman"/>
                <w:color w:val="auto"/>
                <w:szCs w:val="21"/>
                <w:highlight w:val="none"/>
              </w:rPr>
              <w:t>，结合区域地形地貌条件、交通运输、植被分布等情况，初拟</w:t>
            </w:r>
            <w:r>
              <w:rPr>
                <w:rFonts w:hint="eastAsia" w:cs="Times New Roman"/>
                <w:color w:val="auto"/>
                <w:szCs w:val="21"/>
                <w:highlight w:val="none"/>
                <w:lang w:eastAsia="zh-CN"/>
              </w:rPr>
              <w:t>盘兴</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司城</w:t>
            </w:r>
            <w:r>
              <w:rPr>
                <w:rFonts w:hint="default" w:ascii="Times New Roman" w:hAnsi="Times New Roman" w:cs="Times New Roman"/>
                <w:color w:val="auto"/>
                <w:szCs w:val="21"/>
                <w:highlight w:val="none"/>
              </w:rPr>
              <w:t>110kV线路工程</w:t>
            </w:r>
            <w:r>
              <w:rPr>
                <w:rFonts w:hint="eastAsia" w:ascii="Times New Roman" w:hAnsi="Times New Roman" w:cs="Times New Roman"/>
                <w:color w:val="auto"/>
                <w:szCs w:val="21"/>
                <w:highlight w:val="none"/>
                <w:lang w:eastAsia="zh-CN"/>
              </w:rPr>
              <w:t>、</w:t>
            </w:r>
            <w:r>
              <w:rPr>
                <w:rFonts w:hint="eastAsia" w:cs="Times New Roman"/>
                <w:color w:val="auto"/>
                <w:szCs w:val="21"/>
                <w:highlight w:val="none"/>
                <w:lang w:eastAsia="zh-CN"/>
              </w:rPr>
              <w:t>印合</w:t>
            </w:r>
            <w:r>
              <w:rPr>
                <w:rFonts w:hint="eastAsia" w:cs="Times New Roman"/>
                <w:color w:val="auto"/>
                <w:szCs w:val="21"/>
                <w:highlight w:val="none"/>
                <w:lang w:val="en-US" w:eastAsia="zh-CN"/>
              </w:rPr>
              <w:t>～司城110kV线路工程</w:t>
            </w:r>
            <w:r>
              <w:rPr>
                <w:rFonts w:hint="default" w:ascii="Times New Roman" w:hAnsi="Times New Roman" w:cs="Times New Roman"/>
                <w:color w:val="auto"/>
                <w:szCs w:val="21"/>
                <w:highlight w:val="none"/>
              </w:rPr>
              <w:t>路径方案，再进行现场踏勘和收资，根据线路所经区域既有输电线路分布、居民分布、</w:t>
            </w:r>
            <w:r>
              <w:rPr>
                <w:rFonts w:hint="default" w:ascii="Times New Roman" w:hAnsi="Times New Roman" w:cs="Times New Roman"/>
                <w:color w:val="auto"/>
                <w:szCs w:val="21"/>
                <w:highlight w:val="none"/>
                <w:lang w:eastAsia="zh-CN"/>
              </w:rPr>
              <w:t>城镇</w:t>
            </w:r>
            <w:r>
              <w:rPr>
                <w:rFonts w:hint="default" w:ascii="Times New Roman" w:hAnsi="Times New Roman" w:cs="Times New Roman"/>
                <w:color w:val="auto"/>
                <w:szCs w:val="21"/>
                <w:highlight w:val="none"/>
              </w:rPr>
              <w:t>规划区等情况优化拟选路径，</w:t>
            </w:r>
            <w:r>
              <w:rPr>
                <w:rFonts w:hint="eastAsia"/>
                <w:color w:val="auto"/>
                <w:szCs w:val="21"/>
              </w:rPr>
              <w:t>征求</w:t>
            </w:r>
            <w:r>
              <w:rPr>
                <w:rFonts w:hint="eastAsia"/>
                <w:bCs/>
                <w:color w:val="auto"/>
                <w:szCs w:val="21"/>
                <w:lang w:val="en-US" w:eastAsia="zh-CN"/>
              </w:rPr>
              <w:t>恩阳区</w:t>
            </w:r>
            <w:r>
              <w:rPr>
                <w:rFonts w:hint="eastAsia"/>
                <w:bCs/>
                <w:color w:val="auto"/>
                <w:szCs w:val="21"/>
              </w:rPr>
              <w:t>自然资源和规划局</w:t>
            </w:r>
            <w:r>
              <w:rPr>
                <w:rFonts w:hint="eastAsia"/>
                <w:bCs/>
                <w:color w:val="auto"/>
                <w:szCs w:val="21"/>
                <w:lang w:val="en-US" w:eastAsia="zh-CN"/>
              </w:rPr>
              <w:t>的</w:t>
            </w:r>
            <w:r>
              <w:rPr>
                <w:rFonts w:hint="eastAsia"/>
                <w:color w:val="auto"/>
                <w:szCs w:val="21"/>
              </w:rPr>
              <w:t>意见，</w:t>
            </w:r>
            <w:r>
              <w:rPr>
                <w:rFonts w:hint="eastAsia" w:cs="Times New Roman"/>
                <w:color w:val="auto"/>
                <w:szCs w:val="21"/>
                <w:highlight w:val="none"/>
                <w:u w:val="single"/>
                <w:lang w:eastAsia="zh-CN"/>
              </w:rPr>
              <w:t>盘兴</w:t>
            </w:r>
            <w:r>
              <w:rPr>
                <w:rFonts w:hint="default" w:ascii="Times New Roman" w:hAnsi="Times New Roman" w:cs="Times New Roman"/>
                <w:color w:val="auto"/>
                <w:szCs w:val="21"/>
                <w:highlight w:val="none"/>
                <w:u w:val="single"/>
              </w:rPr>
              <w:t>～</w:t>
            </w:r>
            <w:r>
              <w:rPr>
                <w:rFonts w:hint="eastAsia" w:cs="Times New Roman"/>
                <w:color w:val="auto"/>
                <w:szCs w:val="21"/>
                <w:highlight w:val="none"/>
                <w:u w:val="single"/>
                <w:lang w:val="en-US" w:eastAsia="zh-CN"/>
              </w:rPr>
              <w:t>司城</w:t>
            </w:r>
            <w:r>
              <w:rPr>
                <w:rFonts w:hint="default" w:ascii="Times New Roman" w:hAnsi="Times New Roman" w:cs="Times New Roman"/>
                <w:color w:val="auto"/>
                <w:szCs w:val="21"/>
                <w:highlight w:val="none"/>
                <w:u w:val="single"/>
              </w:rPr>
              <w:t>110kV线路工程</w:t>
            </w:r>
            <w:r>
              <w:rPr>
                <w:rFonts w:hint="default" w:ascii="Times New Roman" w:hAnsi="Times New Roman" w:cs="Times New Roman"/>
                <w:color w:val="auto"/>
                <w:szCs w:val="21"/>
                <w:highlight w:val="none"/>
                <w:u w:val="single"/>
                <w:lang w:eastAsia="zh-CN"/>
              </w:rPr>
              <w:t>（</w:t>
            </w:r>
            <w:r>
              <w:rPr>
                <w:rFonts w:hint="default" w:ascii="Times New Roman" w:hAnsi="Times New Roman" w:cs="Times New Roman"/>
                <w:color w:val="auto"/>
                <w:szCs w:val="21"/>
                <w:highlight w:val="none"/>
                <w:u w:val="single"/>
                <w:lang w:val="en-US" w:eastAsia="zh-CN"/>
              </w:rPr>
              <w:t>线路Ⅰ</w:t>
            </w:r>
            <w:r>
              <w:rPr>
                <w:rFonts w:hint="default" w:ascii="Times New Roman" w:hAnsi="Times New Roman" w:cs="Times New Roman"/>
                <w:color w:val="auto"/>
                <w:szCs w:val="21"/>
                <w:highlight w:val="none"/>
                <w:u w:val="single"/>
                <w:lang w:eastAsia="zh-CN"/>
              </w:rPr>
              <w:t>）</w:t>
            </w:r>
            <w:r>
              <w:rPr>
                <w:rFonts w:hint="eastAsia" w:ascii="Times New Roman" w:hAnsi="Times New Roman" w:cs="Times New Roman"/>
                <w:color w:val="auto"/>
                <w:szCs w:val="21"/>
                <w:highlight w:val="none"/>
                <w:u w:val="single"/>
                <w:lang w:val="en-US" w:eastAsia="zh-CN"/>
              </w:rPr>
              <w:t>路径方案唯一，</w:t>
            </w:r>
            <w:r>
              <w:rPr>
                <w:rFonts w:hint="eastAsia" w:cs="Times New Roman"/>
                <w:color w:val="auto"/>
                <w:szCs w:val="21"/>
                <w:highlight w:val="none"/>
                <w:u w:val="single"/>
                <w:lang w:val="en-US" w:eastAsia="zh-CN"/>
              </w:rPr>
              <w:t>印合</w:t>
            </w:r>
            <w:r>
              <w:rPr>
                <w:rFonts w:hint="default" w:ascii="Times New Roman" w:hAnsi="Times New Roman" w:cs="Times New Roman"/>
                <w:color w:val="auto"/>
                <w:szCs w:val="21"/>
                <w:highlight w:val="none"/>
                <w:u w:val="single"/>
              </w:rPr>
              <w:t>～</w:t>
            </w:r>
            <w:r>
              <w:rPr>
                <w:rFonts w:hint="eastAsia" w:cs="Times New Roman"/>
                <w:color w:val="auto"/>
                <w:szCs w:val="21"/>
                <w:highlight w:val="none"/>
                <w:u w:val="single"/>
                <w:lang w:val="en-US" w:eastAsia="zh-CN"/>
              </w:rPr>
              <w:t>司城</w:t>
            </w:r>
            <w:r>
              <w:rPr>
                <w:rFonts w:hint="default" w:ascii="Times New Roman" w:hAnsi="Times New Roman" w:cs="Times New Roman"/>
                <w:color w:val="auto"/>
                <w:szCs w:val="21"/>
                <w:highlight w:val="none"/>
                <w:u w:val="single"/>
              </w:rPr>
              <w:t>110kV线路工程</w:t>
            </w:r>
            <w:r>
              <w:rPr>
                <w:rFonts w:hint="default" w:ascii="Times New Roman" w:hAnsi="Times New Roman" w:cs="Times New Roman"/>
                <w:color w:val="auto"/>
                <w:szCs w:val="21"/>
                <w:highlight w:val="none"/>
                <w:u w:val="single"/>
                <w:lang w:eastAsia="zh-CN"/>
              </w:rPr>
              <w:t>（</w:t>
            </w:r>
            <w:r>
              <w:rPr>
                <w:rFonts w:hint="default" w:ascii="Times New Roman" w:hAnsi="Times New Roman" w:cs="Times New Roman"/>
                <w:color w:val="auto"/>
                <w:szCs w:val="21"/>
                <w:highlight w:val="none"/>
                <w:u w:val="single"/>
                <w:lang w:val="en-US" w:eastAsia="zh-CN"/>
              </w:rPr>
              <w:t>线路Ⅱ</w:t>
            </w:r>
            <w:r>
              <w:rPr>
                <w:rFonts w:hint="default" w:ascii="Times New Roman" w:hAnsi="Times New Roman" w:cs="Times New Roman"/>
                <w:color w:val="auto"/>
                <w:szCs w:val="21"/>
                <w:highlight w:val="none"/>
                <w:u w:val="single"/>
                <w:lang w:eastAsia="zh-CN"/>
              </w:rPr>
              <w:t>）</w:t>
            </w:r>
            <w:r>
              <w:rPr>
                <w:rFonts w:hint="eastAsia"/>
                <w:color w:val="auto"/>
                <w:szCs w:val="21"/>
                <w:u w:val="single"/>
              </w:rPr>
              <w:t>在技术可行的基础上选取了2个比选方案，即方案一和方案二</w:t>
            </w:r>
            <w:r>
              <w:rPr>
                <w:rFonts w:hint="eastAsia" w:ascii="Times New Roman" w:hAnsi="Times New Roman" w:cs="Times New Roman"/>
                <w:color w:val="auto"/>
                <w:szCs w:val="21"/>
                <w:highlight w:val="none"/>
                <w:lang w:val="en-US" w:eastAsia="zh-CN"/>
              </w:rPr>
              <w:t>。</w:t>
            </w:r>
            <w:r>
              <w:rPr>
                <w:rFonts w:hint="eastAsia"/>
                <w:color w:val="auto"/>
                <w:szCs w:val="21"/>
              </w:rPr>
              <w:t>具体如下：</w:t>
            </w:r>
          </w:p>
          <w:p w14:paraId="21ADF60E">
            <w:pPr>
              <w:numPr>
                <w:ilvl w:val="0"/>
                <w:numId w:val="0"/>
              </w:numPr>
              <w:spacing w:line="360" w:lineRule="auto"/>
              <w:ind w:firstLine="422" w:firstLineChars="200"/>
              <w:rPr>
                <w:b/>
                <w:bCs/>
              </w:rPr>
            </w:pPr>
            <w:r>
              <w:rPr>
                <w:rFonts w:hint="eastAsia" w:cs="Times New Roman"/>
                <w:b/>
                <w:bCs/>
                <w:color w:val="auto"/>
                <w:szCs w:val="21"/>
                <w:highlight w:val="none"/>
                <w:lang w:val="en-US" w:eastAsia="zh-CN"/>
              </w:rPr>
              <w:t>1、</w:t>
            </w:r>
            <w:r>
              <w:rPr>
                <w:rFonts w:hint="eastAsia" w:cs="Times New Roman"/>
                <w:b/>
                <w:bCs/>
                <w:color w:val="auto"/>
                <w:szCs w:val="21"/>
                <w:highlight w:val="none"/>
                <w:lang w:eastAsia="zh-CN"/>
              </w:rPr>
              <w:t>盘兴</w:t>
            </w:r>
            <w:r>
              <w:rPr>
                <w:rFonts w:hint="default" w:ascii="Times New Roman" w:hAnsi="Times New Roman" w:cs="Times New Roman"/>
                <w:b/>
                <w:bCs/>
                <w:color w:val="auto"/>
                <w:szCs w:val="21"/>
                <w:highlight w:val="none"/>
              </w:rPr>
              <w:t>～</w:t>
            </w:r>
            <w:r>
              <w:rPr>
                <w:rFonts w:hint="eastAsia" w:cs="Times New Roman"/>
                <w:b/>
                <w:bCs/>
                <w:color w:val="auto"/>
                <w:szCs w:val="21"/>
                <w:highlight w:val="none"/>
                <w:lang w:val="en-US" w:eastAsia="zh-CN"/>
              </w:rPr>
              <w:t>司城</w:t>
            </w:r>
            <w:r>
              <w:rPr>
                <w:rFonts w:hint="default" w:ascii="Times New Roman" w:hAnsi="Times New Roman" w:cs="Times New Roman"/>
                <w:b/>
                <w:bCs/>
                <w:color w:val="auto"/>
                <w:szCs w:val="21"/>
                <w:highlight w:val="none"/>
              </w:rPr>
              <w:t>110kV线路工程</w:t>
            </w:r>
            <w:r>
              <w:rPr>
                <w:rFonts w:hint="default" w:ascii="Times New Roman" w:hAnsi="Times New Roman" w:cs="Times New Roman"/>
                <w:b/>
                <w:bCs/>
                <w:color w:val="auto"/>
                <w:szCs w:val="21"/>
                <w:highlight w:val="none"/>
                <w:lang w:eastAsia="zh-CN"/>
              </w:rPr>
              <w:t>（</w:t>
            </w:r>
            <w:r>
              <w:rPr>
                <w:rFonts w:hint="default" w:ascii="Times New Roman" w:hAnsi="Times New Roman" w:cs="Times New Roman"/>
                <w:b/>
                <w:bCs/>
                <w:color w:val="auto"/>
                <w:szCs w:val="21"/>
                <w:highlight w:val="none"/>
                <w:lang w:val="en-US" w:eastAsia="zh-CN"/>
              </w:rPr>
              <w:t>线路Ⅰ</w:t>
            </w:r>
            <w:r>
              <w:rPr>
                <w:rFonts w:hint="default" w:ascii="Times New Roman" w:hAnsi="Times New Roman" w:cs="Times New Roman"/>
                <w:b/>
                <w:bCs/>
                <w:color w:val="auto"/>
                <w:szCs w:val="21"/>
                <w:highlight w:val="none"/>
                <w:lang w:eastAsia="zh-CN"/>
              </w:rPr>
              <w:t>）</w:t>
            </w:r>
          </w:p>
          <w:p w14:paraId="0351480A">
            <w:pPr>
              <w:numPr>
                <w:ilvl w:val="-1"/>
                <w:numId w:val="0"/>
              </w:numPr>
              <w:spacing w:line="360" w:lineRule="auto"/>
              <w:ind w:firstLine="420" w:firstLineChars="200"/>
              <w:rPr>
                <w:rFonts w:hint="default"/>
                <w:highlight w:val="none"/>
                <w:lang w:val="en-US" w:eastAsia="zh-CN"/>
              </w:rPr>
            </w:pPr>
            <w:r>
              <w:rPr>
                <w:rFonts w:hint="eastAsia"/>
                <w:highlight w:val="none"/>
                <w:lang w:val="en-US" w:eastAsia="zh-CN"/>
              </w:rPr>
              <w:t>（1）本线路路径方案</w:t>
            </w:r>
          </w:p>
          <w:p w14:paraId="51B97F1D">
            <w:pPr>
              <w:spacing w:line="360" w:lineRule="auto"/>
              <w:ind w:firstLine="420" w:firstLineChars="200"/>
              <w:rPr>
                <w:rFonts w:hint="eastAsia"/>
                <w:color w:val="auto"/>
                <w:highlight w:val="none"/>
                <w:lang w:val="en-US" w:eastAsia="zh-CN"/>
              </w:rPr>
            </w:pPr>
            <w:r>
              <w:rPr>
                <w:rFonts w:hint="eastAsia"/>
                <w:color w:val="auto"/>
                <w:highlight w:val="none"/>
                <w:lang w:val="en-US" w:eastAsia="zh-CN"/>
              </w:rPr>
              <w:t>线路起于220kV盘兴变电站，架空出线向北，与拟建的盘兴一印合线路同塔双回架设，经八大王沟、八代王沟，跨越S101省道至王家咀后向西架设，依次跨越G5012恩高速（隧道上方跨越）、G347国道后在枣儿塘村附近向南架设，跨越S2成巴高速（隧道出入口跨越）、G5012恩广高速（隧道上方跨越）后至齐家湾附近由巴州区进入恩阳区，进入恩阳区后继续向西南方向架设，途经杨家湾、肖家院子至刘家湾附近拟建110kV司城变电站。新建单回线路长约15.0km（恩阳区路径长约5.5km，巴州区路径长约9.5km（其中利用盘兴一印合单回架线路径长约4.7km））。</w:t>
            </w:r>
          </w:p>
          <w:p w14:paraId="47DC1288">
            <w:pPr>
              <w:pStyle w:val="33"/>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w:t>
            </w:r>
            <w:r>
              <w:rPr>
                <w:rFonts w:hint="default" w:ascii="Times New Roman" w:hAnsi="Times New Roman"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选线唯一性分析</w:t>
            </w:r>
          </w:p>
          <w:p w14:paraId="5C68C14B">
            <w:pPr>
              <w:pStyle w:val="33"/>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ascii="Times New Roman"/>
                <w:color w:val="auto"/>
                <w:kern w:val="2"/>
                <w:sz w:val="21"/>
                <w:highlight w:val="none"/>
              </w:rPr>
            </w:pPr>
            <w:r>
              <w:rPr>
                <w:rFonts w:hint="eastAsia" w:ascii="Times New Roman"/>
                <w:color w:val="auto"/>
                <w:kern w:val="2"/>
                <w:sz w:val="21"/>
                <w:highlight w:val="none"/>
              </w:rPr>
              <w:t>项目结合巴中市及巴州区、恩阳区国土空间规划、城市建设布局、交通廊道控制、生态环境保护、现状电力通道资源、地方政府及相关部门意见等开展多方案系统比选与充分论证。经现场踏勘、规划对接及技术经济综合分析，除盘兴站北侧出线方案外，其余备选路径方案均存在不可突破的制约条件，均不具备工程实施条件</w:t>
            </w:r>
            <w:r>
              <w:rPr>
                <w:rFonts w:hint="eastAsia" w:ascii="Times New Roman"/>
                <w:color w:val="auto"/>
                <w:kern w:val="2"/>
                <w:sz w:val="21"/>
                <w:highlight w:val="none"/>
                <w:lang w:eastAsia="zh-CN"/>
              </w:rPr>
              <w:t>，</w:t>
            </w:r>
            <w:r>
              <w:rPr>
                <w:rFonts w:hint="eastAsia" w:ascii="Times New Roman"/>
                <w:color w:val="auto"/>
                <w:kern w:val="2"/>
                <w:sz w:val="21"/>
                <w:highlight w:val="none"/>
                <w:lang w:val="en-US" w:eastAsia="zh-CN"/>
              </w:rPr>
              <w:t>理由如下：</w:t>
            </w:r>
          </w:p>
          <w:p w14:paraId="5843C589">
            <w:pPr>
              <w:pStyle w:val="33"/>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ascii="Times New Roman"/>
                <w:color w:val="auto"/>
                <w:kern w:val="2"/>
                <w:sz w:val="21"/>
                <w:highlight w:val="none"/>
              </w:rPr>
            </w:pPr>
            <w:r>
              <w:rPr>
                <w:rFonts w:hint="eastAsia" w:ascii="Times New Roman"/>
                <w:color w:val="auto"/>
                <w:kern w:val="2"/>
                <w:sz w:val="21"/>
                <w:highlight w:val="none"/>
                <w:lang w:val="en-US" w:eastAsia="zh-CN"/>
              </w:rPr>
              <w:t>①</w:t>
            </w:r>
            <w:r>
              <w:rPr>
                <w:rFonts w:hint="eastAsia" w:ascii="Times New Roman"/>
                <w:color w:val="auto"/>
                <w:kern w:val="2"/>
                <w:sz w:val="21"/>
                <w:highlight w:val="none"/>
              </w:rPr>
              <w:t>备选方案部分路径需穿越城市物流园区等重要功能区块，与市政专项规划及用地管控要求冲突，不符合国土空间规划管控原则，无法通过规划审批；</w:t>
            </w:r>
          </w:p>
          <w:p w14:paraId="744C1183">
            <w:pPr>
              <w:pStyle w:val="33"/>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ascii="Times New Roman" w:eastAsia="宋体"/>
                <w:color w:val="auto"/>
                <w:kern w:val="2"/>
                <w:sz w:val="21"/>
                <w:highlight w:val="none"/>
                <w:lang w:eastAsia="zh-CN"/>
              </w:rPr>
            </w:pPr>
            <w:r>
              <w:rPr>
                <w:rFonts w:hint="eastAsia" w:ascii="Times New Roman"/>
                <w:color w:val="auto"/>
                <w:kern w:val="2"/>
                <w:sz w:val="21"/>
                <w:highlight w:val="none"/>
                <w:lang w:val="en-US" w:eastAsia="zh-CN"/>
              </w:rPr>
              <w:t>②</w:t>
            </w:r>
            <w:r>
              <w:rPr>
                <w:rFonts w:hint="eastAsia" w:ascii="Times New Roman"/>
                <w:color w:val="auto"/>
                <w:kern w:val="2"/>
                <w:sz w:val="21"/>
                <w:highlight w:val="none"/>
              </w:rPr>
              <w:t>备选方案部分路径需跨越</w:t>
            </w:r>
            <w:r>
              <w:rPr>
                <w:rFonts w:hint="eastAsia" w:ascii="Times New Roman" w:hAnsi="Times New Roman" w:eastAsia="宋体" w:cs="Times New Roman"/>
                <w:color w:val="auto"/>
                <w:kern w:val="2"/>
                <w:sz w:val="21"/>
                <w:szCs w:val="24"/>
                <w:highlight w:val="none"/>
                <w:lang w:val="en-US" w:eastAsia="zh-CN" w:bidi="ar-SA"/>
              </w:rPr>
              <w:t>巴中西收费站进巴中城道</w:t>
            </w:r>
            <w:r>
              <w:rPr>
                <w:rFonts w:hint="eastAsia" w:ascii="Times New Roman" w:eastAsia="宋体" w:cs="Times New Roman"/>
                <w:color w:val="auto"/>
                <w:kern w:val="2"/>
                <w:sz w:val="21"/>
                <w:szCs w:val="24"/>
                <w:highlight w:val="none"/>
                <w:lang w:val="en-US" w:eastAsia="zh-CN" w:bidi="ar-SA"/>
              </w:rPr>
              <w:t>路</w:t>
            </w:r>
            <w:r>
              <w:rPr>
                <w:rFonts w:hint="eastAsia" w:ascii="Times New Roman"/>
                <w:color w:val="auto"/>
                <w:kern w:val="2"/>
                <w:sz w:val="21"/>
                <w:highlight w:val="none"/>
              </w:rPr>
              <w:t>，上述道路已按高标准打造为城市门户景观大道，沿线串联城市森林公园等生态景观节点，是展示城市形象的重要廊道，地方政府及自然资源和规划部门明确不同意电力线路跨越</w:t>
            </w:r>
            <w:r>
              <w:rPr>
                <w:rFonts w:hint="eastAsia" w:ascii="Times New Roman"/>
                <w:color w:val="auto"/>
                <w:kern w:val="2"/>
                <w:sz w:val="21"/>
                <w:highlight w:val="none"/>
                <w:lang w:eastAsia="zh-CN"/>
              </w:rPr>
              <w:t>；</w:t>
            </w:r>
          </w:p>
          <w:p w14:paraId="5C11417B">
            <w:pPr>
              <w:pStyle w:val="33"/>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ascii="Times New Roman"/>
                <w:color w:val="auto"/>
                <w:kern w:val="2"/>
                <w:sz w:val="21"/>
                <w:highlight w:val="none"/>
              </w:rPr>
            </w:pPr>
            <w:r>
              <w:rPr>
                <w:rFonts w:hint="eastAsia" w:ascii="Times New Roman"/>
                <w:color w:val="auto"/>
                <w:kern w:val="2"/>
                <w:sz w:val="21"/>
                <w:highlight w:val="none"/>
                <w:lang w:val="en-US" w:eastAsia="zh-CN"/>
              </w:rPr>
              <w:t>③</w:t>
            </w:r>
            <w:r>
              <w:rPr>
                <w:rFonts w:hint="eastAsia" w:ascii="Times New Roman"/>
                <w:color w:val="auto"/>
                <w:kern w:val="2"/>
                <w:sz w:val="21"/>
                <w:highlight w:val="none"/>
              </w:rPr>
              <w:t>同时，项目沿线现状已建有多条110kV、220kV高压输电线路，通道资源高度紧张、廊道空间拥挤，不具备新增线路并行架设的安全与空间条件。</w:t>
            </w:r>
          </w:p>
          <w:p w14:paraId="1E2550F7">
            <w:pPr>
              <w:pStyle w:val="33"/>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color w:val="auto"/>
                <w:kern w:val="2"/>
                <w:sz w:val="21"/>
                <w:highlight w:val="none"/>
                <w:lang w:val="en-US" w:eastAsia="zh-CN"/>
              </w:rPr>
              <w:t>因此，</w:t>
            </w:r>
            <w:r>
              <w:rPr>
                <w:rFonts w:hint="eastAsia" w:ascii="Times New Roman"/>
                <w:color w:val="auto"/>
                <w:kern w:val="2"/>
                <w:sz w:val="21"/>
                <w:highlight w:val="none"/>
              </w:rPr>
              <w:t>综合规划符合性、交通廊道管控、生态景观保护、现状通道条件、地方协调意见及工程实施可行性等多方面因素，经全面比选与充分论证，盘兴—司城110kV线路工程仅盘兴站北侧出线方案满足规划、建设、安全及落地实施要求，为唯一可行路径。</w:t>
            </w:r>
          </w:p>
          <w:p w14:paraId="4489013F">
            <w:pPr>
              <w:spacing w:line="360" w:lineRule="auto"/>
              <w:ind w:firstLine="422" w:firstLineChars="200"/>
              <w:rPr>
                <w:rFonts w:hint="default" w:ascii="Times New Roman" w:hAnsi="Times New Roman" w:eastAsia="宋体" w:cs="Times New Roman"/>
                <w:b/>
                <w:bCs/>
                <w:color w:val="auto"/>
                <w:szCs w:val="21"/>
                <w:lang w:val="en-US" w:eastAsia="zh-CN"/>
              </w:rPr>
            </w:pPr>
            <w:r>
              <w:rPr>
                <w:rFonts w:hint="eastAsia" w:cs="Times New Roman"/>
                <w:b/>
                <w:bCs/>
                <w:color w:val="auto"/>
                <w:szCs w:val="21"/>
                <w:lang w:val="en-US" w:eastAsia="zh-CN"/>
              </w:rPr>
              <w:t>2、</w:t>
            </w:r>
            <w:r>
              <w:rPr>
                <w:rFonts w:hint="eastAsia" w:cs="Times New Roman"/>
                <w:b/>
                <w:bCs/>
                <w:color w:val="auto"/>
                <w:szCs w:val="21"/>
                <w:highlight w:val="none"/>
                <w:lang w:val="en-US" w:eastAsia="zh-CN"/>
              </w:rPr>
              <w:t>印合</w:t>
            </w:r>
            <w:r>
              <w:rPr>
                <w:rFonts w:hint="default" w:ascii="Times New Roman" w:hAnsi="Times New Roman" w:cs="Times New Roman"/>
                <w:b/>
                <w:bCs/>
                <w:color w:val="auto"/>
                <w:szCs w:val="21"/>
                <w:highlight w:val="none"/>
              </w:rPr>
              <w:t>～</w:t>
            </w:r>
            <w:r>
              <w:rPr>
                <w:rFonts w:hint="eastAsia" w:cs="Times New Roman"/>
                <w:b/>
                <w:bCs/>
                <w:color w:val="auto"/>
                <w:szCs w:val="21"/>
                <w:highlight w:val="none"/>
                <w:lang w:val="en-US" w:eastAsia="zh-CN"/>
              </w:rPr>
              <w:t>司城</w:t>
            </w:r>
            <w:r>
              <w:rPr>
                <w:rFonts w:hint="default" w:ascii="Times New Roman" w:hAnsi="Times New Roman" w:cs="Times New Roman"/>
                <w:b/>
                <w:bCs/>
                <w:color w:val="auto"/>
                <w:szCs w:val="21"/>
                <w:highlight w:val="none"/>
              </w:rPr>
              <w:t>110kV线路工程</w:t>
            </w:r>
            <w:r>
              <w:rPr>
                <w:rFonts w:hint="default" w:ascii="Times New Roman" w:hAnsi="Times New Roman" w:cs="Times New Roman"/>
                <w:b/>
                <w:bCs/>
                <w:color w:val="auto"/>
                <w:szCs w:val="21"/>
                <w:highlight w:val="none"/>
                <w:lang w:eastAsia="zh-CN"/>
              </w:rPr>
              <w:t>（</w:t>
            </w:r>
            <w:r>
              <w:rPr>
                <w:rFonts w:hint="default" w:ascii="Times New Roman" w:hAnsi="Times New Roman" w:cs="Times New Roman"/>
                <w:b/>
                <w:bCs/>
                <w:color w:val="auto"/>
                <w:szCs w:val="21"/>
                <w:highlight w:val="none"/>
                <w:lang w:val="en-US" w:eastAsia="zh-CN"/>
              </w:rPr>
              <w:t>线路Ⅱ</w:t>
            </w:r>
            <w:r>
              <w:rPr>
                <w:rFonts w:hint="default" w:ascii="Times New Roman" w:hAnsi="Times New Roman" w:cs="Times New Roman"/>
                <w:b/>
                <w:bCs/>
                <w:color w:val="auto"/>
                <w:szCs w:val="21"/>
                <w:highlight w:val="none"/>
                <w:lang w:eastAsia="zh-CN"/>
              </w:rPr>
              <w:t>）</w:t>
            </w:r>
          </w:p>
          <w:p w14:paraId="7544827B">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1</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rPr>
              <w:t>方案一（推荐方案）</w:t>
            </w:r>
          </w:p>
          <w:p w14:paraId="0C968E66">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bCs/>
                <w:color w:val="auto"/>
              </w:rPr>
              <w:t>线路起于110kV印合变电站，向北架空出线，再架空向南走线，沿恩阳河东岸经过圈子石、方天坝至正直镇东侧，再经花石梁、韩家梁、岩洞湾附近线路由南江县进入巴州区，经福星乡、太平咀到达何家山附近进入恩阳区，在天星寨村附近跨越S2成巴高速，线路继续向南经陈家湾、喻家梁至刘家湾附近拟建110kV司城变电站。新建单回线路长约</w:t>
            </w:r>
            <w:r>
              <w:rPr>
                <w:rFonts w:hint="eastAsia" w:cs="Times New Roman"/>
                <w:bCs/>
                <w:color w:val="auto"/>
                <w:lang w:eastAsia="zh-CN"/>
              </w:rPr>
              <w:t>25.58</w:t>
            </w:r>
            <w:r>
              <w:rPr>
                <w:rFonts w:hint="default" w:ascii="Times New Roman" w:hAnsi="Times New Roman" w:cs="Times New Roman"/>
                <w:bCs/>
                <w:color w:val="auto"/>
              </w:rPr>
              <w:t>km</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其中恩阳区路径约7.5km，巴州区路径长约5.5km，南江县路径长约12.58km</w:t>
            </w:r>
            <w:r>
              <w:rPr>
                <w:rFonts w:hint="default" w:ascii="Times New Roman" w:hAnsi="Times New Roman" w:cs="Times New Roman"/>
                <w:color w:val="auto"/>
                <w:highlight w:val="none"/>
                <w:lang w:val="en-US" w:eastAsia="zh-CN"/>
              </w:rPr>
              <w:t>）。</w:t>
            </w:r>
          </w:p>
          <w:p w14:paraId="44DFBC31">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2）方案二（比选方案）</w:t>
            </w:r>
          </w:p>
          <w:p w14:paraId="19D4BE8F">
            <w:pPr>
              <w:spacing w:line="360" w:lineRule="auto"/>
              <w:ind w:firstLine="420" w:firstLineChars="200"/>
              <w:rPr>
                <w:rFonts w:hint="default" w:ascii="Times New Roman" w:hAnsi="Times New Roman" w:cs="Times New Roman"/>
                <w:color w:val="auto"/>
                <w:szCs w:val="21"/>
              </w:rPr>
            </w:pPr>
            <w:r>
              <w:rPr>
                <w:rFonts w:hint="eastAsia" w:cs="Times New Roman"/>
                <w:color w:val="auto"/>
                <w:highlight w:val="none"/>
                <w:lang w:val="en-US" w:eastAsia="zh-CN"/>
              </w:rPr>
              <w:t>线路起于110kV印合变电站，向北架空出线，向西依次跨越恩阳河、广巴高速后向南架设，沿恩阳河西岸经过吴家大院、牛王庙、马马石、三清庙、刘家湾、鱼池梁、方田湾后向东依次跨越广巴高速、恩阳河至岩洞湾附近线路由南江县进入巴州区，经福星乡、太平咀到达何家山附近进入恩阳区，在天星寨村附近跨越S2成巴高速，线路继续向南经陈家湾、喻家梁至刘家湾附近拟建110kV司城变电站。新建单回线路长约28.0km（其中恩阳区路径长约7.5km，巴州区路径长约5.5km，南江县路径长约15.0km）。</w:t>
            </w:r>
          </w:p>
          <w:p w14:paraId="162BF7EB">
            <w:pPr>
              <w:tabs>
                <w:tab w:val="left" w:pos="3240"/>
              </w:tabs>
              <w:jc w:val="center"/>
              <w:rPr>
                <w:rFonts w:hint="default" w:ascii="Times New Roman" w:hAnsi="Times New Roman" w:eastAsia="黑体" w:cs="Times New Roman"/>
                <w:color w:val="auto"/>
                <w:szCs w:val="21"/>
              </w:rPr>
            </w:pPr>
          </w:p>
          <w:p w14:paraId="3913CBAD">
            <w:pPr>
              <w:tabs>
                <w:tab w:val="left" w:pos="3240"/>
              </w:tabs>
              <w:jc w:val="center"/>
              <w:rPr>
                <w:rFonts w:hint="default" w:ascii="Times New Roman" w:hAnsi="Times New Roman" w:eastAsia="黑体" w:cs="Times New Roman"/>
                <w:color w:val="auto"/>
                <w:szCs w:val="21"/>
              </w:rPr>
            </w:pPr>
            <w:r>
              <w:rPr>
                <w:rFonts w:hint="default" w:ascii="Times New Roman" w:hAnsi="Times New Roman" w:eastAsia="黑体" w:cs="Times New Roman"/>
                <w:color w:val="auto"/>
                <w:szCs w:val="21"/>
              </w:rPr>
              <w:t>表2-</w:t>
            </w:r>
            <w:r>
              <w:rPr>
                <w:rFonts w:hint="default" w:ascii="Times New Roman" w:hAnsi="Times New Roman" w:eastAsia="黑体" w:cs="Times New Roman"/>
                <w:color w:val="auto"/>
                <w:szCs w:val="21"/>
                <w:lang w:val="en-US" w:eastAsia="zh-CN"/>
              </w:rPr>
              <w:t>20</w:t>
            </w:r>
            <w:r>
              <w:rPr>
                <w:rFonts w:hint="default" w:ascii="Times New Roman" w:hAnsi="Times New Roman" w:eastAsia="黑体" w:cs="Times New Roman"/>
                <w:color w:val="auto"/>
                <w:szCs w:val="21"/>
              </w:rPr>
              <w:t xml:space="preserve">  本项目</w:t>
            </w:r>
            <w:r>
              <w:rPr>
                <w:rFonts w:hint="default" w:ascii="Times New Roman" w:hAnsi="Times New Roman" w:eastAsia="黑体" w:cs="Times New Roman"/>
                <w:color w:val="auto"/>
                <w:szCs w:val="21"/>
                <w:lang w:eastAsia="zh-CN"/>
              </w:rPr>
              <w:t>线路Ⅱ</w:t>
            </w:r>
            <w:r>
              <w:rPr>
                <w:rFonts w:hint="default" w:ascii="Times New Roman" w:hAnsi="Times New Roman" w:eastAsia="黑体" w:cs="Times New Roman"/>
                <w:color w:val="auto"/>
                <w:szCs w:val="21"/>
              </w:rPr>
              <w:t>路径方案技术经济表</w:t>
            </w:r>
          </w:p>
          <w:tbl>
            <w:tblPr>
              <w:tblStyle w:val="25"/>
              <w:tblW w:w="854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3068"/>
              <w:gridCol w:w="3068"/>
              <w:gridCol w:w="1167"/>
            </w:tblGrid>
            <w:tr w14:paraId="1C90C7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0C5C08AA">
                  <w:pPr>
                    <w:widowControl/>
                    <w:snapToGrid w:val="0"/>
                    <w:jc w:val="center"/>
                    <w:rPr>
                      <w:b/>
                      <w:color w:val="auto"/>
                      <w:kern w:val="0"/>
                      <w:sz w:val="18"/>
                      <w:szCs w:val="18"/>
                      <w:lang w:eastAsia="en-US"/>
                    </w:rPr>
                  </w:pPr>
                  <w:r>
                    <w:rPr>
                      <w:b/>
                      <w:color w:val="auto"/>
                      <w:kern w:val="0"/>
                      <w:sz w:val="18"/>
                      <w:szCs w:val="18"/>
                      <w:lang w:eastAsia="en-US"/>
                    </w:rPr>
                    <w:t>项目</w:t>
                  </w:r>
                </w:p>
              </w:tc>
              <w:tc>
                <w:tcPr>
                  <w:tcW w:w="3068" w:type="dxa"/>
                  <w:tcBorders>
                    <w:tl2br w:val="nil"/>
                    <w:tr2bl w:val="nil"/>
                  </w:tcBorders>
                  <w:vAlign w:val="center"/>
                </w:tcPr>
                <w:p w14:paraId="2AC84324">
                  <w:pPr>
                    <w:widowControl/>
                    <w:snapToGrid w:val="0"/>
                    <w:jc w:val="center"/>
                    <w:rPr>
                      <w:b/>
                      <w:color w:val="auto"/>
                      <w:kern w:val="0"/>
                      <w:sz w:val="18"/>
                      <w:szCs w:val="18"/>
                    </w:rPr>
                  </w:pPr>
                  <w:r>
                    <w:rPr>
                      <w:b/>
                      <w:color w:val="auto"/>
                      <w:kern w:val="0"/>
                      <w:sz w:val="18"/>
                      <w:szCs w:val="18"/>
                      <w:lang w:eastAsia="en-US"/>
                    </w:rPr>
                    <w:t>方案</w:t>
                  </w:r>
                  <w:r>
                    <w:rPr>
                      <w:b/>
                      <w:color w:val="auto"/>
                      <w:kern w:val="0"/>
                      <w:sz w:val="18"/>
                      <w:szCs w:val="18"/>
                    </w:rPr>
                    <w:t>一（</w:t>
                  </w:r>
                  <w:r>
                    <w:rPr>
                      <w:rFonts w:hint="eastAsia"/>
                      <w:b/>
                      <w:color w:val="auto"/>
                      <w:kern w:val="0"/>
                      <w:sz w:val="18"/>
                      <w:szCs w:val="18"/>
                    </w:rPr>
                    <w:t>推荐方案</w:t>
                  </w:r>
                  <w:r>
                    <w:rPr>
                      <w:b/>
                      <w:color w:val="auto"/>
                      <w:kern w:val="0"/>
                      <w:sz w:val="18"/>
                      <w:szCs w:val="18"/>
                    </w:rPr>
                    <w:t>）</w:t>
                  </w:r>
                </w:p>
              </w:tc>
              <w:tc>
                <w:tcPr>
                  <w:tcW w:w="3068" w:type="dxa"/>
                  <w:tcBorders>
                    <w:tl2br w:val="nil"/>
                    <w:tr2bl w:val="nil"/>
                  </w:tcBorders>
                  <w:vAlign w:val="center"/>
                </w:tcPr>
                <w:p w14:paraId="08D5F111">
                  <w:pPr>
                    <w:widowControl/>
                    <w:snapToGrid w:val="0"/>
                    <w:jc w:val="center"/>
                    <w:rPr>
                      <w:b/>
                      <w:color w:val="auto"/>
                      <w:kern w:val="0"/>
                      <w:sz w:val="18"/>
                      <w:szCs w:val="18"/>
                    </w:rPr>
                  </w:pPr>
                  <w:r>
                    <w:rPr>
                      <w:b/>
                      <w:color w:val="auto"/>
                      <w:kern w:val="0"/>
                      <w:sz w:val="18"/>
                      <w:szCs w:val="18"/>
                      <w:lang w:eastAsia="en-US"/>
                    </w:rPr>
                    <w:t>方案</w:t>
                  </w:r>
                  <w:r>
                    <w:rPr>
                      <w:b/>
                      <w:color w:val="auto"/>
                      <w:kern w:val="0"/>
                      <w:sz w:val="18"/>
                      <w:szCs w:val="18"/>
                    </w:rPr>
                    <w:t>二（</w:t>
                  </w:r>
                  <w:r>
                    <w:rPr>
                      <w:rFonts w:hint="eastAsia"/>
                      <w:b/>
                      <w:color w:val="auto"/>
                      <w:kern w:val="0"/>
                      <w:sz w:val="18"/>
                      <w:szCs w:val="18"/>
                    </w:rPr>
                    <w:t>比选方案</w:t>
                  </w:r>
                  <w:r>
                    <w:rPr>
                      <w:b/>
                      <w:color w:val="auto"/>
                      <w:kern w:val="0"/>
                      <w:sz w:val="18"/>
                      <w:szCs w:val="18"/>
                    </w:rPr>
                    <w:t>）</w:t>
                  </w:r>
                </w:p>
              </w:tc>
              <w:tc>
                <w:tcPr>
                  <w:tcW w:w="1167" w:type="dxa"/>
                  <w:tcBorders>
                    <w:tl2br w:val="nil"/>
                    <w:tr2bl w:val="nil"/>
                  </w:tcBorders>
                  <w:vAlign w:val="center"/>
                </w:tcPr>
                <w:p w14:paraId="37F41422">
                  <w:pPr>
                    <w:widowControl/>
                    <w:snapToGrid w:val="0"/>
                    <w:jc w:val="center"/>
                    <w:rPr>
                      <w:b/>
                      <w:color w:val="auto"/>
                      <w:kern w:val="0"/>
                      <w:sz w:val="18"/>
                      <w:szCs w:val="18"/>
                    </w:rPr>
                  </w:pPr>
                  <w:r>
                    <w:rPr>
                      <w:rFonts w:hint="eastAsia"/>
                      <w:b/>
                      <w:color w:val="auto"/>
                      <w:kern w:val="0"/>
                      <w:sz w:val="18"/>
                      <w:szCs w:val="18"/>
                    </w:rPr>
                    <w:t>比较结果</w:t>
                  </w:r>
                </w:p>
              </w:tc>
            </w:tr>
            <w:tr w14:paraId="336A65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49DF56F0">
                  <w:pPr>
                    <w:widowControl/>
                    <w:snapToGrid w:val="0"/>
                    <w:jc w:val="center"/>
                    <w:rPr>
                      <w:color w:val="auto"/>
                      <w:kern w:val="0"/>
                      <w:sz w:val="18"/>
                      <w:szCs w:val="18"/>
                      <w:lang w:eastAsia="en-US"/>
                    </w:rPr>
                  </w:pPr>
                  <w:r>
                    <w:rPr>
                      <w:color w:val="auto"/>
                      <w:kern w:val="0"/>
                      <w:sz w:val="18"/>
                      <w:szCs w:val="18"/>
                      <w:lang w:eastAsia="en-US"/>
                    </w:rPr>
                    <w:t>线路长度</w:t>
                  </w:r>
                </w:p>
              </w:tc>
              <w:tc>
                <w:tcPr>
                  <w:tcW w:w="3068" w:type="dxa"/>
                  <w:tcBorders>
                    <w:tl2br w:val="nil"/>
                    <w:tr2bl w:val="nil"/>
                  </w:tcBorders>
                  <w:vAlign w:val="center"/>
                </w:tcPr>
                <w:p w14:paraId="0C042072">
                  <w:pPr>
                    <w:snapToGrid w:val="0"/>
                    <w:spacing w:line="312" w:lineRule="auto"/>
                    <w:jc w:val="center"/>
                    <w:rPr>
                      <w:rFonts w:hint="default" w:ascii="Times New Roman" w:hAnsi="Times New Roman" w:cs="Times New Roman"/>
                      <w:color w:val="auto"/>
                      <w:kern w:val="0"/>
                      <w:sz w:val="18"/>
                      <w:szCs w:val="18"/>
                    </w:rPr>
                  </w:pPr>
                  <w:r>
                    <w:rPr>
                      <w:rFonts w:hint="eastAsia" w:cs="Times New Roman"/>
                      <w:color w:val="auto"/>
                      <w:sz w:val="18"/>
                      <w:szCs w:val="18"/>
                      <w:highlight w:val="none"/>
                      <w:lang w:val="en-US" w:eastAsia="zh-CN"/>
                    </w:rPr>
                    <w:t>25.58km</w:t>
                  </w:r>
                </w:p>
              </w:tc>
              <w:tc>
                <w:tcPr>
                  <w:tcW w:w="3068" w:type="dxa"/>
                  <w:tcBorders>
                    <w:tl2br w:val="nil"/>
                    <w:tr2bl w:val="nil"/>
                  </w:tcBorders>
                  <w:vAlign w:val="center"/>
                </w:tcPr>
                <w:p w14:paraId="6B06904F">
                  <w:pPr>
                    <w:snapToGrid w:val="0"/>
                    <w:spacing w:line="312" w:lineRule="auto"/>
                    <w:jc w:val="center"/>
                    <w:rPr>
                      <w:rFonts w:hint="default" w:ascii="Times New Roman" w:hAnsi="Times New Roman" w:cs="Times New Roman"/>
                      <w:color w:val="auto"/>
                      <w:kern w:val="0"/>
                      <w:sz w:val="18"/>
                      <w:szCs w:val="18"/>
                    </w:rPr>
                  </w:pPr>
                  <w:r>
                    <w:rPr>
                      <w:rFonts w:hint="eastAsia" w:cs="Times New Roman"/>
                      <w:color w:val="auto"/>
                      <w:sz w:val="18"/>
                      <w:szCs w:val="18"/>
                      <w:highlight w:val="none"/>
                      <w:lang w:val="en-US" w:eastAsia="zh-CN"/>
                    </w:rPr>
                    <w:t>28.0</w:t>
                  </w:r>
                  <w:r>
                    <w:rPr>
                      <w:color w:val="auto"/>
                      <w:kern w:val="0"/>
                      <w:sz w:val="18"/>
                      <w:szCs w:val="18"/>
                    </w:rPr>
                    <w:t>km</w:t>
                  </w:r>
                </w:p>
              </w:tc>
              <w:tc>
                <w:tcPr>
                  <w:tcW w:w="1167" w:type="dxa"/>
                  <w:tcBorders>
                    <w:tl2br w:val="nil"/>
                    <w:tr2bl w:val="nil"/>
                  </w:tcBorders>
                  <w:vAlign w:val="center"/>
                </w:tcPr>
                <w:p w14:paraId="56650586">
                  <w:pPr>
                    <w:widowControl/>
                    <w:snapToGrid w:val="0"/>
                    <w:jc w:val="center"/>
                    <w:rPr>
                      <w:color w:val="auto"/>
                      <w:kern w:val="0"/>
                      <w:sz w:val="18"/>
                      <w:szCs w:val="18"/>
                    </w:rPr>
                  </w:pPr>
                  <w:r>
                    <w:rPr>
                      <w:rFonts w:hint="eastAsia"/>
                      <w:color w:val="auto"/>
                      <w:kern w:val="0"/>
                      <w:sz w:val="18"/>
                      <w:szCs w:val="18"/>
                    </w:rPr>
                    <w:t>方案一优</w:t>
                  </w:r>
                </w:p>
              </w:tc>
            </w:tr>
            <w:tr w14:paraId="5645AD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7CBB167D">
                  <w:pPr>
                    <w:widowControl/>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塔基数量</w:t>
                  </w:r>
                </w:p>
              </w:tc>
              <w:tc>
                <w:tcPr>
                  <w:tcW w:w="3068" w:type="dxa"/>
                  <w:tcBorders>
                    <w:tl2br w:val="nil"/>
                    <w:tr2bl w:val="nil"/>
                  </w:tcBorders>
                  <w:vAlign w:val="center"/>
                </w:tcPr>
                <w:p w14:paraId="10E8D615">
                  <w:pPr>
                    <w:widowControl/>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82基</w:t>
                  </w:r>
                </w:p>
              </w:tc>
              <w:tc>
                <w:tcPr>
                  <w:tcW w:w="3068" w:type="dxa"/>
                  <w:tcBorders>
                    <w:tl2br w:val="nil"/>
                    <w:tr2bl w:val="nil"/>
                  </w:tcBorders>
                  <w:vAlign w:val="center"/>
                </w:tcPr>
                <w:p w14:paraId="1BFB7B8A">
                  <w:pPr>
                    <w:widowControl/>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92基</w:t>
                  </w:r>
                </w:p>
              </w:tc>
              <w:tc>
                <w:tcPr>
                  <w:tcW w:w="1167" w:type="dxa"/>
                  <w:tcBorders>
                    <w:tl2br w:val="nil"/>
                    <w:tr2bl w:val="nil"/>
                  </w:tcBorders>
                  <w:vAlign w:val="center"/>
                </w:tcPr>
                <w:p w14:paraId="16E15FE0">
                  <w:pPr>
                    <w:widowControl/>
                    <w:snapToGrid w:val="0"/>
                    <w:jc w:val="center"/>
                    <w:rPr>
                      <w:rFonts w:hint="eastAsia"/>
                      <w:color w:val="auto"/>
                      <w:kern w:val="0"/>
                      <w:sz w:val="18"/>
                      <w:szCs w:val="18"/>
                    </w:rPr>
                  </w:pPr>
                  <w:r>
                    <w:rPr>
                      <w:rFonts w:hint="eastAsia"/>
                      <w:color w:val="auto"/>
                      <w:kern w:val="0"/>
                      <w:sz w:val="18"/>
                      <w:szCs w:val="18"/>
                    </w:rPr>
                    <w:t>方案一优</w:t>
                  </w:r>
                </w:p>
              </w:tc>
            </w:tr>
            <w:tr w14:paraId="303930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6A86E053">
                  <w:pPr>
                    <w:widowControl/>
                    <w:snapToGrid w:val="0"/>
                    <w:jc w:val="center"/>
                    <w:rPr>
                      <w:color w:val="auto"/>
                      <w:kern w:val="0"/>
                      <w:sz w:val="18"/>
                      <w:szCs w:val="18"/>
                      <w:lang w:eastAsia="en-US"/>
                    </w:rPr>
                  </w:pPr>
                  <w:r>
                    <w:rPr>
                      <w:color w:val="auto"/>
                      <w:kern w:val="0"/>
                      <w:sz w:val="18"/>
                      <w:szCs w:val="18"/>
                      <w:lang w:eastAsia="en-US"/>
                    </w:rPr>
                    <w:t>曲折系数</w:t>
                  </w:r>
                </w:p>
              </w:tc>
              <w:tc>
                <w:tcPr>
                  <w:tcW w:w="3068" w:type="dxa"/>
                  <w:tcBorders>
                    <w:tl2br w:val="nil"/>
                    <w:tr2bl w:val="nil"/>
                  </w:tcBorders>
                  <w:vAlign w:val="center"/>
                </w:tcPr>
                <w:p w14:paraId="7261688B">
                  <w:pPr>
                    <w:widowControl/>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1.11</w:t>
                  </w:r>
                </w:p>
              </w:tc>
              <w:tc>
                <w:tcPr>
                  <w:tcW w:w="3068" w:type="dxa"/>
                  <w:tcBorders>
                    <w:tl2br w:val="nil"/>
                    <w:tr2bl w:val="nil"/>
                  </w:tcBorders>
                  <w:vAlign w:val="center"/>
                </w:tcPr>
                <w:p w14:paraId="6AC6EC7B">
                  <w:pPr>
                    <w:widowControl/>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1.20</w:t>
                  </w:r>
                </w:p>
              </w:tc>
              <w:tc>
                <w:tcPr>
                  <w:tcW w:w="1167" w:type="dxa"/>
                  <w:tcBorders>
                    <w:tl2br w:val="nil"/>
                    <w:tr2bl w:val="nil"/>
                  </w:tcBorders>
                  <w:vAlign w:val="center"/>
                </w:tcPr>
                <w:p w14:paraId="54333742">
                  <w:pPr>
                    <w:widowControl/>
                    <w:snapToGrid w:val="0"/>
                    <w:jc w:val="center"/>
                    <w:rPr>
                      <w:color w:val="auto"/>
                      <w:kern w:val="0"/>
                      <w:sz w:val="18"/>
                      <w:szCs w:val="18"/>
                    </w:rPr>
                  </w:pPr>
                  <w:r>
                    <w:rPr>
                      <w:rFonts w:hint="eastAsia"/>
                      <w:color w:val="auto"/>
                      <w:kern w:val="0"/>
                      <w:sz w:val="18"/>
                      <w:szCs w:val="18"/>
                    </w:rPr>
                    <w:t>方案一优</w:t>
                  </w:r>
                </w:p>
              </w:tc>
            </w:tr>
            <w:tr w14:paraId="3C7125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6C13041A">
                  <w:pPr>
                    <w:widowControl/>
                    <w:snapToGrid w:val="0"/>
                    <w:jc w:val="center"/>
                    <w:rPr>
                      <w:rFonts w:hint="eastAsia" w:eastAsia="宋体"/>
                      <w:color w:val="auto"/>
                      <w:kern w:val="0"/>
                      <w:sz w:val="18"/>
                      <w:szCs w:val="18"/>
                      <w:lang w:eastAsia="zh-CN"/>
                    </w:rPr>
                  </w:pPr>
                  <w:r>
                    <w:rPr>
                      <w:color w:val="auto"/>
                      <w:kern w:val="0"/>
                      <w:sz w:val="18"/>
                      <w:szCs w:val="18"/>
                      <w:lang w:eastAsia="en-US"/>
                    </w:rPr>
                    <w:t>海拔高</w:t>
                  </w:r>
                  <w:r>
                    <w:rPr>
                      <w:rFonts w:hint="eastAsia"/>
                      <w:color w:val="auto"/>
                      <w:kern w:val="0"/>
                      <w:sz w:val="18"/>
                      <w:szCs w:val="18"/>
                      <w:lang w:val="en-US" w:eastAsia="zh-CN"/>
                    </w:rPr>
                    <w:t>程</w:t>
                  </w:r>
                </w:p>
              </w:tc>
              <w:tc>
                <w:tcPr>
                  <w:tcW w:w="3068" w:type="dxa"/>
                  <w:tcBorders>
                    <w:tl2br w:val="nil"/>
                    <w:tr2bl w:val="nil"/>
                  </w:tcBorders>
                  <w:vAlign w:val="center"/>
                </w:tcPr>
                <w:p w14:paraId="76878F05">
                  <w:pPr>
                    <w:widowControl/>
                    <w:snapToGrid w:val="0"/>
                    <w:jc w:val="center"/>
                    <w:rPr>
                      <w:b/>
                      <w:bCs/>
                      <w:color w:val="auto"/>
                      <w:kern w:val="0"/>
                      <w:sz w:val="18"/>
                      <w:szCs w:val="18"/>
                    </w:rPr>
                  </w:pPr>
                  <w:r>
                    <w:rPr>
                      <w:rFonts w:hint="eastAsia"/>
                      <w:color w:val="auto"/>
                      <w:kern w:val="0"/>
                      <w:sz w:val="18"/>
                      <w:szCs w:val="18"/>
                      <w:lang w:val="en-US" w:eastAsia="zh-CN"/>
                    </w:rPr>
                    <w:t>300～650m</w:t>
                  </w:r>
                </w:p>
              </w:tc>
              <w:tc>
                <w:tcPr>
                  <w:tcW w:w="3068" w:type="dxa"/>
                  <w:tcBorders>
                    <w:tl2br w:val="nil"/>
                    <w:tr2bl w:val="nil"/>
                  </w:tcBorders>
                  <w:vAlign w:val="center"/>
                </w:tcPr>
                <w:p w14:paraId="3785BEC5">
                  <w:pPr>
                    <w:widowControl/>
                    <w:snapToGrid w:val="0"/>
                    <w:jc w:val="center"/>
                    <w:rPr>
                      <w:b/>
                      <w:bCs/>
                      <w:color w:val="auto"/>
                      <w:sz w:val="18"/>
                      <w:szCs w:val="18"/>
                    </w:rPr>
                  </w:pPr>
                  <w:r>
                    <w:rPr>
                      <w:rFonts w:hint="eastAsia"/>
                      <w:color w:val="auto"/>
                      <w:sz w:val="18"/>
                      <w:szCs w:val="18"/>
                      <w:lang w:val="en-US" w:eastAsia="zh-CN"/>
                    </w:rPr>
                    <w:t>300～750m</w:t>
                  </w:r>
                </w:p>
              </w:tc>
              <w:tc>
                <w:tcPr>
                  <w:tcW w:w="1167" w:type="dxa"/>
                  <w:tcBorders>
                    <w:tl2br w:val="nil"/>
                    <w:tr2bl w:val="nil"/>
                  </w:tcBorders>
                  <w:vAlign w:val="center"/>
                </w:tcPr>
                <w:p w14:paraId="31CB9DE1">
                  <w:pPr>
                    <w:widowControl/>
                    <w:snapToGrid w:val="0"/>
                    <w:jc w:val="center"/>
                    <w:rPr>
                      <w:rFonts w:hint="default" w:eastAsia="宋体"/>
                      <w:color w:val="auto"/>
                      <w:kern w:val="0"/>
                      <w:sz w:val="18"/>
                      <w:szCs w:val="18"/>
                      <w:lang w:val="en-US" w:eastAsia="zh-CN"/>
                    </w:rPr>
                  </w:pPr>
                  <w:r>
                    <w:rPr>
                      <w:rFonts w:hint="eastAsia"/>
                      <w:color w:val="auto"/>
                      <w:kern w:val="0"/>
                      <w:sz w:val="18"/>
                      <w:szCs w:val="18"/>
                      <w:lang w:val="en-US" w:eastAsia="zh-CN"/>
                    </w:rPr>
                    <w:t>方案一优</w:t>
                  </w:r>
                </w:p>
              </w:tc>
            </w:tr>
            <w:tr w14:paraId="21F1BA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70ED0550">
                  <w:pPr>
                    <w:widowControl/>
                    <w:snapToGrid w:val="0"/>
                    <w:jc w:val="center"/>
                    <w:rPr>
                      <w:color w:val="auto"/>
                      <w:kern w:val="0"/>
                      <w:sz w:val="18"/>
                      <w:szCs w:val="18"/>
                      <w:lang w:eastAsia="en-US"/>
                    </w:rPr>
                  </w:pPr>
                  <w:r>
                    <w:rPr>
                      <w:color w:val="auto"/>
                      <w:kern w:val="0"/>
                      <w:sz w:val="18"/>
                      <w:szCs w:val="18"/>
                    </w:rPr>
                    <w:t>气象条件</w:t>
                  </w:r>
                </w:p>
              </w:tc>
              <w:tc>
                <w:tcPr>
                  <w:tcW w:w="3068" w:type="dxa"/>
                  <w:tcBorders>
                    <w:tl2br w:val="nil"/>
                    <w:tr2bl w:val="nil"/>
                  </w:tcBorders>
                  <w:vAlign w:val="center"/>
                </w:tcPr>
                <w:p w14:paraId="5DE8A3AF">
                  <w:pPr>
                    <w:pStyle w:val="17"/>
                    <w:pBdr>
                      <w:bottom w:val="none" w:color="auto" w:sz="0" w:space="0"/>
                    </w:pBdr>
                    <w:tabs>
                      <w:tab w:val="clear" w:pos="4153"/>
                      <w:tab w:val="clear" w:pos="8306"/>
                    </w:tabs>
                    <w:spacing w:line="312" w:lineRule="auto"/>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sz w:val="18"/>
                      <w:szCs w:val="18"/>
                      <w:highlight w:val="none"/>
                      <w:lang w:val="en-US" w:eastAsia="zh-CN"/>
                    </w:rPr>
                    <w:t>大风25m/s，覆冰厚度5mm</w:t>
                  </w:r>
                </w:p>
              </w:tc>
              <w:tc>
                <w:tcPr>
                  <w:tcW w:w="3068" w:type="dxa"/>
                  <w:tcBorders>
                    <w:tl2br w:val="nil"/>
                    <w:tr2bl w:val="nil"/>
                  </w:tcBorders>
                  <w:vAlign w:val="center"/>
                </w:tcPr>
                <w:p w14:paraId="02CE6201">
                  <w:pPr>
                    <w:pStyle w:val="17"/>
                    <w:pBdr>
                      <w:bottom w:val="none" w:color="auto" w:sz="0" w:space="0"/>
                    </w:pBdr>
                    <w:tabs>
                      <w:tab w:val="clear" w:pos="4153"/>
                      <w:tab w:val="clear" w:pos="8306"/>
                    </w:tabs>
                    <w:spacing w:line="312" w:lineRule="auto"/>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sz w:val="18"/>
                      <w:szCs w:val="18"/>
                      <w:highlight w:val="none"/>
                      <w:lang w:val="en-US" w:eastAsia="zh-CN"/>
                    </w:rPr>
                    <w:t>大风25m/s，覆冰厚度5mm</w:t>
                  </w:r>
                </w:p>
              </w:tc>
              <w:tc>
                <w:tcPr>
                  <w:tcW w:w="1167" w:type="dxa"/>
                  <w:tcBorders>
                    <w:tl2br w:val="nil"/>
                    <w:tr2bl w:val="nil"/>
                  </w:tcBorders>
                  <w:vAlign w:val="center"/>
                </w:tcPr>
                <w:p w14:paraId="7FF19EDC">
                  <w:pPr>
                    <w:widowControl/>
                    <w:snapToGrid w:val="0"/>
                    <w:jc w:val="center"/>
                    <w:rPr>
                      <w:color w:val="auto"/>
                      <w:kern w:val="0"/>
                      <w:sz w:val="18"/>
                      <w:szCs w:val="18"/>
                    </w:rPr>
                  </w:pPr>
                  <w:r>
                    <w:rPr>
                      <w:rFonts w:hint="eastAsia"/>
                      <w:color w:val="auto"/>
                      <w:kern w:val="0"/>
                      <w:sz w:val="18"/>
                      <w:szCs w:val="18"/>
                    </w:rPr>
                    <w:t>一致</w:t>
                  </w:r>
                </w:p>
              </w:tc>
            </w:tr>
            <w:tr w14:paraId="2B6F58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4D8DA3A2">
                  <w:pPr>
                    <w:widowControl/>
                    <w:snapToGrid w:val="0"/>
                    <w:jc w:val="center"/>
                    <w:rPr>
                      <w:color w:val="auto"/>
                      <w:kern w:val="0"/>
                      <w:sz w:val="18"/>
                      <w:szCs w:val="18"/>
                    </w:rPr>
                  </w:pPr>
                  <w:r>
                    <w:rPr>
                      <w:rFonts w:hint="eastAsia"/>
                      <w:color w:val="auto"/>
                      <w:kern w:val="0"/>
                      <w:sz w:val="18"/>
                      <w:szCs w:val="18"/>
                    </w:rPr>
                    <w:t>地形条件</w:t>
                  </w:r>
                </w:p>
              </w:tc>
              <w:tc>
                <w:tcPr>
                  <w:tcW w:w="3068" w:type="dxa"/>
                  <w:tcBorders>
                    <w:tl2br w:val="nil"/>
                    <w:tr2bl w:val="nil"/>
                  </w:tcBorders>
                  <w:vAlign w:val="center"/>
                </w:tcPr>
                <w:p w14:paraId="5EF2E7B6">
                  <w:pPr>
                    <w:snapToGrid w:val="0"/>
                    <w:spacing w:line="312" w:lineRule="auto"/>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highlight w:val="none"/>
                      <w:lang w:val="en-US" w:eastAsia="zh-CN"/>
                    </w:rPr>
                    <w:t>山地</w:t>
                  </w:r>
                  <w:r>
                    <w:rPr>
                      <w:rFonts w:hint="eastAsia" w:cs="Times New Roman"/>
                      <w:color w:val="auto"/>
                      <w:sz w:val="18"/>
                      <w:szCs w:val="18"/>
                      <w:highlight w:val="none"/>
                      <w:lang w:val="en-US" w:eastAsia="zh-CN"/>
                    </w:rPr>
                    <w:t>80</w:t>
                  </w:r>
                  <w:r>
                    <w:rPr>
                      <w:rFonts w:hint="default" w:ascii="Times New Roman" w:hAnsi="Times New Roman" w:cs="Times New Roman"/>
                      <w:color w:val="auto"/>
                      <w:sz w:val="18"/>
                      <w:szCs w:val="18"/>
                      <w:highlight w:val="none"/>
                      <w:lang w:val="en-US" w:eastAsia="zh-CN"/>
                    </w:rPr>
                    <w:t>%、高山</w:t>
                  </w:r>
                  <w:r>
                    <w:rPr>
                      <w:rFonts w:hint="eastAsia" w:cs="Times New Roman"/>
                      <w:color w:val="auto"/>
                      <w:sz w:val="18"/>
                      <w:szCs w:val="18"/>
                      <w:highlight w:val="none"/>
                      <w:lang w:val="en-US" w:eastAsia="zh-CN"/>
                    </w:rPr>
                    <w:t>20</w:t>
                  </w:r>
                  <w:r>
                    <w:rPr>
                      <w:rFonts w:hint="default" w:ascii="Times New Roman" w:hAnsi="Times New Roman" w:cs="Times New Roman"/>
                      <w:color w:val="auto"/>
                      <w:sz w:val="18"/>
                      <w:szCs w:val="18"/>
                      <w:highlight w:val="none"/>
                      <w:lang w:val="en-US" w:eastAsia="zh-CN"/>
                    </w:rPr>
                    <w:t>%</w:t>
                  </w:r>
                </w:p>
              </w:tc>
              <w:tc>
                <w:tcPr>
                  <w:tcW w:w="3068" w:type="dxa"/>
                  <w:tcBorders>
                    <w:tl2br w:val="nil"/>
                    <w:tr2bl w:val="nil"/>
                  </w:tcBorders>
                  <w:vAlign w:val="center"/>
                </w:tcPr>
                <w:p w14:paraId="64238F2D">
                  <w:pPr>
                    <w:snapToGrid w:val="0"/>
                    <w:spacing w:line="312" w:lineRule="auto"/>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highlight w:val="none"/>
                      <w:lang w:val="en-US" w:eastAsia="zh-CN"/>
                    </w:rPr>
                    <w:t>山地</w:t>
                  </w:r>
                  <w:r>
                    <w:rPr>
                      <w:rFonts w:hint="eastAsia" w:cs="Times New Roman"/>
                      <w:color w:val="auto"/>
                      <w:sz w:val="18"/>
                      <w:szCs w:val="18"/>
                      <w:highlight w:val="none"/>
                      <w:lang w:val="en-US" w:eastAsia="zh-CN"/>
                    </w:rPr>
                    <w:t>75</w:t>
                  </w:r>
                  <w:r>
                    <w:rPr>
                      <w:rFonts w:hint="default" w:ascii="Times New Roman" w:hAnsi="Times New Roman" w:cs="Times New Roman"/>
                      <w:color w:val="auto"/>
                      <w:sz w:val="18"/>
                      <w:szCs w:val="18"/>
                      <w:highlight w:val="none"/>
                      <w:lang w:val="en-US" w:eastAsia="zh-CN"/>
                    </w:rPr>
                    <w:t>%、高山</w:t>
                  </w:r>
                  <w:r>
                    <w:rPr>
                      <w:rFonts w:hint="eastAsia" w:cs="Times New Roman"/>
                      <w:color w:val="auto"/>
                      <w:sz w:val="18"/>
                      <w:szCs w:val="18"/>
                      <w:highlight w:val="none"/>
                      <w:lang w:val="en-US" w:eastAsia="zh-CN"/>
                    </w:rPr>
                    <w:t>25</w:t>
                  </w:r>
                  <w:r>
                    <w:rPr>
                      <w:rFonts w:hint="default" w:ascii="Times New Roman" w:hAnsi="Times New Roman" w:cs="Times New Roman"/>
                      <w:color w:val="auto"/>
                      <w:sz w:val="18"/>
                      <w:szCs w:val="18"/>
                      <w:highlight w:val="none"/>
                      <w:lang w:val="en-US" w:eastAsia="zh-CN"/>
                    </w:rPr>
                    <w:t>%</w:t>
                  </w:r>
                </w:p>
              </w:tc>
              <w:tc>
                <w:tcPr>
                  <w:tcW w:w="1167" w:type="dxa"/>
                  <w:tcBorders>
                    <w:tl2br w:val="nil"/>
                    <w:tr2bl w:val="nil"/>
                  </w:tcBorders>
                  <w:vAlign w:val="center"/>
                </w:tcPr>
                <w:p w14:paraId="1BDBAC1D">
                  <w:pPr>
                    <w:widowControl/>
                    <w:snapToGrid w:val="0"/>
                    <w:jc w:val="center"/>
                    <w:rPr>
                      <w:color w:val="auto"/>
                      <w:kern w:val="0"/>
                      <w:sz w:val="18"/>
                      <w:szCs w:val="18"/>
                    </w:rPr>
                  </w:pPr>
                  <w:r>
                    <w:rPr>
                      <w:rFonts w:hint="eastAsia"/>
                      <w:color w:val="auto"/>
                      <w:kern w:val="0"/>
                      <w:sz w:val="18"/>
                      <w:szCs w:val="18"/>
                    </w:rPr>
                    <w:t>方案一优</w:t>
                  </w:r>
                </w:p>
              </w:tc>
            </w:tr>
            <w:tr w14:paraId="191675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3F8F36AD">
                  <w:pPr>
                    <w:widowControl/>
                    <w:snapToGrid w:val="0"/>
                    <w:jc w:val="center"/>
                    <w:rPr>
                      <w:color w:val="auto"/>
                      <w:kern w:val="0"/>
                      <w:sz w:val="18"/>
                      <w:szCs w:val="18"/>
                      <w:lang w:eastAsia="en-US"/>
                    </w:rPr>
                  </w:pPr>
                  <w:r>
                    <w:rPr>
                      <w:color w:val="auto"/>
                      <w:kern w:val="0"/>
                      <w:sz w:val="18"/>
                      <w:szCs w:val="18"/>
                      <w:lang w:eastAsia="en-US"/>
                    </w:rPr>
                    <w:t>不良地质</w:t>
                  </w:r>
                </w:p>
              </w:tc>
              <w:tc>
                <w:tcPr>
                  <w:tcW w:w="3068" w:type="dxa"/>
                  <w:tcBorders>
                    <w:tl2br w:val="nil"/>
                    <w:tr2bl w:val="nil"/>
                  </w:tcBorders>
                  <w:vAlign w:val="center"/>
                </w:tcPr>
                <w:p w14:paraId="06D530E6">
                  <w:pPr>
                    <w:widowControl/>
                    <w:snapToGrid w:val="0"/>
                    <w:jc w:val="center"/>
                    <w:rPr>
                      <w:color w:val="auto"/>
                      <w:sz w:val="18"/>
                      <w:szCs w:val="18"/>
                    </w:rPr>
                  </w:pPr>
                  <w:r>
                    <w:rPr>
                      <w:color w:val="auto"/>
                      <w:kern w:val="0"/>
                      <w:sz w:val="18"/>
                      <w:szCs w:val="18"/>
                    </w:rPr>
                    <w:t>无</w:t>
                  </w:r>
                </w:p>
              </w:tc>
              <w:tc>
                <w:tcPr>
                  <w:tcW w:w="3068" w:type="dxa"/>
                  <w:tcBorders>
                    <w:tl2br w:val="nil"/>
                    <w:tr2bl w:val="nil"/>
                  </w:tcBorders>
                  <w:vAlign w:val="center"/>
                </w:tcPr>
                <w:p w14:paraId="6ABC5F4A">
                  <w:pPr>
                    <w:widowControl/>
                    <w:snapToGrid w:val="0"/>
                    <w:jc w:val="center"/>
                    <w:rPr>
                      <w:color w:val="auto"/>
                      <w:sz w:val="18"/>
                      <w:szCs w:val="18"/>
                    </w:rPr>
                  </w:pPr>
                  <w:r>
                    <w:rPr>
                      <w:color w:val="auto"/>
                      <w:kern w:val="0"/>
                      <w:sz w:val="18"/>
                      <w:szCs w:val="18"/>
                    </w:rPr>
                    <w:t>无</w:t>
                  </w:r>
                </w:p>
              </w:tc>
              <w:tc>
                <w:tcPr>
                  <w:tcW w:w="1167" w:type="dxa"/>
                  <w:tcBorders>
                    <w:tl2br w:val="nil"/>
                    <w:tr2bl w:val="nil"/>
                  </w:tcBorders>
                  <w:vAlign w:val="center"/>
                </w:tcPr>
                <w:p w14:paraId="2E7EDCDE">
                  <w:pPr>
                    <w:widowControl/>
                    <w:snapToGrid w:val="0"/>
                    <w:jc w:val="center"/>
                    <w:rPr>
                      <w:color w:val="auto"/>
                      <w:kern w:val="0"/>
                      <w:sz w:val="18"/>
                      <w:szCs w:val="18"/>
                    </w:rPr>
                  </w:pPr>
                  <w:r>
                    <w:rPr>
                      <w:rFonts w:hint="eastAsia"/>
                      <w:color w:val="auto"/>
                      <w:kern w:val="0"/>
                      <w:sz w:val="18"/>
                      <w:szCs w:val="18"/>
                    </w:rPr>
                    <w:t>一致</w:t>
                  </w:r>
                </w:p>
              </w:tc>
            </w:tr>
            <w:tr w14:paraId="1A8B17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55EC3ADC">
                  <w:pPr>
                    <w:widowControl/>
                    <w:snapToGrid w:val="0"/>
                    <w:jc w:val="center"/>
                    <w:rPr>
                      <w:color w:val="auto"/>
                      <w:kern w:val="0"/>
                      <w:sz w:val="18"/>
                      <w:szCs w:val="18"/>
                      <w:lang w:eastAsia="en-US"/>
                    </w:rPr>
                  </w:pPr>
                  <w:r>
                    <w:rPr>
                      <w:color w:val="auto"/>
                      <w:kern w:val="0"/>
                      <w:sz w:val="18"/>
                      <w:szCs w:val="18"/>
                      <w:lang w:eastAsia="en-US"/>
                    </w:rPr>
                    <w:t>压覆矿产</w:t>
                  </w:r>
                </w:p>
              </w:tc>
              <w:tc>
                <w:tcPr>
                  <w:tcW w:w="3068" w:type="dxa"/>
                  <w:tcBorders>
                    <w:tl2br w:val="nil"/>
                    <w:tr2bl w:val="nil"/>
                  </w:tcBorders>
                  <w:vAlign w:val="center"/>
                </w:tcPr>
                <w:p w14:paraId="330CCA38">
                  <w:pPr>
                    <w:widowControl/>
                    <w:snapToGrid w:val="0"/>
                    <w:jc w:val="center"/>
                    <w:rPr>
                      <w:color w:val="auto"/>
                      <w:sz w:val="18"/>
                      <w:szCs w:val="18"/>
                    </w:rPr>
                  </w:pPr>
                  <w:r>
                    <w:rPr>
                      <w:color w:val="auto"/>
                      <w:kern w:val="0"/>
                      <w:sz w:val="18"/>
                      <w:szCs w:val="18"/>
                    </w:rPr>
                    <w:t>无</w:t>
                  </w:r>
                </w:p>
              </w:tc>
              <w:tc>
                <w:tcPr>
                  <w:tcW w:w="3068" w:type="dxa"/>
                  <w:tcBorders>
                    <w:tl2br w:val="nil"/>
                    <w:tr2bl w:val="nil"/>
                  </w:tcBorders>
                  <w:vAlign w:val="center"/>
                </w:tcPr>
                <w:p w14:paraId="6544E623">
                  <w:pPr>
                    <w:widowControl/>
                    <w:snapToGrid w:val="0"/>
                    <w:jc w:val="center"/>
                    <w:rPr>
                      <w:color w:val="auto"/>
                      <w:sz w:val="18"/>
                      <w:szCs w:val="18"/>
                    </w:rPr>
                  </w:pPr>
                  <w:r>
                    <w:rPr>
                      <w:color w:val="auto"/>
                      <w:kern w:val="0"/>
                      <w:sz w:val="18"/>
                      <w:szCs w:val="18"/>
                    </w:rPr>
                    <w:t>无</w:t>
                  </w:r>
                </w:p>
              </w:tc>
              <w:tc>
                <w:tcPr>
                  <w:tcW w:w="1167" w:type="dxa"/>
                  <w:tcBorders>
                    <w:tl2br w:val="nil"/>
                    <w:tr2bl w:val="nil"/>
                  </w:tcBorders>
                  <w:vAlign w:val="center"/>
                </w:tcPr>
                <w:p w14:paraId="187D2DC5">
                  <w:pPr>
                    <w:widowControl/>
                    <w:snapToGrid w:val="0"/>
                    <w:jc w:val="center"/>
                    <w:rPr>
                      <w:color w:val="auto"/>
                      <w:kern w:val="0"/>
                      <w:sz w:val="18"/>
                      <w:szCs w:val="18"/>
                    </w:rPr>
                  </w:pPr>
                  <w:r>
                    <w:rPr>
                      <w:rFonts w:hint="eastAsia"/>
                      <w:color w:val="auto"/>
                      <w:kern w:val="0"/>
                      <w:sz w:val="18"/>
                      <w:szCs w:val="18"/>
                    </w:rPr>
                    <w:t>一致</w:t>
                  </w:r>
                </w:p>
              </w:tc>
            </w:tr>
            <w:tr w14:paraId="42EA16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670F3AB0">
                  <w:pPr>
                    <w:widowControl/>
                    <w:snapToGrid w:val="0"/>
                    <w:jc w:val="center"/>
                    <w:rPr>
                      <w:color w:val="auto"/>
                      <w:kern w:val="0"/>
                      <w:sz w:val="18"/>
                      <w:szCs w:val="18"/>
                    </w:rPr>
                  </w:pPr>
                  <w:r>
                    <w:rPr>
                      <w:color w:val="auto"/>
                      <w:kern w:val="0"/>
                      <w:sz w:val="18"/>
                      <w:szCs w:val="18"/>
                      <w:lang w:eastAsia="en-US"/>
                    </w:rPr>
                    <w:t>交通</w:t>
                  </w:r>
                  <w:r>
                    <w:rPr>
                      <w:color w:val="auto"/>
                      <w:kern w:val="0"/>
                      <w:sz w:val="18"/>
                      <w:szCs w:val="18"/>
                    </w:rPr>
                    <w:t>条件</w:t>
                  </w:r>
                </w:p>
              </w:tc>
              <w:tc>
                <w:tcPr>
                  <w:tcW w:w="3068" w:type="dxa"/>
                  <w:tcBorders>
                    <w:tl2br w:val="nil"/>
                    <w:tr2bl w:val="nil"/>
                  </w:tcBorders>
                  <w:vAlign w:val="center"/>
                </w:tcPr>
                <w:p w14:paraId="0844B550">
                  <w:pPr>
                    <w:pStyle w:val="17"/>
                    <w:pBdr>
                      <w:bottom w:val="none" w:color="auto" w:sz="0" w:space="0"/>
                    </w:pBdr>
                    <w:tabs>
                      <w:tab w:val="clear" w:pos="4153"/>
                      <w:tab w:val="clear" w:pos="8306"/>
                    </w:tabs>
                    <w:spacing w:line="312" w:lineRule="auto"/>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highlight w:val="none"/>
                      <w:lang w:val="en-US" w:eastAsia="zh-CN"/>
                    </w:rPr>
                    <w:t>汽运约</w:t>
                  </w:r>
                  <w:r>
                    <w:rPr>
                      <w:rFonts w:hint="eastAsia" w:ascii="Times New Roman" w:hAnsi="Times New Roman" w:cs="Times New Roman"/>
                      <w:color w:val="auto"/>
                      <w:sz w:val="18"/>
                      <w:szCs w:val="18"/>
                      <w:highlight w:val="none"/>
                      <w:lang w:val="en-US" w:eastAsia="zh-CN"/>
                    </w:rPr>
                    <w:t>20</w:t>
                  </w:r>
                  <w:r>
                    <w:rPr>
                      <w:rFonts w:hint="default" w:ascii="Times New Roman" w:hAnsi="Times New Roman" w:cs="Times New Roman"/>
                      <w:color w:val="auto"/>
                      <w:sz w:val="18"/>
                      <w:szCs w:val="18"/>
                      <w:highlight w:val="none"/>
                      <w:lang w:val="en-US" w:eastAsia="zh-CN"/>
                    </w:rPr>
                    <w:t>km，人力运距约0.</w:t>
                  </w:r>
                  <w:r>
                    <w:rPr>
                      <w:rFonts w:hint="eastAsia" w:ascii="Times New Roman" w:hAnsi="Times New Roman" w:cs="Times New Roman"/>
                      <w:color w:val="auto"/>
                      <w:sz w:val="18"/>
                      <w:szCs w:val="18"/>
                      <w:highlight w:val="none"/>
                      <w:lang w:val="en-US" w:eastAsia="zh-CN"/>
                    </w:rPr>
                    <w:t>6</w:t>
                  </w:r>
                  <w:r>
                    <w:rPr>
                      <w:rFonts w:hint="default" w:ascii="Times New Roman" w:hAnsi="Times New Roman" w:cs="Times New Roman"/>
                      <w:color w:val="auto"/>
                      <w:sz w:val="18"/>
                      <w:szCs w:val="18"/>
                      <w:highlight w:val="none"/>
                      <w:lang w:val="en-US" w:eastAsia="zh-CN"/>
                    </w:rPr>
                    <w:t>km</w:t>
                  </w:r>
                </w:p>
              </w:tc>
              <w:tc>
                <w:tcPr>
                  <w:tcW w:w="3068" w:type="dxa"/>
                  <w:tcBorders>
                    <w:tl2br w:val="nil"/>
                    <w:tr2bl w:val="nil"/>
                  </w:tcBorders>
                  <w:vAlign w:val="center"/>
                </w:tcPr>
                <w:p w14:paraId="40E5118D">
                  <w:pPr>
                    <w:pStyle w:val="17"/>
                    <w:pBdr>
                      <w:bottom w:val="none" w:color="auto" w:sz="0" w:space="0"/>
                    </w:pBdr>
                    <w:tabs>
                      <w:tab w:val="clear" w:pos="4153"/>
                      <w:tab w:val="clear" w:pos="8306"/>
                    </w:tabs>
                    <w:spacing w:line="312" w:lineRule="auto"/>
                    <w:jc w:val="center"/>
                    <w:rPr>
                      <w:rFonts w:hint="default" w:ascii="Times New Roman" w:hAnsi="Times New Roman" w:cs="Times New Roman"/>
                      <w:color w:val="auto"/>
                      <w:kern w:val="0"/>
                      <w:sz w:val="18"/>
                      <w:szCs w:val="18"/>
                    </w:rPr>
                  </w:pPr>
                  <w:r>
                    <w:rPr>
                      <w:rFonts w:hint="default" w:ascii="Times New Roman" w:hAnsi="Times New Roman" w:cs="Times New Roman"/>
                      <w:color w:val="auto"/>
                      <w:sz w:val="18"/>
                      <w:szCs w:val="18"/>
                      <w:highlight w:val="none"/>
                      <w:lang w:val="en-US" w:eastAsia="zh-CN"/>
                    </w:rPr>
                    <w:t>汽运约</w:t>
                  </w:r>
                  <w:r>
                    <w:rPr>
                      <w:rFonts w:hint="eastAsia" w:ascii="Times New Roman" w:hAnsi="Times New Roman" w:cs="Times New Roman"/>
                      <w:color w:val="auto"/>
                      <w:sz w:val="18"/>
                      <w:szCs w:val="18"/>
                      <w:highlight w:val="none"/>
                      <w:lang w:val="en-US" w:eastAsia="zh-CN"/>
                    </w:rPr>
                    <w:t>22</w:t>
                  </w:r>
                  <w:r>
                    <w:rPr>
                      <w:rFonts w:hint="default" w:ascii="Times New Roman" w:hAnsi="Times New Roman" w:cs="Times New Roman"/>
                      <w:color w:val="auto"/>
                      <w:sz w:val="18"/>
                      <w:szCs w:val="18"/>
                      <w:highlight w:val="none"/>
                      <w:lang w:val="en-US" w:eastAsia="zh-CN"/>
                    </w:rPr>
                    <w:t>km，人力运距约</w:t>
                  </w:r>
                  <w:r>
                    <w:rPr>
                      <w:rFonts w:hint="eastAsia" w:ascii="Times New Roman" w:hAnsi="Times New Roman" w:cs="Times New Roman"/>
                      <w:color w:val="auto"/>
                      <w:sz w:val="18"/>
                      <w:szCs w:val="18"/>
                      <w:highlight w:val="none"/>
                      <w:lang w:val="en-US" w:eastAsia="zh-CN"/>
                    </w:rPr>
                    <w:t>0.75</w:t>
                  </w:r>
                  <w:r>
                    <w:rPr>
                      <w:rFonts w:hint="default" w:ascii="Times New Roman" w:hAnsi="Times New Roman" w:cs="Times New Roman"/>
                      <w:color w:val="auto"/>
                      <w:sz w:val="18"/>
                      <w:szCs w:val="18"/>
                      <w:highlight w:val="none"/>
                      <w:lang w:val="en-US" w:eastAsia="zh-CN"/>
                    </w:rPr>
                    <w:t>km</w:t>
                  </w:r>
                </w:p>
              </w:tc>
              <w:tc>
                <w:tcPr>
                  <w:tcW w:w="1167" w:type="dxa"/>
                  <w:tcBorders>
                    <w:tl2br w:val="nil"/>
                    <w:tr2bl w:val="nil"/>
                  </w:tcBorders>
                  <w:vAlign w:val="center"/>
                </w:tcPr>
                <w:p w14:paraId="37BEDF38">
                  <w:pPr>
                    <w:widowControl/>
                    <w:snapToGrid w:val="0"/>
                    <w:jc w:val="center"/>
                    <w:rPr>
                      <w:color w:val="auto"/>
                      <w:sz w:val="18"/>
                      <w:szCs w:val="18"/>
                    </w:rPr>
                  </w:pPr>
                  <w:r>
                    <w:rPr>
                      <w:rFonts w:hint="eastAsia"/>
                      <w:color w:val="auto"/>
                      <w:kern w:val="0"/>
                      <w:sz w:val="18"/>
                      <w:szCs w:val="18"/>
                    </w:rPr>
                    <w:t>方案一优</w:t>
                  </w:r>
                </w:p>
              </w:tc>
            </w:tr>
            <w:tr w14:paraId="100808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360374BD">
                  <w:pPr>
                    <w:widowControl/>
                    <w:snapToGrid w:val="0"/>
                    <w:jc w:val="center"/>
                    <w:rPr>
                      <w:color w:val="auto"/>
                      <w:kern w:val="0"/>
                      <w:sz w:val="18"/>
                      <w:szCs w:val="18"/>
                    </w:rPr>
                  </w:pPr>
                  <w:r>
                    <w:rPr>
                      <w:color w:val="auto"/>
                      <w:kern w:val="0"/>
                      <w:sz w:val="18"/>
                      <w:szCs w:val="18"/>
                      <w:lang w:eastAsia="en-US"/>
                    </w:rPr>
                    <w:t>主要交叉跨越</w:t>
                  </w:r>
                  <w:r>
                    <w:rPr>
                      <w:rFonts w:hint="eastAsia"/>
                      <w:color w:val="auto"/>
                      <w:kern w:val="0"/>
                      <w:sz w:val="18"/>
                      <w:szCs w:val="18"/>
                    </w:rPr>
                    <w:t>情况</w:t>
                  </w:r>
                </w:p>
              </w:tc>
              <w:tc>
                <w:tcPr>
                  <w:tcW w:w="3068" w:type="dxa"/>
                  <w:tcBorders>
                    <w:tl2br w:val="nil"/>
                    <w:tr2bl w:val="nil"/>
                  </w:tcBorders>
                  <w:vAlign w:val="center"/>
                </w:tcPr>
                <w:p w14:paraId="20F50E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sz w:val="18"/>
                      <w:szCs w:val="18"/>
                      <w:highlight w:val="none"/>
                    </w:rPr>
                    <w:t>跨35kV线路</w:t>
                  </w:r>
                  <w:r>
                    <w:rPr>
                      <w:rFonts w:hint="eastAsia" w:cs="Times New Roman"/>
                      <w:color w:val="auto"/>
                      <w:sz w:val="18"/>
                      <w:szCs w:val="18"/>
                      <w:highlight w:val="none"/>
                      <w:lang w:val="en-US" w:eastAsia="zh-CN"/>
                    </w:rPr>
                    <w:t>3</w:t>
                  </w:r>
                  <w:r>
                    <w:rPr>
                      <w:rFonts w:hint="default" w:ascii="Times New Roman" w:hAnsi="Times New Roman" w:eastAsia="宋体" w:cs="Times New Roman"/>
                      <w:color w:val="auto"/>
                      <w:sz w:val="18"/>
                      <w:szCs w:val="18"/>
                      <w:highlight w:val="none"/>
                    </w:rPr>
                    <w:t>次，跨</w:t>
                  </w:r>
                  <w:r>
                    <w:rPr>
                      <w:rFonts w:hint="eastAsia" w:cs="Times New Roman"/>
                      <w:color w:val="auto"/>
                      <w:sz w:val="18"/>
                      <w:szCs w:val="18"/>
                      <w:highlight w:val="none"/>
                      <w:lang w:val="en-US" w:eastAsia="zh-CN"/>
                    </w:rPr>
                    <w:t>高速路1次</w:t>
                  </w:r>
                  <w:r>
                    <w:rPr>
                      <w:rFonts w:hint="default" w:ascii="Times New Roman" w:hAnsi="Times New Roman" w:eastAsia="宋体" w:cs="Times New Roman"/>
                      <w:color w:val="auto"/>
                      <w:sz w:val="18"/>
                      <w:szCs w:val="18"/>
                      <w:highlight w:val="none"/>
                    </w:rPr>
                    <w:t>。</w:t>
                  </w:r>
                </w:p>
              </w:tc>
              <w:tc>
                <w:tcPr>
                  <w:tcW w:w="3068" w:type="dxa"/>
                  <w:tcBorders>
                    <w:tl2br w:val="nil"/>
                    <w:tr2bl w:val="nil"/>
                  </w:tcBorders>
                  <w:vAlign w:val="center"/>
                </w:tcPr>
                <w:p w14:paraId="010B51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18"/>
                      <w:szCs w:val="18"/>
                      <w:lang w:val="en-US"/>
                    </w:rPr>
                  </w:pPr>
                  <w:r>
                    <w:rPr>
                      <w:rFonts w:hint="default" w:ascii="Times New Roman" w:hAnsi="Times New Roman" w:eastAsia="宋体" w:cs="Times New Roman"/>
                      <w:color w:val="auto"/>
                      <w:sz w:val="18"/>
                      <w:szCs w:val="18"/>
                      <w:highlight w:val="none"/>
                    </w:rPr>
                    <w:t>跨35kV线路</w:t>
                  </w:r>
                  <w:r>
                    <w:rPr>
                      <w:rFonts w:hint="eastAsia" w:cs="Times New Roman"/>
                      <w:color w:val="auto"/>
                      <w:sz w:val="18"/>
                      <w:szCs w:val="18"/>
                      <w:highlight w:val="none"/>
                      <w:lang w:val="en-US" w:eastAsia="zh-CN"/>
                    </w:rPr>
                    <w:t>4</w:t>
                  </w:r>
                  <w:r>
                    <w:rPr>
                      <w:rFonts w:hint="default" w:ascii="Times New Roman" w:hAnsi="Times New Roman" w:eastAsia="宋体" w:cs="Times New Roman"/>
                      <w:color w:val="auto"/>
                      <w:sz w:val="18"/>
                      <w:szCs w:val="18"/>
                      <w:highlight w:val="none"/>
                    </w:rPr>
                    <w:t>次，跨</w:t>
                  </w:r>
                  <w:r>
                    <w:rPr>
                      <w:rFonts w:hint="eastAsia" w:cs="Times New Roman"/>
                      <w:color w:val="auto"/>
                      <w:sz w:val="18"/>
                      <w:szCs w:val="18"/>
                      <w:highlight w:val="none"/>
                      <w:lang w:val="en-US" w:eastAsia="zh-CN"/>
                    </w:rPr>
                    <w:t>高速公路3次。</w:t>
                  </w:r>
                </w:p>
              </w:tc>
              <w:tc>
                <w:tcPr>
                  <w:tcW w:w="1167" w:type="dxa"/>
                  <w:tcBorders>
                    <w:tl2br w:val="nil"/>
                    <w:tr2bl w:val="nil"/>
                  </w:tcBorders>
                  <w:vAlign w:val="center"/>
                </w:tcPr>
                <w:p w14:paraId="2E4A508C">
                  <w:pPr>
                    <w:widowControl/>
                    <w:snapToGrid w:val="0"/>
                    <w:jc w:val="center"/>
                    <w:rPr>
                      <w:color w:val="auto"/>
                      <w:kern w:val="0"/>
                      <w:sz w:val="18"/>
                      <w:szCs w:val="18"/>
                    </w:rPr>
                  </w:pPr>
                  <w:r>
                    <w:rPr>
                      <w:rFonts w:hint="eastAsia"/>
                      <w:color w:val="auto"/>
                      <w:kern w:val="0"/>
                      <w:sz w:val="18"/>
                      <w:szCs w:val="18"/>
                    </w:rPr>
                    <w:t>方案一优</w:t>
                  </w:r>
                </w:p>
              </w:tc>
            </w:tr>
            <w:tr w14:paraId="0C8877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3" w:type="dxa"/>
                  <w:tcBorders>
                    <w:tl2br w:val="nil"/>
                    <w:tr2bl w:val="nil"/>
                  </w:tcBorders>
                  <w:vAlign w:val="center"/>
                </w:tcPr>
                <w:p w14:paraId="0EE2C1A4">
                  <w:pPr>
                    <w:widowControl/>
                    <w:snapToGrid w:val="0"/>
                    <w:jc w:val="center"/>
                    <w:rPr>
                      <w:color w:val="auto"/>
                      <w:kern w:val="0"/>
                      <w:sz w:val="18"/>
                      <w:szCs w:val="18"/>
                    </w:rPr>
                  </w:pPr>
                  <w:r>
                    <w:rPr>
                      <w:color w:val="auto"/>
                      <w:kern w:val="0"/>
                      <w:sz w:val="18"/>
                      <w:szCs w:val="18"/>
                    </w:rPr>
                    <w:t>集中林区长度及零星</w:t>
                  </w:r>
                  <w:r>
                    <w:rPr>
                      <w:rFonts w:hint="eastAsia"/>
                      <w:color w:val="auto"/>
                      <w:kern w:val="0"/>
                      <w:sz w:val="18"/>
                      <w:szCs w:val="18"/>
                      <w:lang w:val="en-US" w:eastAsia="zh-CN"/>
                    </w:rPr>
                    <w:t>林木</w:t>
                  </w:r>
                  <w:r>
                    <w:rPr>
                      <w:color w:val="auto"/>
                      <w:kern w:val="0"/>
                      <w:sz w:val="18"/>
                      <w:szCs w:val="18"/>
                    </w:rPr>
                    <w:t>砍伐量</w:t>
                  </w:r>
                </w:p>
              </w:tc>
              <w:tc>
                <w:tcPr>
                  <w:tcW w:w="3068" w:type="dxa"/>
                  <w:tcBorders>
                    <w:tl2br w:val="nil"/>
                    <w:tr2bl w:val="nil"/>
                  </w:tcBorders>
                  <w:vAlign w:val="center"/>
                </w:tcPr>
                <w:p w14:paraId="58CA3722">
                  <w:pPr>
                    <w:snapToGrid w:val="0"/>
                    <w:spacing w:line="312" w:lineRule="auto"/>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sz w:val="18"/>
                      <w:szCs w:val="18"/>
                      <w:highlight w:val="none"/>
                      <w:lang w:val="en-US" w:eastAsia="zh-CN"/>
                    </w:rPr>
                    <w:t>砍伐林区外杂树1700棵，经济果树480棵；砍伐林区内树木长度</w:t>
                  </w:r>
                  <w:r>
                    <w:rPr>
                      <w:rFonts w:hint="eastAsia" w:cs="Times New Roman"/>
                      <w:color w:val="auto"/>
                      <w:sz w:val="18"/>
                      <w:szCs w:val="18"/>
                      <w:highlight w:val="none"/>
                      <w:lang w:val="en-US" w:eastAsia="zh-CN"/>
                    </w:rPr>
                    <w:t>17.8</w:t>
                  </w:r>
                  <w:r>
                    <w:rPr>
                      <w:rFonts w:hint="default" w:ascii="Times New Roman" w:hAnsi="Times New Roman" w:eastAsia="宋体" w:cs="Times New Roman"/>
                      <w:color w:val="auto"/>
                      <w:sz w:val="18"/>
                      <w:szCs w:val="18"/>
                      <w:highlight w:val="none"/>
                      <w:lang w:val="en-US" w:eastAsia="zh-CN"/>
                    </w:rPr>
                    <w:t>km</w:t>
                  </w:r>
                </w:p>
              </w:tc>
              <w:tc>
                <w:tcPr>
                  <w:tcW w:w="3068" w:type="dxa"/>
                  <w:tcBorders>
                    <w:tl2br w:val="nil"/>
                    <w:tr2bl w:val="nil"/>
                  </w:tcBorders>
                  <w:vAlign w:val="center"/>
                </w:tcPr>
                <w:p w14:paraId="15F79133">
                  <w:pPr>
                    <w:snapToGrid w:val="0"/>
                    <w:spacing w:line="312" w:lineRule="auto"/>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sz w:val="18"/>
                      <w:szCs w:val="18"/>
                      <w:highlight w:val="none"/>
                      <w:lang w:val="en-US" w:eastAsia="zh-CN"/>
                    </w:rPr>
                    <w:t>砍伐林区外杂树</w:t>
                  </w:r>
                  <w:r>
                    <w:rPr>
                      <w:rFonts w:hint="eastAsia" w:cs="Times New Roman"/>
                      <w:color w:val="auto"/>
                      <w:sz w:val="18"/>
                      <w:szCs w:val="18"/>
                      <w:highlight w:val="none"/>
                      <w:lang w:val="en-US" w:eastAsia="zh-CN"/>
                    </w:rPr>
                    <w:t>23</w:t>
                  </w:r>
                  <w:r>
                    <w:rPr>
                      <w:rFonts w:hint="default" w:ascii="Times New Roman" w:hAnsi="Times New Roman" w:eastAsia="宋体" w:cs="Times New Roman"/>
                      <w:color w:val="auto"/>
                      <w:sz w:val="18"/>
                      <w:szCs w:val="18"/>
                      <w:highlight w:val="none"/>
                      <w:lang w:val="en-US" w:eastAsia="zh-CN"/>
                    </w:rPr>
                    <w:t>00棵，经济果树</w:t>
                  </w:r>
                  <w:r>
                    <w:rPr>
                      <w:rFonts w:hint="eastAsia" w:cs="Times New Roman"/>
                      <w:color w:val="auto"/>
                      <w:sz w:val="18"/>
                      <w:szCs w:val="18"/>
                      <w:highlight w:val="none"/>
                      <w:lang w:val="en-US" w:eastAsia="zh-CN"/>
                    </w:rPr>
                    <w:t>7</w:t>
                  </w:r>
                  <w:r>
                    <w:rPr>
                      <w:rFonts w:hint="default" w:ascii="Times New Roman" w:hAnsi="Times New Roman" w:eastAsia="宋体" w:cs="Times New Roman"/>
                      <w:color w:val="auto"/>
                      <w:sz w:val="18"/>
                      <w:szCs w:val="18"/>
                      <w:highlight w:val="none"/>
                      <w:lang w:val="en-US" w:eastAsia="zh-CN"/>
                    </w:rPr>
                    <w:t>00棵；砍伐林区内树木长度</w:t>
                  </w:r>
                  <w:r>
                    <w:rPr>
                      <w:rFonts w:hint="eastAsia" w:cs="Times New Roman"/>
                      <w:color w:val="auto"/>
                      <w:sz w:val="18"/>
                      <w:szCs w:val="18"/>
                      <w:highlight w:val="none"/>
                      <w:lang w:val="en-US" w:eastAsia="zh-CN"/>
                    </w:rPr>
                    <w:t>20</w:t>
                  </w:r>
                  <w:r>
                    <w:rPr>
                      <w:rFonts w:hint="default" w:ascii="Times New Roman" w:hAnsi="Times New Roman" w:eastAsia="宋体" w:cs="Times New Roman"/>
                      <w:color w:val="auto"/>
                      <w:sz w:val="18"/>
                      <w:szCs w:val="18"/>
                      <w:highlight w:val="none"/>
                      <w:lang w:val="en-US" w:eastAsia="zh-CN"/>
                    </w:rPr>
                    <w:t>km</w:t>
                  </w:r>
                </w:p>
              </w:tc>
              <w:tc>
                <w:tcPr>
                  <w:tcW w:w="1167" w:type="dxa"/>
                  <w:tcBorders>
                    <w:tl2br w:val="nil"/>
                    <w:tr2bl w:val="nil"/>
                  </w:tcBorders>
                  <w:vAlign w:val="center"/>
                </w:tcPr>
                <w:p w14:paraId="4CA8C09C">
                  <w:pPr>
                    <w:widowControl/>
                    <w:snapToGrid w:val="0"/>
                    <w:jc w:val="center"/>
                    <w:rPr>
                      <w:color w:val="auto"/>
                      <w:kern w:val="0"/>
                      <w:sz w:val="18"/>
                      <w:szCs w:val="18"/>
                    </w:rPr>
                  </w:pPr>
                  <w:r>
                    <w:rPr>
                      <w:rFonts w:hint="eastAsia"/>
                      <w:color w:val="auto"/>
                      <w:kern w:val="0"/>
                      <w:sz w:val="18"/>
                      <w:szCs w:val="18"/>
                    </w:rPr>
                    <w:t>方案一优</w:t>
                  </w:r>
                </w:p>
              </w:tc>
            </w:tr>
            <w:tr w14:paraId="1535A8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1243" w:type="dxa"/>
                  <w:tcBorders>
                    <w:tl2br w:val="nil"/>
                    <w:tr2bl w:val="nil"/>
                  </w:tcBorders>
                  <w:vAlign w:val="center"/>
                </w:tcPr>
                <w:p w14:paraId="590D899E">
                  <w:pPr>
                    <w:widowControl/>
                    <w:snapToGrid w:val="0"/>
                    <w:jc w:val="center"/>
                    <w:rPr>
                      <w:color w:val="auto"/>
                      <w:kern w:val="0"/>
                      <w:sz w:val="18"/>
                      <w:szCs w:val="18"/>
                    </w:rPr>
                  </w:pPr>
                  <w:r>
                    <w:rPr>
                      <w:rFonts w:hint="eastAsia"/>
                      <w:color w:val="auto"/>
                      <w:sz w:val="18"/>
                      <w:szCs w:val="18"/>
                    </w:rPr>
                    <w:t>投资情况</w:t>
                  </w:r>
                </w:p>
              </w:tc>
              <w:tc>
                <w:tcPr>
                  <w:tcW w:w="3068" w:type="dxa"/>
                  <w:tcBorders>
                    <w:tl2br w:val="nil"/>
                    <w:tr2bl w:val="nil"/>
                  </w:tcBorders>
                  <w:vAlign w:val="center"/>
                </w:tcPr>
                <w:p w14:paraId="3A50A802">
                  <w:pPr>
                    <w:widowControl/>
                    <w:snapToGrid w:val="0"/>
                    <w:jc w:val="center"/>
                    <w:rPr>
                      <w:color w:val="auto"/>
                      <w:kern w:val="0"/>
                      <w:sz w:val="18"/>
                      <w:szCs w:val="18"/>
                    </w:rPr>
                  </w:pPr>
                  <w:r>
                    <w:rPr>
                      <w:rFonts w:hint="eastAsia"/>
                      <w:color w:val="auto"/>
                      <w:kern w:val="0"/>
                      <w:sz w:val="18"/>
                      <w:szCs w:val="18"/>
                    </w:rPr>
                    <w:t>总投资</w:t>
                  </w:r>
                  <w:r>
                    <w:rPr>
                      <w:rFonts w:hint="eastAsia"/>
                      <w:color w:val="auto"/>
                      <w:kern w:val="0"/>
                      <w:sz w:val="18"/>
                      <w:szCs w:val="18"/>
                      <w:lang w:val="en-US" w:eastAsia="zh-CN"/>
                    </w:rPr>
                    <w:t>4267</w:t>
                  </w:r>
                  <w:r>
                    <w:rPr>
                      <w:rFonts w:hint="eastAsia"/>
                      <w:color w:val="auto"/>
                      <w:kern w:val="0"/>
                      <w:sz w:val="18"/>
                      <w:szCs w:val="18"/>
                    </w:rPr>
                    <w:t>万元</w:t>
                  </w:r>
                </w:p>
              </w:tc>
              <w:tc>
                <w:tcPr>
                  <w:tcW w:w="3068" w:type="dxa"/>
                  <w:tcBorders>
                    <w:tl2br w:val="nil"/>
                    <w:tr2bl w:val="nil"/>
                  </w:tcBorders>
                  <w:vAlign w:val="center"/>
                </w:tcPr>
                <w:p w14:paraId="0306895E">
                  <w:pPr>
                    <w:widowControl/>
                    <w:snapToGrid w:val="0"/>
                    <w:jc w:val="center"/>
                    <w:rPr>
                      <w:color w:val="auto"/>
                      <w:kern w:val="0"/>
                      <w:sz w:val="18"/>
                      <w:szCs w:val="18"/>
                    </w:rPr>
                  </w:pPr>
                  <w:r>
                    <w:rPr>
                      <w:rFonts w:hint="eastAsia"/>
                      <w:color w:val="auto"/>
                      <w:kern w:val="0"/>
                      <w:sz w:val="18"/>
                      <w:szCs w:val="18"/>
                    </w:rPr>
                    <w:t>总投资</w:t>
                  </w:r>
                  <w:r>
                    <w:rPr>
                      <w:rFonts w:hint="eastAsia"/>
                      <w:color w:val="auto"/>
                      <w:kern w:val="0"/>
                      <w:sz w:val="18"/>
                      <w:szCs w:val="18"/>
                      <w:lang w:val="en-US" w:eastAsia="zh-CN"/>
                    </w:rPr>
                    <w:t>4867</w:t>
                  </w:r>
                  <w:r>
                    <w:rPr>
                      <w:rFonts w:hint="eastAsia"/>
                      <w:color w:val="auto"/>
                      <w:kern w:val="0"/>
                      <w:sz w:val="18"/>
                      <w:szCs w:val="18"/>
                    </w:rPr>
                    <w:t>万元</w:t>
                  </w:r>
                </w:p>
              </w:tc>
              <w:tc>
                <w:tcPr>
                  <w:tcW w:w="1167" w:type="dxa"/>
                  <w:tcBorders>
                    <w:tl2br w:val="nil"/>
                    <w:tr2bl w:val="nil"/>
                  </w:tcBorders>
                  <w:vAlign w:val="center"/>
                </w:tcPr>
                <w:p w14:paraId="645AA0DA">
                  <w:pPr>
                    <w:widowControl/>
                    <w:snapToGrid w:val="0"/>
                    <w:jc w:val="center"/>
                    <w:rPr>
                      <w:color w:val="auto"/>
                      <w:kern w:val="0"/>
                      <w:sz w:val="18"/>
                      <w:szCs w:val="18"/>
                    </w:rPr>
                  </w:pPr>
                  <w:r>
                    <w:rPr>
                      <w:rFonts w:hint="eastAsia"/>
                      <w:color w:val="auto"/>
                      <w:kern w:val="0"/>
                      <w:sz w:val="18"/>
                      <w:szCs w:val="18"/>
                    </w:rPr>
                    <w:t>方案一优</w:t>
                  </w:r>
                </w:p>
              </w:tc>
            </w:tr>
            <w:tr w14:paraId="6849B1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1243" w:type="dxa"/>
                  <w:tcBorders>
                    <w:tl2br w:val="nil"/>
                    <w:tr2bl w:val="nil"/>
                  </w:tcBorders>
                  <w:vAlign w:val="center"/>
                </w:tcPr>
                <w:p w14:paraId="359E12CD">
                  <w:pPr>
                    <w:widowControl/>
                    <w:snapToGrid w:val="0"/>
                    <w:jc w:val="center"/>
                    <w:rPr>
                      <w:color w:val="auto"/>
                      <w:sz w:val="18"/>
                      <w:szCs w:val="18"/>
                    </w:rPr>
                  </w:pPr>
                  <w:r>
                    <w:rPr>
                      <w:rFonts w:hint="eastAsia"/>
                      <w:color w:val="auto"/>
                      <w:sz w:val="18"/>
                      <w:szCs w:val="18"/>
                    </w:rPr>
                    <w:t>敏感目标</w:t>
                  </w:r>
                </w:p>
              </w:tc>
              <w:tc>
                <w:tcPr>
                  <w:tcW w:w="3068" w:type="dxa"/>
                  <w:tcBorders>
                    <w:tl2br w:val="nil"/>
                    <w:tr2bl w:val="nil"/>
                  </w:tcBorders>
                  <w:vAlign w:val="center"/>
                </w:tcPr>
                <w:p w14:paraId="45905D7F">
                  <w:pPr>
                    <w:widowControl/>
                    <w:snapToGrid w:val="0"/>
                    <w:jc w:val="center"/>
                    <w:rPr>
                      <w:color w:val="auto"/>
                      <w:sz w:val="18"/>
                      <w:szCs w:val="18"/>
                    </w:rPr>
                  </w:pPr>
                  <w:r>
                    <w:rPr>
                      <w:rFonts w:hint="eastAsia"/>
                      <w:color w:val="auto"/>
                      <w:sz w:val="18"/>
                      <w:szCs w:val="18"/>
                    </w:rPr>
                    <w:t>评价范围内敏感目标有</w:t>
                  </w:r>
                  <w:r>
                    <w:rPr>
                      <w:rFonts w:hint="eastAsia"/>
                      <w:color w:val="auto"/>
                      <w:sz w:val="18"/>
                      <w:szCs w:val="18"/>
                      <w:lang w:val="en-US" w:eastAsia="zh-CN"/>
                    </w:rPr>
                    <w:t>13</w:t>
                  </w:r>
                  <w:r>
                    <w:rPr>
                      <w:rFonts w:hint="eastAsia"/>
                      <w:color w:val="auto"/>
                      <w:sz w:val="18"/>
                      <w:szCs w:val="18"/>
                    </w:rPr>
                    <w:t>处</w:t>
                  </w:r>
                </w:p>
              </w:tc>
              <w:tc>
                <w:tcPr>
                  <w:tcW w:w="3068" w:type="dxa"/>
                  <w:tcBorders>
                    <w:tl2br w:val="nil"/>
                    <w:tr2bl w:val="nil"/>
                  </w:tcBorders>
                  <w:vAlign w:val="center"/>
                </w:tcPr>
                <w:p w14:paraId="5B9D79EF">
                  <w:pPr>
                    <w:widowControl/>
                    <w:snapToGrid w:val="0"/>
                    <w:jc w:val="center"/>
                    <w:rPr>
                      <w:rFonts w:hint="default" w:eastAsia="宋体"/>
                      <w:color w:val="auto"/>
                      <w:sz w:val="18"/>
                      <w:szCs w:val="18"/>
                      <w:lang w:val="en-US" w:eastAsia="zh-CN"/>
                    </w:rPr>
                  </w:pPr>
                  <w:r>
                    <w:rPr>
                      <w:rFonts w:hint="eastAsia"/>
                      <w:color w:val="auto"/>
                      <w:sz w:val="18"/>
                      <w:szCs w:val="18"/>
                    </w:rPr>
                    <w:t>评价范围内敏感目标有</w:t>
                  </w:r>
                  <w:r>
                    <w:rPr>
                      <w:rFonts w:hint="eastAsia"/>
                      <w:color w:val="auto"/>
                      <w:sz w:val="18"/>
                      <w:szCs w:val="18"/>
                      <w:lang w:val="en-US" w:eastAsia="zh-CN"/>
                    </w:rPr>
                    <w:t>22</w:t>
                  </w:r>
                  <w:r>
                    <w:rPr>
                      <w:rFonts w:hint="eastAsia"/>
                      <w:color w:val="auto"/>
                      <w:sz w:val="18"/>
                      <w:szCs w:val="18"/>
                    </w:rPr>
                    <w:t>处</w:t>
                  </w:r>
                  <w:r>
                    <w:rPr>
                      <w:rFonts w:hint="eastAsia"/>
                      <w:color w:val="auto"/>
                      <w:sz w:val="18"/>
                      <w:szCs w:val="18"/>
                      <w:lang w:eastAsia="zh-CN"/>
                    </w:rPr>
                    <w:t>，</w:t>
                  </w:r>
                  <w:r>
                    <w:rPr>
                      <w:rFonts w:hint="eastAsia"/>
                      <w:color w:val="auto"/>
                      <w:sz w:val="18"/>
                      <w:szCs w:val="18"/>
                      <w:lang w:val="en-US" w:eastAsia="zh-CN"/>
                    </w:rPr>
                    <w:t>跨越5处民房</w:t>
                  </w:r>
                </w:p>
              </w:tc>
              <w:tc>
                <w:tcPr>
                  <w:tcW w:w="1167" w:type="dxa"/>
                  <w:tcBorders>
                    <w:tl2br w:val="nil"/>
                    <w:tr2bl w:val="nil"/>
                  </w:tcBorders>
                  <w:vAlign w:val="center"/>
                </w:tcPr>
                <w:p w14:paraId="0FE5429D">
                  <w:pPr>
                    <w:widowControl/>
                    <w:snapToGrid w:val="0"/>
                    <w:jc w:val="center"/>
                    <w:rPr>
                      <w:color w:val="auto"/>
                      <w:sz w:val="18"/>
                      <w:szCs w:val="18"/>
                    </w:rPr>
                  </w:pPr>
                  <w:r>
                    <w:rPr>
                      <w:rFonts w:hint="eastAsia"/>
                      <w:color w:val="auto"/>
                      <w:kern w:val="0"/>
                      <w:sz w:val="18"/>
                      <w:szCs w:val="18"/>
                    </w:rPr>
                    <w:t>方案一优</w:t>
                  </w:r>
                </w:p>
              </w:tc>
            </w:tr>
            <w:tr w14:paraId="00DBD3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1243" w:type="dxa"/>
                  <w:tcBorders>
                    <w:tl2br w:val="nil"/>
                    <w:tr2bl w:val="nil"/>
                  </w:tcBorders>
                  <w:vAlign w:val="center"/>
                </w:tcPr>
                <w:p w14:paraId="6ED34FA1">
                  <w:pPr>
                    <w:widowControl/>
                    <w:snapToGrid w:val="0"/>
                    <w:jc w:val="center"/>
                    <w:rPr>
                      <w:rFonts w:hint="eastAsia"/>
                      <w:color w:val="auto"/>
                      <w:sz w:val="18"/>
                      <w:szCs w:val="18"/>
                    </w:rPr>
                  </w:pPr>
                  <w:r>
                    <w:rPr>
                      <w:rFonts w:hint="eastAsia"/>
                      <w:color w:val="auto"/>
                      <w:sz w:val="18"/>
                      <w:szCs w:val="18"/>
                      <w:lang w:val="en-US" w:eastAsia="zh-CN"/>
                    </w:rPr>
                    <w:t>重点生态区域</w:t>
                  </w:r>
                </w:p>
              </w:tc>
              <w:tc>
                <w:tcPr>
                  <w:tcW w:w="3068" w:type="dxa"/>
                  <w:tcBorders>
                    <w:tl2br w:val="nil"/>
                    <w:tr2bl w:val="nil"/>
                  </w:tcBorders>
                  <w:vAlign w:val="center"/>
                </w:tcPr>
                <w:p w14:paraId="4D6A1E35">
                  <w:pPr>
                    <w:widowControl/>
                    <w:snapToGrid w:val="0"/>
                    <w:jc w:val="center"/>
                    <w:rPr>
                      <w:rFonts w:hint="default"/>
                      <w:color w:val="auto"/>
                      <w:sz w:val="18"/>
                      <w:szCs w:val="18"/>
                      <w:lang w:val="en-US"/>
                    </w:rPr>
                  </w:pPr>
                  <w:r>
                    <w:rPr>
                      <w:rFonts w:hint="eastAsia" w:cs="Times New Roman"/>
                      <w:color w:val="000000" w:themeColor="text1"/>
                      <w:sz w:val="18"/>
                      <w:szCs w:val="18"/>
                      <w:highlight w:val="none"/>
                      <w:lang w:val="en-US" w:eastAsia="zh-CN"/>
                      <w14:textFill>
                        <w14:solidFill>
                          <w14:schemeClr w14:val="tx1"/>
                        </w14:solidFill>
                      </w14:textFill>
                    </w:rPr>
                    <w:t>无</w:t>
                  </w:r>
                </w:p>
              </w:tc>
              <w:tc>
                <w:tcPr>
                  <w:tcW w:w="3068" w:type="dxa"/>
                  <w:tcBorders>
                    <w:tl2br w:val="nil"/>
                    <w:tr2bl w:val="nil"/>
                  </w:tcBorders>
                  <w:vAlign w:val="center"/>
                </w:tcPr>
                <w:p w14:paraId="1AD5195D">
                  <w:pPr>
                    <w:widowControl/>
                    <w:snapToGrid w:val="0"/>
                    <w:jc w:val="center"/>
                    <w:rPr>
                      <w:rFonts w:hint="default"/>
                      <w:color w:val="auto"/>
                      <w:sz w:val="18"/>
                      <w:szCs w:val="18"/>
                      <w:lang w:val="en-US"/>
                    </w:rPr>
                  </w:pPr>
                  <w:r>
                    <w:rPr>
                      <w:rFonts w:hint="eastAsia"/>
                      <w:color w:val="000000" w:themeColor="text1"/>
                      <w:kern w:val="0"/>
                      <w:sz w:val="18"/>
                      <w:szCs w:val="18"/>
                      <w:lang w:val="en-US" w:eastAsia="zh-CN"/>
                      <w14:textFill>
                        <w14:solidFill>
                          <w14:schemeClr w14:val="tx1"/>
                        </w14:solidFill>
                      </w14:textFill>
                    </w:rPr>
                    <w:t>保护区外有5基塔无法避让基本农田。</w:t>
                  </w:r>
                </w:p>
              </w:tc>
              <w:tc>
                <w:tcPr>
                  <w:tcW w:w="1167" w:type="dxa"/>
                  <w:tcBorders>
                    <w:tl2br w:val="nil"/>
                    <w:tr2bl w:val="nil"/>
                  </w:tcBorders>
                  <w:vAlign w:val="center"/>
                </w:tcPr>
                <w:p w14:paraId="6EF5D351">
                  <w:pPr>
                    <w:widowControl/>
                    <w:snapToGrid w:val="0"/>
                    <w:jc w:val="center"/>
                    <w:rPr>
                      <w:rFonts w:hint="default"/>
                      <w:color w:val="auto"/>
                      <w:kern w:val="0"/>
                      <w:sz w:val="18"/>
                      <w:szCs w:val="18"/>
                      <w:lang w:val="en-US"/>
                    </w:rPr>
                  </w:pPr>
                  <w:r>
                    <w:rPr>
                      <w:rFonts w:hint="eastAsia"/>
                      <w:color w:val="auto"/>
                      <w:kern w:val="0"/>
                      <w:sz w:val="18"/>
                      <w:szCs w:val="18"/>
                      <w:lang w:val="en-US" w:eastAsia="zh-CN"/>
                    </w:rPr>
                    <w:t>方案一优</w:t>
                  </w:r>
                </w:p>
              </w:tc>
            </w:tr>
            <w:tr w14:paraId="57EFBF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7379" w:type="dxa"/>
                  <w:gridSpan w:val="3"/>
                  <w:tcBorders>
                    <w:tl2br w:val="nil"/>
                    <w:tr2bl w:val="nil"/>
                  </w:tcBorders>
                  <w:vAlign w:val="center"/>
                </w:tcPr>
                <w:p w14:paraId="3154F23A">
                  <w:pPr>
                    <w:widowControl/>
                    <w:snapToGrid w:val="0"/>
                    <w:jc w:val="center"/>
                    <w:rPr>
                      <w:color w:val="auto"/>
                      <w:kern w:val="0"/>
                      <w:sz w:val="18"/>
                      <w:szCs w:val="18"/>
                    </w:rPr>
                  </w:pPr>
                  <w:r>
                    <w:rPr>
                      <w:rFonts w:hint="eastAsia"/>
                      <w:color w:val="auto"/>
                      <w:sz w:val="18"/>
                      <w:szCs w:val="18"/>
                    </w:rPr>
                    <w:t>结论</w:t>
                  </w:r>
                </w:p>
              </w:tc>
              <w:tc>
                <w:tcPr>
                  <w:tcW w:w="1167" w:type="dxa"/>
                  <w:tcBorders>
                    <w:tl2br w:val="nil"/>
                    <w:tr2bl w:val="nil"/>
                  </w:tcBorders>
                  <w:vAlign w:val="center"/>
                </w:tcPr>
                <w:p w14:paraId="504A6275">
                  <w:pPr>
                    <w:widowControl/>
                    <w:snapToGrid w:val="0"/>
                    <w:jc w:val="center"/>
                    <w:rPr>
                      <w:color w:val="auto"/>
                      <w:kern w:val="0"/>
                      <w:sz w:val="18"/>
                      <w:szCs w:val="18"/>
                    </w:rPr>
                  </w:pPr>
                  <w:r>
                    <w:rPr>
                      <w:rFonts w:hint="eastAsia"/>
                      <w:color w:val="auto"/>
                      <w:kern w:val="0"/>
                      <w:sz w:val="18"/>
                      <w:szCs w:val="18"/>
                    </w:rPr>
                    <w:t>方案一优</w:t>
                  </w:r>
                </w:p>
              </w:tc>
            </w:tr>
          </w:tbl>
          <w:p w14:paraId="4CB56D23">
            <w:pPr>
              <w:adjustRightInd w:val="0"/>
              <w:spacing w:line="360" w:lineRule="auto"/>
              <w:ind w:firstLine="420" w:firstLineChars="200"/>
              <w:rPr>
                <w:rFonts w:hint="eastAsia"/>
                <w:color w:val="auto"/>
                <w:szCs w:val="21"/>
              </w:rPr>
            </w:pPr>
            <w:r>
              <w:rPr>
                <w:rFonts w:hint="eastAsia"/>
                <w:bCs/>
                <w:color w:val="auto"/>
                <w:szCs w:val="21"/>
              </w:rPr>
              <w:t>从上述两个</w:t>
            </w:r>
            <w:r>
              <w:rPr>
                <w:rFonts w:hint="eastAsia"/>
                <w:bCs/>
                <w:color w:val="auto"/>
                <w:szCs w:val="21"/>
                <w:lang w:val="en-US" w:eastAsia="zh-CN"/>
              </w:rPr>
              <w:t>线路</w:t>
            </w:r>
            <w:r>
              <w:rPr>
                <w:rFonts w:hint="eastAsia"/>
                <w:bCs/>
                <w:color w:val="auto"/>
                <w:szCs w:val="21"/>
              </w:rPr>
              <w:t>方案的环境角度进行分析：</w:t>
            </w:r>
          </w:p>
          <w:p w14:paraId="3E947323">
            <w:pPr>
              <w:adjustRightInd w:val="0"/>
              <w:spacing w:line="360" w:lineRule="auto"/>
              <w:ind w:firstLine="420" w:firstLineChars="200"/>
              <w:rPr>
                <w:rFonts w:hint="default" w:eastAsia="宋体"/>
                <w:color w:val="auto"/>
                <w:szCs w:val="21"/>
                <w:lang w:val="en-US" w:eastAsia="zh-CN"/>
              </w:rPr>
            </w:pPr>
            <w:r>
              <w:rPr>
                <w:rFonts w:hint="eastAsia"/>
                <w:color w:val="auto"/>
                <w:szCs w:val="21"/>
                <w:lang w:eastAsia="zh-CN"/>
              </w:rPr>
              <w:t>（</w:t>
            </w:r>
            <w:r>
              <w:rPr>
                <w:rFonts w:hint="eastAsia"/>
                <w:color w:val="auto"/>
                <w:szCs w:val="21"/>
                <w:lang w:val="en-US" w:eastAsia="zh-CN"/>
              </w:rPr>
              <w:t>1</w:t>
            </w:r>
            <w:r>
              <w:rPr>
                <w:rFonts w:hint="eastAsia"/>
                <w:color w:val="auto"/>
                <w:szCs w:val="21"/>
                <w:lang w:eastAsia="zh-CN"/>
              </w:rPr>
              <w:t>）</w:t>
            </w:r>
            <w:r>
              <w:rPr>
                <w:rFonts w:hint="eastAsia"/>
                <w:color w:val="auto"/>
                <w:szCs w:val="21"/>
                <w:lang w:val="en-US" w:eastAsia="zh-CN"/>
              </w:rPr>
              <w:t>从</w:t>
            </w:r>
            <w:r>
              <w:rPr>
                <w:rFonts w:hint="eastAsia"/>
                <w:color w:val="auto"/>
                <w:szCs w:val="21"/>
              </w:rPr>
              <w:t>线路规模、曲折系数</w:t>
            </w:r>
            <w:r>
              <w:rPr>
                <w:rFonts w:hint="eastAsia"/>
                <w:color w:val="auto"/>
                <w:szCs w:val="21"/>
                <w:lang w:eastAsia="zh-CN"/>
              </w:rPr>
              <w:t>、</w:t>
            </w:r>
            <w:r>
              <w:rPr>
                <w:rFonts w:hint="eastAsia"/>
                <w:color w:val="auto"/>
                <w:szCs w:val="21"/>
                <w:lang w:val="en-US" w:eastAsia="zh-CN"/>
              </w:rPr>
              <w:t>塔基数</w:t>
            </w:r>
            <w:r>
              <w:rPr>
                <w:rFonts w:hint="eastAsia"/>
                <w:color w:val="auto"/>
                <w:szCs w:val="21"/>
              </w:rPr>
              <w:t>来看两个方案较为接近，</w:t>
            </w:r>
            <w:r>
              <w:rPr>
                <w:rFonts w:hint="eastAsia"/>
                <w:color w:val="auto"/>
                <w:szCs w:val="21"/>
                <w:lang w:val="en-US" w:eastAsia="zh-CN"/>
              </w:rPr>
              <w:t>方案一的线路长度、曲折系数、塔基数均略小，因此</w:t>
            </w:r>
            <w:r>
              <w:rPr>
                <w:rFonts w:hint="eastAsia"/>
                <w:color w:val="auto"/>
                <w:szCs w:val="21"/>
              </w:rPr>
              <w:t>方案一</w:t>
            </w:r>
            <w:r>
              <w:rPr>
                <w:rFonts w:hint="eastAsia"/>
                <w:bCs/>
                <w:color w:val="auto"/>
                <w:szCs w:val="21"/>
                <w:lang w:val="en-US" w:eastAsia="zh-CN"/>
              </w:rPr>
              <w:t>相较</w:t>
            </w:r>
            <w:r>
              <w:rPr>
                <w:rFonts w:hint="eastAsia"/>
                <w:color w:val="auto"/>
                <w:szCs w:val="21"/>
              </w:rPr>
              <w:t>方案二</w:t>
            </w:r>
            <w:r>
              <w:rPr>
                <w:rFonts w:hint="eastAsia"/>
                <w:color w:val="auto"/>
                <w:szCs w:val="21"/>
                <w:lang w:val="en-US" w:eastAsia="zh-CN"/>
              </w:rPr>
              <w:t>占地面积较小，对</w:t>
            </w:r>
            <w:r>
              <w:rPr>
                <w:rFonts w:hint="eastAsia"/>
                <w:bCs/>
                <w:color w:val="auto"/>
                <w:szCs w:val="21"/>
              </w:rPr>
              <w:t>生态</w:t>
            </w:r>
            <w:r>
              <w:rPr>
                <w:rFonts w:hint="eastAsia"/>
                <w:bCs/>
                <w:color w:val="auto"/>
                <w:szCs w:val="21"/>
                <w:lang w:val="en-US" w:eastAsia="zh-CN"/>
              </w:rPr>
              <w:t>环境</w:t>
            </w:r>
            <w:r>
              <w:rPr>
                <w:rFonts w:hint="eastAsia"/>
                <w:bCs/>
                <w:color w:val="auto"/>
                <w:szCs w:val="21"/>
              </w:rPr>
              <w:t>及水土流失</w:t>
            </w:r>
            <w:r>
              <w:rPr>
                <w:rFonts w:hint="eastAsia"/>
                <w:bCs/>
                <w:color w:val="auto"/>
                <w:szCs w:val="21"/>
                <w:lang w:eastAsia="zh-CN"/>
              </w:rPr>
              <w:t>的</w:t>
            </w:r>
            <w:r>
              <w:rPr>
                <w:rFonts w:hint="eastAsia"/>
                <w:bCs/>
                <w:color w:val="auto"/>
                <w:szCs w:val="21"/>
                <w:lang w:val="en-US" w:eastAsia="zh-CN"/>
              </w:rPr>
              <w:t>影响更小。</w:t>
            </w:r>
          </w:p>
          <w:p w14:paraId="0D762CCF">
            <w:pPr>
              <w:adjustRightInd w:val="0"/>
              <w:spacing w:line="360" w:lineRule="auto"/>
              <w:ind w:firstLine="420" w:firstLineChars="200"/>
              <w:rPr>
                <w:rFonts w:hint="eastAsia" w:eastAsia="宋体"/>
                <w:color w:val="auto"/>
                <w:szCs w:val="21"/>
                <w:lang w:val="en-US" w:eastAsia="zh-CN"/>
              </w:rPr>
            </w:pPr>
            <w:r>
              <w:rPr>
                <w:rFonts w:hint="eastAsia"/>
                <w:color w:val="auto"/>
                <w:szCs w:val="21"/>
                <w:lang w:eastAsia="zh-CN"/>
              </w:rPr>
              <w:t>（</w:t>
            </w:r>
            <w:r>
              <w:rPr>
                <w:rFonts w:hint="eastAsia"/>
                <w:color w:val="auto"/>
                <w:szCs w:val="21"/>
                <w:lang w:val="en-US" w:eastAsia="zh-CN"/>
              </w:rPr>
              <w:t>2</w:t>
            </w:r>
            <w:r>
              <w:rPr>
                <w:rFonts w:hint="eastAsia"/>
                <w:color w:val="auto"/>
                <w:szCs w:val="21"/>
                <w:lang w:eastAsia="zh-CN"/>
              </w:rPr>
              <w:t>）</w:t>
            </w:r>
            <w:r>
              <w:rPr>
                <w:rFonts w:hint="eastAsia"/>
                <w:bCs/>
                <w:color w:val="auto"/>
                <w:szCs w:val="21"/>
                <w:lang w:val="en-US" w:eastAsia="zh-CN"/>
              </w:rPr>
              <w:t>从敏感目标数量来看，方案一</w:t>
            </w:r>
            <w:r>
              <w:rPr>
                <w:rFonts w:hint="eastAsia"/>
                <w:bCs/>
                <w:color w:val="auto"/>
                <w:szCs w:val="21"/>
              </w:rPr>
              <w:t>较</w:t>
            </w:r>
            <w:r>
              <w:rPr>
                <w:rFonts w:hint="eastAsia"/>
                <w:bCs/>
                <w:color w:val="auto"/>
                <w:szCs w:val="21"/>
                <w:lang w:val="en-US" w:eastAsia="zh-CN"/>
              </w:rPr>
              <w:t>方案二</w:t>
            </w:r>
            <w:r>
              <w:rPr>
                <w:rFonts w:hint="eastAsia"/>
                <w:bCs/>
                <w:color w:val="auto"/>
                <w:szCs w:val="21"/>
              </w:rPr>
              <w:t>少，因此</w:t>
            </w:r>
            <w:r>
              <w:rPr>
                <w:rFonts w:hint="eastAsia"/>
                <w:bCs/>
                <w:color w:val="auto"/>
                <w:szCs w:val="21"/>
                <w:lang w:val="en-US" w:eastAsia="zh-CN"/>
              </w:rPr>
              <w:t>方案一相较方案二在</w:t>
            </w:r>
            <w:r>
              <w:rPr>
                <w:rFonts w:hint="eastAsia"/>
                <w:bCs/>
                <w:color w:val="auto"/>
                <w:szCs w:val="21"/>
              </w:rPr>
              <w:t>运行</w:t>
            </w:r>
            <w:r>
              <w:rPr>
                <w:rFonts w:hint="eastAsia"/>
                <w:bCs/>
                <w:color w:val="auto"/>
                <w:szCs w:val="21"/>
                <w:lang w:val="en-US" w:eastAsia="zh-CN"/>
              </w:rPr>
              <w:t>时</w:t>
            </w:r>
            <w:r>
              <w:rPr>
                <w:rFonts w:hint="eastAsia"/>
                <w:bCs/>
                <w:color w:val="auto"/>
                <w:szCs w:val="21"/>
              </w:rPr>
              <w:t>对敏感目标的声、电磁环境影响更小</w:t>
            </w:r>
            <w:r>
              <w:rPr>
                <w:rFonts w:hint="eastAsia"/>
                <w:bCs/>
                <w:color w:val="auto"/>
                <w:szCs w:val="21"/>
                <w:lang w:eastAsia="zh-CN"/>
              </w:rPr>
              <w:t>。</w:t>
            </w:r>
          </w:p>
          <w:p w14:paraId="25C8DAF9">
            <w:pPr>
              <w:adjustRightInd w:val="0"/>
              <w:spacing w:line="360" w:lineRule="auto"/>
              <w:ind w:firstLine="420" w:firstLineChars="200"/>
              <w:rPr>
                <w:rFonts w:hint="default" w:eastAsia="宋体"/>
                <w:color w:val="auto"/>
                <w:szCs w:val="21"/>
                <w:lang w:val="en-US" w:eastAsia="zh-CN"/>
              </w:rPr>
            </w:pPr>
            <w:r>
              <w:rPr>
                <w:rFonts w:hint="eastAsia"/>
                <w:color w:val="auto"/>
                <w:szCs w:val="21"/>
                <w:lang w:eastAsia="zh-CN"/>
              </w:rPr>
              <w:t>（</w:t>
            </w:r>
            <w:r>
              <w:rPr>
                <w:rFonts w:hint="eastAsia"/>
                <w:color w:val="auto"/>
                <w:szCs w:val="21"/>
                <w:lang w:val="en-US" w:eastAsia="zh-CN"/>
              </w:rPr>
              <w:t>3</w:t>
            </w:r>
            <w:r>
              <w:rPr>
                <w:rFonts w:hint="eastAsia"/>
                <w:color w:val="auto"/>
                <w:szCs w:val="21"/>
                <w:lang w:eastAsia="zh-CN"/>
              </w:rPr>
              <w:t>）</w:t>
            </w:r>
            <w:r>
              <w:rPr>
                <w:rFonts w:hint="eastAsia"/>
                <w:color w:val="auto"/>
                <w:szCs w:val="21"/>
                <w:lang w:val="en-US" w:eastAsia="zh-CN"/>
              </w:rPr>
              <w:t>从</w:t>
            </w:r>
            <w:r>
              <w:rPr>
                <w:rFonts w:hint="eastAsia"/>
                <w:bCs/>
                <w:color w:val="auto"/>
                <w:szCs w:val="21"/>
                <w:lang w:val="en-US" w:eastAsia="zh-CN"/>
              </w:rPr>
              <w:t>林木砍伐情况来看，方案一和方案二均不涉及集中林区，方案一较方案二砍伐林木较少，因此方案一相较方案二</w:t>
            </w:r>
            <w:r>
              <w:rPr>
                <w:rFonts w:hint="eastAsia"/>
                <w:bCs/>
                <w:color w:val="auto"/>
                <w:szCs w:val="21"/>
              </w:rPr>
              <w:t>对</w:t>
            </w:r>
            <w:r>
              <w:rPr>
                <w:rFonts w:hint="eastAsia"/>
                <w:bCs/>
                <w:color w:val="auto"/>
                <w:szCs w:val="21"/>
                <w:lang w:val="en-US" w:eastAsia="zh-CN"/>
              </w:rPr>
              <w:t>生态环境</w:t>
            </w:r>
            <w:r>
              <w:rPr>
                <w:rFonts w:hint="eastAsia"/>
                <w:bCs/>
                <w:color w:val="auto"/>
                <w:szCs w:val="21"/>
              </w:rPr>
              <w:t>的影响</w:t>
            </w:r>
            <w:r>
              <w:rPr>
                <w:rFonts w:hint="eastAsia"/>
                <w:bCs/>
                <w:color w:val="auto"/>
                <w:szCs w:val="21"/>
                <w:lang w:val="en-US" w:eastAsia="zh-CN"/>
              </w:rPr>
              <w:t>更小。</w:t>
            </w:r>
          </w:p>
          <w:p w14:paraId="31C58087">
            <w:pPr>
              <w:adjustRightInd w:val="0"/>
              <w:spacing w:line="360" w:lineRule="auto"/>
              <w:ind w:firstLine="420" w:firstLineChars="200"/>
              <w:rPr>
                <w:rFonts w:hint="eastAsia"/>
                <w:color w:val="auto"/>
                <w:lang w:val="en-US" w:eastAsia="zh-CN"/>
              </w:rPr>
            </w:pPr>
            <w:r>
              <w:rPr>
                <w:rFonts w:hint="eastAsia"/>
                <w:color w:val="auto"/>
                <w:szCs w:val="21"/>
                <w:lang w:eastAsia="zh-CN"/>
              </w:rPr>
              <w:t>（</w:t>
            </w:r>
            <w:r>
              <w:rPr>
                <w:rFonts w:hint="eastAsia"/>
                <w:color w:val="auto"/>
                <w:szCs w:val="21"/>
                <w:lang w:val="en-US" w:eastAsia="zh-CN"/>
              </w:rPr>
              <w:t>4</w:t>
            </w:r>
            <w:r>
              <w:rPr>
                <w:rFonts w:hint="eastAsia"/>
                <w:color w:val="auto"/>
                <w:szCs w:val="21"/>
                <w:lang w:eastAsia="zh-CN"/>
              </w:rPr>
              <w:t>）</w:t>
            </w:r>
            <w:r>
              <w:rPr>
                <w:rFonts w:hint="eastAsia"/>
                <w:color w:val="auto"/>
                <w:szCs w:val="21"/>
                <w:lang w:val="en-US" w:eastAsia="zh-CN"/>
              </w:rPr>
              <w:t>从钻跨越及并行走线情况来看，方案一与方案二均不涉及与其他110kV线路及以上输电线路的并行走线情况，方案一较方案二在跨越35kV线路、高速公路次数上较少，因此方案一相较方案二在</w:t>
            </w:r>
            <w:r>
              <w:rPr>
                <w:rFonts w:hint="eastAsia"/>
                <w:color w:val="auto"/>
                <w:lang w:val="en-US" w:eastAsia="zh-CN"/>
              </w:rPr>
              <w:t>钻跨越施工期间停电对当地居民生活和企业生产的影响更小。</w:t>
            </w:r>
          </w:p>
          <w:p w14:paraId="4AC8B918">
            <w:pPr>
              <w:adjustRightInd w:val="0"/>
              <w:spacing w:line="360" w:lineRule="auto"/>
              <w:ind w:firstLine="420" w:firstLineChars="200"/>
              <w:rPr>
                <w:rFonts w:hint="eastAsia"/>
                <w:color w:val="auto"/>
                <w:lang w:val="en-US" w:eastAsia="zh-CN"/>
              </w:rPr>
            </w:pPr>
            <w:r>
              <w:rPr>
                <w:rFonts w:hint="eastAsia"/>
                <w:color w:val="auto"/>
                <w:lang w:val="en-US" w:eastAsia="zh-CN"/>
              </w:rPr>
              <w:t>（5）从重点生态区域情况来看，方案一不涉及重要生态区域，而方案二涉及永久基本农田，因此方案一</w:t>
            </w:r>
            <w:r>
              <w:rPr>
                <w:rFonts w:hint="eastAsia"/>
                <w:bCs/>
                <w:color w:val="auto"/>
                <w:szCs w:val="21"/>
                <w:lang w:val="en-US" w:eastAsia="zh-CN"/>
              </w:rPr>
              <w:t>相较方案二</w:t>
            </w:r>
            <w:r>
              <w:rPr>
                <w:rFonts w:hint="eastAsia"/>
                <w:color w:val="auto"/>
                <w:lang w:val="en-US" w:eastAsia="zh-CN"/>
              </w:rPr>
              <w:t>对生态环境的影响更小。</w:t>
            </w:r>
          </w:p>
          <w:p w14:paraId="53FDC3C3">
            <w:pPr>
              <w:adjustRightInd w:val="0"/>
              <w:spacing w:line="360" w:lineRule="auto"/>
              <w:ind w:firstLine="420" w:firstLineChars="200"/>
              <w:rPr>
                <w:rFonts w:hint="default" w:ascii="Times New Roman" w:hAnsi="Times New Roman" w:cs="Times New Roman"/>
                <w:color w:val="auto"/>
                <w:lang w:val="en-US" w:eastAsia="zh-CN"/>
              </w:rPr>
            </w:pPr>
            <w:r>
              <w:rPr>
                <w:rFonts w:hint="eastAsia" w:cs="Times New Roman"/>
                <w:color w:val="auto"/>
                <w:lang w:val="en-US" w:eastAsia="zh-CN"/>
              </w:rPr>
              <w:t>（6）从投资情况来看，</w:t>
            </w:r>
            <w:r>
              <w:rPr>
                <w:rFonts w:hint="eastAsia" w:cs="Times New Roman"/>
                <w:color w:val="auto"/>
                <w:kern w:val="2"/>
                <w:sz w:val="21"/>
                <w:szCs w:val="21"/>
                <w:lang w:val="en-US" w:eastAsia="zh-CN" w:bidi="ar-SA"/>
              </w:rPr>
              <w:t>方案一</w:t>
            </w:r>
            <w:r>
              <w:rPr>
                <w:rFonts w:hint="default" w:ascii="Times New Roman" w:hAnsi="Times New Roman" w:eastAsia="宋体" w:cs="Times New Roman"/>
                <w:color w:val="auto"/>
                <w:kern w:val="2"/>
                <w:sz w:val="21"/>
                <w:szCs w:val="21"/>
                <w:lang w:val="en-US" w:eastAsia="zh-CN" w:bidi="ar-SA"/>
              </w:rPr>
              <w:t>较方案</w:t>
            </w:r>
            <w:r>
              <w:rPr>
                <w:rFonts w:hint="eastAsia" w:ascii="Times New Roman" w:hAnsi="Times New Roman" w:eastAsia="宋体" w:cs="Times New Roman"/>
                <w:color w:val="auto"/>
                <w:kern w:val="2"/>
                <w:sz w:val="21"/>
                <w:szCs w:val="21"/>
                <w:lang w:val="en-US" w:eastAsia="zh-CN" w:bidi="ar-SA"/>
              </w:rPr>
              <w:t>二</w:t>
            </w:r>
            <w:r>
              <w:rPr>
                <w:rFonts w:hint="default" w:ascii="Times New Roman" w:hAnsi="Times New Roman" w:eastAsia="宋体" w:cs="Times New Roman"/>
                <w:color w:val="auto"/>
                <w:kern w:val="2"/>
                <w:sz w:val="21"/>
                <w:szCs w:val="21"/>
                <w:lang w:val="en-US" w:eastAsia="zh-CN" w:bidi="ar-SA"/>
              </w:rPr>
              <w:t>投资节约</w:t>
            </w:r>
            <w:r>
              <w:rPr>
                <w:rFonts w:hint="eastAsia" w:cs="Times New Roman"/>
                <w:color w:val="auto"/>
                <w:kern w:val="2"/>
                <w:sz w:val="21"/>
                <w:szCs w:val="21"/>
                <w:lang w:val="en-US" w:eastAsia="zh-CN" w:bidi="ar-SA"/>
              </w:rPr>
              <w:t>600</w:t>
            </w:r>
            <w:r>
              <w:rPr>
                <w:rFonts w:hint="default" w:ascii="Times New Roman" w:hAnsi="Times New Roman" w:eastAsia="宋体" w:cs="Times New Roman"/>
                <w:color w:val="auto"/>
                <w:kern w:val="2"/>
                <w:sz w:val="21"/>
                <w:szCs w:val="21"/>
                <w:lang w:val="en-US" w:eastAsia="zh-CN" w:bidi="ar-SA"/>
              </w:rPr>
              <w:t>万</w:t>
            </w:r>
            <w:r>
              <w:rPr>
                <w:rFonts w:hint="eastAsia" w:cs="Times New Roman"/>
                <w:color w:val="auto"/>
                <w:kern w:val="2"/>
                <w:sz w:val="21"/>
                <w:szCs w:val="21"/>
                <w:lang w:val="en-US" w:eastAsia="zh-CN" w:bidi="ar-SA"/>
              </w:rPr>
              <w:t>。</w:t>
            </w:r>
          </w:p>
          <w:p w14:paraId="176C8C31">
            <w:pPr>
              <w:spacing w:line="360" w:lineRule="auto"/>
              <w:ind w:firstLine="420" w:firstLineChars="200"/>
              <w:rPr>
                <w:color w:val="FF0000"/>
                <w:szCs w:val="21"/>
              </w:rPr>
            </w:pPr>
            <w:r>
              <w:rPr>
                <w:rFonts w:hint="default" w:ascii="Times New Roman" w:hAnsi="Times New Roman" w:cs="Times New Roman"/>
                <w:bCs/>
                <w:color w:val="auto"/>
                <w:szCs w:val="21"/>
              </w:rPr>
              <w:t>综上所述，从环境保护角度分析</w:t>
            </w:r>
            <w:r>
              <w:rPr>
                <w:rFonts w:hint="default" w:ascii="Times New Roman" w:hAnsi="Times New Roman" w:cs="Times New Roman"/>
                <w:bCs/>
                <w:color w:val="auto"/>
                <w:szCs w:val="21"/>
                <w:lang w:eastAsia="zh-CN"/>
              </w:rPr>
              <w:t>，</w:t>
            </w:r>
            <w:r>
              <w:rPr>
                <w:rFonts w:hint="eastAsia" w:cs="Times New Roman"/>
                <w:color w:val="auto"/>
                <w:szCs w:val="21"/>
                <w:lang w:val="en-US" w:eastAsia="zh-CN"/>
              </w:rPr>
              <w:t>方案一</w:t>
            </w:r>
            <w:r>
              <w:rPr>
                <w:rFonts w:hint="default" w:ascii="Times New Roman" w:hAnsi="Times New Roman" w:cs="Times New Roman"/>
                <w:color w:val="auto"/>
                <w:szCs w:val="21"/>
                <w:lang w:val="en-US" w:eastAsia="zh-CN"/>
              </w:rPr>
              <w:t>方案</w:t>
            </w:r>
            <w:r>
              <w:rPr>
                <w:rFonts w:hint="default" w:ascii="Times New Roman" w:hAnsi="Times New Roman" w:cs="Times New Roman"/>
                <w:bCs/>
                <w:color w:val="auto"/>
                <w:szCs w:val="21"/>
                <w:lang w:val="en-US" w:eastAsia="zh-CN"/>
              </w:rPr>
              <w:t>占地面积较小，沿线评价范围内敏感目标较少，</w:t>
            </w:r>
            <w:r>
              <w:rPr>
                <w:rFonts w:hint="default" w:ascii="Times New Roman" w:hAnsi="Times New Roman" w:eastAsia="宋体" w:cs="Times New Roman"/>
                <w:color w:val="auto"/>
                <w:kern w:val="2"/>
                <w:sz w:val="21"/>
                <w:szCs w:val="21"/>
                <w:lang w:val="en-US" w:eastAsia="zh-CN" w:bidi="ar-SA"/>
              </w:rPr>
              <w:t>敏感目标到输电线路边导线的距离更远，</w:t>
            </w:r>
            <w:r>
              <w:rPr>
                <w:rFonts w:hint="default" w:ascii="Times New Roman" w:hAnsi="Times New Roman" w:cs="Times New Roman"/>
                <w:bCs/>
                <w:color w:val="auto"/>
                <w:szCs w:val="21"/>
                <w:lang w:val="en-US" w:eastAsia="zh-CN"/>
              </w:rPr>
              <w:t>林木砍伐较少，</w:t>
            </w:r>
            <w:r>
              <w:rPr>
                <w:rFonts w:hint="default" w:ascii="Times New Roman" w:hAnsi="Times New Roman" w:cs="Times New Roman"/>
                <w:color w:val="auto"/>
                <w:szCs w:val="21"/>
                <w:lang w:val="en-US" w:eastAsia="zh-CN"/>
              </w:rPr>
              <w:t>钻越</w:t>
            </w:r>
            <w:r>
              <w:rPr>
                <w:rFonts w:hint="eastAsia" w:cs="Times New Roman"/>
                <w:color w:val="auto"/>
                <w:szCs w:val="21"/>
                <w:lang w:val="en-US" w:eastAsia="zh-CN"/>
              </w:rPr>
              <w:t>35</w:t>
            </w:r>
            <w:r>
              <w:rPr>
                <w:rFonts w:hint="default" w:ascii="Times New Roman" w:hAnsi="Times New Roman" w:cs="Times New Roman"/>
                <w:color w:val="auto"/>
                <w:szCs w:val="21"/>
                <w:lang w:val="en-US" w:eastAsia="zh-CN"/>
              </w:rPr>
              <w:t>kV线路</w:t>
            </w:r>
            <w:r>
              <w:rPr>
                <w:rFonts w:hint="eastAsia" w:ascii="Times New Roman" w:hAnsi="Times New Roman" w:cs="Times New Roman"/>
                <w:color w:val="auto"/>
                <w:szCs w:val="21"/>
                <w:lang w:val="en-US" w:eastAsia="zh-CN"/>
              </w:rPr>
              <w:t>、高速公路</w:t>
            </w:r>
            <w:r>
              <w:rPr>
                <w:rFonts w:hint="default" w:ascii="Times New Roman" w:hAnsi="Times New Roman" w:cs="Times New Roman"/>
                <w:color w:val="auto"/>
                <w:szCs w:val="21"/>
                <w:lang w:val="en-US" w:eastAsia="zh-CN"/>
              </w:rPr>
              <w:t>次数较少</w:t>
            </w:r>
            <w:r>
              <w:rPr>
                <w:rFonts w:hint="eastAsia" w:cs="Times New Roman"/>
                <w:color w:val="auto"/>
                <w:szCs w:val="21"/>
                <w:lang w:val="en-US" w:eastAsia="zh-CN"/>
              </w:rPr>
              <w:t>，投资较少</w:t>
            </w:r>
            <w:r>
              <w:rPr>
                <w:rFonts w:hint="default" w:ascii="Times New Roman" w:hAnsi="Times New Roman" w:cs="Times New Roman"/>
                <w:color w:val="auto"/>
                <w:szCs w:val="21"/>
              </w:rPr>
              <w:t>。</w:t>
            </w:r>
            <w:r>
              <w:rPr>
                <w:rFonts w:hint="default" w:ascii="Times New Roman" w:hAnsi="Times New Roman" w:cs="Times New Roman"/>
                <w:color w:val="auto"/>
                <w:szCs w:val="21"/>
                <w:lang w:val="en-US" w:eastAsia="zh-CN"/>
              </w:rPr>
              <w:t>因此</w:t>
            </w:r>
            <w:r>
              <w:rPr>
                <w:rFonts w:hint="default" w:ascii="Times New Roman" w:hAnsi="Times New Roman" w:cs="Times New Roman"/>
                <w:color w:val="auto"/>
                <w:szCs w:val="21"/>
              </w:rPr>
              <w:t>，</w:t>
            </w:r>
            <w:r>
              <w:rPr>
                <w:rFonts w:hint="default" w:ascii="Times New Roman" w:hAnsi="Times New Roman" w:cs="Times New Roman"/>
                <w:color w:val="auto"/>
                <w:szCs w:val="21"/>
                <w:lang w:val="en-US" w:eastAsia="zh-CN"/>
              </w:rPr>
              <w:t>本次评价推荐采用方案</w:t>
            </w:r>
            <w:r>
              <w:rPr>
                <w:rFonts w:hint="eastAsia" w:ascii="Times New Roman" w:hAnsi="Times New Roman" w:cs="Times New Roman"/>
                <w:color w:val="auto"/>
                <w:szCs w:val="21"/>
                <w:lang w:val="en-US" w:eastAsia="zh-CN"/>
              </w:rPr>
              <w:t>一</w:t>
            </w:r>
            <w:r>
              <w:rPr>
                <w:rFonts w:hint="default" w:ascii="Times New Roman" w:hAnsi="Times New Roman" w:cs="Times New Roman"/>
                <w:color w:val="auto"/>
                <w:szCs w:val="21"/>
                <w:lang w:val="en-US" w:eastAsia="zh-CN"/>
              </w:rPr>
              <w:t>作为本项目</w:t>
            </w:r>
            <w:r>
              <w:rPr>
                <w:rFonts w:hint="eastAsia" w:cs="Times New Roman"/>
                <w:color w:val="auto"/>
                <w:szCs w:val="21"/>
                <w:highlight w:val="none"/>
                <w:lang w:eastAsia="zh-CN"/>
              </w:rPr>
              <w:t>印合—司城</w:t>
            </w:r>
            <w:r>
              <w:rPr>
                <w:rFonts w:hint="default" w:ascii="Times New Roman" w:hAnsi="Times New Roman" w:cs="Times New Roman"/>
                <w:color w:val="auto"/>
                <w:szCs w:val="21"/>
                <w:lang w:eastAsia="zh-CN"/>
              </w:rPr>
              <w:t>110kV线路工程的</w:t>
            </w:r>
            <w:r>
              <w:rPr>
                <w:rFonts w:hint="default" w:ascii="Times New Roman" w:hAnsi="Times New Roman" w:cs="Times New Roman"/>
                <w:color w:val="auto"/>
                <w:szCs w:val="21"/>
                <w:lang w:val="en-US" w:eastAsia="zh-CN"/>
              </w:rPr>
              <w:t>路径走线</w:t>
            </w:r>
            <w:r>
              <w:rPr>
                <w:rFonts w:hint="default" w:ascii="Times New Roman" w:hAnsi="Times New Roman" w:cs="Times New Roman"/>
                <w:color w:val="auto"/>
                <w:szCs w:val="21"/>
              </w:rPr>
              <w:t>。</w:t>
            </w:r>
          </w:p>
        </w:tc>
      </w:tr>
    </w:tbl>
    <w:p w14:paraId="5A12A65C">
      <w:pPr>
        <w:adjustRightInd w:val="0"/>
        <w:snapToGrid w:val="0"/>
        <w:spacing w:line="288" w:lineRule="auto"/>
        <w:jc w:val="center"/>
        <w:rPr>
          <w:rFonts w:eastAsia="楷体_GB2312"/>
          <w:color w:val="FF0000"/>
          <w:sz w:val="36"/>
          <w:szCs w:val="36"/>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BFED22A">
      <w:pPr>
        <w:pStyle w:val="2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outlineLvl w:val="0"/>
        <w:rPr>
          <w:rFonts w:ascii="Times New Roman" w:hAnsi="Times New Roman" w:eastAsia="黑体"/>
          <w:snapToGrid w:val="0"/>
          <w:color w:val="FF0000"/>
          <w:sz w:val="30"/>
          <w:szCs w:val="30"/>
        </w:rPr>
      </w:pPr>
      <w:bookmarkStart w:id="8" w:name="_Toc63026906"/>
      <w:r>
        <w:rPr>
          <w:rFonts w:ascii="Times New Roman" w:hAnsi="Times New Roman" w:eastAsia="黑体"/>
          <w:snapToGrid w:val="0"/>
          <w:color w:val="auto"/>
          <w:sz w:val="30"/>
          <w:szCs w:val="30"/>
        </w:rPr>
        <w:t>三、生态环境现状、保护目标及评价标准</w:t>
      </w:r>
      <w:bookmarkEnd w:id="8"/>
    </w:p>
    <w:tbl>
      <w:tblPr>
        <w:tblStyle w:val="25"/>
        <w:tblpPr w:leftFromText="180" w:rightFromText="180" w:vertAnchor="text" w:tblpXSpec="center" w:tblpY="1"/>
        <w:tblOverlap w:val="never"/>
        <w:tblW w:w="949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9330"/>
      </w:tblGrid>
      <w:tr w14:paraId="477701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90" w:type="dxa"/>
            <w:vAlign w:val="center"/>
          </w:tcPr>
          <w:p w14:paraId="5083E9A4">
            <w:pPr>
              <w:keepNext w:val="0"/>
              <w:keepLines w:val="0"/>
              <w:pageBreakBefore w:val="0"/>
              <w:widowControl w:val="0"/>
              <w:kinsoku/>
              <w:overflowPunct/>
              <w:topLinePunct w:val="0"/>
              <w:bidi w:val="0"/>
              <w:adjustRightInd w:val="0"/>
              <w:jc w:val="center"/>
              <w:rPr>
                <w:color w:val="FF0000"/>
                <w:kern w:val="0"/>
                <w:szCs w:val="21"/>
              </w:rPr>
            </w:pPr>
            <w:r>
              <w:rPr>
                <w:color w:val="auto"/>
                <w:kern w:val="0"/>
                <w:szCs w:val="21"/>
              </w:rPr>
              <w:t>生态环境现状</w:t>
            </w:r>
          </w:p>
        </w:tc>
        <w:tc>
          <w:tcPr>
            <w:tcW w:w="8808" w:type="dxa"/>
            <w:vAlign w:val="center"/>
          </w:tcPr>
          <w:p w14:paraId="12ACCFE6">
            <w:pPr>
              <w:spacing w:line="360" w:lineRule="auto"/>
              <w:rPr>
                <w:rFonts w:hint="default" w:ascii="Times New Roman" w:hAnsi="Times New Roman" w:cs="Times New Roman"/>
                <w:b/>
                <w:color w:val="auto"/>
                <w:szCs w:val="21"/>
                <w:highlight w:val="none"/>
                <w:shd w:val="clear" w:color="auto" w:fill="FFFFFF"/>
              </w:rPr>
            </w:pPr>
            <w:r>
              <w:rPr>
                <w:rFonts w:eastAsia="黑体"/>
                <w:color w:val="auto"/>
                <w:kern w:val="0"/>
                <w:szCs w:val="21"/>
              </w:rPr>
              <w:t>一、</w:t>
            </w:r>
            <w:r>
              <w:rPr>
                <w:rFonts w:hint="default" w:ascii="Times New Roman" w:hAnsi="Times New Roman" w:eastAsia="黑体" w:cs="Times New Roman"/>
                <w:color w:val="auto"/>
                <w:kern w:val="0"/>
                <w:szCs w:val="21"/>
                <w:lang w:val="en-US" w:eastAsia="zh-CN"/>
              </w:rPr>
              <w:t>与</w:t>
            </w:r>
            <w:r>
              <w:rPr>
                <w:rFonts w:hint="default" w:ascii="Times New Roman" w:hAnsi="Times New Roman" w:eastAsia="黑体" w:cs="Times New Roman"/>
                <w:color w:val="auto"/>
                <w:kern w:val="0"/>
                <w:szCs w:val="21"/>
                <w:highlight w:val="none"/>
                <w:shd w:val="clear" w:color="auto" w:fill="auto"/>
              </w:rPr>
              <w:t>《</w:t>
            </w:r>
            <w:r>
              <w:rPr>
                <w:rFonts w:hint="eastAsia" w:eastAsia="黑体" w:cs="Times New Roman"/>
                <w:color w:val="auto"/>
                <w:kern w:val="0"/>
                <w:szCs w:val="21"/>
                <w:highlight w:val="none"/>
                <w:shd w:val="clear" w:color="auto" w:fill="auto"/>
                <w:lang w:val="en-US" w:eastAsia="zh-CN"/>
              </w:rPr>
              <w:t>巴中市</w:t>
            </w:r>
            <w:r>
              <w:rPr>
                <w:rFonts w:hint="default" w:ascii="Times New Roman" w:hAnsi="Times New Roman" w:eastAsia="黑体" w:cs="Times New Roman"/>
                <w:color w:val="auto"/>
                <w:kern w:val="0"/>
                <w:szCs w:val="21"/>
                <w:highlight w:val="none"/>
                <w:shd w:val="clear" w:color="auto" w:fill="auto"/>
                <w:lang w:val="en-US" w:eastAsia="zh-CN"/>
              </w:rPr>
              <w:t>国土空间总体规划（2021</w:t>
            </w:r>
            <w:r>
              <w:rPr>
                <w:rFonts w:hint="default" w:ascii="Times New Roman" w:hAnsi="Times New Roman" w:eastAsia="黑体" w:cs="Times New Roman"/>
                <w:color w:val="auto"/>
                <w:szCs w:val="21"/>
                <w:lang w:val="en-US" w:eastAsia="zh-CN"/>
              </w:rPr>
              <w:t>-</w:t>
            </w:r>
            <w:r>
              <w:rPr>
                <w:rFonts w:hint="default" w:ascii="Times New Roman" w:hAnsi="Times New Roman" w:eastAsia="黑体" w:cs="Times New Roman"/>
                <w:color w:val="auto"/>
                <w:kern w:val="0"/>
                <w:szCs w:val="21"/>
                <w:highlight w:val="none"/>
                <w:shd w:val="clear" w:color="auto" w:fill="auto"/>
                <w:lang w:val="en-US" w:eastAsia="zh-CN"/>
              </w:rPr>
              <w:t>2035年》</w:t>
            </w:r>
            <w:r>
              <w:rPr>
                <w:rFonts w:hint="default" w:ascii="Times New Roman" w:hAnsi="Times New Roman" w:eastAsia="黑体" w:cs="Times New Roman"/>
                <w:color w:val="auto"/>
                <w:kern w:val="0"/>
                <w:szCs w:val="21"/>
                <w:lang w:val="en-US" w:eastAsia="zh-CN"/>
              </w:rPr>
              <w:t>的符合性分析</w:t>
            </w:r>
          </w:p>
          <w:p w14:paraId="4CB490A5">
            <w:pPr>
              <w:spacing w:line="360" w:lineRule="auto"/>
              <w:ind w:firstLine="420" w:firstLineChars="200"/>
              <w:rPr>
                <w:rFonts w:hint="eastAsia"/>
                <w:color w:val="auto"/>
                <w:kern w:val="0"/>
                <w:szCs w:val="21"/>
                <w:highlight w:val="none"/>
                <w:lang w:eastAsia="zh-CN"/>
              </w:rPr>
            </w:pPr>
            <w:r>
              <w:rPr>
                <w:rFonts w:hint="default" w:ascii="Times New Roman" w:hAnsi="Times New Roman" w:cs="Times New Roman"/>
                <w:bCs/>
                <w:color w:val="auto"/>
                <w:highlight w:val="none"/>
              </w:rPr>
              <w:t>根据巴中市自然资源和规划局</w:t>
            </w:r>
            <w:r>
              <w:rPr>
                <w:rFonts w:hint="eastAsia" w:ascii="Times New Roman" w:hAnsi="Times New Roman" w:cs="Times New Roman"/>
                <w:bCs/>
                <w:color w:val="auto"/>
                <w:highlight w:val="none"/>
                <w:lang w:val="en-US" w:eastAsia="zh-CN"/>
              </w:rPr>
              <w:t>关于</w:t>
            </w:r>
            <w:r>
              <w:rPr>
                <w:rFonts w:hint="eastAsia" w:ascii="Times New Roman" w:hAnsi="Times New Roman" w:cs="Times New Roman"/>
                <w:bCs/>
                <w:color w:val="auto"/>
                <w:highlight w:val="none"/>
                <w:lang w:eastAsia="zh-CN"/>
              </w:rPr>
              <w:t>《巴中市国土空间总体规划（2021-2035年》</w:t>
            </w:r>
            <w:r>
              <w:rPr>
                <w:rFonts w:hint="eastAsia" w:ascii="Times New Roman" w:hAnsi="Times New Roman" w:cs="Times New Roman"/>
                <w:bCs/>
                <w:color w:val="auto"/>
                <w:highlight w:val="none"/>
                <w:lang w:val="en-US" w:eastAsia="zh-CN"/>
              </w:rPr>
              <w:t>以及</w:t>
            </w:r>
            <w:r>
              <w:rPr>
                <w:rFonts w:hint="default" w:ascii="Times New Roman" w:hAnsi="Times New Roman" w:cs="Times New Roman"/>
                <w:bCs/>
                <w:color w:val="auto"/>
                <w:highlight w:val="none"/>
                <w:lang w:val="en-US" w:eastAsia="zh-CN"/>
              </w:rPr>
              <w:t>四川省人民政府关于</w:t>
            </w:r>
            <w:r>
              <w:rPr>
                <w:rFonts w:hint="eastAsia" w:cs="Times New Roman"/>
                <w:bCs/>
                <w:color w:val="auto"/>
                <w:highlight w:val="none"/>
                <w:lang w:val="en-US" w:eastAsia="zh-CN"/>
              </w:rPr>
              <w:t>《巴中市国土空间总体规划</w:t>
            </w:r>
            <w:r>
              <w:rPr>
                <w:rFonts w:hint="eastAsia" w:ascii="Times New Roman" w:hAnsi="Times New Roman" w:cs="Times New Roman"/>
                <w:bCs/>
                <w:color w:val="auto"/>
                <w:highlight w:val="none"/>
                <w:lang w:val="en-US" w:eastAsia="zh-CN"/>
              </w:rPr>
              <w:t>（2021-2035年）</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的</w:t>
            </w:r>
            <w:r>
              <w:rPr>
                <w:rFonts w:hint="eastAsia" w:cs="Times New Roman"/>
                <w:bCs/>
                <w:color w:val="auto"/>
                <w:highlight w:val="none"/>
                <w:lang w:val="en-US" w:eastAsia="zh-CN"/>
              </w:rPr>
              <w:t>批复（川府函〔2024〕65号）</w:t>
            </w:r>
            <w:r>
              <w:rPr>
                <w:rFonts w:hint="default" w:ascii="Times New Roman" w:hAnsi="Times New Roman" w:cs="Times New Roman"/>
                <w:bCs/>
                <w:color w:val="auto"/>
                <w:highlight w:val="none"/>
              </w:rPr>
              <w:t>，本项目所在区域属于</w:t>
            </w:r>
            <w:r>
              <w:rPr>
                <w:rFonts w:hint="eastAsia" w:cs="Times New Roman"/>
                <w:bCs/>
                <w:color w:val="auto"/>
                <w:highlight w:val="none"/>
                <w:lang w:val="en-US" w:eastAsia="zh-CN"/>
              </w:rPr>
              <w:t>农产品主产区、城镇化地区</w:t>
            </w:r>
            <w:r>
              <w:rPr>
                <w:rFonts w:hint="default" w:ascii="Times New Roman" w:hAnsi="Times New Roman" w:cs="Times New Roman"/>
                <w:bCs/>
                <w:color w:val="auto"/>
                <w:highlight w:val="none"/>
              </w:rPr>
              <w:t>（</w:t>
            </w:r>
            <w:r>
              <w:rPr>
                <w:rFonts w:hint="eastAsia" w:cs="Times New Roman"/>
                <w:bCs/>
                <w:color w:val="auto"/>
                <w:highlight w:val="none"/>
                <w:lang w:val="en-US" w:eastAsia="zh-CN"/>
              </w:rPr>
              <w:t>详见</w:t>
            </w:r>
            <w:r>
              <w:rPr>
                <w:rFonts w:hint="default" w:ascii="Times New Roman" w:hAnsi="Times New Roman" w:cs="Times New Roman"/>
                <w:bCs/>
                <w:color w:val="auto"/>
                <w:highlight w:val="none"/>
              </w:rPr>
              <w:t>附图1</w:t>
            </w:r>
            <w:r>
              <w:rPr>
                <w:rFonts w:hint="eastAsia" w:cs="Times New Roman"/>
                <w:bCs/>
                <w:color w:val="auto"/>
                <w:highlight w:val="none"/>
                <w:lang w:val="en-US" w:eastAsia="zh-CN"/>
              </w:rPr>
              <w:t>0</w:t>
            </w:r>
            <w:r>
              <w:rPr>
                <w:rFonts w:hint="default" w:ascii="Times New Roman" w:hAnsi="Times New Roman" w:cs="Times New Roman"/>
                <w:bCs/>
                <w:color w:val="auto"/>
                <w:highlight w:val="none"/>
              </w:rPr>
              <w:t>）</w:t>
            </w:r>
            <w:r>
              <w:rPr>
                <w:rFonts w:hint="eastAsia" w:cs="Times New Roman"/>
                <w:bCs/>
                <w:color w:val="auto"/>
                <w:highlight w:val="none"/>
                <w:lang w:eastAsia="zh-CN"/>
              </w:rPr>
              <w:t>。</w:t>
            </w:r>
          </w:p>
          <w:p w14:paraId="20426080">
            <w:pPr>
              <w:spacing w:line="360" w:lineRule="auto"/>
              <w:ind w:firstLine="420" w:firstLineChars="200"/>
              <w:rPr>
                <w:rFonts w:hint="eastAsia"/>
                <w:color w:val="auto"/>
                <w:kern w:val="0"/>
                <w:szCs w:val="21"/>
                <w:highlight w:val="none"/>
                <w:lang w:eastAsia="zh-CN"/>
              </w:rPr>
            </w:pPr>
            <w:r>
              <w:rPr>
                <w:rFonts w:hint="eastAsia"/>
                <w:color w:val="auto"/>
                <w:kern w:val="0"/>
                <w:szCs w:val="21"/>
                <w:highlight w:val="none"/>
                <w:lang w:eastAsia="zh-CN"/>
              </w:rPr>
              <w:t>将农业生产适宜条件良好、耕地及其他农用地分布集中的59个镇（乡）确定为农产品主产区，保障粮食安全和重要农产品供给。</w:t>
            </w:r>
          </w:p>
          <w:p w14:paraId="74BA65CE">
            <w:pPr>
              <w:spacing w:line="360" w:lineRule="auto"/>
              <w:ind w:firstLine="420" w:firstLineChars="200"/>
              <w:rPr>
                <w:rFonts w:hint="eastAsia"/>
                <w:color w:val="auto"/>
                <w:kern w:val="0"/>
                <w:szCs w:val="21"/>
                <w:highlight w:val="none"/>
                <w:lang w:eastAsia="zh-CN"/>
              </w:rPr>
            </w:pPr>
            <w:r>
              <w:rPr>
                <w:rFonts w:hint="eastAsia"/>
                <w:color w:val="auto"/>
                <w:kern w:val="0"/>
                <w:szCs w:val="21"/>
                <w:highlight w:val="none"/>
                <w:lang w:eastAsia="zh-CN"/>
              </w:rPr>
              <w:t>将位于经济基础较好、人口分布密集或县域经济重要节点的45个镇（街道）确定为城镇化地区，打造高质量发展的动力引擎，充分发挥该类型地区对县域经济发展的带动作用。</w:t>
            </w:r>
          </w:p>
          <w:p w14:paraId="5DB296B9">
            <w:pPr>
              <w:spacing w:line="360" w:lineRule="auto"/>
              <w:ind w:firstLine="420" w:firstLineChars="200"/>
              <w:rPr>
                <w:rFonts w:hint="eastAsia"/>
                <w:color w:val="auto"/>
                <w:kern w:val="0"/>
                <w:szCs w:val="21"/>
                <w:highlight w:val="none"/>
                <w:lang w:eastAsia="zh-CN"/>
              </w:rPr>
            </w:pPr>
            <w:r>
              <w:rPr>
                <w:rFonts w:hint="eastAsia"/>
                <w:color w:val="auto"/>
                <w:kern w:val="0"/>
                <w:szCs w:val="21"/>
                <w:highlight w:val="none"/>
                <w:lang w:eastAsia="zh-CN"/>
              </w:rPr>
              <w:t>到2025年，全市“三区三线”和主体功能区格局全面巩固，农产品主产区粮油生产能力持续增强，重点生态功能区生态产品供给更加优质，城市化地区人口经济承载能力不断提高。农业空间、生态空间和城镇空间实现有序管控，美丽巴中建设迈出新步伐，耕地保护和生态修复工作取得积极成效，土地节约集约利用水平显著提高，能源消费总量得到合理控制。</w:t>
            </w:r>
          </w:p>
          <w:p w14:paraId="36296420">
            <w:pPr>
              <w:spacing w:line="360" w:lineRule="auto"/>
              <w:ind w:firstLine="420" w:firstLineChars="200"/>
              <w:rPr>
                <w:rFonts w:hint="eastAsia" w:ascii="Times New Roman" w:hAnsi="Times New Roman" w:eastAsia="宋体" w:cs="Times New Roman"/>
                <w:color w:val="auto"/>
                <w:szCs w:val="21"/>
                <w:highlight w:val="none"/>
                <w:shd w:val="clear" w:color="auto" w:fill="FFFFFF"/>
                <w:lang w:eastAsia="zh-CN"/>
              </w:rPr>
            </w:pPr>
            <w:r>
              <w:rPr>
                <w:rFonts w:hint="default" w:ascii="Times New Roman" w:hAnsi="Times New Roman" w:cs="Times New Roman"/>
                <w:bCs/>
                <w:color w:val="auto"/>
                <w:highlight w:val="none"/>
              </w:rPr>
              <w:t>本项目为输变电工程，能源资源消耗少，对区域的生态环境影响小，</w:t>
            </w:r>
            <w:r>
              <w:rPr>
                <w:rFonts w:hint="eastAsia" w:cs="Times New Roman"/>
                <w:bCs/>
                <w:color w:val="auto"/>
                <w:highlight w:val="none"/>
                <w:lang w:val="en-US" w:eastAsia="zh-CN"/>
              </w:rPr>
              <w:t>不会影响粮食安全，</w:t>
            </w:r>
            <w:r>
              <w:rPr>
                <w:rFonts w:hint="default" w:ascii="Times New Roman" w:hAnsi="Times New Roman" w:cs="Times New Roman"/>
                <w:bCs/>
                <w:color w:val="auto"/>
                <w:highlight w:val="none"/>
              </w:rPr>
              <w:t>并能提高区域经济效益，促进县域经济高质量发展</w:t>
            </w:r>
            <w:r>
              <w:rPr>
                <w:rFonts w:hint="eastAsia" w:cs="Times New Roman"/>
                <w:bCs/>
                <w:color w:val="auto"/>
                <w:highlight w:val="none"/>
                <w:lang w:eastAsia="zh-CN"/>
              </w:rPr>
              <w:t>，</w:t>
            </w:r>
            <w:r>
              <w:rPr>
                <w:rFonts w:hint="default" w:ascii="Times New Roman" w:hAnsi="Times New Roman" w:cs="Times New Roman"/>
                <w:bCs/>
                <w:color w:val="auto"/>
                <w:highlight w:val="none"/>
              </w:rPr>
              <w:t>符合</w:t>
            </w:r>
            <w:r>
              <w:rPr>
                <w:rFonts w:hint="eastAsia" w:cs="Times New Roman"/>
                <w:bCs/>
                <w:color w:val="auto"/>
                <w:highlight w:val="none"/>
                <w:lang w:val="en-US" w:eastAsia="zh-CN"/>
              </w:rPr>
              <w:t>巴中市</w:t>
            </w:r>
            <w:r>
              <w:rPr>
                <w:rFonts w:hint="default" w:ascii="Times New Roman" w:hAnsi="Times New Roman" w:cs="Times New Roman"/>
                <w:bCs/>
                <w:color w:val="auto"/>
                <w:highlight w:val="none"/>
                <w:lang w:val="en-US" w:eastAsia="zh-CN"/>
              </w:rPr>
              <w:t>农产品主产区</w:t>
            </w:r>
            <w:r>
              <w:rPr>
                <w:rFonts w:hint="eastAsia" w:cs="Times New Roman"/>
                <w:bCs/>
                <w:color w:val="auto"/>
                <w:highlight w:val="none"/>
                <w:lang w:val="en-US" w:eastAsia="zh-CN"/>
              </w:rPr>
              <w:t>、城镇化地区</w:t>
            </w:r>
            <w:r>
              <w:rPr>
                <w:rFonts w:hint="default" w:ascii="Times New Roman" w:hAnsi="Times New Roman" w:cs="Times New Roman"/>
                <w:bCs/>
                <w:color w:val="auto"/>
                <w:highlight w:val="none"/>
              </w:rPr>
              <w:t>的要求</w:t>
            </w:r>
            <w:r>
              <w:rPr>
                <w:rFonts w:hint="eastAsia" w:ascii="Times New Roman" w:hAnsi="Times New Roman" w:cs="Times New Roman"/>
                <w:bCs/>
                <w:color w:val="auto"/>
                <w:highlight w:val="none"/>
                <w:lang w:eastAsia="zh-CN"/>
              </w:rPr>
              <w:t>。</w:t>
            </w:r>
          </w:p>
          <w:p w14:paraId="0EF73C11">
            <w:pPr>
              <w:spacing w:line="360" w:lineRule="auto"/>
              <w:rPr>
                <w:rFonts w:hint="default" w:ascii="Times New Roman" w:hAnsi="Times New Roman" w:cs="Times New Roman"/>
                <w:bCs/>
                <w:color w:val="auto"/>
                <w:highlight w:val="none"/>
              </w:rPr>
            </w:pPr>
            <w:r>
              <w:rPr>
                <w:rFonts w:hint="eastAsia" w:ascii="Times New Roman" w:hAnsi="Times New Roman" w:cs="Times New Roman"/>
                <w:b/>
                <w:color w:val="auto"/>
                <w:szCs w:val="21"/>
                <w:highlight w:val="none"/>
                <w:shd w:val="clear" w:color="auto" w:fill="FFFFFF"/>
                <w:lang w:val="en-US" w:eastAsia="zh-CN"/>
              </w:rPr>
              <w:t>二、</w:t>
            </w:r>
            <w:r>
              <w:rPr>
                <w:rFonts w:hint="default" w:ascii="Times New Roman" w:hAnsi="Times New Roman" w:cs="Times New Roman"/>
                <w:b/>
                <w:color w:val="auto"/>
                <w:szCs w:val="21"/>
                <w:highlight w:val="none"/>
                <w:shd w:val="clear" w:color="auto" w:fill="FFFFFF"/>
              </w:rPr>
              <w:t>与《四川省生态功能区划》符合性</w:t>
            </w:r>
            <w:r>
              <w:rPr>
                <w:rFonts w:hint="default" w:ascii="Times New Roman" w:hAnsi="Times New Roman" w:cs="Times New Roman"/>
                <w:b/>
                <w:color w:val="auto"/>
                <w:szCs w:val="21"/>
                <w:highlight w:val="none"/>
                <w:shd w:val="clear" w:color="auto" w:fill="FFFFFF"/>
                <w:lang w:val="en-US" w:eastAsia="zh-CN"/>
              </w:rPr>
              <w:t>分析</w:t>
            </w:r>
          </w:p>
          <w:p w14:paraId="6AC26111">
            <w:pPr>
              <w:adjustRightInd w:val="0"/>
              <w:spacing w:line="360" w:lineRule="auto"/>
              <w:ind w:firstLine="420" w:firstLineChars="200"/>
              <w:rPr>
                <w:rFonts w:hint="eastAsia" w:eastAsia="宋体"/>
                <w:color w:val="auto"/>
                <w:kern w:val="0"/>
                <w:szCs w:val="21"/>
                <w:lang w:eastAsia="zh-CN"/>
              </w:rPr>
            </w:pPr>
            <w:r>
              <w:rPr>
                <w:rFonts w:hint="eastAsia"/>
                <w:color w:val="auto"/>
                <w:kern w:val="0"/>
                <w:szCs w:val="21"/>
                <w:highlight w:val="none"/>
              </w:rPr>
              <w:t>根据《四川省生态功能区划》，本项目位于</w:t>
            </w:r>
            <w:r>
              <w:rPr>
                <w:rFonts w:hint="eastAsia"/>
                <w:color w:val="auto"/>
                <w:kern w:val="0"/>
                <w:szCs w:val="21"/>
                <w:highlight w:val="none"/>
                <w:lang w:eastAsia="zh-CN"/>
              </w:rPr>
              <w:t>巴中市</w:t>
            </w:r>
            <w:r>
              <w:rPr>
                <w:rFonts w:hint="eastAsia"/>
                <w:color w:val="auto"/>
                <w:szCs w:val="21"/>
                <w:highlight w:val="none"/>
                <w:shd w:val="clear" w:color="auto" w:fill="FFFFFF"/>
                <w:lang w:val="en-US" w:eastAsia="zh-CN"/>
              </w:rPr>
              <w:t>巴州区、恩阳区和南江县</w:t>
            </w:r>
            <w:r>
              <w:rPr>
                <w:rFonts w:hint="eastAsia"/>
                <w:color w:val="auto"/>
                <w:kern w:val="0"/>
                <w:szCs w:val="21"/>
                <w:highlight w:val="none"/>
              </w:rPr>
              <w:t>，</w:t>
            </w:r>
            <w:r>
              <w:rPr>
                <w:rFonts w:hint="eastAsia"/>
                <w:color w:val="auto"/>
                <w:kern w:val="0"/>
                <w:szCs w:val="21"/>
                <w:highlight w:val="none"/>
                <w:lang w:val="en-US" w:eastAsia="zh-CN"/>
              </w:rPr>
              <w:t>涉及</w:t>
            </w:r>
            <w:r>
              <w:rPr>
                <w:rFonts w:hint="eastAsia"/>
                <w:color w:val="auto"/>
                <w:kern w:val="0"/>
                <w:szCs w:val="21"/>
                <w:highlight w:val="none"/>
              </w:rPr>
              <w:t>“Ⅰ四川盆地亚热带湿润气候生态区”-“Ⅰ-2盆中丘陵农林复合生态亚区”-“Ⅰ-2-</w:t>
            </w:r>
            <w:r>
              <w:rPr>
                <w:rFonts w:hint="eastAsia"/>
                <w:color w:val="auto"/>
                <w:kern w:val="0"/>
                <w:szCs w:val="21"/>
                <w:highlight w:val="none"/>
                <w:lang w:val="en-US" w:eastAsia="zh-CN"/>
              </w:rPr>
              <w:t>1盆北深丘农业林与土壤保持</w:t>
            </w:r>
            <w:r>
              <w:rPr>
                <w:rFonts w:hint="eastAsia"/>
                <w:color w:val="auto"/>
                <w:kern w:val="0"/>
                <w:szCs w:val="21"/>
                <w:highlight w:val="none"/>
              </w:rPr>
              <w:t>生态功能区”</w:t>
            </w:r>
            <w:r>
              <w:rPr>
                <w:rFonts w:hint="eastAsia"/>
                <w:color w:val="auto"/>
                <w:kern w:val="0"/>
                <w:szCs w:val="21"/>
                <w:highlight w:val="none"/>
                <w:lang w:val="en-US" w:eastAsia="zh-CN"/>
              </w:rPr>
              <w:t>和</w:t>
            </w:r>
            <w:r>
              <w:rPr>
                <w:rFonts w:hint="eastAsia"/>
                <w:color w:val="auto"/>
                <w:kern w:val="0"/>
                <w:szCs w:val="21"/>
                <w:highlight w:val="none"/>
              </w:rPr>
              <w:t>“Ⅰ四川盆地亚热带湿润气候生态区”-“Ⅰ-2盆中丘陵农林复合生态亚区”-“Ⅰ-2-</w:t>
            </w:r>
            <w:r>
              <w:rPr>
                <w:rFonts w:hint="eastAsia"/>
                <w:color w:val="auto"/>
                <w:kern w:val="0"/>
                <w:szCs w:val="21"/>
                <w:highlight w:val="none"/>
                <w:lang w:val="en-US" w:eastAsia="zh-CN"/>
              </w:rPr>
              <w:t>2渠江农业</w:t>
            </w:r>
            <w:r>
              <w:rPr>
                <w:rFonts w:hint="eastAsia"/>
                <w:color w:val="auto"/>
                <w:kern w:val="0"/>
                <w:szCs w:val="21"/>
                <w:highlight w:val="none"/>
              </w:rPr>
              <w:t>生态功能区”（位置关系图见附图1</w:t>
            </w:r>
            <w:r>
              <w:rPr>
                <w:rFonts w:hint="eastAsia"/>
                <w:color w:val="auto"/>
                <w:kern w:val="0"/>
                <w:szCs w:val="21"/>
                <w:highlight w:val="none"/>
                <w:lang w:val="en-US" w:eastAsia="zh-CN"/>
              </w:rPr>
              <w:t>2</w:t>
            </w:r>
            <w:r>
              <w:rPr>
                <w:rFonts w:hint="eastAsia"/>
                <w:color w:val="auto"/>
                <w:kern w:val="0"/>
                <w:szCs w:val="21"/>
                <w:highlight w:val="none"/>
              </w:rPr>
              <w:t>）</w:t>
            </w:r>
            <w:r>
              <w:rPr>
                <w:rFonts w:hint="eastAsia"/>
                <w:color w:val="auto"/>
                <w:kern w:val="0"/>
                <w:szCs w:val="21"/>
                <w:highlight w:val="none"/>
                <w:lang w:eastAsia="zh-CN"/>
              </w:rPr>
              <w:t>。</w:t>
            </w:r>
            <w:r>
              <w:rPr>
                <w:rFonts w:hint="eastAsia"/>
                <w:color w:val="auto"/>
                <w:kern w:val="0"/>
                <w:szCs w:val="21"/>
                <w:highlight w:val="none"/>
                <w:lang w:val="en-US" w:eastAsia="zh-CN"/>
              </w:rPr>
              <w:t>其中“</w:t>
            </w:r>
            <w:r>
              <w:rPr>
                <w:rFonts w:hint="eastAsia"/>
                <w:color w:val="auto"/>
                <w:kern w:val="0"/>
                <w:szCs w:val="21"/>
              </w:rPr>
              <w:t>Ⅰ-2-</w:t>
            </w:r>
            <w:r>
              <w:rPr>
                <w:rFonts w:hint="eastAsia"/>
                <w:color w:val="auto"/>
                <w:kern w:val="0"/>
                <w:szCs w:val="21"/>
                <w:lang w:val="en-US" w:eastAsia="zh-CN"/>
              </w:rPr>
              <w:t>1盆北深丘农业林与土壤保持</w:t>
            </w:r>
            <w:r>
              <w:rPr>
                <w:rFonts w:hint="eastAsia"/>
                <w:color w:val="auto"/>
                <w:kern w:val="0"/>
                <w:szCs w:val="21"/>
              </w:rPr>
              <w:t>生态功能区</w:t>
            </w:r>
            <w:r>
              <w:rPr>
                <w:rFonts w:hint="eastAsia"/>
                <w:color w:val="auto"/>
                <w:kern w:val="0"/>
                <w:szCs w:val="21"/>
                <w:lang w:eastAsia="zh-CN"/>
              </w:rPr>
              <w:t>”</w:t>
            </w:r>
            <w:r>
              <w:rPr>
                <w:rFonts w:hint="eastAsia"/>
                <w:color w:val="auto"/>
                <w:kern w:val="0"/>
                <w:szCs w:val="21"/>
                <w:highlight w:val="none"/>
              </w:rPr>
              <w:t>主要生态服务功能为巩固长江上游防护林建设、天然林保护和退耕还林成果。发挥山区资源优势，建立商品林基地，保护野生生物资源，发展生态农业和中药材产业。建设以天然气为主的基础原料和能源化工基地。开发人文景观资源，发展旅游业及相关产业链。用地养地结合，加强水土保持建设。严禁无序开发矿产、水力、生物资源</w:t>
            </w:r>
            <w:r>
              <w:rPr>
                <w:rFonts w:hint="eastAsia"/>
                <w:color w:val="auto"/>
                <w:kern w:val="0"/>
                <w:szCs w:val="21"/>
                <w:highlight w:val="none"/>
                <w:lang w:eastAsia="zh-CN"/>
              </w:rPr>
              <w:t>；</w:t>
            </w:r>
            <w:r>
              <w:rPr>
                <w:rFonts w:hint="eastAsia"/>
                <w:color w:val="auto"/>
                <w:kern w:val="0"/>
                <w:szCs w:val="21"/>
              </w:rPr>
              <w:t>“Ⅰ-2-</w:t>
            </w:r>
            <w:r>
              <w:rPr>
                <w:rFonts w:hint="eastAsia"/>
                <w:color w:val="auto"/>
                <w:kern w:val="0"/>
                <w:szCs w:val="21"/>
                <w:lang w:val="en-US" w:eastAsia="zh-CN"/>
              </w:rPr>
              <w:t>2渠江农业</w:t>
            </w:r>
            <w:r>
              <w:rPr>
                <w:rFonts w:hint="eastAsia"/>
                <w:color w:val="auto"/>
                <w:kern w:val="0"/>
                <w:szCs w:val="21"/>
              </w:rPr>
              <w:t>生态功能区”</w:t>
            </w:r>
            <w:r>
              <w:rPr>
                <w:rFonts w:hint="eastAsia"/>
                <w:color w:val="auto"/>
                <w:kern w:val="0"/>
                <w:szCs w:val="21"/>
                <w:highlight w:val="none"/>
              </w:rPr>
              <w:t>主要生态服务功能为发挥区域中心城市辐射作用，优化人居环境。巩固长江上游防护林成果。完善水利和水保设施，保护耕地。发展生态农业、节水型农业。建设以农产品为主要原料的轻工业基地和以天然气为主的基础原料生产基地。大力发展旅游业。大力发展沼气等新型生物质能。禁止建设污染转移型项目，防止产业开发对生态环境的破坏或不利影响</w:t>
            </w:r>
            <w:r>
              <w:rPr>
                <w:rFonts w:hint="eastAsia"/>
                <w:color w:val="auto"/>
                <w:kern w:val="0"/>
                <w:szCs w:val="21"/>
                <w:highlight w:val="none"/>
                <w:lang w:eastAsia="zh-CN"/>
              </w:rPr>
              <w:t>；</w:t>
            </w:r>
            <w:r>
              <w:rPr>
                <w:rFonts w:hint="eastAsia"/>
                <w:color w:val="auto"/>
                <w:kern w:val="0"/>
                <w:szCs w:val="21"/>
                <w:highlight w:val="none"/>
              </w:rPr>
              <w:t>防治水环境污染，保障饮用水安全</w:t>
            </w:r>
            <w:r>
              <w:rPr>
                <w:rFonts w:hint="eastAsia"/>
                <w:color w:val="auto"/>
                <w:kern w:val="0"/>
                <w:szCs w:val="21"/>
                <w:lang w:eastAsia="zh-CN"/>
              </w:rPr>
              <w:t>。</w:t>
            </w:r>
          </w:p>
          <w:p w14:paraId="01C50127">
            <w:pPr>
              <w:spacing w:line="360" w:lineRule="auto"/>
              <w:ind w:firstLine="420" w:firstLineChars="200"/>
              <w:rPr>
                <w:rFonts w:hint="default" w:ascii="Times New Roman" w:hAnsi="Times New Roman" w:cs="Times New Roman"/>
                <w:color w:val="auto"/>
                <w:szCs w:val="21"/>
                <w:shd w:val="clear" w:color="auto" w:fill="FFFFFF"/>
              </w:rPr>
            </w:pPr>
            <w:r>
              <w:rPr>
                <w:color w:val="auto"/>
                <w:szCs w:val="21"/>
              </w:rPr>
              <w:t>本项目为</w:t>
            </w:r>
            <w:r>
              <w:rPr>
                <w:rFonts w:hint="eastAsia"/>
                <w:color w:val="auto"/>
                <w:szCs w:val="21"/>
              </w:rPr>
              <w:t>电网改造与建设工程，属电力基础设施建设</w:t>
            </w:r>
            <w:r>
              <w:rPr>
                <w:rFonts w:hint="eastAsia"/>
                <w:color w:val="auto"/>
                <w:kern w:val="0"/>
                <w:szCs w:val="21"/>
              </w:rPr>
              <w:t>，用地符合要求，建设过程中不可避免对局部的生态环境和景观造成一定的影响，但在规范和严格管理、加强污染控制与治理、加强生态与景观恢复的前提下，可有效避免项目建设对生态环境和自然景观造成破坏。因此，本项目建设符合《四川省生态功能区划》要求</w:t>
            </w:r>
            <w:r>
              <w:rPr>
                <w:rFonts w:hint="eastAsia"/>
                <w:bCs/>
                <w:color w:val="auto"/>
                <w:highlight w:val="none"/>
              </w:rPr>
              <w:t>。</w:t>
            </w:r>
          </w:p>
          <w:p w14:paraId="7702CE73">
            <w:pPr>
              <w:keepNext w:val="0"/>
              <w:keepLines w:val="0"/>
              <w:pageBreakBefore w:val="0"/>
              <w:widowControl w:val="0"/>
              <w:tabs>
                <w:tab w:val="left" w:pos="3240"/>
              </w:tabs>
              <w:kinsoku/>
              <w:overflowPunct/>
              <w:topLinePunct w:val="0"/>
              <w:bidi w:val="0"/>
              <w:adjustRightInd w:val="0"/>
              <w:spacing w:line="360" w:lineRule="auto"/>
              <w:rPr>
                <w:rFonts w:eastAsia="黑体"/>
                <w:color w:val="auto"/>
                <w:szCs w:val="21"/>
              </w:rPr>
            </w:pPr>
            <w:r>
              <w:rPr>
                <w:rFonts w:hint="eastAsia" w:eastAsia="黑体"/>
                <w:color w:val="auto"/>
                <w:szCs w:val="21"/>
              </w:rPr>
              <w:t>三、</w:t>
            </w:r>
            <w:r>
              <w:rPr>
                <w:rFonts w:eastAsia="黑体"/>
                <w:color w:val="auto"/>
                <w:szCs w:val="21"/>
              </w:rPr>
              <w:t>生态环境现状</w:t>
            </w:r>
          </w:p>
          <w:p w14:paraId="28DC51B6">
            <w:pPr>
              <w:keepNext w:val="0"/>
              <w:keepLines w:val="0"/>
              <w:pageBreakBefore w:val="0"/>
              <w:widowControl w:val="0"/>
              <w:kinsoku/>
              <w:overflowPunct/>
              <w:topLinePunct w:val="0"/>
              <w:bidi w:val="0"/>
              <w:adjustRightInd w:val="0"/>
              <w:spacing w:line="360" w:lineRule="auto"/>
              <w:ind w:firstLine="422" w:firstLineChars="200"/>
              <w:rPr>
                <w:b/>
                <w:color w:val="auto"/>
                <w:szCs w:val="21"/>
                <w:shd w:val="clear" w:color="auto" w:fill="FFFFFF"/>
              </w:rPr>
            </w:pPr>
            <w:r>
              <w:rPr>
                <w:rFonts w:hint="eastAsia"/>
                <w:b/>
                <w:color w:val="auto"/>
                <w:szCs w:val="21"/>
                <w:shd w:val="clear" w:color="auto" w:fill="FFFFFF"/>
              </w:rPr>
              <w:t>1</w:t>
            </w:r>
            <w:r>
              <w:rPr>
                <w:b/>
                <w:color w:val="auto"/>
                <w:szCs w:val="21"/>
                <w:shd w:val="clear" w:color="auto" w:fill="FFFFFF"/>
              </w:rPr>
              <w:t>、植被</w:t>
            </w:r>
          </w:p>
          <w:p w14:paraId="57EC5C7E">
            <w:pPr>
              <w:keepNext w:val="0"/>
              <w:keepLines w:val="0"/>
              <w:pageBreakBefore w:val="0"/>
              <w:widowControl w:val="0"/>
              <w:kinsoku/>
              <w:overflowPunct/>
              <w:topLinePunct w:val="0"/>
              <w:bidi w:val="0"/>
              <w:adjustRightInd w:val="0"/>
              <w:spacing w:line="360" w:lineRule="auto"/>
              <w:ind w:firstLine="420" w:firstLineChars="200"/>
              <w:rPr>
                <w:color w:val="auto"/>
                <w:szCs w:val="21"/>
                <w:shd w:val="clear" w:color="auto" w:fill="FFFFFF"/>
              </w:rPr>
            </w:pPr>
            <w:r>
              <w:rPr>
                <w:rFonts w:hint="eastAsia"/>
                <w:color w:val="auto"/>
                <w:szCs w:val="21"/>
                <w:shd w:val="clear" w:color="auto" w:fill="FFFFFF"/>
              </w:rPr>
              <w:t>区域植被调查采用基础资料收集和现场踏勘相结合进行分析。基础资料收集包括整理工程所在区域现有的《四川植被》以及林业等相关资料，以及区域内类似工程调查资料；现场调查包括对现场观察到的植被类型、植被种类等进行记录和整理。</w:t>
            </w:r>
          </w:p>
          <w:p w14:paraId="60A3FF48">
            <w:pPr>
              <w:keepNext w:val="0"/>
              <w:keepLines w:val="0"/>
              <w:pageBreakBefore w:val="0"/>
              <w:widowControl w:val="0"/>
              <w:kinsoku/>
              <w:overflowPunct/>
              <w:topLinePunct w:val="0"/>
              <w:bidi w:val="0"/>
              <w:adjustRightInd w:val="0"/>
              <w:spacing w:line="360" w:lineRule="auto"/>
              <w:ind w:firstLine="420" w:firstLineChars="200"/>
              <w:jc w:val="left"/>
              <w:rPr>
                <w:rFonts w:hint="default"/>
                <w:color w:val="auto"/>
                <w:szCs w:val="21"/>
                <w:highlight w:val="none"/>
                <w:shd w:val="clear" w:color="auto" w:fill="FFFFFF"/>
              </w:rPr>
            </w:pPr>
            <w:r>
              <w:rPr>
                <w:rFonts w:hint="eastAsia"/>
                <w:color w:val="auto"/>
                <w:szCs w:val="21"/>
                <w:shd w:val="clear" w:color="auto" w:fill="FFFFFF"/>
              </w:rPr>
              <w:t>根据上述文献资料及现场踏勘、观察和询访，</w:t>
            </w:r>
            <w:r>
              <w:rPr>
                <w:rFonts w:hint="default" w:ascii="Times New Roman" w:hAnsi="Times New Roman" w:cs="Times New Roman"/>
                <w:color w:val="auto"/>
                <w:szCs w:val="21"/>
                <w:highlight w:val="none"/>
                <w:lang w:val="en-US" w:eastAsia="zh-CN"/>
              </w:rPr>
              <w:t>本项目调查区域植被属于</w:t>
            </w:r>
            <w:r>
              <w:rPr>
                <w:rFonts w:hint="eastAsia" w:cs="Times New Roman"/>
                <w:color w:val="auto"/>
                <w:szCs w:val="21"/>
                <w:highlight w:val="none"/>
                <w:lang w:eastAsia="zh-CN"/>
              </w:rPr>
              <w:t>“</w:t>
            </w:r>
            <w:r>
              <w:rPr>
                <w:rFonts w:hint="eastAsia" w:cs="Times New Roman"/>
                <w:color w:val="auto"/>
                <w:szCs w:val="21"/>
                <w:highlight w:val="none"/>
                <w:lang w:val="en-US" w:eastAsia="zh-CN"/>
              </w:rPr>
              <w:t>Ⅰ川东盆地及川西南山地常绿阔叶林地带—ⅠA川东盆地偏湿性常绿阔叶林亚带—ⅠA</w:t>
            </w:r>
            <w:r>
              <w:rPr>
                <w:rFonts w:hint="eastAsia" w:cs="Times New Roman"/>
                <w:color w:val="auto"/>
                <w:szCs w:val="21"/>
                <w:highlight w:val="none"/>
                <w:vertAlign w:val="subscript"/>
                <w:lang w:val="en-US" w:eastAsia="zh-CN"/>
              </w:rPr>
              <w:t>3</w:t>
            </w:r>
            <w:r>
              <w:rPr>
                <w:rFonts w:hint="eastAsia" w:cs="Times New Roman"/>
                <w:color w:val="auto"/>
                <w:szCs w:val="21"/>
                <w:highlight w:val="none"/>
                <w:lang w:val="en-US" w:eastAsia="zh-CN"/>
              </w:rPr>
              <w:t>盆地底部丘陵低山植被地区—ⅠA</w:t>
            </w:r>
            <w:r>
              <w:rPr>
                <w:rFonts w:hint="eastAsia" w:cs="Times New Roman"/>
                <w:color w:val="auto"/>
                <w:szCs w:val="21"/>
                <w:highlight w:val="none"/>
                <w:vertAlign w:val="subscript"/>
                <w:lang w:val="en-US" w:eastAsia="zh-CN"/>
              </w:rPr>
              <w:t>3（5）</w:t>
            </w:r>
            <w:r>
              <w:rPr>
                <w:rFonts w:hint="default" w:ascii="Times New Roman" w:hAnsi="Times New Roman" w:cs="Times New Roman"/>
                <w:color w:val="auto"/>
                <w:szCs w:val="21"/>
                <w:highlight w:val="none"/>
              </w:rPr>
              <w:t>川</w:t>
            </w:r>
            <w:r>
              <w:rPr>
                <w:rFonts w:hint="eastAsia" w:cs="Times New Roman"/>
                <w:color w:val="auto"/>
                <w:szCs w:val="21"/>
                <w:highlight w:val="none"/>
                <w:lang w:val="en-US" w:eastAsia="zh-CN"/>
              </w:rPr>
              <w:t>北深丘</w:t>
            </w:r>
            <w:r>
              <w:rPr>
                <w:rFonts w:hint="default" w:ascii="Times New Roman" w:hAnsi="Times New Roman" w:cs="Times New Roman"/>
                <w:color w:val="auto"/>
                <w:szCs w:val="21"/>
                <w:highlight w:val="none"/>
              </w:rPr>
              <w:t>植被小区</w:t>
            </w:r>
            <w:r>
              <w:rPr>
                <w:rFonts w:hint="eastAsia" w:cs="Times New Roman"/>
                <w:color w:val="auto"/>
                <w:szCs w:val="21"/>
                <w:highlight w:val="none"/>
                <w:lang w:eastAsia="zh-CN"/>
              </w:rPr>
              <w:t>”</w:t>
            </w:r>
            <w:r>
              <w:rPr>
                <w:rFonts w:hint="eastAsia"/>
                <w:color w:val="auto"/>
                <w:szCs w:val="21"/>
                <w:shd w:val="clear" w:color="auto" w:fill="FFFFFF"/>
              </w:rPr>
              <w:t>。</w:t>
            </w:r>
            <w:r>
              <w:rPr>
                <w:rFonts w:hint="default"/>
                <w:color w:val="auto"/>
                <w:szCs w:val="21"/>
                <w:highlight w:val="none"/>
                <w:shd w:val="clear" w:color="auto" w:fill="FFFFFF"/>
              </w:rPr>
              <w:t>自然植被按照《四川植被》的分类原则，即植被型、群系组和群系三级分类方法，以及野外调查资料，对</w:t>
            </w:r>
            <w:r>
              <w:rPr>
                <w:rFonts w:hint="eastAsia"/>
                <w:color w:val="auto"/>
                <w:szCs w:val="21"/>
                <w:highlight w:val="none"/>
                <w:shd w:val="clear" w:color="auto" w:fill="FFFFFF"/>
                <w:lang w:val="en-US" w:eastAsia="zh-CN"/>
              </w:rPr>
              <w:t>项目周边</w:t>
            </w:r>
            <w:r>
              <w:rPr>
                <w:rFonts w:hint="default"/>
                <w:color w:val="auto"/>
                <w:szCs w:val="21"/>
                <w:highlight w:val="none"/>
                <w:shd w:val="clear" w:color="auto" w:fill="FFFFFF"/>
              </w:rPr>
              <w:t>的植被进行分类。本项目所在区域植被主要为</w:t>
            </w:r>
            <w:r>
              <w:rPr>
                <w:rFonts w:hint="eastAsia"/>
                <w:color w:val="auto"/>
                <w:szCs w:val="21"/>
                <w:highlight w:val="none"/>
                <w:shd w:val="clear" w:color="auto" w:fill="FFFFFF"/>
                <w:lang w:val="en-US" w:eastAsia="zh-CN"/>
              </w:rPr>
              <w:t>自然</w:t>
            </w:r>
            <w:r>
              <w:rPr>
                <w:rFonts w:hint="default"/>
                <w:color w:val="auto"/>
                <w:szCs w:val="21"/>
                <w:highlight w:val="none"/>
                <w:shd w:val="clear" w:color="auto" w:fill="FFFFFF"/>
              </w:rPr>
              <w:t>植被，其次为</w:t>
            </w:r>
            <w:r>
              <w:rPr>
                <w:rFonts w:hint="eastAsia"/>
                <w:color w:val="auto"/>
                <w:szCs w:val="21"/>
                <w:highlight w:val="none"/>
                <w:shd w:val="clear" w:color="auto" w:fill="FFFFFF"/>
                <w:lang w:val="en-US" w:eastAsia="zh-CN"/>
              </w:rPr>
              <w:t>栽培</w:t>
            </w:r>
            <w:r>
              <w:rPr>
                <w:rFonts w:hint="default"/>
                <w:color w:val="auto"/>
                <w:szCs w:val="21"/>
                <w:highlight w:val="none"/>
                <w:shd w:val="clear" w:color="auto" w:fill="FFFFFF"/>
              </w:rPr>
              <w:t>植被，栽培植被包括作物和经济林木2种植被型；自然植被包括</w:t>
            </w:r>
            <w:r>
              <w:rPr>
                <w:rFonts w:hint="eastAsia"/>
                <w:color w:val="auto"/>
                <w:szCs w:val="21"/>
                <w:highlight w:val="none"/>
                <w:shd w:val="clear" w:color="auto" w:fill="FFFFFF"/>
                <w:lang w:val="en-US" w:eastAsia="zh-CN"/>
              </w:rPr>
              <w:t>3</w:t>
            </w:r>
            <w:r>
              <w:rPr>
                <w:rFonts w:hint="default"/>
                <w:color w:val="auto"/>
                <w:szCs w:val="21"/>
                <w:highlight w:val="none"/>
                <w:shd w:val="clear" w:color="auto" w:fill="FFFFFF"/>
              </w:rPr>
              <w:t>种植被型，涉及群系</w:t>
            </w:r>
            <w:r>
              <w:rPr>
                <w:rFonts w:hint="eastAsia"/>
                <w:color w:val="auto"/>
                <w:szCs w:val="21"/>
                <w:highlight w:val="none"/>
                <w:shd w:val="clear" w:color="auto" w:fill="FFFFFF"/>
                <w:lang w:val="en-US" w:eastAsia="zh-CN"/>
              </w:rPr>
              <w:t>3</w:t>
            </w:r>
            <w:r>
              <w:rPr>
                <w:rFonts w:hint="default"/>
                <w:color w:val="auto"/>
                <w:szCs w:val="21"/>
                <w:highlight w:val="none"/>
                <w:shd w:val="clear" w:color="auto" w:fill="FFFFFF"/>
              </w:rPr>
              <w:t>种，详见表3-1。</w:t>
            </w:r>
          </w:p>
          <w:p w14:paraId="56DE1E04">
            <w:pPr>
              <w:keepNext w:val="0"/>
              <w:keepLines w:val="0"/>
              <w:suppressLineNumbers w:val="0"/>
              <w:spacing w:before="0" w:beforeAutospacing="0" w:after="0" w:afterAutospacing="0"/>
              <w:ind w:left="0" w:right="0"/>
              <w:jc w:val="center"/>
              <w:rPr>
                <w:rFonts w:hint="eastAsia" w:ascii="黑体" w:hAnsi="黑体" w:eastAsia="黑体" w:cs="黑体"/>
                <w:b w:val="0"/>
                <w:bCs w:val="0"/>
                <w:color w:val="auto"/>
                <w:sz w:val="21"/>
                <w:szCs w:val="21"/>
                <w:highlight w:val="none"/>
              </w:rPr>
            </w:pPr>
            <w:bookmarkStart w:id="9" w:name="_Ref458160568"/>
            <w:r>
              <w:rPr>
                <w:rFonts w:hint="eastAsia" w:ascii="黑体" w:hAnsi="黑体" w:eastAsia="黑体" w:cs="黑体"/>
                <w:b w:val="0"/>
                <w:bCs w:val="0"/>
                <w:color w:val="auto"/>
                <w:sz w:val="21"/>
                <w:szCs w:val="21"/>
                <w:highlight w:val="none"/>
              </w:rPr>
              <w:t>表</w:t>
            </w:r>
            <w:bookmarkEnd w:id="9"/>
            <w:r>
              <w:rPr>
                <w:rFonts w:hint="eastAsia" w:ascii="黑体" w:hAnsi="黑体" w:eastAsia="黑体" w:cs="黑体"/>
                <w:b w:val="0"/>
                <w:bCs w:val="0"/>
                <w:color w:val="auto"/>
                <w:sz w:val="21"/>
                <w:szCs w:val="21"/>
                <w:highlight w:val="none"/>
              </w:rPr>
              <w:t>3-1  项目所在区域植被型及植物种类</w:t>
            </w:r>
          </w:p>
          <w:tbl>
            <w:tblPr>
              <w:tblStyle w:val="25"/>
              <w:tblW w:w="5000" w:type="pct"/>
              <w:tblInd w:w="-2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1216"/>
              <w:gridCol w:w="1080"/>
              <w:gridCol w:w="1309"/>
              <w:gridCol w:w="4368"/>
            </w:tblGrid>
            <w:tr w14:paraId="49D85B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12" w:type="pct"/>
                  <w:tcBorders>
                    <w:tl2br w:val="nil"/>
                    <w:tr2bl w:val="nil"/>
                  </w:tcBorders>
                  <w:vAlign w:val="center"/>
                </w:tcPr>
                <w:p w14:paraId="1D8521DB">
                  <w:pPr>
                    <w:keepNext w:val="0"/>
                    <w:keepLines w:val="0"/>
                    <w:widowControl/>
                    <w:suppressLineNumbers w:val="0"/>
                    <w:spacing w:before="0" w:beforeAutospacing="0" w:after="0" w:afterAutospacing="0"/>
                    <w:ind w:left="0" w:right="0"/>
                    <w:jc w:val="center"/>
                    <w:rPr>
                      <w:rFonts w:hint="default"/>
                      <w:bCs/>
                      <w:color w:val="auto"/>
                      <w:kern w:val="0"/>
                      <w:sz w:val="18"/>
                      <w:szCs w:val="18"/>
                      <w:highlight w:val="none"/>
                    </w:rPr>
                  </w:pPr>
                  <w:r>
                    <w:rPr>
                      <w:rFonts w:hint="default"/>
                      <w:bCs/>
                      <w:color w:val="auto"/>
                      <w:kern w:val="0"/>
                      <w:sz w:val="18"/>
                      <w:szCs w:val="18"/>
                      <w:highlight w:val="none"/>
                    </w:rPr>
                    <w:t>分类</w:t>
                  </w:r>
                </w:p>
              </w:tc>
              <w:tc>
                <w:tcPr>
                  <w:tcW w:w="669" w:type="pct"/>
                  <w:tcBorders>
                    <w:tl2br w:val="nil"/>
                    <w:tr2bl w:val="nil"/>
                  </w:tcBorders>
                  <w:vAlign w:val="center"/>
                </w:tcPr>
                <w:p w14:paraId="4F82EC3C">
                  <w:pPr>
                    <w:keepNext w:val="0"/>
                    <w:keepLines w:val="0"/>
                    <w:widowControl/>
                    <w:suppressLineNumbers w:val="0"/>
                    <w:spacing w:before="0" w:beforeAutospacing="0" w:after="0" w:afterAutospacing="0"/>
                    <w:ind w:left="0" w:right="0"/>
                    <w:jc w:val="center"/>
                    <w:rPr>
                      <w:rFonts w:hint="default"/>
                      <w:bCs/>
                      <w:color w:val="auto"/>
                      <w:kern w:val="0"/>
                      <w:sz w:val="18"/>
                      <w:szCs w:val="18"/>
                      <w:highlight w:val="none"/>
                    </w:rPr>
                  </w:pPr>
                  <w:r>
                    <w:rPr>
                      <w:rFonts w:hint="default"/>
                      <w:bCs/>
                      <w:color w:val="auto"/>
                      <w:kern w:val="0"/>
                      <w:sz w:val="18"/>
                      <w:szCs w:val="18"/>
                      <w:highlight w:val="none"/>
                    </w:rPr>
                    <w:t>植被型</w:t>
                  </w:r>
                </w:p>
              </w:tc>
              <w:tc>
                <w:tcPr>
                  <w:tcW w:w="594" w:type="pct"/>
                  <w:tcBorders>
                    <w:tl2br w:val="nil"/>
                    <w:tr2bl w:val="nil"/>
                  </w:tcBorders>
                  <w:vAlign w:val="center"/>
                </w:tcPr>
                <w:p w14:paraId="3AE544DF">
                  <w:pPr>
                    <w:keepNext w:val="0"/>
                    <w:keepLines w:val="0"/>
                    <w:widowControl/>
                    <w:suppressLineNumbers w:val="0"/>
                    <w:spacing w:before="0" w:beforeAutospacing="0" w:after="0" w:afterAutospacing="0"/>
                    <w:ind w:left="0" w:right="0"/>
                    <w:jc w:val="center"/>
                    <w:rPr>
                      <w:rFonts w:hint="default"/>
                      <w:bCs/>
                      <w:color w:val="auto"/>
                      <w:kern w:val="0"/>
                      <w:sz w:val="18"/>
                      <w:szCs w:val="18"/>
                      <w:highlight w:val="none"/>
                    </w:rPr>
                  </w:pPr>
                  <w:r>
                    <w:rPr>
                      <w:rFonts w:hint="default"/>
                      <w:bCs/>
                      <w:color w:val="auto"/>
                      <w:kern w:val="0"/>
                      <w:sz w:val="18"/>
                      <w:szCs w:val="18"/>
                      <w:highlight w:val="none"/>
                    </w:rPr>
                    <w:t>群系组</w:t>
                  </w:r>
                </w:p>
              </w:tc>
              <w:tc>
                <w:tcPr>
                  <w:tcW w:w="720" w:type="pct"/>
                  <w:tcBorders>
                    <w:tl2br w:val="nil"/>
                    <w:tr2bl w:val="nil"/>
                  </w:tcBorders>
                  <w:vAlign w:val="center"/>
                </w:tcPr>
                <w:p w14:paraId="000CE2A8">
                  <w:pPr>
                    <w:keepNext w:val="0"/>
                    <w:keepLines w:val="0"/>
                    <w:widowControl/>
                    <w:suppressLineNumbers w:val="0"/>
                    <w:spacing w:before="0" w:beforeAutospacing="0" w:after="0" w:afterAutospacing="0"/>
                    <w:ind w:left="0" w:right="0"/>
                    <w:jc w:val="center"/>
                    <w:rPr>
                      <w:rFonts w:hint="default"/>
                      <w:bCs/>
                      <w:color w:val="auto"/>
                      <w:kern w:val="0"/>
                      <w:sz w:val="18"/>
                      <w:szCs w:val="18"/>
                      <w:highlight w:val="none"/>
                    </w:rPr>
                  </w:pPr>
                  <w:r>
                    <w:rPr>
                      <w:rFonts w:hint="default"/>
                      <w:bCs/>
                      <w:color w:val="auto"/>
                      <w:kern w:val="0"/>
                      <w:sz w:val="18"/>
                      <w:szCs w:val="18"/>
                      <w:highlight w:val="none"/>
                    </w:rPr>
                    <w:t>群系</w:t>
                  </w:r>
                </w:p>
              </w:tc>
              <w:tc>
                <w:tcPr>
                  <w:tcW w:w="2403" w:type="pct"/>
                  <w:tcBorders>
                    <w:tl2br w:val="nil"/>
                    <w:tr2bl w:val="nil"/>
                  </w:tcBorders>
                  <w:vAlign w:val="center"/>
                </w:tcPr>
                <w:p w14:paraId="7CF6558D">
                  <w:pPr>
                    <w:keepNext w:val="0"/>
                    <w:keepLines w:val="0"/>
                    <w:suppressLineNumbers w:val="0"/>
                    <w:spacing w:before="0" w:beforeAutospacing="0" w:after="0" w:afterAutospacing="0"/>
                    <w:ind w:left="0" w:right="0"/>
                    <w:jc w:val="center"/>
                    <w:rPr>
                      <w:rFonts w:hint="default"/>
                      <w:bCs/>
                      <w:color w:val="auto"/>
                      <w:kern w:val="0"/>
                      <w:sz w:val="18"/>
                      <w:szCs w:val="18"/>
                      <w:highlight w:val="none"/>
                    </w:rPr>
                  </w:pPr>
                  <w:r>
                    <w:rPr>
                      <w:rFonts w:hint="default"/>
                      <w:bCs/>
                      <w:color w:val="auto"/>
                      <w:kern w:val="0"/>
                      <w:sz w:val="18"/>
                      <w:szCs w:val="18"/>
                      <w:highlight w:val="none"/>
                    </w:rPr>
                    <w:t>主要植物种类</w:t>
                  </w:r>
                </w:p>
              </w:tc>
            </w:tr>
            <w:tr w14:paraId="7B7434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blHeader/>
              </w:trPr>
              <w:tc>
                <w:tcPr>
                  <w:tcW w:w="612" w:type="pct"/>
                  <w:vMerge w:val="restart"/>
                  <w:tcBorders>
                    <w:tl2br w:val="nil"/>
                    <w:tr2bl w:val="nil"/>
                  </w:tcBorders>
                  <w:vAlign w:val="center"/>
                </w:tcPr>
                <w:p w14:paraId="6933C03D">
                  <w:pPr>
                    <w:keepNext w:val="0"/>
                    <w:keepLines w:val="0"/>
                    <w:widowControl/>
                    <w:suppressLineNumbers w:val="0"/>
                    <w:spacing w:before="0" w:beforeAutospacing="0" w:after="0" w:afterAutospacing="0"/>
                    <w:ind w:left="0" w:right="0"/>
                    <w:jc w:val="center"/>
                    <w:rPr>
                      <w:rFonts w:hint="default"/>
                      <w:bCs/>
                      <w:color w:val="auto"/>
                      <w:kern w:val="0"/>
                      <w:sz w:val="18"/>
                      <w:szCs w:val="18"/>
                      <w:highlight w:val="none"/>
                    </w:rPr>
                  </w:pPr>
                  <w:r>
                    <w:rPr>
                      <w:rFonts w:hint="default"/>
                      <w:color w:val="auto"/>
                      <w:kern w:val="0"/>
                      <w:sz w:val="18"/>
                      <w:szCs w:val="18"/>
                      <w:highlight w:val="none"/>
                    </w:rPr>
                    <w:t>自然植被</w:t>
                  </w:r>
                </w:p>
              </w:tc>
              <w:tc>
                <w:tcPr>
                  <w:tcW w:w="1150" w:type="dxa"/>
                  <w:tcBorders>
                    <w:tl2br w:val="nil"/>
                    <w:tr2bl w:val="nil"/>
                  </w:tcBorders>
                  <w:vAlign w:val="center"/>
                </w:tcPr>
                <w:p w14:paraId="36BD1243">
                  <w:pPr>
                    <w:keepNext w:val="0"/>
                    <w:keepLines w:val="0"/>
                    <w:suppressLineNumbers w:val="0"/>
                    <w:spacing w:before="0" w:beforeAutospacing="0" w:after="0" w:afterAutospacing="0"/>
                    <w:ind w:left="0" w:leftChars="0" w:right="0" w:rightChars="0"/>
                    <w:jc w:val="center"/>
                    <w:rPr>
                      <w:rFonts w:hint="default"/>
                      <w:color w:val="auto"/>
                      <w:kern w:val="0"/>
                      <w:sz w:val="18"/>
                      <w:szCs w:val="18"/>
                      <w:highlight w:val="none"/>
                    </w:rPr>
                  </w:pPr>
                  <w:r>
                    <w:rPr>
                      <w:rFonts w:hint="default"/>
                      <w:color w:val="auto"/>
                      <w:kern w:val="0"/>
                      <w:sz w:val="18"/>
                      <w:szCs w:val="18"/>
                      <w:highlight w:val="none"/>
                    </w:rPr>
                    <w:t>竹林</w:t>
                  </w:r>
                </w:p>
              </w:tc>
              <w:tc>
                <w:tcPr>
                  <w:tcW w:w="1021" w:type="dxa"/>
                  <w:tcBorders>
                    <w:tl2br w:val="nil"/>
                    <w:tr2bl w:val="nil"/>
                  </w:tcBorders>
                  <w:vAlign w:val="center"/>
                </w:tcPr>
                <w:p w14:paraId="2B3A2954">
                  <w:pPr>
                    <w:keepNext w:val="0"/>
                    <w:keepLines w:val="0"/>
                    <w:suppressLineNumbers w:val="0"/>
                    <w:spacing w:before="0" w:beforeAutospacing="0" w:after="0" w:afterAutospacing="0"/>
                    <w:ind w:left="0" w:leftChars="0" w:right="0" w:rightChars="0"/>
                    <w:jc w:val="center"/>
                    <w:rPr>
                      <w:rFonts w:hint="default"/>
                      <w:color w:val="auto"/>
                      <w:sz w:val="18"/>
                      <w:szCs w:val="18"/>
                      <w:highlight w:val="none"/>
                    </w:rPr>
                  </w:pPr>
                  <w:r>
                    <w:rPr>
                      <w:rFonts w:hint="default"/>
                      <w:color w:val="auto"/>
                      <w:sz w:val="18"/>
                      <w:szCs w:val="18"/>
                      <w:highlight w:val="none"/>
                    </w:rPr>
                    <w:t>大茎竹林</w:t>
                  </w:r>
                </w:p>
              </w:tc>
              <w:tc>
                <w:tcPr>
                  <w:tcW w:w="1238" w:type="dxa"/>
                  <w:tcBorders>
                    <w:tl2br w:val="nil"/>
                    <w:tr2bl w:val="nil"/>
                  </w:tcBorders>
                  <w:vAlign w:val="center"/>
                </w:tcPr>
                <w:p w14:paraId="47C5D5EB">
                  <w:pPr>
                    <w:keepNext w:val="0"/>
                    <w:keepLines w:val="0"/>
                    <w:suppressLineNumbers w:val="0"/>
                    <w:spacing w:before="0" w:beforeAutospacing="0" w:after="0" w:afterAutospacing="0"/>
                    <w:ind w:left="0" w:leftChars="0" w:right="0" w:rightChars="0"/>
                    <w:jc w:val="center"/>
                    <w:rPr>
                      <w:rFonts w:hint="default"/>
                      <w:color w:val="auto"/>
                      <w:sz w:val="18"/>
                      <w:szCs w:val="18"/>
                      <w:highlight w:val="none"/>
                    </w:rPr>
                  </w:pPr>
                  <w:r>
                    <w:rPr>
                      <w:rFonts w:hint="default"/>
                      <w:color w:val="auto"/>
                      <w:sz w:val="18"/>
                      <w:szCs w:val="18"/>
                      <w:highlight w:val="none"/>
                    </w:rPr>
                    <w:t>毛竹林</w:t>
                  </w:r>
                </w:p>
              </w:tc>
              <w:tc>
                <w:tcPr>
                  <w:tcW w:w="2403" w:type="pct"/>
                  <w:tcBorders>
                    <w:tl2br w:val="nil"/>
                    <w:tr2bl w:val="nil"/>
                  </w:tcBorders>
                  <w:vAlign w:val="center"/>
                </w:tcPr>
                <w:p w14:paraId="78FC0DDC">
                  <w:pPr>
                    <w:keepNext w:val="0"/>
                    <w:keepLines w:val="0"/>
                    <w:widowControl w:val="0"/>
                    <w:suppressLineNumbers w:val="0"/>
                    <w:spacing w:before="0" w:beforeAutospacing="0" w:after="0" w:afterAutospacing="0"/>
                    <w:ind w:left="0" w:leftChars="0" w:right="0" w:rightChars="0"/>
                    <w:jc w:val="center"/>
                    <w:rPr>
                      <w:rFonts w:hint="default" w:eastAsia="宋体"/>
                      <w:color w:val="auto"/>
                      <w:sz w:val="18"/>
                      <w:szCs w:val="18"/>
                      <w:highlight w:val="none"/>
                      <w:lang w:val="en-US" w:eastAsia="zh-CN"/>
                    </w:rPr>
                  </w:pPr>
                  <w:r>
                    <w:rPr>
                      <w:rFonts w:hint="default"/>
                      <w:color w:val="auto"/>
                      <w:sz w:val="18"/>
                      <w:szCs w:val="18"/>
                      <w:highlight w:val="none"/>
                    </w:rPr>
                    <w:t>毛竹</w:t>
                  </w:r>
                  <w:r>
                    <w:rPr>
                      <w:rFonts w:hint="default"/>
                      <w:i/>
                      <w:iCs/>
                      <w:color w:val="auto"/>
                      <w:sz w:val="18"/>
                      <w:szCs w:val="18"/>
                      <w:highlight w:val="none"/>
                    </w:rPr>
                    <w:t>（Phyllostachys edulis (Carrière) J. Houz.）</w:t>
                  </w:r>
                </w:p>
              </w:tc>
            </w:tr>
            <w:tr w14:paraId="70840D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blHeader/>
              </w:trPr>
              <w:tc>
                <w:tcPr>
                  <w:tcW w:w="612" w:type="pct"/>
                  <w:vMerge w:val="continue"/>
                  <w:tcBorders>
                    <w:tl2br w:val="nil"/>
                    <w:tr2bl w:val="nil"/>
                  </w:tcBorders>
                  <w:vAlign w:val="center"/>
                </w:tcPr>
                <w:p w14:paraId="42DF5D25">
                  <w:pPr>
                    <w:keepNext w:val="0"/>
                    <w:keepLines w:val="0"/>
                    <w:widowControl/>
                    <w:suppressLineNumbers w:val="0"/>
                    <w:spacing w:before="0" w:beforeAutospacing="0" w:after="0" w:afterAutospacing="0"/>
                    <w:ind w:left="0" w:right="0"/>
                    <w:jc w:val="center"/>
                    <w:rPr>
                      <w:rFonts w:hint="default"/>
                      <w:color w:val="auto"/>
                      <w:kern w:val="0"/>
                      <w:sz w:val="18"/>
                      <w:szCs w:val="18"/>
                      <w:highlight w:val="none"/>
                    </w:rPr>
                  </w:pPr>
                </w:p>
              </w:tc>
              <w:tc>
                <w:tcPr>
                  <w:tcW w:w="669" w:type="pct"/>
                  <w:tcBorders>
                    <w:tl2br w:val="nil"/>
                    <w:tr2bl w:val="nil"/>
                  </w:tcBorders>
                  <w:vAlign w:val="center"/>
                </w:tcPr>
                <w:p w14:paraId="32635489">
                  <w:pPr>
                    <w:keepNext w:val="0"/>
                    <w:keepLines w:val="0"/>
                    <w:widowControl w:val="0"/>
                    <w:suppressLineNumbers w:val="0"/>
                    <w:spacing w:before="0" w:beforeAutospacing="0" w:after="0" w:afterAutospacing="0"/>
                    <w:ind w:left="0" w:leftChars="0" w:right="0" w:rightChars="0"/>
                    <w:jc w:val="center"/>
                    <w:rPr>
                      <w:rFonts w:hint="default"/>
                      <w:color w:val="auto"/>
                      <w:kern w:val="0"/>
                      <w:sz w:val="18"/>
                      <w:szCs w:val="18"/>
                      <w:highlight w:val="none"/>
                    </w:rPr>
                  </w:pPr>
                  <w:r>
                    <w:rPr>
                      <w:rFonts w:hint="eastAsia" w:cs="Times New Roman"/>
                      <w:color w:val="auto"/>
                      <w:kern w:val="0"/>
                      <w:sz w:val="18"/>
                      <w:szCs w:val="18"/>
                      <w:highlight w:val="none"/>
                      <w:lang w:val="en-US" w:eastAsia="zh-CN"/>
                    </w:rPr>
                    <w:t>常绿</w:t>
                  </w:r>
                  <w:r>
                    <w:rPr>
                      <w:rFonts w:hint="default" w:ascii="Times New Roman" w:hAnsi="Times New Roman" w:eastAsia="宋体" w:cs="Times New Roman"/>
                      <w:color w:val="auto"/>
                      <w:kern w:val="0"/>
                      <w:sz w:val="18"/>
                      <w:szCs w:val="18"/>
                      <w:highlight w:val="none"/>
                    </w:rPr>
                    <w:t>针叶林</w:t>
                  </w:r>
                </w:p>
              </w:tc>
              <w:tc>
                <w:tcPr>
                  <w:tcW w:w="594" w:type="pct"/>
                  <w:tcBorders>
                    <w:tl2br w:val="nil"/>
                    <w:tr2bl w:val="nil"/>
                  </w:tcBorders>
                  <w:vAlign w:val="center"/>
                </w:tcPr>
                <w:p w14:paraId="0ECFDE49">
                  <w:pPr>
                    <w:keepNext w:val="0"/>
                    <w:keepLines w:val="0"/>
                    <w:widowControl w:val="0"/>
                    <w:suppressLineNumbers w:val="0"/>
                    <w:spacing w:before="0" w:beforeAutospacing="0" w:after="0" w:afterAutospacing="0"/>
                    <w:ind w:left="0" w:leftChars="0" w:right="0" w:rightChars="0"/>
                    <w:jc w:val="center"/>
                    <w:rPr>
                      <w:rFonts w:hint="default"/>
                      <w:color w:val="auto"/>
                      <w:sz w:val="18"/>
                      <w:szCs w:val="18"/>
                      <w:highlight w:val="none"/>
                    </w:rPr>
                  </w:pPr>
                  <w:r>
                    <w:rPr>
                      <w:rFonts w:hint="default" w:ascii="Times New Roman" w:hAnsi="Times New Roman" w:eastAsia="宋体" w:cs="Times New Roman"/>
                      <w:color w:val="auto"/>
                      <w:sz w:val="18"/>
                      <w:szCs w:val="18"/>
                      <w:highlight w:val="none"/>
                      <w:lang w:val="en-US" w:eastAsia="zh-CN"/>
                    </w:rPr>
                    <w:t>杉木</w:t>
                  </w:r>
                  <w:r>
                    <w:rPr>
                      <w:rFonts w:hint="default" w:ascii="Times New Roman" w:hAnsi="Times New Roman" w:eastAsia="宋体" w:cs="Times New Roman"/>
                      <w:color w:val="auto"/>
                      <w:sz w:val="18"/>
                      <w:szCs w:val="18"/>
                      <w:highlight w:val="none"/>
                    </w:rPr>
                    <w:t>林</w:t>
                  </w:r>
                </w:p>
              </w:tc>
              <w:tc>
                <w:tcPr>
                  <w:tcW w:w="720" w:type="pct"/>
                  <w:tcBorders>
                    <w:tl2br w:val="nil"/>
                    <w:tr2bl w:val="nil"/>
                  </w:tcBorders>
                  <w:vAlign w:val="center"/>
                </w:tcPr>
                <w:p w14:paraId="7A03616D">
                  <w:pPr>
                    <w:keepNext w:val="0"/>
                    <w:keepLines w:val="0"/>
                    <w:widowControl w:val="0"/>
                    <w:suppressLineNumbers w:val="0"/>
                    <w:spacing w:before="0" w:beforeAutospacing="0" w:after="0" w:afterAutospacing="0"/>
                    <w:ind w:left="0" w:leftChars="0" w:right="0" w:rightChars="0"/>
                    <w:jc w:val="center"/>
                    <w:rPr>
                      <w:rFonts w:hint="default"/>
                      <w:color w:val="auto"/>
                      <w:sz w:val="18"/>
                      <w:szCs w:val="18"/>
                      <w:highlight w:val="none"/>
                    </w:rPr>
                  </w:pPr>
                  <w:r>
                    <w:rPr>
                      <w:rFonts w:hint="default" w:ascii="Times New Roman" w:hAnsi="Times New Roman" w:eastAsia="宋体" w:cs="Times New Roman"/>
                      <w:color w:val="auto"/>
                      <w:sz w:val="18"/>
                      <w:szCs w:val="18"/>
                      <w:highlight w:val="none"/>
                      <w:lang w:val="en-US" w:eastAsia="zh-CN"/>
                    </w:rPr>
                    <w:t>杉木</w:t>
                  </w:r>
                  <w:r>
                    <w:rPr>
                      <w:rFonts w:hint="default" w:ascii="Times New Roman" w:hAnsi="Times New Roman" w:eastAsia="宋体" w:cs="Times New Roman"/>
                      <w:color w:val="auto"/>
                      <w:sz w:val="18"/>
                      <w:szCs w:val="18"/>
                      <w:highlight w:val="none"/>
                    </w:rPr>
                    <w:t>林</w:t>
                  </w:r>
                </w:p>
              </w:tc>
              <w:tc>
                <w:tcPr>
                  <w:tcW w:w="2403" w:type="pct"/>
                  <w:tcBorders>
                    <w:tl2br w:val="nil"/>
                    <w:tr2bl w:val="nil"/>
                  </w:tcBorders>
                  <w:vAlign w:val="center"/>
                </w:tcPr>
                <w:p w14:paraId="685D1F97">
                  <w:pPr>
                    <w:keepNext w:val="0"/>
                    <w:keepLines w:val="0"/>
                    <w:widowControl w:val="0"/>
                    <w:suppressLineNumbers w:val="0"/>
                    <w:wordWrap/>
                    <w:spacing w:before="0" w:beforeAutospacing="0" w:after="0" w:afterAutospacing="0"/>
                    <w:ind w:left="0" w:leftChars="0" w:right="0" w:rightChars="0"/>
                    <w:jc w:val="center"/>
                    <w:rPr>
                      <w:rFonts w:hint="eastAsia"/>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杉树</w:t>
                  </w:r>
                  <w:r>
                    <w:rPr>
                      <w:rFonts w:hint="default" w:ascii="Times New Roman" w:hAnsi="Times New Roman" w:eastAsia="宋体" w:cs="Times New Roman"/>
                      <w:i/>
                      <w:iCs/>
                      <w:caps w:val="0"/>
                      <w:color w:val="auto"/>
                      <w:spacing w:val="0"/>
                      <w:sz w:val="18"/>
                      <w:szCs w:val="18"/>
                      <w:highlight w:val="none"/>
                      <w:shd w:val="clear"/>
                      <w:lang w:val="en-US" w:eastAsia="zh-CN"/>
                    </w:rPr>
                    <w:t>（Cunninghamia lanceolata (Lamb.) Hook</w:t>
                  </w:r>
                  <w:r>
                    <w:rPr>
                      <w:rFonts w:hint="default" w:ascii="Times New Roman" w:hAnsi="Times New Roman" w:eastAsia="宋体" w:cs="Times New Roman"/>
                      <w:i/>
                      <w:iCs/>
                      <w:caps w:val="0"/>
                      <w:color w:val="auto"/>
                      <w:spacing w:val="0"/>
                      <w:sz w:val="18"/>
                      <w:szCs w:val="18"/>
                      <w:highlight w:val="none"/>
                      <w:shd w:val="clear"/>
                    </w:rPr>
                    <w:t>）</w:t>
                  </w:r>
                </w:p>
              </w:tc>
            </w:tr>
            <w:tr w14:paraId="3C35BA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blHeader/>
              </w:trPr>
              <w:tc>
                <w:tcPr>
                  <w:tcW w:w="612" w:type="pct"/>
                  <w:vMerge w:val="continue"/>
                  <w:tcBorders>
                    <w:tl2br w:val="nil"/>
                    <w:tr2bl w:val="nil"/>
                  </w:tcBorders>
                  <w:vAlign w:val="center"/>
                </w:tcPr>
                <w:p w14:paraId="6975A6C9">
                  <w:pPr>
                    <w:keepNext w:val="0"/>
                    <w:keepLines w:val="0"/>
                    <w:widowControl/>
                    <w:suppressLineNumbers w:val="0"/>
                    <w:spacing w:before="0" w:beforeAutospacing="0" w:after="0" w:afterAutospacing="0"/>
                    <w:ind w:left="0" w:right="0"/>
                    <w:jc w:val="center"/>
                    <w:rPr>
                      <w:rFonts w:hint="default"/>
                      <w:color w:val="auto"/>
                      <w:kern w:val="0"/>
                      <w:sz w:val="18"/>
                      <w:szCs w:val="18"/>
                      <w:highlight w:val="none"/>
                    </w:rPr>
                  </w:pPr>
                </w:p>
              </w:tc>
              <w:tc>
                <w:tcPr>
                  <w:tcW w:w="669" w:type="pct"/>
                  <w:tcBorders>
                    <w:tl2br w:val="nil"/>
                    <w:tr2bl w:val="nil"/>
                  </w:tcBorders>
                  <w:vAlign w:val="center"/>
                </w:tcPr>
                <w:p w14:paraId="3C373021">
                  <w:pPr>
                    <w:keepNext w:val="0"/>
                    <w:keepLines w:val="0"/>
                    <w:suppressLineNumbers w:val="0"/>
                    <w:spacing w:before="0" w:beforeAutospacing="0" w:after="0" w:afterAutospacing="0"/>
                    <w:ind w:left="0" w:right="0"/>
                    <w:jc w:val="center"/>
                    <w:rPr>
                      <w:rFonts w:hint="default"/>
                      <w:color w:val="auto"/>
                      <w:kern w:val="0"/>
                      <w:sz w:val="18"/>
                      <w:szCs w:val="18"/>
                      <w:highlight w:val="none"/>
                    </w:rPr>
                  </w:pPr>
                  <w:r>
                    <w:rPr>
                      <w:rFonts w:hint="default"/>
                      <w:color w:val="auto"/>
                      <w:kern w:val="0"/>
                      <w:sz w:val="18"/>
                      <w:szCs w:val="18"/>
                      <w:highlight w:val="none"/>
                    </w:rPr>
                    <w:t>稀树草丛</w:t>
                  </w:r>
                </w:p>
              </w:tc>
              <w:tc>
                <w:tcPr>
                  <w:tcW w:w="594" w:type="pct"/>
                  <w:tcBorders>
                    <w:tl2br w:val="nil"/>
                    <w:tr2bl w:val="nil"/>
                  </w:tcBorders>
                  <w:vAlign w:val="center"/>
                </w:tcPr>
                <w:p w14:paraId="3B1FCEDE">
                  <w:pPr>
                    <w:keepNext w:val="0"/>
                    <w:keepLines w:val="0"/>
                    <w:suppressLineNumbers w:val="0"/>
                    <w:spacing w:before="0" w:beforeAutospacing="0" w:after="0" w:afterAutospacing="0"/>
                    <w:ind w:left="0" w:right="0"/>
                    <w:jc w:val="center"/>
                    <w:rPr>
                      <w:rFonts w:hint="default"/>
                      <w:color w:val="auto"/>
                      <w:sz w:val="18"/>
                      <w:szCs w:val="18"/>
                      <w:highlight w:val="none"/>
                    </w:rPr>
                  </w:pPr>
                  <w:r>
                    <w:rPr>
                      <w:rFonts w:hint="default"/>
                      <w:color w:val="auto"/>
                      <w:sz w:val="18"/>
                      <w:szCs w:val="18"/>
                      <w:highlight w:val="none"/>
                    </w:rPr>
                    <w:t>禾草草丛</w:t>
                  </w:r>
                </w:p>
              </w:tc>
              <w:tc>
                <w:tcPr>
                  <w:tcW w:w="720" w:type="pct"/>
                  <w:tcBorders>
                    <w:tl2br w:val="nil"/>
                    <w:tr2bl w:val="nil"/>
                  </w:tcBorders>
                  <w:vAlign w:val="center"/>
                </w:tcPr>
                <w:p w14:paraId="3B21C8D1">
                  <w:pPr>
                    <w:keepNext w:val="0"/>
                    <w:keepLines w:val="0"/>
                    <w:suppressLineNumbers w:val="0"/>
                    <w:spacing w:before="0" w:beforeAutospacing="0" w:after="0" w:afterAutospacing="0"/>
                    <w:ind w:left="0" w:right="0"/>
                    <w:jc w:val="center"/>
                    <w:rPr>
                      <w:rFonts w:hint="default"/>
                      <w:color w:val="auto"/>
                      <w:sz w:val="18"/>
                      <w:szCs w:val="18"/>
                      <w:highlight w:val="none"/>
                    </w:rPr>
                  </w:pPr>
                  <w:r>
                    <w:rPr>
                      <w:rFonts w:hint="default"/>
                      <w:color w:val="auto"/>
                      <w:sz w:val="18"/>
                      <w:szCs w:val="18"/>
                      <w:highlight w:val="none"/>
                    </w:rPr>
                    <w:t>白茅草丛</w:t>
                  </w:r>
                </w:p>
              </w:tc>
              <w:tc>
                <w:tcPr>
                  <w:tcW w:w="2403" w:type="pct"/>
                  <w:tcBorders>
                    <w:tl2br w:val="nil"/>
                    <w:tr2bl w:val="nil"/>
                  </w:tcBorders>
                  <w:vAlign w:val="center"/>
                </w:tcPr>
                <w:p w14:paraId="314CB7BF">
                  <w:pPr>
                    <w:keepNext w:val="0"/>
                    <w:keepLines w:val="0"/>
                    <w:suppressLineNumbers w:val="0"/>
                    <w:wordWrap w:val="0"/>
                    <w:spacing w:before="0" w:beforeAutospacing="0" w:after="0" w:afterAutospacing="0"/>
                    <w:ind w:left="0" w:right="0"/>
                    <w:jc w:val="center"/>
                    <w:rPr>
                      <w:rFonts w:hint="default" w:eastAsia="宋体"/>
                      <w:color w:val="auto"/>
                      <w:sz w:val="18"/>
                      <w:szCs w:val="18"/>
                      <w:highlight w:val="none"/>
                      <w:lang w:eastAsia="zh-CN"/>
                    </w:rPr>
                  </w:pPr>
                  <w:r>
                    <w:rPr>
                      <w:rFonts w:hint="default"/>
                      <w:color w:val="auto"/>
                      <w:sz w:val="18"/>
                      <w:szCs w:val="18"/>
                      <w:highlight w:val="none"/>
                    </w:rPr>
                    <w:t>茅草</w:t>
                  </w:r>
                  <w:r>
                    <w:rPr>
                      <w:rFonts w:hint="default"/>
                      <w:i/>
                      <w:iCs/>
                      <w:color w:val="auto"/>
                      <w:sz w:val="18"/>
                      <w:szCs w:val="18"/>
                      <w:highlight w:val="none"/>
                    </w:rPr>
                    <w:t>（Imperata cylindrica (L.) Beauv.）</w:t>
                  </w:r>
                </w:p>
              </w:tc>
            </w:tr>
            <w:tr w14:paraId="128E71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blHeader/>
              </w:trPr>
              <w:tc>
                <w:tcPr>
                  <w:tcW w:w="612" w:type="pct"/>
                  <w:vMerge w:val="restart"/>
                  <w:tcBorders>
                    <w:tl2br w:val="nil"/>
                    <w:tr2bl w:val="nil"/>
                  </w:tcBorders>
                  <w:vAlign w:val="center"/>
                </w:tcPr>
                <w:p w14:paraId="5F32B92D">
                  <w:pPr>
                    <w:keepNext w:val="0"/>
                    <w:keepLines w:val="0"/>
                    <w:suppressLineNumbers w:val="0"/>
                    <w:spacing w:before="0" w:beforeAutospacing="0" w:after="0" w:afterAutospacing="0"/>
                    <w:ind w:left="0" w:right="0"/>
                    <w:jc w:val="center"/>
                    <w:rPr>
                      <w:rFonts w:hint="default"/>
                      <w:color w:val="auto"/>
                      <w:kern w:val="0"/>
                      <w:sz w:val="18"/>
                      <w:szCs w:val="18"/>
                      <w:highlight w:val="none"/>
                    </w:rPr>
                  </w:pPr>
                  <w:r>
                    <w:rPr>
                      <w:rFonts w:hint="default"/>
                      <w:color w:val="auto"/>
                      <w:kern w:val="0"/>
                      <w:sz w:val="18"/>
                      <w:szCs w:val="18"/>
                      <w:highlight w:val="none"/>
                    </w:rPr>
                    <w:t>栽培植被</w:t>
                  </w:r>
                </w:p>
              </w:tc>
              <w:tc>
                <w:tcPr>
                  <w:tcW w:w="669" w:type="pct"/>
                  <w:tcBorders>
                    <w:tl2br w:val="nil"/>
                    <w:tr2bl w:val="nil"/>
                  </w:tcBorders>
                  <w:vAlign w:val="center"/>
                </w:tcPr>
                <w:p w14:paraId="77DF8718">
                  <w:pPr>
                    <w:keepNext w:val="0"/>
                    <w:keepLines w:val="0"/>
                    <w:suppressLineNumbers w:val="0"/>
                    <w:spacing w:before="0" w:beforeAutospacing="0" w:after="0" w:afterAutospacing="0"/>
                    <w:ind w:left="0" w:right="0"/>
                    <w:jc w:val="center"/>
                    <w:rPr>
                      <w:rFonts w:hint="default"/>
                      <w:color w:val="auto"/>
                      <w:sz w:val="18"/>
                      <w:szCs w:val="18"/>
                      <w:highlight w:val="none"/>
                    </w:rPr>
                  </w:pPr>
                  <w:r>
                    <w:rPr>
                      <w:rFonts w:hint="default"/>
                      <w:color w:val="auto"/>
                      <w:sz w:val="18"/>
                      <w:szCs w:val="18"/>
                      <w:highlight w:val="none"/>
                    </w:rPr>
                    <w:t>经济林木</w:t>
                  </w:r>
                </w:p>
              </w:tc>
              <w:tc>
                <w:tcPr>
                  <w:tcW w:w="594" w:type="pct"/>
                  <w:tcBorders>
                    <w:tl2br w:val="nil"/>
                    <w:tr2bl w:val="nil"/>
                  </w:tcBorders>
                  <w:vAlign w:val="center"/>
                </w:tcPr>
                <w:p w14:paraId="0866CEC1">
                  <w:pPr>
                    <w:keepNext w:val="0"/>
                    <w:keepLines w:val="0"/>
                    <w:suppressLineNumbers w:val="0"/>
                    <w:spacing w:before="0" w:beforeAutospacing="0" w:after="0" w:afterAutospacing="0"/>
                    <w:ind w:left="0" w:right="0"/>
                    <w:jc w:val="center"/>
                    <w:rPr>
                      <w:rFonts w:hint="default" w:eastAsia="宋体"/>
                      <w:color w:val="auto"/>
                      <w:sz w:val="18"/>
                      <w:szCs w:val="18"/>
                      <w:highlight w:val="none"/>
                      <w:lang w:eastAsia="zh-CN"/>
                    </w:rPr>
                  </w:pPr>
                  <w:r>
                    <w:rPr>
                      <w:rFonts w:hint="eastAsia"/>
                      <w:color w:val="auto"/>
                      <w:sz w:val="18"/>
                      <w:szCs w:val="18"/>
                      <w:highlight w:val="none"/>
                      <w:lang w:val="en-US" w:eastAsia="zh-CN"/>
                    </w:rPr>
                    <w:t>/</w:t>
                  </w:r>
                </w:p>
              </w:tc>
              <w:tc>
                <w:tcPr>
                  <w:tcW w:w="720" w:type="pct"/>
                  <w:tcBorders>
                    <w:tl2br w:val="nil"/>
                    <w:tr2bl w:val="nil"/>
                  </w:tcBorders>
                  <w:vAlign w:val="center"/>
                </w:tcPr>
                <w:p w14:paraId="00C500B8">
                  <w:pPr>
                    <w:keepNext w:val="0"/>
                    <w:keepLines w:val="0"/>
                    <w:suppressLineNumbers w:val="0"/>
                    <w:spacing w:before="0" w:beforeAutospacing="0" w:after="0" w:afterAutospacing="0"/>
                    <w:ind w:left="0" w:right="0"/>
                    <w:jc w:val="center"/>
                    <w:rPr>
                      <w:rFonts w:hint="default"/>
                      <w:color w:val="auto"/>
                      <w:sz w:val="18"/>
                      <w:szCs w:val="18"/>
                      <w:highlight w:val="none"/>
                    </w:rPr>
                  </w:pPr>
                  <w:r>
                    <w:rPr>
                      <w:rFonts w:hint="default"/>
                      <w:color w:val="auto"/>
                      <w:sz w:val="18"/>
                      <w:szCs w:val="18"/>
                      <w:highlight w:val="none"/>
                    </w:rPr>
                    <w:t>/</w:t>
                  </w:r>
                </w:p>
              </w:tc>
              <w:tc>
                <w:tcPr>
                  <w:tcW w:w="2403" w:type="pct"/>
                  <w:tcBorders>
                    <w:tl2br w:val="nil"/>
                    <w:tr2bl w:val="nil"/>
                  </w:tcBorders>
                  <w:vAlign w:val="center"/>
                </w:tcPr>
                <w:p w14:paraId="13A72FBB">
                  <w:pPr>
                    <w:keepNext w:val="0"/>
                    <w:keepLines w:val="0"/>
                    <w:widowControl/>
                    <w:suppressLineNumbers w:val="0"/>
                    <w:spacing w:before="0" w:beforeAutospacing="0" w:after="0" w:afterAutospacing="0"/>
                    <w:ind w:left="0" w:right="0"/>
                    <w:jc w:val="center"/>
                    <w:rPr>
                      <w:rFonts w:hint="default" w:eastAsia="宋体"/>
                      <w:bCs/>
                      <w:color w:val="auto"/>
                      <w:kern w:val="0"/>
                      <w:sz w:val="18"/>
                      <w:szCs w:val="18"/>
                      <w:highlight w:val="none"/>
                      <w:lang w:val="en-US" w:eastAsia="zh-CN"/>
                    </w:rPr>
                  </w:pPr>
                  <w:r>
                    <w:rPr>
                      <w:rFonts w:hint="eastAsia" w:ascii="Times New Roman" w:hAnsi="Times New Roman" w:eastAsia="宋体" w:cs="Times New Roman"/>
                      <w:bCs/>
                      <w:color w:val="auto"/>
                      <w:kern w:val="0"/>
                      <w:sz w:val="18"/>
                      <w:szCs w:val="18"/>
                      <w:highlight w:val="none"/>
                      <w:lang w:val="en-US" w:eastAsia="zh-CN"/>
                    </w:rPr>
                    <w:t>枇杷树（</w:t>
                  </w:r>
                  <w:r>
                    <w:rPr>
                      <w:rFonts w:hint="eastAsia" w:ascii="Times New Roman" w:hAnsi="Times New Roman" w:eastAsia="宋体" w:cs="Times New Roman"/>
                      <w:bCs/>
                      <w:i/>
                      <w:iCs/>
                      <w:color w:val="auto"/>
                      <w:kern w:val="0"/>
                      <w:sz w:val="18"/>
                      <w:szCs w:val="18"/>
                      <w:highlight w:val="none"/>
                      <w:lang w:val="en-US" w:eastAsia="zh-CN"/>
                    </w:rPr>
                    <w:t>Eriobotrya japonica (Thunb.) Lindl.</w:t>
                  </w:r>
                  <w:r>
                    <w:rPr>
                      <w:rFonts w:hint="eastAsia" w:ascii="Times New Roman" w:hAnsi="Times New Roman" w:eastAsia="宋体" w:cs="Times New Roman"/>
                      <w:bCs/>
                      <w:color w:val="auto"/>
                      <w:kern w:val="0"/>
                      <w:sz w:val="18"/>
                      <w:szCs w:val="18"/>
                      <w:highlight w:val="none"/>
                      <w:lang w:val="en-US" w:eastAsia="zh-CN"/>
                    </w:rPr>
                    <w:t>）</w:t>
                  </w:r>
                </w:p>
              </w:tc>
            </w:tr>
            <w:tr w14:paraId="3DA8A1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blHeader/>
              </w:trPr>
              <w:tc>
                <w:tcPr>
                  <w:tcW w:w="612" w:type="pct"/>
                  <w:vMerge w:val="continue"/>
                  <w:tcBorders>
                    <w:tl2br w:val="nil"/>
                    <w:tr2bl w:val="nil"/>
                  </w:tcBorders>
                  <w:vAlign w:val="center"/>
                </w:tcPr>
                <w:p w14:paraId="24E0B308">
                  <w:pPr>
                    <w:keepNext w:val="0"/>
                    <w:keepLines w:val="0"/>
                    <w:widowControl/>
                    <w:suppressLineNumbers w:val="0"/>
                    <w:spacing w:before="0" w:beforeAutospacing="0" w:after="0" w:afterAutospacing="0"/>
                    <w:ind w:left="0" w:right="0"/>
                    <w:jc w:val="center"/>
                    <w:rPr>
                      <w:rFonts w:hint="default"/>
                      <w:bCs/>
                      <w:color w:val="auto"/>
                      <w:kern w:val="0"/>
                      <w:sz w:val="18"/>
                      <w:szCs w:val="18"/>
                      <w:highlight w:val="none"/>
                    </w:rPr>
                  </w:pPr>
                </w:p>
              </w:tc>
              <w:tc>
                <w:tcPr>
                  <w:tcW w:w="669" w:type="pct"/>
                  <w:tcBorders>
                    <w:tl2br w:val="nil"/>
                    <w:tr2bl w:val="nil"/>
                  </w:tcBorders>
                  <w:vAlign w:val="center"/>
                </w:tcPr>
                <w:p w14:paraId="2D7A30E8">
                  <w:pPr>
                    <w:keepNext w:val="0"/>
                    <w:keepLines w:val="0"/>
                    <w:suppressLineNumbers w:val="0"/>
                    <w:spacing w:before="0" w:beforeAutospacing="0" w:after="0" w:afterAutospacing="0"/>
                    <w:ind w:left="0" w:right="0"/>
                    <w:jc w:val="center"/>
                    <w:rPr>
                      <w:rFonts w:hint="default"/>
                      <w:color w:val="auto"/>
                      <w:sz w:val="18"/>
                      <w:szCs w:val="18"/>
                      <w:highlight w:val="none"/>
                    </w:rPr>
                  </w:pPr>
                  <w:r>
                    <w:rPr>
                      <w:rFonts w:hint="default"/>
                      <w:color w:val="auto"/>
                      <w:sz w:val="18"/>
                      <w:szCs w:val="18"/>
                      <w:highlight w:val="none"/>
                    </w:rPr>
                    <w:t>作物</w:t>
                  </w:r>
                </w:p>
              </w:tc>
              <w:tc>
                <w:tcPr>
                  <w:tcW w:w="594" w:type="pct"/>
                  <w:tcBorders>
                    <w:tl2br w:val="nil"/>
                    <w:tr2bl w:val="nil"/>
                  </w:tcBorders>
                  <w:vAlign w:val="center"/>
                </w:tcPr>
                <w:p w14:paraId="17443E27">
                  <w:pPr>
                    <w:keepNext w:val="0"/>
                    <w:keepLines w:val="0"/>
                    <w:suppressLineNumbers w:val="0"/>
                    <w:spacing w:before="0" w:beforeAutospacing="0" w:after="0" w:afterAutospacing="0"/>
                    <w:ind w:left="0" w:right="0"/>
                    <w:jc w:val="center"/>
                    <w:rPr>
                      <w:rFonts w:hint="default" w:eastAsia="宋体"/>
                      <w:color w:val="auto"/>
                      <w:sz w:val="18"/>
                      <w:szCs w:val="18"/>
                      <w:highlight w:val="none"/>
                      <w:lang w:eastAsia="zh-CN"/>
                    </w:rPr>
                  </w:pPr>
                  <w:r>
                    <w:rPr>
                      <w:rFonts w:hint="eastAsia"/>
                      <w:color w:val="auto"/>
                      <w:sz w:val="18"/>
                      <w:szCs w:val="18"/>
                      <w:highlight w:val="none"/>
                      <w:lang w:val="en-US" w:eastAsia="zh-CN"/>
                    </w:rPr>
                    <w:t>/</w:t>
                  </w:r>
                </w:p>
              </w:tc>
              <w:tc>
                <w:tcPr>
                  <w:tcW w:w="720" w:type="pct"/>
                  <w:tcBorders>
                    <w:tl2br w:val="nil"/>
                    <w:tr2bl w:val="nil"/>
                  </w:tcBorders>
                  <w:vAlign w:val="center"/>
                </w:tcPr>
                <w:p w14:paraId="0805DDAB">
                  <w:pPr>
                    <w:keepNext w:val="0"/>
                    <w:keepLines w:val="0"/>
                    <w:suppressLineNumbers w:val="0"/>
                    <w:spacing w:before="0" w:beforeAutospacing="0" w:after="0" w:afterAutospacing="0"/>
                    <w:ind w:left="0" w:right="0"/>
                    <w:jc w:val="center"/>
                    <w:rPr>
                      <w:rFonts w:hint="default"/>
                      <w:color w:val="auto"/>
                      <w:sz w:val="18"/>
                      <w:szCs w:val="18"/>
                      <w:highlight w:val="none"/>
                    </w:rPr>
                  </w:pPr>
                  <w:r>
                    <w:rPr>
                      <w:rFonts w:hint="default"/>
                      <w:color w:val="auto"/>
                      <w:sz w:val="18"/>
                      <w:szCs w:val="18"/>
                      <w:highlight w:val="none"/>
                    </w:rPr>
                    <w:t>/</w:t>
                  </w:r>
                </w:p>
              </w:tc>
              <w:tc>
                <w:tcPr>
                  <w:tcW w:w="2403" w:type="pct"/>
                  <w:tcBorders>
                    <w:tl2br w:val="nil"/>
                    <w:tr2bl w:val="nil"/>
                  </w:tcBorders>
                  <w:vAlign w:val="center"/>
                </w:tcPr>
                <w:p w14:paraId="2E14E4CC">
                  <w:pPr>
                    <w:keepNext w:val="0"/>
                    <w:keepLines w:val="0"/>
                    <w:widowControl/>
                    <w:suppressLineNumbers w:val="0"/>
                    <w:spacing w:before="0" w:beforeAutospacing="0" w:after="0" w:afterAutospacing="0"/>
                    <w:ind w:left="0" w:right="0"/>
                    <w:jc w:val="center"/>
                    <w:rPr>
                      <w:rFonts w:hint="default" w:eastAsia="宋体"/>
                      <w:bCs/>
                      <w:color w:val="auto"/>
                      <w:kern w:val="0"/>
                      <w:sz w:val="18"/>
                      <w:szCs w:val="18"/>
                      <w:highlight w:val="none"/>
                      <w:lang w:val="en-US" w:eastAsia="zh-CN"/>
                    </w:rPr>
                  </w:pPr>
                  <w:r>
                    <w:rPr>
                      <w:rFonts w:hint="default" w:ascii="Times New Roman" w:hAnsi="Times New Roman" w:eastAsia="宋体" w:cs="Times New Roman"/>
                      <w:b w:val="0"/>
                      <w:bCs/>
                      <w:color w:val="auto"/>
                      <w:kern w:val="0"/>
                      <w:sz w:val="18"/>
                      <w:szCs w:val="18"/>
                      <w:highlight w:val="none"/>
                      <w:lang w:val="en-US" w:eastAsia="zh-CN"/>
                    </w:rPr>
                    <w:t>玉米</w:t>
                  </w:r>
                  <w:r>
                    <w:rPr>
                      <w:rFonts w:hint="default" w:ascii="Times New Roman" w:hAnsi="Times New Roman" w:eastAsia="宋体" w:cs="Times New Roman"/>
                      <w:i/>
                      <w:iCs/>
                      <w:caps w:val="0"/>
                      <w:color w:val="auto"/>
                      <w:spacing w:val="0"/>
                      <w:sz w:val="18"/>
                      <w:szCs w:val="18"/>
                      <w:highlight w:val="none"/>
                      <w:shd w:val="clear" w:fill="FFFFFF"/>
                    </w:rPr>
                    <w:t>（Zea mays</w:t>
                  </w:r>
                  <w:r>
                    <w:rPr>
                      <w:rFonts w:hint="default" w:ascii="Times New Roman" w:hAnsi="Times New Roman" w:eastAsia="宋体" w:cs="Times New Roman"/>
                      <w:i/>
                      <w:iCs/>
                      <w:caps w:val="0"/>
                      <w:color w:val="auto"/>
                      <w:spacing w:val="0"/>
                      <w:sz w:val="18"/>
                      <w:szCs w:val="18"/>
                      <w:highlight w:val="none"/>
                      <w:shd w:val="clear" w:fill="FFFFFF"/>
                      <w:lang w:val="en-US" w:eastAsia="zh-CN"/>
                    </w:rPr>
                    <w:t xml:space="preserve"> </w:t>
                  </w:r>
                  <w:r>
                    <w:rPr>
                      <w:rFonts w:hint="default" w:ascii="Times New Roman" w:hAnsi="Times New Roman" w:eastAsia="宋体" w:cs="Times New Roman"/>
                      <w:i/>
                      <w:iCs/>
                      <w:caps w:val="0"/>
                      <w:color w:val="auto"/>
                      <w:spacing w:val="0"/>
                      <w:sz w:val="18"/>
                      <w:szCs w:val="18"/>
                      <w:highlight w:val="none"/>
                      <w:shd w:val="clear" w:fill="FFFFFF"/>
                    </w:rPr>
                    <w:t>L.）</w:t>
                  </w:r>
                  <w:r>
                    <w:rPr>
                      <w:rFonts w:hint="default" w:ascii="Times New Roman" w:hAnsi="Times New Roman" w:cs="Times New Roman"/>
                      <w:b w:val="0"/>
                      <w:bCs/>
                      <w:color w:val="auto"/>
                      <w:kern w:val="0"/>
                      <w:sz w:val="18"/>
                      <w:szCs w:val="18"/>
                      <w:highlight w:val="none"/>
                      <w:lang w:val="en-US" w:eastAsia="zh-CN"/>
                    </w:rPr>
                    <w:t>、</w:t>
                  </w:r>
                  <w:r>
                    <w:rPr>
                      <w:rFonts w:hint="eastAsia" w:cs="Times New Roman"/>
                      <w:b w:val="0"/>
                      <w:bCs/>
                      <w:color w:val="auto"/>
                      <w:kern w:val="0"/>
                      <w:sz w:val="18"/>
                      <w:szCs w:val="18"/>
                      <w:highlight w:val="none"/>
                      <w:lang w:val="en-US" w:eastAsia="zh-CN"/>
                    </w:rPr>
                    <w:t>南瓜</w:t>
                  </w:r>
                  <w:r>
                    <w:rPr>
                      <w:rFonts w:hint="eastAsia" w:cs="Times New Roman"/>
                      <w:b w:val="0"/>
                      <w:bCs/>
                      <w:i/>
                      <w:iCs/>
                      <w:color w:val="auto"/>
                      <w:kern w:val="0"/>
                      <w:sz w:val="18"/>
                      <w:szCs w:val="18"/>
                      <w:highlight w:val="none"/>
                      <w:lang w:val="en-US" w:eastAsia="zh-CN"/>
                    </w:rPr>
                    <w:t>（Cucurbita moschata）</w:t>
                  </w:r>
                </w:p>
              </w:tc>
            </w:tr>
          </w:tbl>
          <w:p w14:paraId="74847BAF">
            <w:pPr>
              <w:keepNext w:val="0"/>
              <w:keepLines w:val="0"/>
              <w:pageBreakBefore w:val="0"/>
              <w:widowControl w:val="0"/>
              <w:kinsoku/>
              <w:wordWrap w:val="0"/>
              <w:overflowPunct/>
              <w:topLinePunct w:val="0"/>
              <w:autoSpaceDE/>
              <w:autoSpaceDN/>
              <w:bidi w:val="0"/>
              <w:adjustRightInd w:val="0"/>
              <w:snapToGrid/>
              <w:spacing w:line="360" w:lineRule="auto"/>
              <w:ind w:firstLine="420" w:firstLineChars="200"/>
              <w:jc w:val="left"/>
              <w:textAlignment w:val="auto"/>
              <w:rPr>
                <w:rFonts w:hint="eastAsia" w:eastAsia="宋体"/>
                <w:color w:val="auto"/>
                <w:szCs w:val="21"/>
                <w:lang w:val="en-US" w:eastAsia="zh-CN"/>
              </w:rPr>
            </w:pPr>
            <w:r>
              <w:rPr>
                <w:rFonts w:hint="default" w:ascii="Times New Roman" w:hAnsi="Times New Roman" w:cs="Times New Roman"/>
                <w:color w:val="auto"/>
                <w:szCs w:val="21"/>
                <w:highlight w:val="none"/>
                <w:shd w:val="clear" w:color="auto" w:fill="FFFFFF"/>
              </w:rPr>
              <w:t>由表3-1可知，评价区域自然植被主要包括</w:t>
            </w:r>
            <w:r>
              <w:rPr>
                <w:rFonts w:hint="eastAsia" w:cs="Times New Roman"/>
                <w:color w:val="auto"/>
                <w:szCs w:val="21"/>
                <w:highlight w:val="none"/>
                <w:shd w:val="clear" w:color="auto" w:fill="FFFFFF"/>
                <w:lang w:val="en-US" w:eastAsia="zh-CN"/>
              </w:rPr>
              <w:t>常绿</w:t>
            </w:r>
            <w:r>
              <w:rPr>
                <w:rFonts w:hint="default" w:ascii="Times New Roman" w:hAnsi="Times New Roman" w:cs="Times New Roman"/>
                <w:color w:val="auto"/>
                <w:szCs w:val="21"/>
                <w:highlight w:val="none"/>
                <w:shd w:val="clear" w:color="auto" w:fill="FFFFFF"/>
              </w:rPr>
              <w:t>针叶林、</w:t>
            </w:r>
            <w:r>
              <w:rPr>
                <w:rFonts w:hint="eastAsia" w:cs="Times New Roman"/>
                <w:color w:val="auto"/>
                <w:szCs w:val="21"/>
                <w:highlight w:val="none"/>
                <w:shd w:val="clear" w:color="auto" w:fill="FFFFFF"/>
                <w:lang w:val="en-US" w:eastAsia="zh-CN"/>
              </w:rPr>
              <w:t>竹林、</w:t>
            </w:r>
            <w:r>
              <w:rPr>
                <w:rFonts w:hint="default" w:ascii="Times New Roman" w:hAnsi="Times New Roman" w:cs="Times New Roman"/>
                <w:color w:val="auto"/>
                <w:szCs w:val="21"/>
                <w:highlight w:val="none"/>
                <w:shd w:val="clear" w:color="auto" w:fill="FFFFFF"/>
              </w:rPr>
              <w:t>稀树草丛</w:t>
            </w:r>
            <w:r>
              <w:rPr>
                <w:rFonts w:hint="eastAsia" w:cs="Times New Roman"/>
                <w:color w:val="auto"/>
                <w:szCs w:val="21"/>
                <w:highlight w:val="none"/>
                <w:shd w:val="clear" w:color="auto" w:fill="FFFFFF"/>
                <w:lang w:val="en-US" w:eastAsia="zh-CN"/>
              </w:rPr>
              <w:t>3</w:t>
            </w:r>
            <w:r>
              <w:rPr>
                <w:rFonts w:hint="default" w:ascii="Times New Roman" w:hAnsi="Times New Roman" w:cs="Times New Roman"/>
                <w:color w:val="auto"/>
                <w:szCs w:val="21"/>
                <w:highlight w:val="none"/>
                <w:shd w:val="clear" w:color="auto" w:fill="FFFFFF"/>
              </w:rPr>
              <w:t>个植被型。针叶林代表性物种有杉树</w:t>
            </w:r>
            <w:r>
              <w:rPr>
                <w:rFonts w:hint="default" w:ascii="Times New Roman" w:hAnsi="Times New Roman" w:cs="Times New Roman"/>
                <w:i/>
                <w:iCs/>
                <w:color w:val="auto"/>
                <w:szCs w:val="21"/>
                <w:highlight w:val="none"/>
                <w:shd w:val="clear" w:color="auto" w:fill="FFFFFF"/>
              </w:rPr>
              <w:t>（Cunninghamia lanceolata (Lamb.) Hook）</w:t>
            </w:r>
            <w:r>
              <w:rPr>
                <w:rFonts w:hint="eastAsia" w:cs="Times New Roman"/>
                <w:i w:val="0"/>
                <w:iCs w:val="0"/>
                <w:color w:val="auto"/>
                <w:szCs w:val="21"/>
                <w:highlight w:val="none"/>
                <w:shd w:val="clear" w:color="auto" w:fill="FFFFFF"/>
                <w:lang w:val="en-US" w:eastAsia="zh-CN"/>
              </w:rPr>
              <w:t>等</w:t>
            </w:r>
            <w:r>
              <w:rPr>
                <w:rFonts w:hint="default" w:ascii="Times New Roman" w:hAnsi="Times New Roman" w:cs="Times New Roman"/>
                <w:color w:val="auto"/>
                <w:szCs w:val="21"/>
                <w:highlight w:val="none"/>
                <w:shd w:val="clear" w:color="auto" w:fill="FFFFFF"/>
              </w:rPr>
              <w:t>；竹林代表性物种有毛竹</w:t>
            </w:r>
            <w:r>
              <w:rPr>
                <w:rFonts w:hint="default" w:ascii="Times New Roman" w:hAnsi="Times New Roman" w:cs="Times New Roman"/>
                <w:i/>
                <w:iCs/>
                <w:color w:val="auto"/>
                <w:szCs w:val="21"/>
                <w:highlight w:val="none"/>
                <w:shd w:val="clear" w:color="auto" w:fill="FFFFFF"/>
              </w:rPr>
              <w:t>（Phyllostachys edulis (Carrière) J. Houz.）</w:t>
            </w:r>
            <w:r>
              <w:rPr>
                <w:rFonts w:hint="eastAsia" w:ascii="Times New Roman" w:hAnsi="Times New Roman" w:cs="Times New Roman"/>
                <w:i w:val="0"/>
                <w:iCs w:val="0"/>
                <w:color w:val="auto"/>
                <w:szCs w:val="21"/>
                <w:highlight w:val="none"/>
                <w:shd w:val="clear" w:color="auto" w:fill="FFFFFF"/>
                <w:lang w:val="en-US" w:eastAsia="zh-CN"/>
              </w:rPr>
              <w:t>等</w:t>
            </w:r>
            <w:r>
              <w:rPr>
                <w:rFonts w:hint="default" w:ascii="Times New Roman" w:hAnsi="Times New Roman" w:cs="Times New Roman"/>
                <w:color w:val="auto"/>
                <w:szCs w:val="21"/>
                <w:highlight w:val="none"/>
                <w:shd w:val="clear" w:color="auto" w:fill="FFFFFF"/>
              </w:rPr>
              <w:t>；稀树草丛代表性物种有茅草</w:t>
            </w:r>
            <w:r>
              <w:rPr>
                <w:rFonts w:hint="default" w:ascii="Times New Roman" w:hAnsi="Times New Roman" w:cs="Times New Roman"/>
                <w:i/>
                <w:iCs/>
                <w:color w:val="auto"/>
                <w:szCs w:val="21"/>
                <w:highlight w:val="none"/>
                <w:shd w:val="clear" w:color="auto" w:fill="FFFFFF"/>
              </w:rPr>
              <w:t>（Imperata cylindrica (L.) Beauv.）</w:t>
            </w:r>
            <w:r>
              <w:rPr>
                <w:rFonts w:hint="default" w:ascii="Times New Roman" w:hAnsi="Times New Roman" w:cs="Times New Roman"/>
                <w:color w:val="auto"/>
                <w:szCs w:val="21"/>
                <w:highlight w:val="none"/>
                <w:shd w:val="clear" w:color="auto" w:fill="FFFFFF"/>
              </w:rPr>
              <w:t>等；栽培植被主要为作物和经济林木，作物主要为</w:t>
            </w:r>
            <w:r>
              <w:rPr>
                <w:rFonts w:hint="default" w:ascii="Times New Roman" w:hAnsi="Times New Roman" w:cs="Times New Roman"/>
                <w:color w:val="auto"/>
                <w:szCs w:val="21"/>
                <w:highlight w:val="none"/>
                <w:shd w:val="clear" w:color="auto" w:fill="FFFFFF"/>
                <w:lang w:val="en-US" w:eastAsia="zh-CN"/>
              </w:rPr>
              <w:t>玉米</w:t>
            </w:r>
            <w:r>
              <w:rPr>
                <w:rFonts w:hint="default" w:ascii="Times New Roman" w:hAnsi="Times New Roman" w:cs="Times New Roman"/>
                <w:i/>
                <w:iCs/>
                <w:color w:val="auto"/>
                <w:szCs w:val="21"/>
                <w:highlight w:val="none"/>
                <w:shd w:val="clear" w:color="auto" w:fill="FFFFFF"/>
              </w:rPr>
              <w:t>（Zea mays</w:t>
            </w:r>
            <w:r>
              <w:rPr>
                <w:rFonts w:hint="default" w:ascii="Times New Roman" w:hAnsi="Times New Roman" w:cs="Times New Roman"/>
                <w:i/>
                <w:iCs/>
                <w:color w:val="auto"/>
                <w:szCs w:val="21"/>
                <w:highlight w:val="none"/>
                <w:shd w:val="clear" w:color="auto" w:fill="FFFFFF"/>
                <w:lang w:val="en-US" w:eastAsia="zh-CN"/>
              </w:rPr>
              <w:t xml:space="preserve"> </w:t>
            </w:r>
            <w:r>
              <w:rPr>
                <w:rFonts w:hint="default" w:ascii="Times New Roman" w:hAnsi="Times New Roman" w:cs="Times New Roman"/>
                <w:i/>
                <w:iCs/>
                <w:color w:val="auto"/>
                <w:szCs w:val="21"/>
                <w:highlight w:val="none"/>
                <w:shd w:val="clear" w:color="auto" w:fill="FFFFFF"/>
              </w:rPr>
              <w:t>L.）</w:t>
            </w:r>
            <w:r>
              <w:rPr>
                <w:rFonts w:hint="default" w:ascii="Times New Roman" w:hAnsi="Times New Roman" w:cs="Times New Roman"/>
                <w:color w:val="auto"/>
                <w:szCs w:val="21"/>
                <w:highlight w:val="none"/>
                <w:shd w:val="clear" w:color="auto" w:fill="FFFFFF"/>
                <w:lang w:val="en-US" w:eastAsia="zh-CN"/>
              </w:rPr>
              <w:t>、南瓜</w:t>
            </w:r>
            <w:r>
              <w:rPr>
                <w:rFonts w:hint="default" w:ascii="Times New Roman" w:hAnsi="Times New Roman" w:cs="Times New Roman"/>
                <w:i/>
                <w:iCs/>
                <w:color w:val="auto"/>
                <w:szCs w:val="21"/>
                <w:highlight w:val="none"/>
                <w:shd w:val="clear" w:color="auto" w:fill="FFFFFF"/>
                <w:lang w:val="en-US" w:eastAsia="zh-CN"/>
              </w:rPr>
              <w:t>（Cucurbita moschata）</w:t>
            </w:r>
            <w:r>
              <w:rPr>
                <w:rFonts w:hint="eastAsia" w:cs="Times New Roman"/>
                <w:color w:val="auto"/>
                <w:szCs w:val="21"/>
                <w:highlight w:val="none"/>
                <w:shd w:val="clear" w:color="auto" w:fill="FFFFFF"/>
                <w:lang w:val="en-US" w:eastAsia="zh-CN"/>
              </w:rPr>
              <w:t>等</w:t>
            </w:r>
            <w:r>
              <w:rPr>
                <w:rFonts w:hint="default" w:ascii="Times New Roman" w:hAnsi="Times New Roman" w:cs="Times New Roman"/>
                <w:color w:val="auto"/>
                <w:szCs w:val="21"/>
                <w:highlight w:val="none"/>
                <w:shd w:val="clear" w:color="auto" w:fill="FFFFFF"/>
              </w:rPr>
              <w:t>，经济林木主要为</w:t>
            </w:r>
            <w:r>
              <w:rPr>
                <w:rFonts w:hint="default" w:ascii="Times New Roman" w:hAnsi="Times New Roman" w:cs="Times New Roman"/>
                <w:color w:val="auto"/>
                <w:szCs w:val="21"/>
                <w:highlight w:val="none"/>
                <w:shd w:val="clear" w:color="auto" w:fill="FFFFFF"/>
                <w:lang w:val="en-US" w:eastAsia="zh-CN"/>
              </w:rPr>
              <w:t>枇杷树</w:t>
            </w:r>
            <w:r>
              <w:rPr>
                <w:rFonts w:hint="default" w:ascii="Times New Roman" w:hAnsi="Times New Roman" w:cs="Times New Roman"/>
                <w:i/>
                <w:iCs/>
                <w:color w:val="auto"/>
                <w:szCs w:val="21"/>
                <w:highlight w:val="none"/>
                <w:shd w:val="clear" w:color="auto" w:fill="FFFFFF"/>
                <w:lang w:val="en-US" w:eastAsia="zh-CN"/>
              </w:rPr>
              <w:t>（Eriobotrya japonica (Thunb.) Lindl.）</w:t>
            </w:r>
            <w:r>
              <w:rPr>
                <w:rFonts w:hint="default" w:ascii="Times New Roman" w:hAnsi="Times New Roman" w:cs="Times New Roman"/>
                <w:color w:val="auto"/>
                <w:szCs w:val="21"/>
                <w:highlight w:val="none"/>
                <w:shd w:val="clear" w:color="auto" w:fill="FFFFFF"/>
              </w:rPr>
              <w:t>等。</w:t>
            </w:r>
          </w:p>
          <w:tbl>
            <w:tblPr>
              <w:tblStyle w:val="26"/>
              <w:tblW w:w="498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8"/>
              <w:gridCol w:w="4541"/>
            </w:tblGrid>
            <w:tr w14:paraId="7CA62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9" w:type="pct"/>
                  <w:vAlign w:val="center"/>
                </w:tcPr>
                <w:p w14:paraId="3B683DAF">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eastAsia="zh-CN"/>
                    </w:rPr>
                  </w:pPr>
                  <w:r>
                    <w:rPr>
                      <w:rFonts w:hint="eastAsia" w:eastAsia="宋体"/>
                      <w:color w:val="auto"/>
                      <w:sz w:val="18"/>
                      <w:szCs w:val="18"/>
                      <w:shd w:val="clear" w:color="auto" w:fill="FFFFFF"/>
                      <w:lang w:eastAsia="zh-CN"/>
                    </w:rPr>
                    <w:drawing>
                      <wp:inline distT="0" distB="0" distL="114300" distR="114300">
                        <wp:extent cx="2580640" cy="1451610"/>
                        <wp:effectExtent l="0" t="0" r="10160" b="11430"/>
                        <wp:docPr id="15" name="图片 15" descr="毛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毛竹2"/>
                                <pic:cNvPicPr>
                                  <a:picLocks noChangeAspect="1"/>
                                </pic:cNvPicPr>
                              </pic:nvPicPr>
                              <pic:blipFill>
                                <a:blip r:embed="rId15"/>
                                <a:stretch>
                                  <a:fillRect/>
                                </a:stretch>
                              </pic:blipFill>
                              <pic:spPr>
                                <a:xfrm>
                                  <a:off x="0" y="0"/>
                                  <a:ext cx="2580640" cy="1451610"/>
                                </a:xfrm>
                                <a:prstGeom prst="rect">
                                  <a:avLst/>
                                </a:prstGeom>
                              </pic:spPr>
                            </pic:pic>
                          </a:graphicData>
                        </a:graphic>
                      </wp:inline>
                    </w:drawing>
                  </w:r>
                </w:p>
              </w:tc>
              <w:tc>
                <w:tcPr>
                  <w:tcW w:w="2500" w:type="pct"/>
                  <w:vAlign w:val="center"/>
                </w:tcPr>
                <w:p w14:paraId="2C4775D1">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eastAsia="zh-CN"/>
                    </w:rPr>
                  </w:pPr>
                  <w:r>
                    <w:rPr>
                      <w:rFonts w:hint="eastAsia" w:eastAsia="宋体"/>
                      <w:color w:val="auto"/>
                      <w:sz w:val="18"/>
                      <w:szCs w:val="18"/>
                      <w:shd w:val="clear" w:color="auto" w:fill="FFFFFF"/>
                      <w:lang w:eastAsia="zh-CN"/>
                    </w:rPr>
                    <w:drawing>
                      <wp:inline distT="0" distB="0" distL="114300" distR="114300">
                        <wp:extent cx="2573020" cy="1447165"/>
                        <wp:effectExtent l="0" t="0" r="17780" b="635"/>
                        <wp:docPr id="73" name="图片 73" descr="茅草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茅草3"/>
                                <pic:cNvPicPr>
                                  <a:picLocks noChangeAspect="1"/>
                                </pic:cNvPicPr>
                              </pic:nvPicPr>
                              <pic:blipFill>
                                <a:blip r:embed="rId16"/>
                                <a:stretch>
                                  <a:fillRect/>
                                </a:stretch>
                              </pic:blipFill>
                              <pic:spPr>
                                <a:xfrm>
                                  <a:off x="0" y="0"/>
                                  <a:ext cx="2573020" cy="1447165"/>
                                </a:xfrm>
                                <a:prstGeom prst="rect">
                                  <a:avLst/>
                                </a:prstGeom>
                              </pic:spPr>
                            </pic:pic>
                          </a:graphicData>
                        </a:graphic>
                      </wp:inline>
                    </w:drawing>
                  </w:r>
                </w:p>
              </w:tc>
            </w:tr>
            <w:tr w14:paraId="79355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9" w:type="pct"/>
                  <w:vAlign w:val="center"/>
                </w:tcPr>
                <w:p w14:paraId="2917A079">
                  <w:pPr>
                    <w:keepNext w:val="0"/>
                    <w:keepLines w:val="0"/>
                    <w:pageBreakBefore w:val="0"/>
                    <w:widowControl w:val="0"/>
                    <w:kinsoku/>
                    <w:overflowPunct/>
                    <w:topLinePunct w:val="0"/>
                    <w:bidi w:val="0"/>
                    <w:snapToGrid w:val="0"/>
                    <w:jc w:val="center"/>
                    <w:rPr>
                      <w:rFonts w:hint="default" w:eastAsia="宋体"/>
                      <w:color w:val="auto"/>
                      <w:sz w:val="18"/>
                      <w:szCs w:val="18"/>
                      <w:shd w:val="clear" w:color="auto" w:fill="FFFFFF"/>
                      <w:lang w:val="en-US" w:eastAsia="zh-CN"/>
                    </w:rPr>
                  </w:pPr>
                  <w:r>
                    <w:rPr>
                      <w:rFonts w:hint="eastAsia"/>
                      <w:i w:val="0"/>
                      <w:iCs w:val="0"/>
                      <w:color w:val="auto"/>
                      <w:sz w:val="18"/>
                      <w:szCs w:val="18"/>
                      <w:highlight w:val="none"/>
                      <w:lang w:val="en-US" w:eastAsia="zh-CN"/>
                    </w:rPr>
                    <w:t>毛竹</w:t>
                  </w:r>
                  <w:r>
                    <w:rPr>
                      <w:rFonts w:hint="default"/>
                      <w:i/>
                      <w:iCs/>
                      <w:color w:val="auto"/>
                      <w:sz w:val="18"/>
                      <w:szCs w:val="18"/>
                      <w:highlight w:val="none"/>
                    </w:rPr>
                    <w:t>（Phyllostachys edulis (Carrière) J. Houz.）</w:t>
                  </w:r>
                </w:p>
              </w:tc>
              <w:tc>
                <w:tcPr>
                  <w:tcW w:w="2500" w:type="pct"/>
                  <w:vAlign w:val="center"/>
                </w:tcPr>
                <w:p w14:paraId="67D50AC8">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val="en-US" w:eastAsia="zh-CN"/>
                    </w:rPr>
                  </w:pPr>
                  <w:r>
                    <w:rPr>
                      <w:rFonts w:hint="eastAsia" w:eastAsia="宋体"/>
                      <w:color w:val="auto"/>
                      <w:sz w:val="18"/>
                      <w:szCs w:val="18"/>
                      <w:shd w:val="clear" w:color="auto" w:fill="FFFFFF"/>
                      <w:lang w:val="en-US" w:eastAsia="zh-CN"/>
                    </w:rPr>
                    <w:t>茅草（</w:t>
                  </w:r>
                  <w:r>
                    <w:rPr>
                      <w:rFonts w:hint="eastAsia" w:eastAsia="宋体"/>
                      <w:i/>
                      <w:iCs/>
                      <w:color w:val="auto"/>
                      <w:sz w:val="18"/>
                      <w:szCs w:val="18"/>
                      <w:shd w:val="clear" w:color="auto" w:fill="FFFFFF"/>
                      <w:lang w:val="en-US" w:eastAsia="zh-CN"/>
                    </w:rPr>
                    <w:t>Imperata cylindrica (L.) Beauv.</w:t>
                  </w:r>
                  <w:r>
                    <w:rPr>
                      <w:rFonts w:hint="eastAsia" w:eastAsia="宋体"/>
                      <w:color w:val="auto"/>
                      <w:sz w:val="18"/>
                      <w:szCs w:val="18"/>
                      <w:shd w:val="clear" w:color="auto" w:fill="FFFFFF"/>
                      <w:lang w:val="en-US" w:eastAsia="zh-CN"/>
                    </w:rPr>
                    <w:t>）</w:t>
                  </w:r>
                </w:p>
              </w:tc>
            </w:tr>
            <w:tr w14:paraId="7F172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9" w:type="pct"/>
                  <w:vAlign w:val="center"/>
                </w:tcPr>
                <w:p w14:paraId="04053595">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eastAsia="zh-CN"/>
                    </w:rPr>
                  </w:pPr>
                  <w:r>
                    <w:rPr>
                      <w:rFonts w:hint="eastAsia" w:eastAsia="宋体"/>
                      <w:color w:val="auto"/>
                      <w:sz w:val="18"/>
                      <w:szCs w:val="18"/>
                      <w:shd w:val="clear" w:color="auto" w:fill="FFFFFF"/>
                      <w:lang w:eastAsia="zh-CN"/>
                    </w:rPr>
                    <w:drawing>
                      <wp:inline distT="0" distB="0" distL="114300" distR="114300">
                        <wp:extent cx="2580640" cy="1451610"/>
                        <wp:effectExtent l="0" t="0" r="10160" b="11430"/>
                        <wp:docPr id="14" name="图片 14" descr="杉树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杉树3"/>
                                <pic:cNvPicPr>
                                  <a:picLocks noChangeAspect="1"/>
                                </pic:cNvPicPr>
                              </pic:nvPicPr>
                              <pic:blipFill>
                                <a:blip r:embed="rId17"/>
                                <a:stretch>
                                  <a:fillRect/>
                                </a:stretch>
                              </pic:blipFill>
                              <pic:spPr>
                                <a:xfrm>
                                  <a:off x="0" y="0"/>
                                  <a:ext cx="2580640" cy="1451610"/>
                                </a:xfrm>
                                <a:prstGeom prst="rect">
                                  <a:avLst/>
                                </a:prstGeom>
                              </pic:spPr>
                            </pic:pic>
                          </a:graphicData>
                        </a:graphic>
                      </wp:inline>
                    </w:drawing>
                  </w:r>
                </w:p>
              </w:tc>
              <w:tc>
                <w:tcPr>
                  <w:tcW w:w="2500" w:type="pct"/>
                  <w:vAlign w:val="center"/>
                </w:tcPr>
                <w:p w14:paraId="7D336E60">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eastAsia="zh-CN"/>
                    </w:rPr>
                  </w:pPr>
                  <w:r>
                    <w:rPr>
                      <w:rFonts w:hint="eastAsia" w:eastAsia="宋体"/>
                      <w:color w:val="auto"/>
                      <w:sz w:val="18"/>
                      <w:szCs w:val="18"/>
                      <w:shd w:val="clear" w:color="auto" w:fill="FFFFFF"/>
                      <w:lang w:eastAsia="zh-CN"/>
                    </w:rPr>
                    <w:drawing>
                      <wp:inline distT="0" distB="0" distL="114300" distR="114300">
                        <wp:extent cx="2573020" cy="1447165"/>
                        <wp:effectExtent l="0" t="0" r="17780" b="635"/>
                        <wp:docPr id="81" name="图片 81" descr="南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南瓜"/>
                                <pic:cNvPicPr>
                                  <a:picLocks noChangeAspect="1"/>
                                </pic:cNvPicPr>
                              </pic:nvPicPr>
                              <pic:blipFill>
                                <a:blip r:embed="rId18"/>
                                <a:stretch>
                                  <a:fillRect/>
                                </a:stretch>
                              </pic:blipFill>
                              <pic:spPr>
                                <a:xfrm>
                                  <a:off x="0" y="0"/>
                                  <a:ext cx="2573020" cy="1447165"/>
                                </a:xfrm>
                                <a:prstGeom prst="rect">
                                  <a:avLst/>
                                </a:prstGeom>
                              </pic:spPr>
                            </pic:pic>
                          </a:graphicData>
                        </a:graphic>
                      </wp:inline>
                    </w:drawing>
                  </w:r>
                </w:p>
              </w:tc>
            </w:tr>
            <w:tr w14:paraId="60B9E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9" w:type="pct"/>
                  <w:vAlign w:val="center"/>
                </w:tcPr>
                <w:p w14:paraId="7FC3E204">
                  <w:pPr>
                    <w:keepNext w:val="0"/>
                    <w:keepLines w:val="0"/>
                    <w:pageBreakBefore w:val="0"/>
                    <w:widowControl w:val="0"/>
                    <w:kinsoku/>
                    <w:overflowPunct/>
                    <w:topLinePunct w:val="0"/>
                    <w:bidi w:val="0"/>
                    <w:snapToGrid w:val="0"/>
                    <w:jc w:val="center"/>
                    <w:rPr>
                      <w:rFonts w:hint="default" w:eastAsia="宋体"/>
                      <w:color w:val="auto"/>
                      <w:sz w:val="18"/>
                      <w:szCs w:val="18"/>
                      <w:shd w:val="clear" w:color="auto" w:fill="FFFFFF"/>
                      <w:lang w:val="en-US" w:eastAsia="zh-CN"/>
                    </w:rPr>
                  </w:pPr>
                  <w:r>
                    <w:rPr>
                      <w:rFonts w:hint="default" w:ascii="Times New Roman" w:hAnsi="Times New Roman" w:eastAsia="宋体" w:cs="Times New Roman"/>
                      <w:color w:val="auto"/>
                      <w:sz w:val="18"/>
                      <w:szCs w:val="18"/>
                      <w:highlight w:val="none"/>
                      <w:lang w:val="en-US" w:eastAsia="zh-CN"/>
                    </w:rPr>
                    <w:t>杉树</w:t>
                  </w:r>
                  <w:r>
                    <w:rPr>
                      <w:rFonts w:hint="default" w:ascii="Times New Roman" w:hAnsi="Times New Roman" w:eastAsia="宋体" w:cs="Times New Roman"/>
                      <w:i/>
                      <w:iCs/>
                      <w:caps w:val="0"/>
                      <w:color w:val="auto"/>
                      <w:spacing w:val="0"/>
                      <w:sz w:val="18"/>
                      <w:szCs w:val="18"/>
                      <w:highlight w:val="none"/>
                      <w:shd w:val="clear"/>
                      <w:lang w:val="en-US" w:eastAsia="zh-CN"/>
                    </w:rPr>
                    <w:t>（Cunninghamia lanceolata (Lamb.) Hook</w:t>
                  </w:r>
                  <w:r>
                    <w:rPr>
                      <w:rFonts w:hint="default" w:ascii="Times New Roman" w:hAnsi="Times New Roman" w:eastAsia="宋体" w:cs="Times New Roman"/>
                      <w:i/>
                      <w:iCs/>
                      <w:caps w:val="0"/>
                      <w:color w:val="auto"/>
                      <w:spacing w:val="0"/>
                      <w:sz w:val="18"/>
                      <w:szCs w:val="18"/>
                      <w:highlight w:val="none"/>
                      <w:shd w:val="clear"/>
                    </w:rPr>
                    <w:t>）</w:t>
                  </w:r>
                </w:p>
              </w:tc>
              <w:tc>
                <w:tcPr>
                  <w:tcW w:w="2500" w:type="pct"/>
                  <w:vAlign w:val="center"/>
                </w:tcPr>
                <w:p w14:paraId="58BD868C">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val="en-US" w:eastAsia="zh-CN"/>
                    </w:rPr>
                  </w:pPr>
                  <w:r>
                    <w:rPr>
                      <w:rFonts w:hint="eastAsia" w:eastAsia="宋体"/>
                      <w:color w:val="auto"/>
                      <w:sz w:val="18"/>
                      <w:szCs w:val="18"/>
                      <w:shd w:val="clear" w:color="auto" w:fill="FFFFFF"/>
                      <w:lang w:val="en-US" w:eastAsia="zh-CN"/>
                    </w:rPr>
                    <w:t>南瓜</w:t>
                  </w:r>
                  <w:r>
                    <w:rPr>
                      <w:rFonts w:hint="eastAsia" w:eastAsia="宋体"/>
                      <w:i/>
                      <w:iCs/>
                      <w:color w:val="auto"/>
                      <w:sz w:val="18"/>
                      <w:szCs w:val="18"/>
                      <w:shd w:val="clear" w:color="auto" w:fill="FFFFFF"/>
                      <w:lang w:val="en-US" w:eastAsia="zh-CN"/>
                    </w:rPr>
                    <w:t>（Cucurbita moschata）</w:t>
                  </w:r>
                </w:p>
              </w:tc>
            </w:tr>
            <w:tr w14:paraId="127DA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9" w:type="pct"/>
                  <w:vAlign w:val="center"/>
                </w:tcPr>
                <w:p w14:paraId="6421AA8D">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eastAsia="zh-CN"/>
                    </w:rPr>
                  </w:pPr>
                  <w:r>
                    <w:rPr>
                      <w:rFonts w:hint="eastAsia" w:eastAsia="宋体"/>
                      <w:color w:val="auto"/>
                      <w:sz w:val="18"/>
                      <w:szCs w:val="18"/>
                      <w:shd w:val="clear" w:color="auto" w:fill="FFFFFF"/>
                      <w:lang w:eastAsia="zh-CN"/>
                    </w:rPr>
                    <w:drawing>
                      <wp:inline distT="0" distB="0" distL="114300" distR="114300">
                        <wp:extent cx="2534920" cy="1425575"/>
                        <wp:effectExtent l="0" t="0" r="10160" b="6985"/>
                        <wp:docPr id="77" name="图片 77" descr="玉米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玉米2"/>
                                <pic:cNvPicPr>
                                  <a:picLocks noChangeAspect="1"/>
                                </pic:cNvPicPr>
                              </pic:nvPicPr>
                              <pic:blipFill>
                                <a:blip r:embed="rId19"/>
                                <a:stretch>
                                  <a:fillRect/>
                                </a:stretch>
                              </pic:blipFill>
                              <pic:spPr>
                                <a:xfrm>
                                  <a:off x="0" y="0"/>
                                  <a:ext cx="2534920" cy="1425575"/>
                                </a:xfrm>
                                <a:prstGeom prst="rect">
                                  <a:avLst/>
                                </a:prstGeom>
                              </pic:spPr>
                            </pic:pic>
                          </a:graphicData>
                        </a:graphic>
                      </wp:inline>
                    </w:drawing>
                  </w:r>
                </w:p>
              </w:tc>
              <w:tc>
                <w:tcPr>
                  <w:tcW w:w="2500" w:type="pct"/>
                  <w:vAlign w:val="center"/>
                </w:tcPr>
                <w:p w14:paraId="747B93F9">
                  <w:pPr>
                    <w:keepNext w:val="0"/>
                    <w:keepLines w:val="0"/>
                    <w:pageBreakBefore w:val="0"/>
                    <w:widowControl w:val="0"/>
                    <w:kinsoku/>
                    <w:overflowPunct/>
                    <w:topLinePunct w:val="0"/>
                    <w:bidi w:val="0"/>
                    <w:snapToGrid w:val="0"/>
                    <w:jc w:val="center"/>
                    <w:rPr>
                      <w:rFonts w:hint="eastAsia" w:eastAsia="宋体"/>
                      <w:color w:val="auto"/>
                      <w:sz w:val="18"/>
                      <w:szCs w:val="18"/>
                      <w:shd w:val="clear" w:color="auto" w:fill="FFFFFF"/>
                      <w:lang w:eastAsia="zh-CN"/>
                    </w:rPr>
                  </w:pPr>
                  <w:r>
                    <w:rPr>
                      <w:rFonts w:hint="eastAsia" w:eastAsia="宋体"/>
                      <w:color w:val="auto"/>
                      <w:sz w:val="18"/>
                      <w:szCs w:val="18"/>
                      <w:shd w:val="clear" w:color="auto" w:fill="FFFFFF"/>
                      <w:lang w:eastAsia="zh-CN"/>
                    </w:rPr>
                    <w:drawing>
                      <wp:inline distT="0" distB="0" distL="114300" distR="114300">
                        <wp:extent cx="2534920" cy="1425575"/>
                        <wp:effectExtent l="0" t="0" r="17780" b="3175"/>
                        <wp:docPr id="78" name="图片 78" descr="枇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枇杷2"/>
                                <pic:cNvPicPr>
                                  <a:picLocks noChangeAspect="1"/>
                                </pic:cNvPicPr>
                              </pic:nvPicPr>
                              <pic:blipFill>
                                <a:blip r:embed="rId20"/>
                                <a:stretch>
                                  <a:fillRect/>
                                </a:stretch>
                              </pic:blipFill>
                              <pic:spPr>
                                <a:xfrm>
                                  <a:off x="0" y="0"/>
                                  <a:ext cx="2534920" cy="1425575"/>
                                </a:xfrm>
                                <a:prstGeom prst="rect">
                                  <a:avLst/>
                                </a:prstGeom>
                              </pic:spPr>
                            </pic:pic>
                          </a:graphicData>
                        </a:graphic>
                      </wp:inline>
                    </w:drawing>
                  </w:r>
                </w:p>
              </w:tc>
            </w:tr>
            <w:tr w14:paraId="77D4D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9" w:type="pct"/>
                  <w:vAlign w:val="center"/>
                </w:tcPr>
                <w:p w14:paraId="4B2182C3">
                  <w:pPr>
                    <w:keepNext w:val="0"/>
                    <w:keepLines w:val="0"/>
                    <w:pageBreakBefore w:val="0"/>
                    <w:widowControl w:val="0"/>
                    <w:kinsoku/>
                    <w:overflowPunct/>
                    <w:topLinePunct w:val="0"/>
                    <w:bidi w:val="0"/>
                    <w:snapToGrid w:val="0"/>
                    <w:jc w:val="center"/>
                    <w:rPr>
                      <w:rFonts w:hint="default" w:eastAsia="宋体"/>
                      <w:color w:val="auto"/>
                      <w:sz w:val="18"/>
                      <w:szCs w:val="18"/>
                      <w:shd w:val="clear" w:color="auto" w:fill="FFFFFF"/>
                      <w:lang w:val="en-US" w:eastAsia="zh-CN"/>
                    </w:rPr>
                  </w:pPr>
                  <w:r>
                    <w:rPr>
                      <w:rFonts w:hint="default" w:eastAsia="宋体"/>
                      <w:color w:val="auto"/>
                      <w:sz w:val="18"/>
                      <w:szCs w:val="18"/>
                      <w:shd w:val="clear" w:color="auto" w:fill="FFFFFF"/>
                      <w:lang w:val="en-US" w:eastAsia="zh-CN"/>
                    </w:rPr>
                    <w:t>玉米</w:t>
                  </w:r>
                  <w:r>
                    <w:rPr>
                      <w:rFonts w:hint="default" w:eastAsia="宋体"/>
                      <w:i/>
                      <w:iCs/>
                      <w:color w:val="auto"/>
                      <w:sz w:val="18"/>
                      <w:szCs w:val="18"/>
                      <w:shd w:val="clear" w:color="auto" w:fill="FFFFFF"/>
                      <w:lang w:val="en-US" w:eastAsia="zh-CN"/>
                    </w:rPr>
                    <w:t>（Zea mays L.）</w:t>
                  </w:r>
                </w:p>
              </w:tc>
              <w:tc>
                <w:tcPr>
                  <w:tcW w:w="2500" w:type="pct"/>
                  <w:vAlign w:val="center"/>
                </w:tcPr>
                <w:p w14:paraId="4750EA20">
                  <w:pPr>
                    <w:keepNext w:val="0"/>
                    <w:keepLines w:val="0"/>
                    <w:pageBreakBefore w:val="0"/>
                    <w:widowControl w:val="0"/>
                    <w:kinsoku/>
                    <w:overflowPunct/>
                    <w:topLinePunct w:val="0"/>
                    <w:bidi w:val="0"/>
                    <w:snapToGrid w:val="0"/>
                    <w:jc w:val="center"/>
                    <w:rPr>
                      <w:rFonts w:hint="default" w:eastAsia="宋体"/>
                      <w:color w:val="auto"/>
                      <w:sz w:val="18"/>
                      <w:szCs w:val="18"/>
                      <w:shd w:val="clear" w:color="auto" w:fill="FFFFFF"/>
                      <w:lang w:val="en-US" w:eastAsia="zh-CN"/>
                    </w:rPr>
                  </w:pPr>
                  <w:r>
                    <w:rPr>
                      <w:rFonts w:hint="default" w:eastAsia="宋体"/>
                      <w:color w:val="auto"/>
                      <w:sz w:val="18"/>
                      <w:szCs w:val="18"/>
                      <w:shd w:val="clear" w:color="auto" w:fill="FFFFFF"/>
                      <w:lang w:val="en-US" w:eastAsia="zh-CN"/>
                    </w:rPr>
                    <w:t>枇杷树</w:t>
                  </w:r>
                  <w:r>
                    <w:rPr>
                      <w:rFonts w:hint="default" w:eastAsia="宋体"/>
                      <w:i/>
                      <w:iCs/>
                      <w:color w:val="auto"/>
                      <w:sz w:val="18"/>
                      <w:szCs w:val="18"/>
                      <w:shd w:val="clear" w:color="auto" w:fill="FFFFFF"/>
                      <w:lang w:val="en-US" w:eastAsia="zh-CN"/>
                    </w:rPr>
                    <w:t>（Eriobotrya japonica (Thunb.) Lindl.）</w:t>
                  </w:r>
                </w:p>
              </w:tc>
            </w:tr>
          </w:tbl>
          <w:p w14:paraId="0BA6ED79">
            <w:pPr>
              <w:keepNext w:val="0"/>
              <w:keepLines w:val="0"/>
              <w:pageBreakBefore w:val="0"/>
              <w:widowControl w:val="0"/>
              <w:kinsoku/>
              <w:overflowPunct/>
              <w:topLinePunct w:val="0"/>
              <w:bidi w:val="0"/>
              <w:adjustRightInd w:val="0"/>
              <w:jc w:val="center"/>
              <w:rPr>
                <w:rFonts w:hint="eastAsia" w:eastAsia="黑体"/>
                <w:color w:val="auto"/>
                <w:szCs w:val="21"/>
              </w:rPr>
            </w:pPr>
            <w:r>
              <w:rPr>
                <w:rFonts w:hint="eastAsia" w:eastAsia="黑体"/>
                <w:color w:val="auto"/>
                <w:szCs w:val="21"/>
              </w:rPr>
              <w:t>图</w:t>
            </w:r>
            <w:r>
              <w:rPr>
                <w:rFonts w:eastAsia="黑体"/>
                <w:color w:val="auto"/>
                <w:szCs w:val="21"/>
              </w:rPr>
              <w:t>3-1  项目所在区域</w:t>
            </w:r>
            <w:r>
              <w:rPr>
                <w:rFonts w:hint="eastAsia" w:eastAsia="黑体"/>
                <w:color w:val="auto"/>
                <w:szCs w:val="21"/>
              </w:rPr>
              <w:t>主要代表性植被照片</w:t>
            </w:r>
          </w:p>
          <w:p w14:paraId="3065B2AC">
            <w:pPr>
              <w:keepNext w:val="0"/>
              <w:keepLines w:val="0"/>
              <w:pageBreakBefore w:val="0"/>
              <w:widowControl w:val="0"/>
              <w:kinsoku/>
              <w:wordWrap w:val="0"/>
              <w:overflowPunct/>
              <w:topLinePunct w:val="0"/>
              <w:autoSpaceDE/>
              <w:autoSpaceDN/>
              <w:bidi w:val="0"/>
              <w:adjustRightInd w:val="0"/>
              <w:snapToGrid/>
              <w:spacing w:line="360" w:lineRule="auto"/>
              <w:ind w:firstLine="420" w:firstLineChars="200"/>
              <w:jc w:val="left"/>
              <w:textAlignment w:val="auto"/>
              <w:rPr>
                <w:rFonts w:hint="eastAsia" w:eastAsia="黑体"/>
                <w:color w:val="auto"/>
                <w:szCs w:val="21"/>
              </w:rPr>
            </w:pPr>
            <w:r>
              <w:rPr>
                <w:rFonts w:hint="default" w:ascii="Times New Roman" w:hAnsi="Times New Roman" w:cs="Times New Roman"/>
                <w:color w:val="auto"/>
                <w:szCs w:val="21"/>
                <w:highlight w:val="none"/>
                <w:shd w:val="clear" w:color="auto" w:fill="FFFFFF"/>
              </w:rPr>
              <w:t>综上所述，本项目所在区域属</w:t>
            </w:r>
            <w:r>
              <w:rPr>
                <w:rFonts w:hint="eastAsia"/>
                <w:color w:val="auto"/>
                <w:szCs w:val="21"/>
                <w:shd w:val="clear" w:color="auto" w:fill="FFFFFF"/>
                <w:lang w:val="en-US" w:eastAsia="zh-CN"/>
              </w:rPr>
              <w:t>川北深丘植被小区</w:t>
            </w:r>
            <w:r>
              <w:rPr>
                <w:rFonts w:hint="default" w:ascii="Times New Roman" w:hAnsi="Times New Roman" w:cs="Times New Roman"/>
                <w:color w:val="auto"/>
                <w:szCs w:val="21"/>
                <w:highlight w:val="none"/>
                <w:shd w:val="clear" w:color="auto" w:fill="FFFFFF"/>
              </w:rPr>
              <w:t>，调查区域植被主要为自然植被，其次为栽培植被，</w:t>
            </w:r>
            <w:r>
              <w:rPr>
                <w:rFonts w:hint="eastAsia" w:cs="Times New Roman"/>
                <w:color w:val="auto"/>
                <w:szCs w:val="21"/>
                <w:highlight w:val="none"/>
                <w:shd w:val="clear" w:color="auto" w:fill="FFFFFF"/>
                <w:lang w:val="en-US" w:eastAsia="zh-CN"/>
              </w:rPr>
              <w:t>自然植被代表性物种</w:t>
            </w:r>
            <w:r>
              <w:rPr>
                <w:rFonts w:hint="default" w:ascii="Times New Roman" w:hAnsi="Times New Roman" w:cs="Times New Roman"/>
                <w:color w:val="auto"/>
                <w:szCs w:val="21"/>
                <w:highlight w:val="none"/>
                <w:shd w:val="clear" w:color="auto" w:fill="FFFFFF"/>
              </w:rPr>
              <w:t>有杉树</w:t>
            </w:r>
            <w:r>
              <w:rPr>
                <w:rFonts w:hint="default" w:ascii="Times New Roman" w:hAnsi="Times New Roman" w:cs="Times New Roman"/>
                <w:i/>
                <w:iCs/>
                <w:color w:val="auto"/>
                <w:szCs w:val="21"/>
                <w:highlight w:val="none"/>
                <w:shd w:val="clear" w:color="auto" w:fill="FFFFFF"/>
              </w:rPr>
              <w:t>（Cunninghamia lanceolata (Lamb.) Hook）</w:t>
            </w:r>
            <w:r>
              <w:rPr>
                <w:rFonts w:hint="eastAsia" w:cs="Times New Roman"/>
                <w:color w:val="auto"/>
                <w:szCs w:val="21"/>
                <w:highlight w:val="none"/>
                <w:shd w:val="clear" w:color="auto" w:fill="FFFFFF"/>
                <w:lang w:eastAsia="zh-CN"/>
              </w:rPr>
              <w:t>、毛竹</w:t>
            </w:r>
            <w:r>
              <w:rPr>
                <w:rFonts w:hint="eastAsia" w:cs="Times New Roman"/>
                <w:i/>
                <w:iCs/>
                <w:color w:val="auto"/>
                <w:szCs w:val="21"/>
                <w:highlight w:val="none"/>
                <w:shd w:val="clear" w:color="auto" w:fill="FFFFFF"/>
                <w:lang w:eastAsia="zh-CN"/>
              </w:rPr>
              <w:t>（Phyllostachys edulis (Carrière) J. Houz.）</w:t>
            </w:r>
            <w:r>
              <w:rPr>
                <w:rFonts w:hint="eastAsia" w:cs="Times New Roman"/>
                <w:color w:val="auto"/>
                <w:szCs w:val="21"/>
                <w:highlight w:val="none"/>
                <w:shd w:val="clear" w:color="auto" w:fill="FFFFFF"/>
                <w:lang w:eastAsia="zh-CN"/>
              </w:rPr>
              <w:t>、</w:t>
            </w:r>
            <w:r>
              <w:rPr>
                <w:rFonts w:hint="default" w:ascii="Times New Roman" w:hAnsi="Times New Roman" w:cs="Times New Roman"/>
                <w:color w:val="auto"/>
                <w:szCs w:val="21"/>
                <w:highlight w:val="none"/>
                <w:shd w:val="clear" w:color="auto" w:fill="FFFFFF"/>
              </w:rPr>
              <w:t>茅草</w:t>
            </w:r>
            <w:r>
              <w:rPr>
                <w:rFonts w:hint="default" w:ascii="Times New Roman" w:hAnsi="Times New Roman" w:cs="Times New Roman"/>
                <w:i/>
                <w:iCs/>
                <w:color w:val="auto"/>
                <w:szCs w:val="21"/>
                <w:highlight w:val="none"/>
                <w:shd w:val="clear" w:color="auto" w:fill="FFFFFF"/>
              </w:rPr>
              <w:t>（Imperata cylindrica (L.) Beauv.）</w:t>
            </w:r>
            <w:r>
              <w:rPr>
                <w:rFonts w:hint="default" w:ascii="Times New Roman" w:hAnsi="Times New Roman" w:cs="Times New Roman"/>
                <w:color w:val="auto"/>
                <w:szCs w:val="21"/>
                <w:highlight w:val="none"/>
                <w:shd w:val="clear" w:color="auto" w:fill="FFFFFF"/>
              </w:rPr>
              <w:t>等；栽培植被</w:t>
            </w:r>
            <w:r>
              <w:rPr>
                <w:rFonts w:hint="eastAsia" w:cs="Times New Roman"/>
                <w:color w:val="auto"/>
                <w:szCs w:val="21"/>
                <w:highlight w:val="none"/>
                <w:shd w:val="clear" w:color="auto" w:fill="FFFFFF"/>
                <w:lang w:val="en-US" w:eastAsia="zh-CN"/>
              </w:rPr>
              <w:t>代表性物种</w:t>
            </w:r>
            <w:r>
              <w:rPr>
                <w:rFonts w:hint="default" w:ascii="Times New Roman" w:hAnsi="Times New Roman" w:cs="Times New Roman"/>
                <w:color w:val="auto"/>
                <w:szCs w:val="21"/>
                <w:highlight w:val="none"/>
                <w:shd w:val="clear" w:color="auto" w:fill="FFFFFF"/>
              </w:rPr>
              <w:t>为玉米</w:t>
            </w:r>
            <w:r>
              <w:rPr>
                <w:rFonts w:hint="default" w:ascii="Times New Roman" w:hAnsi="Times New Roman" w:cs="Times New Roman"/>
                <w:i/>
                <w:iCs/>
                <w:color w:val="auto"/>
                <w:szCs w:val="21"/>
                <w:highlight w:val="none"/>
                <w:shd w:val="clear" w:color="auto" w:fill="FFFFFF"/>
              </w:rPr>
              <w:t>（Zea mays L.）</w:t>
            </w:r>
            <w:r>
              <w:rPr>
                <w:rFonts w:hint="default" w:ascii="Times New Roman" w:hAnsi="Times New Roman" w:cs="Times New Roman"/>
                <w:color w:val="auto"/>
                <w:szCs w:val="21"/>
                <w:highlight w:val="none"/>
                <w:shd w:val="clear" w:color="auto" w:fill="FFFFFF"/>
              </w:rPr>
              <w:t>、南瓜</w:t>
            </w:r>
            <w:r>
              <w:rPr>
                <w:rFonts w:hint="default" w:ascii="Times New Roman" w:hAnsi="Times New Roman" w:cs="Times New Roman"/>
                <w:i/>
                <w:iCs/>
                <w:color w:val="auto"/>
                <w:szCs w:val="21"/>
                <w:highlight w:val="none"/>
                <w:shd w:val="clear" w:color="auto" w:fill="FFFFFF"/>
              </w:rPr>
              <w:t>（Cucurbita moschata）</w:t>
            </w:r>
            <w:r>
              <w:rPr>
                <w:rFonts w:hint="eastAsia" w:cs="Times New Roman"/>
                <w:color w:val="auto"/>
                <w:szCs w:val="21"/>
                <w:highlight w:val="none"/>
                <w:shd w:val="clear" w:color="auto" w:fill="FFFFFF"/>
                <w:lang w:eastAsia="zh-CN"/>
              </w:rPr>
              <w:t>、</w:t>
            </w:r>
            <w:r>
              <w:rPr>
                <w:rFonts w:hint="default" w:ascii="Times New Roman" w:hAnsi="Times New Roman" w:cs="Times New Roman"/>
                <w:color w:val="auto"/>
                <w:szCs w:val="21"/>
                <w:highlight w:val="none"/>
                <w:shd w:val="clear" w:color="auto" w:fill="FFFFFF"/>
              </w:rPr>
              <w:t>枇杷树</w:t>
            </w:r>
            <w:r>
              <w:rPr>
                <w:rFonts w:hint="default" w:ascii="Times New Roman" w:hAnsi="Times New Roman" w:cs="Times New Roman"/>
                <w:i/>
                <w:iCs/>
                <w:color w:val="auto"/>
                <w:szCs w:val="21"/>
                <w:highlight w:val="none"/>
                <w:shd w:val="clear" w:color="auto" w:fill="FFFFFF"/>
              </w:rPr>
              <w:t>（Eriobotrya japonica (Thunb.) Lindl.）</w:t>
            </w:r>
            <w:r>
              <w:rPr>
                <w:rFonts w:hint="default" w:ascii="Times New Roman" w:hAnsi="Times New Roman" w:cs="Times New Roman"/>
                <w:color w:val="auto"/>
                <w:szCs w:val="21"/>
                <w:highlight w:val="none"/>
                <w:shd w:val="clear" w:color="auto" w:fill="FFFFFF"/>
              </w:rPr>
              <w:t>等。</w:t>
            </w:r>
            <w:r>
              <w:rPr>
                <w:rFonts w:hint="default" w:ascii="Times New Roman" w:hAnsi="Times New Roman" w:eastAsia="黑体" w:cs="Times New Roman"/>
                <w:color w:val="auto"/>
                <w:szCs w:val="21"/>
                <w:highlight w:val="none"/>
              </w:rPr>
              <w:t>根据《国家重点保护野生植物名录》</w:t>
            </w:r>
            <w:r>
              <w:rPr>
                <w:rFonts w:hint="eastAsia" w:eastAsia="黑体" w:cs="Times New Roman"/>
                <w:color w:val="auto"/>
                <w:szCs w:val="21"/>
                <w:highlight w:val="none"/>
                <w:lang w:eastAsia="zh-CN"/>
              </w:rPr>
              <w:t>（</w:t>
            </w:r>
            <w:r>
              <w:rPr>
                <w:rFonts w:hint="eastAsia" w:eastAsia="黑体" w:cs="Times New Roman"/>
                <w:color w:val="auto"/>
                <w:szCs w:val="21"/>
                <w:highlight w:val="none"/>
                <w:lang w:val="en-US" w:eastAsia="zh-CN"/>
              </w:rPr>
              <w:t>国家林业和草原局 农业农村部公告2021年第15号</w:t>
            </w:r>
            <w:r>
              <w:rPr>
                <w:rFonts w:hint="eastAsia" w:eastAsia="黑体" w:cs="Times New Roman"/>
                <w:color w:val="auto"/>
                <w:szCs w:val="21"/>
                <w:highlight w:val="none"/>
                <w:lang w:eastAsia="zh-CN"/>
              </w:rPr>
              <w:t>）</w:t>
            </w:r>
            <w:r>
              <w:rPr>
                <w:rFonts w:hint="default" w:ascii="Times New Roman" w:hAnsi="Times New Roman" w:eastAsia="黑体" w:cs="Times New Roman"/>
                <w:color w:val="auto"/>
                <w:szCs w:val="21"/>
                <w:highlight w:val="none"/>
              </w:rPr>
              <w:t>和《全国古树名木普查建档技术规定</w:t>
            </w:r>
            <w:r>
              <w:rPr>
                <w:rFonts w:hint="eastAsia" w:eastAsia="黑体" w:cs="Times New Roman"/>
                <w:color w:val="auto"/>
                <w:szCs w:val="21"/>
                <w:highlight w:val="none"/>
                <w:lang w:eastAsia="zh-CN"/>
              </w:rPr>
              <w:t>》和</w:t>
            </w:r>
            <w:r>
              <w:rPr>
                <w:rFonts w:hint="eastAsia" w:eastAsia="黑体"/>
                <w:color w:val="auto"/>
                <w:szCs w:val="21"/>
                <w:shd w:val="clear"/>
                <w:lang w:eastAsia="zh-CN"/>
              </w:rPr>
              <w:t>《</w:t>
            </w:r>
            <w:r>
              <w:rPr>
                <w:rFonts w:hint="eastAsia" w:eastAsia="黑体"/>
                <w:color w:val="auto"/>
                <w:szCs w:val="21"/>
                <w:shd w:val="clear"/>
                <w:lang w:val="en-US" w:eastAsia="zh-CN"/>
              </w:rPr>
              <w:t>四川省重点保护野生植物名录</w:t>
            </w:r>
            <w:r>
              <w:rPr>
                <w:rFonts w:hint="eastAsia" w:eastAsia="黑体"/>
                <w:color w:val="auto"/>
                <w:szCs w:val="21"/>
                <w:shd w:val="clear"/>
              </w:rPr>
              <w:t>》</w:t>
            </w:r>
            <w:r>
              <w:rPr>
                <w:rFonts w:hint="eastAsia" w:eastAsia="黑体"/>
                <w:color w:val="auto"/>
                <w:szCs w:val="21"/>
                <w:shd w:val="clear"/>
                <w:lang w:eastAsia="zh-CN"/>
              </w:rPr>
              <w:t>（</w:t>
            </w:r>
            <w:r>
              <w:rPr>
                <w:rFonts w:hint="eastAsia" w:eastAsia="黑体"/>
                <w:color w:val="auto"/>
                <w:szCs w:val="21"/>
                <w:shd w:val="clear"/>
                <w:lang w:val="en-US" w:eastAsia="zh-CN"/>
              </w:rPr>
              <w:t>川府发〔2024〕14号</w:t>
            </w:r>
            <w:r>
              <w:rPr>
                <w:rFonts w:hint="eastAsia" w:eastAsia="黑体"/>
                <w:color w:val="auto"/>
                <w:szCs w:val="21"/>
                <w:shd w:val="clear"/>
                <w:lang w:eastAsia="zh-CN"/>
              </w:rPr>
              <w:t>）</w:t>
            </w:r>
            <w:r>
              <w:rPr>
                <w:rFonts w:hint="default" w:ascii="Times New Roman" w:hAnsi="Times New Roman" w:eastAsia="黑体" w:cs="Times New Roman"/>
                <w:color w:val="auto"/>
                <w:szCs w:val="21"/>
                <w:highlight w:val="none"/>
              </w:rPr>
              <w:t>核实，在</w:t>
            </w:r>
            <w:r>
              <w:rPr>
                <w:rFonts w:hint="default" w:ascii="Times New Roman" w:hAnsi="Times New Roman" w:eastAsia="黑体" w:cs="Times New Roman"/>
                <w:color w:val="auto"/>
                <w:kern w:val="0"/>
                <w:szCs w:val="21"/>
                <w:highlight w:val="none"/>
              </w:rPr>
              <w:t>本项目生态环境</w:t>
            </w:r>
            <w:r>
              <w:rPr>
                <w:rFonts w:hint="default" w:ascii="Times New Roman" w:hAnsi="Times New Roman" w:eastAsia="黑体" w:cs="Times New Roman"/>
                <w:color w:val="auto"/>
                <w:szCs w:val="21"/>
                <w:highlight w:val="none"/>
              </w:rPr>
              <w:t>评价区域内无珍稀濒危及国家和四川省重点保护的野生植物和古树名木分布，</w:t>
            </w:r>
            <w:r>
              <w:rPr>
                <w:rFonts w:hint="default" w:ascii="Times New Roman" w:hAnsi="Times New Roman" w:eastAsia="黑体" w:cs="Times New Roman"/>
                <w:color w:val="auto"/>
                <w:kern w:val="0"/>
                <w:szCs w:val="21"/>
                <w:highlight w:val="none"/>
              </w:rPr>
              <w:t>无重要野生植物生境分布</w:t>
            </w:r>
            <w:r>
              <w:rPr>
                <w:rFonts w:hint="default" w:ascii="Times New Roman" w:hAnsi="Times New Roman" w:eastAsia="黑体" w:cs="Times New Roman"/>
                <w:color w:val="auto"/>
                <w:szCs w:val="21"/>
                <w:highlight w:val="none"/>
              </w:rPr>
              <w:t>。</w:t>
            </w:r>
            <w:r>
              <w:rPr>
                <w:rFonts w:hint="default" w:ascii="Times New Roman" w:hAnsi="Times New Roman" w:eastAsia="黑体" w:cs="Times New Roman"/>
                <w:color w:val="auto"/>
                <w:szCs w:val="21"/>
                <w:highlight w:val="none"/>
                <w:lang w:val="en-US" w:eastAsia="zh-CN"/>
              </w:rPr>
              <w:t>同时，根据核实本项目评价范围内也不涉及《中国生物多样性红色名录》中的易危、濒危</w:t>
            </w:r>
            <w:r>
              <w:rPr>
                <w:rFonts w:hint="eastAsia" w:eastAsia="黑体" w:cs="Times New Roman"/>
                <w:color w:val="auto"/>
                <w:szCs w:val="21"/>
                <w:highlight w:val="none"/>
                <w:lang w:val="en-US" w:eastAsia="zh-CN"/>
              </w:rPr>
              <w:t>、</w:t>
            </w:r>
            <w:r>
              <w:rPr>
                <w:rFonts w:hint="default" w:ascii="Times New Roman" w:hAnsi="Times New Roman" w:eastAsia="黑体" w:cs="Times New Roman"/>
                <w:color w:val="auto"/>
                <w:szCs w:val="21"/>
                <w:highlight w:val="none"/>
                <w:lang w:val="en-US" w:eastAsia="zh-CN"/>
              </w:rPr>
              <w:t>极危等级的野生植物</w:t>
            </w:r>
            <w:r>
              <w:rPr>
                <w:rFonts w:hint="eastAsia" w:eastAsia="黑体" w:cs="Times New Roman"/>
                <w:color w:val="auto"/>
                <w:szCs w:val="21"/>
                <w:highlight w:val="none"/>
                <w:lang w:val="en-US" w:eastAsia="zh-CN"/>
              </w:rPr>
              <w:t>、特有种</w:t>
            </w:r>
            <w:r>
              <w:rPr>
                <w:rFonts w:hint="eastAsia" w:ascii="黑体" w:hAnsi="黑体" w:eastAsia="黑体" w:cs="黑体"/>
                <w:b w:val="0"/>
                <w:bCs w:val="0"/>
                <w:color w:val="auto"/>
                <w:kern w:val="0"/>
                <w:sz w:val="21"/>
                <w:szCs w:val="21"/>
                <w:highlight w:val="none"/>
                <w:lang w:val="en-US" w:eastAsia="zh-CN" w:bidi="ar-SA"/>
              </w:rPr>
              <w:t>。</w:t>
            </w:r>
          </w:p>
          <w:p w14:paraId="0F57C41B">
            <w:pPr>
              <w:keepNext w:val="0"/>
              <w:keepLines w:val="0"/>
              <w:pageBreakBefore w:val="0"/>
              <w:widowControl w:val="0"/>
              <w:kinsoku/>
              <w:overflowPunct/>
              <w:topLinePunct w:val="0"/>
              <w:bidi w:val="0"/>
              <w:adjustRightInd w:val="0"/>
              <w:spacing w:line="360" w:lineRule="auto"/>
              <w:ind w:firstLine="422" w:firstLineChars="200"/>
              <w:rPr>
                <w:b/>
                <w:color w:val="auto"/>
                <w:szCs w:val="21"/>
                <w:shd w:val="clear" w:color="auto" w:fill="FFFFFF"/>
              </w:rPr>
            </w:pPr>
            <w:r>
              <w:rPr>
                <w:rFonts w:hint="eastAsia"/>
                <w:b/>
                <w:color w:val="auto"/>
                <w:szCs w:val="21"/>
                <w:shd w:val="clear" w:color="auto" w:fill="FFFFFF"/>
              </w:rPr>
              <w:t>2</w:t>
            </w:r>
            <w:r>
              <w:rPr>
                <w:b/>
                <w:color w:val="auto"/>
                <w:szCs w:val="21"/>
                <w:shd w:val="clear" w:color="auto" w:fill="FFFFFF"/>
              </w:rPr>
              <w:t>、动物</w:t>
            </w:r>
          </w:p>
          <w:p w14:paraId="5E6855FE">
            <w:pPr>
              <w:keepNext w:val="0"/>
              <w:keepLines w:val="0"/>
              <w:suppressLineNumbers w:val="0"/>
              <w:adjustRightInd w:val="0"/>
              <w:spacing w:before="0" w:beforeAutospacing="0" w:after="0" w:afterAutospacing="0" w:line="360" w:lineRule="auto"/>
              <w:ind w:left="0" w:right="0" w:firstLine="420" w:firstLineChars="200"/>
              <w:rPr>
                <w:rFonts w:hint="default"/>
                <w:color w:val="auto"/>
                <w:kern w:val="0"/>
                <w:szCs w:val="21"/>
                <w:highlight w:val="none"/>
              </w:rPr>
            </w:pPr>
            <w:bookmarkStart w:id="10" w:name="OLE_LINK7"/>
            <w:r>
              <w:rPr>
                <w:rFonts w:hint="default"/>
                <w:color w:val="auto"/>
                <w:kern w:val="0"/>
                <w:szCs w:val="21"/>
                <w:highlight w:val="none"/>
              </w:rPr>
              <w:t>本次区域动物调查采用基础资料收集和实地调查相结合法进行分析。文献资料收集包括整理工程所在区域的《四川鸟类原色图鉴</w:t>
            </w:r>
            <w:r>
              <w:rPr>
                <w:rFonts w:hint="eastAsia"/>
                <w:color w:val="auto"/>
                <w:kern w:val="0"/>
                <w:szCs w:val="21"/>
                <w:highlight w:val="none"/>
                <w:lang w:eastAsia="zh-CN"/>
              </w:rPr>
              <w:t>》《</w:t>
            </w:r>
            <w:r>
              <w:rPr>
                <w:rFonts w:hint="default"/>
                <w:color w:val="auto"/>
                <w:kern w:val="0"/>
                <w:szCs w:val="21"/>
                <w:highlight w:val="none"/>
              </w:rPr>
              <w:t>四川爬行类原色图鉴</w:t>
            </w:r>
            <w:r>
              <w:rPr>
                <w:rFonts w:hint="eastAsia"/>
                <w:color w:val="auto"/>
                <w:kern w:val="0"/>
                <w:szCs w:val="21"/>
                <w:highlight w:val="none"/>
                <w:lang w:eastAsia="zh-CN"/>
              </w:rPr>
              <w:t>》《</w:t>
            </w:r>
            <w:r>
              <w:rPr>
                <w:rFonts w:hint="default"/>
                <w:color w:val="auto"/>
                <w:kern w:val="0"/>
                <w:szCs w:val="21"/>
                <w:highlight w:val="none"/>
              </w:rPr>
              <w:t>四川两栖类原色图鉴》</w:t>
            </w:r>
            <w:r>
              <w:rPr>
                <w:rFonts w:hint="eastAsia"/>
                <w:color w:val="auto"/>
                <w:kern w:val="0"/>
                <w:szCs w:val="21"/>
                <w:highlight w:val="none"/>
                <w:lang w:val="en-US" w:eastAsia="zh-CN"/>
              </w:rPr>
              <w:t>和</w:t>
            </w:r>
            <w:r>
              <w:rPr>
                <w:rFonts w:hint="default"/>
                <w:color w:val="auto"/>
                <w:kern w:val="0"/>
                <w:szCs w:val="21"/>
                <w:highlight w:val="none"/>
              </w:rPr>
              <w:t>《四川兽类原色图鉴》等区域内类似工程调查资料；实地调查包括对现场观察到的动物种类等进行记录和整理。</w:t>
            </w:r>
          </w:p>
          <w:bookmarkEnd w:id="10"/>
          <w:p w14:paraId="323E394B">
            <w:pPr>
              <w:keepNext w:val="0"/>
              <w:keepLines w:val="0"/>
              <w:pageBreakBefore w:val="0"/>
              <w:widowControl w:val="0"/>
              <w:kinsoku/>
              <w:overflowPunct/>
              <w:topLinePunct w:val="0"/>
              <w:bidi w:val="0"/>
              <w:adjustRightInd w:val="0"/>
              <w:spacing w:line="360" w:lineRule="auto"/>
              <w:ind w:firstLine="420" w:firstLineChars="200"/>
              <w:rPr>
                <w:rFonts w:eastAsia="黑体"/>
                <w:color w:val="auto"/>
                <w:kern w:val="0"/>
                <w:szCs w:val="21"/>
                <w:highlight w:val="yellow"/>
              </w:rPr>
            </w:pPr>
            <w:r>
              <w:rPr>
                <w:rFonts w:hint="default"/>
                <w:color w:val="auto"/>
                <w:highlight w:val="none"/>
              </w:rPr>
              <w:t>经现场踏勘、访问并结合文献资料，本项目调查区域主要为农村环境，人类活动频繁，根据资料收集和现场踏勘，调查区域内小型野生动物分布有鸟类、两栖类、兽类和爬行类。其中鸟类有家麻雀、燕雀类；兽类有褐家鼠、小家鼠等；爬行类有翠青蛇</w:t>
            </w:r>
            <w:r>
              <w:rPr>
                <w:rFonts w:hint="eastAsia"/>
                <w:color w:val="auto"/>
                <w:highlight w:val="none"/>
                <w:lang w:eastAsia="zh-CN"/>
              </w:rPr>
              <w:t>、</w:t>
            </w:r>
            <w:r>
              <w:rPr>
                <w:rFonts w:hint="eastAsia"/>
                <w:color w:val="auto"/>
                <w:highlight w:val="none"/>
                <w:lang w:val="en-US" w:eastAsia="zh-CN"/>
              </w:rPr>
              <w:t>菜花蛇</w:t>
            </w:r>
            <w:r>
              <w:rPr>
                <w:rFonts w:hint="default"/>
                <w:color w:val="auto"/>
                <w:highlight w:val="none"/>
              </w:rPr>
              <w:t>等；两栖类有蟾蜍、林蛙等，均属当地常见种。</w:t>
            </w:r>
            <w:r>
              <w:rPr>
                <w:rFonts w:hint="eastAsia" w:ascii="黑体" w:hAnsi="黑体" w:eastAsia="黑体" w:cs="黑体"/>
                <w:color w:val="auto"/>
                <w:kern w:val="0"/>
                <w:szCs w:val="21"/>
                <w:highlight w:val="none"/>
              </w:rPr>
              <w:t>通过核对《四川两栖类原色图鉴》《四川鸟类原色图鉴</w:t>
            </w:r>
            <w:r>
              <w:rPr>
                <w:rFonts w:hint="eastAsia" w:ascii="黑体" w:hAnsi="黑体" w:eastAsia="黑体" w:cs="黑体"/>
                <w:color w:val="auto"/>
                <w:kern w:val="0"/>
                <w:szCs w:val="21"/>
                <w:highlight w:val="none"/>
                <w:lang w:eastAsia="zh-CN"/>
              </w:rPr>
              <w:t>》《</w:t>
            </w:r>
            <w:r>
              <w:rPr>
                <w:rFonts w:hint="eastAsia" w:ascii="黑体" w:hAnsi="黑体" w:eastAsia="黑体" w:cs="黑体"/>
                <w:color w:val="auto"/>
                <w:kern w:val="0"/>
                <w:szCs w:val="21"/>
                <w:highlight w:val="none"/>
              </w:rPr>
              <w:t>四川爬行类原色图鉴》和《四川兽类原色图鉴》等相关资料以及根据《国家重点保护野生动物名录》（2021</w:t>
            </w:r>
            <w:r>
              <w:rPr>
                <w:rFonts w:hint="eastAsia" w:ascii="黑体" w:hAnsi="黑体" w:eastAsia="黑体" w:cs="黑体"/>
                <w:color w:val="auto"/>
                <w:kern w:val="0"/>
                <w:szCs w:val="21"/>
                <w:highlight w:val="none"/>
                <w:lang w:eastAsia="zh-CN"/>
              </w:rPr>
              <w:t>年</w:t>
            </w:r>
            <w:r>
              <w:rPr>
                <w:rFonts w:hint="eastAsia" w:ascii="黑体" w:hAnsi="黑体" w:eastAsia="黑体" w:cs="黑体"/>
                <w:color w:val="auto"/>
                <w:kern w:val="0"/>
                <w:szCs w:val="21"/>
                <w:highlight w:val="none"/>
              </w:rPr>
              <w:t>版）、</w:t>
            </w:r>
            <w:r>
              <w:rPr>
                <w:rFonts w:hint="eastAsia" w:ascii="黑体" w:hAnsi="黑体" w:eastAsia="黑体" w:cs="黑体"/>
                <w:color w:val="auto"/>
                <w:kern w:val="0"/>
                <w:szCs w:val="21"/>
                <w:highlight w:val="none"/>
                <w:lang w:eastAsia="zh-CN"/>
              </w:rPr>
              <w:t>《四川省重点保护野生动物名录》（</w:t>
            </w:r>
            <w:r>
              <w:rPr>
                <w:rFonts w:hint="eastAsia" w:ascii="黑体" w:hAnsi="黑体" w:eastAsia="黑体" w:cs="黑体"/>
                <w:color w:val="auto"/>
                <w:kern w:val="0"/>
                <w:szCs w:val="21"/>
                <w:highlight w:val="none"/>
                <w:lang w:val="en-US" w:eastAsia="zh-CN"/>
              </w:rPr>
              <w:t>2024年版</w:t>
            </w:r>
            <w:r>
              <w:rPr>
                <w:rFonts w:hint="eastAsia" w:ascii="黑体" w:hAnsi="黑体" w:eastAsia="黑体" w:cs="黑体"/>
                <w:color w:val="auto"/>
                <w:kern w:val="0"/>
                <w:szCs w:val="21"/>
                <w:highlight w:val="none"/>
                <w:lang w:eastAsia="zh-CN"/>
              </w:rPr>
              <w:t>）</w:t>
            </w:r>
            <w:r>
              <w:rPr>
                <w:rFonts w:hint="eastAsia" w:ascii="黑体" w:hAnsi="黑体" w:eastAsia="黑体" w:cs="黑体"/>
                <w:color w:val="auto"/>
                <w:kern w:val="0"/>
                <w:szCs w:val="21"/>
                <w:highlight w:val="none"/>
              </w:rPr>
              <w:t>核实，在评价区域内无珍稀、濒危及国家和四川省重点保护野生动物分布</w:t>
            </w:r>
            <w:r>
              <w:rPr>
                <w:rFonts w:hint="eastAsia" w:ascii="黑体" w:hAnsi="黑体" w:eastAsia="黑体" w:cs="黑体"/>
                <w:color w:val="auto"/>
                <w:kern w:val="0"/>
                <w:szCs w:val="21"/>
                <w:highlight w:val="none"/>
                <w:lang w:eastAsia="zh-CN"/>
              </w:rPr>
              <w:t>，</w:t>
            </w:r>
            <w:r>
              <w:rPr>
                <w:rFonts w:hint="eastAsia" w:ascii="黑体" w:hAnsi="黑体" w:eastAsia="黑体" w:cs="黑体"/>
                <w:color w:val="auto"/>
                <w:kern w:val="0"/>
                <w:szCs w:val="21"/>
                <w:highlight w:val="none"/>
              </w:rPr>
              <w:t>无重要野生动物生境分布</w:t>
            </w:r>
            <w:r>
              <w:rPr>
                <w:rFonts w:hint="eastAsia" w:ascii="黑体" w:hAnsi="黑体" w:eastAsia="黑体" w:cs="黑体"/>
                <w:color w:val="auto"/>
                <w:kern w:val="0"/>
                <w:szCs w:val="21"/>
                <w:highlight w:val="none"/>
                <w:lang w:eastAsia="zh-CN"/>
              </w:rPr>
              <w:t>，</w:t>
            </w:r>
            <w:r>
              <w:rPr>
                <w:rFonts w:hint="eastAsia" w:ascii="黑体" w:hAnsi="黑体" w:eastAsia="黑体" w:cs="黑体"/>
                <w:color w:val="auto"/>
                <w:kern w:val="0"/>
                <w:szCs w:val="21"/>
                <w:highlight w:val="none"/>
                <w:lang w:val="en-US" w:eastAsia="zh-CN"/>
              </w:rPr>
              <w:t>无</w:t>
            </w:r>
            <w:r>
              <w:rPr>
                <w:rFonts w:hint="eastAsia" w:ascii="黑体" w:hAnsi="黑体" w:eastAsia="黑体" w:cs="黑体"/>
                <w:color w:val="auto"/>
                <w:kern w:val="0"/>
                <w:szCs w:val="21"/>
                <w:highlight w:val="none"/>
                <w:lang w:eastAsia="zh-CN"/>
              </w:rPr>
              <w:t>《中国生物多样性红色名录》中</w:t>
            </w:r>
            <w:r>
              <w:rPr>
                <w:rFonts w:hint="eastAsia" w:eastAsia="黑体"/>
                <w:color w:val="auto"/>
                <w:szCs w:val="21"/>
                <w:highlight w:val="none"/>
                <w:lang w:val="en-US" w:eastAsia="zh-CN"/>
              </w:rPr>
              <w:t>列为</w:t>
            </w:r>
            <w:r>
              <w:rPr>
                <w:rFonts w:hint="eastAsia" w:ascii="黑体" w:hAnsi="黑体" w:eastAsia="黑体" w:cs="黑体"/>
                <w:color w:val="auto"/>
                <w:kern w:val="0"/>
                <w:szCs w:val="21"/>
                <w:highlight w:val="none"/>
                <w:lang w:eastAsia="zh-CN"/>
              </w:rPr>
              <w:t>极危、濒危和易危的</w:t>
            </w:r>
            <w:r>
              <w:rPr>
                <w:rFonts w:hint="eastAsia" w:ascii="黑体" w:hAnsi="黑体" w:eastAsia="黑体" w:cs="黑体"/>
                <w:color w:val="auto"/>
                <w:kern w:val="0"/>
                <w:szCs w:val="21"/>
                <w:highlight w:val="none"/>
                <w:lang w:val="en-US" w:eastAsia="zh-CN"/>
              </w:rPr>
              <w:t>动物。</w:t>
            </w:r>
          </w:p>
          <w:p w14:paraId="5EBE5AB6">
            <w:pPr>
              <w:keepNext w:val="0"/>
              <w:keepLines w:val="0"/>
              <w:pageBreakBefore w:val="0"/>
              <w:widowControl w:val="0"/>
              <w:kinsoku/>
              <w:overflowPunct/>
              <w:topLinePunct w:val="0"/>
              <w:bidi w:val="0"/>
              <w:adjustRightInd w:val="0"/>
              <w:spacing w:line="360" w:lineRule="auto"/>
              <w:ind w:firstLine="422" w:firstLineChars="200"/>
              <w:rPr>
                <w:b/>
                <w:color w:val="auto"/>
                <w:szCs w:val="21"/>
                <w:shd w:val="clear" w:color="auto" w:fill="FFFFFF"/>
              </w:rPr>
            </w:pPr>
            <w:r>
              <w:rPr>
                <w:rFonts w:hint="eastAsia"/>
                <w:b/>
                <w:color w:val="auto"/>
                <w:szCs w:val="21"/>
                <w:shd w:val="clear" w:color="auto" w:fill="FFFFFF"/>
              </w:rPr>
              <w:t>3、</w:t>
            </w:r>
            <w:r>
              <w:rPr>
                <w:b/>
                <w:color w:val="auto"/>
                <w:szCs w:val="21"/>
                <w:shd w:val="clear" w:color="auto" w:fill="FFFFFF"/>
              </w:rPr>
              <w:t>生态敏感区</w:t>
            </w:r>
          </w:p>
          <w:p w14:paraId="7853FA64">
            <w:pPr>
              <w:keepNext w:val="0"/>
              <w:keepLines w:val="0"/>
              <w:pageBreakBefore w:val="0"/>
              <w:widowControl w:val="0"/>
              <w:kinsoku/>
              <w:overflowPunct/>
              <w:topLinePunct w:val="0"/>
              <w:bidi w:val="0"/>
              <w:adjustRightInd w:val="0"/>
              <w:spacing w:line="360" w:lineRule="auto"/>
              <w:ind w:firstLine="420" w:firstLineChars="200"/>
              <w:rPr>
                <w:color w:val="auto"/>
                <w:kern w:val="0"/>
                <w:szCs w:val="21"/>
              </w:rPr>
            </w:pPr>
            <w:r>
              <w:rPr>
                <w:color w:val="auto"/>
                <w:szCs w:val="21"/>
                <w:shd w:val="clear" w:color="auto" w:fill="FFFFFF"/>
              </w:rPr>
              <w:t>根据中华人民共和国生态环境部网站公布的《全国自然保护区名录》、四川省生态环境厅网站</w:t>
            </w:r>
            <w:r>
              <w:rPr>
                <w:color w:val="auto"/>
                <w:kern w:val="0"/>
                <w:szCs w:val="21"/>
              </w:rPr>
              <w:t>公布的《四川省自然保护区名录》、四川省住房和城乡建设厅网站公布的《四川省及各市风景名胜区名录》、四川省人民政府网站公布的《四川省人民政府办公厅关于公布四川省林业地方级自然保护区名录的通知》（川办函〔2013〕109号）和当地林业部门核实，本项目不涉及</w:t>
            </w:r>
            <w:r>
              <w:rPr>
                <w:rFonts w:hint="eastAsia"/>
                <w:color w:val="auto"/>
                <w:kern w:val="0"/>
                <w:szCs w:val="21"/>
              </w:rPr>
              <w:t>国家公园、自然保护区、自然公园等自然保护地、世界自然遗产、生态保护红线等区域</w:t>
            </w:r>
            <w:r>
              <w:rPr>
                <w:rFonts w:hint="eastAsia"/>
                <w:color w:val="auto"/>
                <w:kern w:val="0"/>
                <w:szCs w:val="21"/>
                <w:lang w:eastAsia="zh-CN"/>
              </w:rPr>
              <w:t>，</w:t>
            </w:r>
            <w:r>
              <w:rPr>
                <w:rFonts w:hint="eastAsia"/>
                <w:color w:val="auto"/>
                <w:kern w:val="0"/>
                <w:szCs w:val="21"/>
                <w:lang w:val="en-US" w:eastAsia="zh-CN"/>
              </w:rPr>
              <w:t>不涉及</w:t>
            </w:r>
            <w:r>
              <w:rPr>
                <w:rFonts w:hint="eastAsia"/>
                <w:color w:val="auto"/>
                <w:kern w:val="0"/>
                <w:szCs w:val="21"/>
                <w:lang w:eastAsia="zh-CN"/>
              </w:rPr>
              <w:t>重要物种的天然集中分布区、栖息地，</w:t>
            </w:r>
            <w:r>
              <w:rPr>
                <w:rFonts w:hint="eastAsia"/>
                <w:color w:val="auto"/>
                <w:kern w:val="0"/>
                <w:szCs w:val="21"/>
                <w:lang w:val="en-US" w:eastAsia="zh-CN"/>
              </w:rPr>
              <w:t>不涉及迁徙鸟类的重要繁殖地、停歇地、越冬地以及野生动物迁徙通道</w:t>
            </w:r>
            <w:r>
              <w:rPr>
                <w:color w:val="auto"/>
                <w:kern w:val="0"/>
                <w:szCs w:val="21"/>
              </w:rPr>
              <w:t>等</w:t>
            </w:r>
            <w:r>
              <w:rPr>
                <w:rFonts w:hint="eastAsia"/>
                <w:color w:val="auto"/>
                <w:kern w:val="0"/>
                <w:szCs w:val="21"/>
              </w:rPr>
              <w:t>生态</w:t>
            </w:r>
            <w:r>
              <w:rPr>
                <w:color w:val="auto"/>
                <w:kern w:val="0"/>
                <w:szCs w:val="21"/>
              </w:rPr>
              <w:t>敏感区</w:t>
            </w:r>
            <w:r>
              <w:rPr>
                <w:color w:val="auto"/>
                <w:szCs w:val="21"/>
                <w:shd w:val="clear" w:color="auto" w:fill="FFFFFF"/>
              </w:rPr>
              <w:t>。</w:t>
            </w:r>
          </w:p>
          <w:p w14:paraId="5F997E8C">
            <w:pPr>
              <w:keepNext w:val="0"/>
              <w:keepLines w:val="0"/>
              <w:pageBreakBefore w:val="0"/>
              <w:widowControl w:val="0"/>
              <w:kinsoku/>
              <w:overflowPunct/>
              <w:topLinePunct w:val="0"/>
              <w:bidi w:val="0"/>
              <w:adjustRightInd w:val="0"/>
              <w:spacing w:line="360" w:lineRule="auto"/>
              <w:rPr>
                <w:rFonts w:eastAsia="黑体"/>
                <w:color w:val="auto"/>
                <w:kern w:val="0"/>
                <w:szCs w:val="21"/>
              </w:rPr>
            </w:pPr>
            <w:r>
              <w:rPr>
                <w:rFonts w:hint="eastAsia" w:eastAsia="黑体"/>
                <w:color w:val="auto"/>
                <w:kern w:val="0"/>
                <w:szCs w:val="21"/>
              </w:rPr>
              <w:t>四</w:t>
            </w:r>
            <w:r>
              <w:rPr>
                <w:rFonts w:eastAsia="黑体"/>
                <w:color w:val="auto"/>
                <w:kern w:val="0"/>
                <w:szCs w:val="21"/>
              </w:rPr>
              <w:t>、环境空气质量现状</w:t>
            </w:r>
          </w:p>
          <w:p w14:paraId="70EE968D">
            <w:pPr>
              <w:keepNext w:val="0"/>
              <w:keepLines w:val="0"/>
              <w:pageBreakBefore w:val="0"/>
              <w:widowControl w:val="0"/>
              <w:kinsoku/>
              <w:wordWrap w:val="0"/>
              <w:overflowPunct/>
              <w:topLinePunct w:val="0"/>
              <w:bidi w:val="0"/>
              <w:adjustRightInd w:val="0"/>
              <w:spacing w:line="360" w:lineRule="auto"/>
              <w:ind w:firstLine="420" w:firstLineChars="200"/>
              <w:rPr>
                <w:color w:val="auto"/>
                <w:szCs w:val="21"/>
                <w:shd w:val="clear" w:color="auto" w:fill="FFFFFF"/>
              </w:rPr>
            </w:pPr>
            <w:r>
              <w:rPr>
                <w:rFonts w:hint="default" w:ascii="Times New Roman" w:hAnsi="Times New Roman" w:cs="Times New Roman" w:eastAsiaTheme="minorEastAsia"/>
                <w:color w:val="auto"/>
                <w:szCs w:val="21"/>
                <w:highlight w:val="none"/>
                <w:lang w:val="en-US" w:eastAsia="zh-CN"/>
              </w:rPr>
              <w:t>本项目</w:t>
            </w:r>
            <w:r>
              <w:rPr>
                <w:rFonts w:hint="eastAsia" w:cs="Times New Roman" w:eastAsiaTheme="minorEastAsia"/>
                <w:color w:val="auto"/>
                <w:szCs w:val="21"/>
                <w:highlight w:val="none"/>
                <w:lang w:val="en-US" w:eastAsia="zh-CN"/>
              </w:rPr>
              <w:t>属于巴中市恩阳区、巴州区和南江县境内</w:t>
            </w:r>
            <w:r>
              <w:rPr>
                <w:rFonts w:hint="eastAsia"/>
                <w:color w:val="auto"/>
                <w:szCs w:val="21"/>
                <w:shd w:val="clear" w:color="auto" w:fill="FFFFFF"/>
              </w:rPr>
              <w:t>，</w:t>
            </w:r>
            <w:r>
              <w:rPr>
                <w:rFonts w:hint="default" w:ascii="Times New Roman" w:hAnsi="Times New Roman" w:cs="Times New Roman"/>
                <w:color w:val="auto"/>
                <w:szCs w:val="21"/>
                <w:shd w:val="clear" w:color="auto" w:fill="FFFFFF"/>
              </w:rPr>
              <w:t>本次环境空气质量引用</w:t>
            </w:r>
            <w:r>
              <w:rPr>
                <w:rFonts w:hint="default" w:ascii="Times New Roman" w:hAnsi="Times New Roman" w:cs="Times New Roman"/>
                <w:color w:val="auto"/>
                <w:szCs w:val="21"/>
                <w:shd w:val="clear" w:color="auto" w:fill="FFFFFF"/>
                <w:lang w:val="en-US" w:eastAsia="zh-CN"/>
              </w:rPr>
              <w:t>巴中市</w:t>
            </w:r>
            <w:r>
              <w:rPr>
                <w:rFonts w:hint="default" w:ascii="Times New Roman" w:hAnsi="Times New Roman" w:cs="Times New Roman"/>
                <w:color w:val="auto"/>
                <w:szCs w:val="21"/>
                <w:shd w:val="clear" w:color="auto" w:fill="FFFFFF"/>
              </w:rPr>
              <w:t>生态环境局发布的《</w:t>
            </w:r>
            <w:r>
              <w:rPr>
                <w:rFonts w:hint="default" w:ascii="Times New Roman" w:hAnsi="Times New Roman" w:cs="Times New Roman"/>
                <w:color w:val="auto"/>
                <w:szCs w:val="21"/>
                <w:shd w:val="clear" w:color="auto" w:fill="FFFFFF"/>
                <w:lang w:val="en-US" w:eastAsia="zh-CN"/>
              </w:rPr>
              <w:t>202</w:t>
            </w:r>
            <w:r>
              <w:rPr>
                <w:rFonts w:hint="eastAsia" w:cs="Times New Roman"/>
                <w:color w:val="auto"/>
                <w:szCs w:val="21"/>
                <w:shd w:val="clear" w:color="auto" w:fill="FFFFFF"/>
                <w:lang w:val="en-US" w:eastAsia="zh-CN"/>
              </w:rPr>
              <w:t>5</w:t>
            </w:r>
            <w:r>
              <w:rPr>
                <w:rFonts w:hint="default" w:ascii="Times New Roman" w:hAnsi="Times New Roman" w:cs="Times New Roman"/>
                <w:color w:val="auto"/>
                <w:szCs w:val="21"/>
                <w:shd w:val="clear" w:color="auto" w:fill="FFFFFF"/>
                <w:lang w:val="en-US" w:eastAsia="zh-CN"/>
              </w:rPr>
              <w:t>年巴中市生态环境状况公报</w:t>
            </w:r>
            <w:r>
              <w:rPr>
                <w:rFonts w:hint="default" w:ascii="Times New Roman" w:hAnsi="Times New Roman" w:cs="Times New Roman"/>
                <w:color w:val="auto"/>
                <w:szCs w:val="21"/>
                <w:shd w:val="clear" w:color="auto" w:fill="FFFFFF"/>
              </w:rPr>
              <w:t>》</w:t>
            </w:r>
            <w:r>
              <w:rPr>
                <w:rFonts w:hint="default" w:ascii="Times New Roman" w:hAnsi="Times New Roman" w:cs="Times New Roman"/>
                <w:color w:val="auto"/>
                <w:szCs w:val="21"/>
                <w:shd w:val="clear" w:color="auto" w:fill="FFFFFF"/>
                <w:lang w:eastAsia="zh-CN"/>
              </w:rPr>
              <w:t>（https://sthjj.cnbz.gov.cn/group4/M00/0E/E4/rBUtI2og0tqAQyKLBNZx1FwpdL8176.pdf）</w:t>
            </w:r>
            <w:r>
              <w:rPr>
                <w:rFonts w:hint="default" w:ascii="Times New Roman" w:hAnsi="Times New Roman" w:cs="Times New Roman"/>
                <w:color w:val="auto"/>
                <w:szCs w:val="21"/>
                <w:shd w:val="clear" w:color="auto" w:fill="FFFFFF"/>
              </w:rPr>
              <w:t>中的数据来说明当地环境空气质量达标情况。具体如下：</w:t>
            </w:r>
          </w:p>
          <w:p w14:paraId="10E3C2B9">
            <w:pPr>
              <w:keepNext w:val="0"/>
              <w:keepLines w:val="0"/>
              <w:suppressLineNumbers w:val="0"/>
              <w:adjustRightInd w:val="0"/>
              <w:spacing w:before="0" w:beforeAutospacing="0" w:after="0" w:afterAutospacing="0" w:line="360" w:lineRule="auto"/>
              <w:ind w:left="0" w:right="0" w:firstLine="420" w:firstLineChars="200"/>
              <w:rPr>
                <w:rFonts w:hint="default"/>
                <w:color w:val="auto"/>
                <w:szCs w:val="21"/>
                <w:shd w:val="clear" w:color="auto" w:fill="FFFFFF"/>
                <w:lang w:val="en-US"/>
              </w:rPr>
            </w:pPr>
            <w:r>
              <w:rPr>
                <w:rFonts w:hint="default" w:ascii="Times New Roman" w:hAnsi="Times New Roman" w:cs="Times New Roman"/>
                <w:color w:val="auto"/>
                <w:szCs w:val="21"/>
                <w:shd w:val="clear" w:color="auto" w:fill="FFFFFF"/>
              </w:rPr>
              <w:t>2025年，巴中市全市环境空气质量优良率为95.3%；SO₂年均浓度为4.1微克/立方米；NO₂年均浓度为20.5微克/立方米；O₃日最大8小时平均第90百分位浓度值为120.8微克/立方米；PM₂.₅年均浓度为27.9微克/立方米；PM₁₀年均浓度为40.9微克/立方米；CO日均值第95百分位浓度值为0.88毫克/立方米。</w:t>
            </w:r>
            <w:r>
              <w:rPr>
                <w:rFonts w:hint="eastAsia" w:ascii="Times New Roman" w:hAnsi="Times New Roman" w:cs="Times New Roman"/>
                <w:color w:val="auto"/>
                <w:szCs w:val="21"/>
                <w:shd w:val="clear" w:color="auto" w:fill="FFFFFF"/>
                <w:lang w:val="en-US" w:eastAsia="zh-CN"/>
              </w:rPr>
              <w:t>202</w:t>
            </w:r>
            <w:r>
              <w:rPr>
                <w:rFonts w:hint="eastAsia" w:cs="Times New Roman"/>
                <w:color w:val="auto"/>
                <w:szCs w:val="21"/>
                <w:shd w:val="clear" w:color="auto" w:fill="FFFFFF"/>
                <w:lang w:val="en-US" w:eastAsia="zh-CN"/>
              </w:rPr>
              <w:t>5</w:t>
            </w:r>
            <w:r>
              <w:rPr>
                <w:rFonts w:hint="eastAsia" w:ascii="Times New Roman" w:hAnsi="Times New Roman" w:cs="Times New Roman"/>
                <w:color w:val="auto"/>
                <w:szCs w:val="21"/>
                <w:shd w:val="clear" w:color="auto" w:fill="FFFFFF"/>
                <w:lang w:val="en-US" w:eastAsia="zh-CN"/>
              </w:rPr>
              <w:t>年</w:t>
            </w:r>
            <w:r>
              <w:rPr>
                <w:rFonts w:hint="eastAsia" w:cs="Times New Roman"/>
                <w:color w:val="auto"/>
                <w:szCs w:val="21"/>
                <w:shd w:val="clear" w:color="auto" w:fill="FFFFFF"/>
                <w:lang w:val="en-US" w:eastAsia="zh-CN"/>
              </w:rPr>
              <w:t>巴中市</w:t>
            </w:r>
            <w:r>
              <w:rPr>
                <w:rFonts w:hint="eastAsia" w:ascii="Times New Roman" w:hAnsi="Times New Roman" w:cs="Times New Roman"/>
                <w:color w:val="auto"/>
                <w:szCs w:val="21"/>
                <w:shd w:val="clear" w:color="auto" w:fill="FFFFFF"/>
                <w:lang w:val="en-US" w:eastAsia="zh-CN"/>
              </w:rPr>
              <w:t>区县环境空气六项主要污染物年均浓度保持为全部达标。</w:t>
            </w:r>
          </w:p>
          <w:p w14:paraId="57BA7676">
            <w:pPr>
              <w:spacing w:line="360" w:lineRule="auto"/>
              <w:ind w:firstLine="422" w:firstLineChars="200"/>
              <w:rPr>
                <w:b/>
                <w:bCs/>
                <w:color w:val="auto"/>
                <w:szCs w:val="21"/>
                <w:shd w:val="clear" w:color="auto" w:fill="FFFFFF"/>
              </w:rPr>
            </w:pPr>
            <w:r>
              <w:rPr>
                <w:rFonts w:hint="eastAsia"/>
                <w:b/>
                <w:bCs/>
                <w:color w:val="auto"/>
                <w:szCs w:val="21"/>
                <w:shd w:val="clear" w:color="auto" w:fill="FFFFFF"/>
                <w:lang w:val="en-US" w:eastAsia="zh-CN"/>
              </w:rPr>
              <w:t>综上，2025年巴中市区县环境空气六项主要污染物年均浓度均</w:t>
            </w:r>
            <w:r>
              <w:rPr>
                <w:rFonts w:hint="eastAsia"/>
                <w:b/>
                <w:bCs/>
                <w:color w:val="auto"/>
                <w:szCs w:val="21"/>
                <w:shd w:val="clear" w:color="auto" w:fill="FFFFFF"/>
              </w:rPr>
              <w:t>达到《环境空气质量标准》</w:t>
            </w:r>
            <w:r>
              <w:rPr>
                <w:rFonts w:hint="eastAsia"/>
                <w:b/>
                <w:bCs/>
                <w:color w:val="auto"/>
                <w:szCs w:val="21"/>
                <w:shd w:val="clear" w:color="auto" w:fill="FFFFFF"/>
                <w:lang w:eastAsia="zh-CN"/>
              </w:rPr>
              <w:t>（</w:t>
            </w:r>
            <w:r>
              <w:rPr>
                <w:rFonts w:hint="eastAsia"/>
                <w:b/>
                <w:bCs/>
                <w:color w:val="auto"/>
                <w:szCs w:val="21"/>
                <w:shd w:val="clear" w:color="auto" w:fill="FFFFFF"/>
              </w:rPr>
              <w:t>GB3095-20</w:t>
            </w:r>
            <w:r>
              <w:rPr>
                <w:rFonts w:hint="eastAsia"/>
                <w:b/>
                <w:bCs/>
                <w:color w:val="auto"/>
                <w:szCs w:val="21"/>
                <w:shd w:val="clear" w:color="auto" w:fill="FFFFFF"/>
                <w:lang w:val="en-US" w:eastAsia="zh-CN"/>
              </w:rPr>
              <w:t>26</w:t>
            </w:r>
            <w:r>
              <w:rPr>
                <w:rFonts w:hint="eastAsia"/>
                <w:b/>
                <w:bCs/>
                <w:color w:val="auto"/>
                <w:szCs w:val="21"/>
                <w:shd w:val="clear" w:color="auto" w:fill="FFFFFF"/>
                <w:lang w:eastAsia="zh-CN"/>
              </w:rPr>
              <w:t>）</w:t>
            </w:r>
            <w:r>
              <w:rPr>
                <w:rFonts w:hint="eastAsia"/>
                <w:b/>
                <w:bCs/>
                <w:color w:val="auto"/>
                <w:szCs w:val="21"/>
                <w:shd w:val="clear" w:color="auto" w:fill="FFFFFF"/>
                <w:lang w:val="en-US" w:eastAsia="zh-CN"/>
              </w:rPr>
              <w:t>过渡时期</w:t>
            </w:r>
            <w:r>
              <w:rPr>
                <w:rFonts w:hint="eastAsia"/>
                <w:b/>
                <w:bCs/>
                <w:color w:val="auto"/>
                <w:szCs w:val="21"/>
                <w:shd w:val="clear" w:color="auto" w:fill="FFFFFF"/>
              </w:rPr>
              <w:t>二级标准。</w:t>
            </w:r>
            <w:r>
              <w:rPr>
                <w:rFonts w:hint="default" w:ascii="Times New Roman" w:hAnsi="Times New Roman" w:cs="Times New Roman"/>
                <w:b/>
                <w:bCs/>
                <w:color w:val="auto"/>
                <w:szCs w:val="21"/>
                <w:highlight w:val="none"/>
              </w:rPr>
              <w:t>项目所在区域属于环境空气质量达标区域</w:t>
            </w:r>
            <w:r>
              <w:rPr>
                <w:rFonts w:hint="eastAsia"/>
                <w:b/>
                <w:bCs/>
                <w:color w:val="auto"/>
                <w:szCs w:val="21"/>
                <w:shd w:val="clear" w:color="auto" w:fill="FFFFFF"/>
                <w:lang w:val="en-US" w:eastAsia="zh-CN"/>
              </w:rPr>
              <w:t>。</w:t>
            </w:r>
          </w:p>
          <w:p w14:paraId="7DEBABB7">
            <w:pPr>
              <w:keepNext w:val="0"/>
              <w:keepLines w:val="0"/>
              <w:pageBreakBefore w:val="0"/>
              <w:widowControl w:val="0"/>
              <w:kinsoku/>
              <w:overflowPunct/>
              <w:topLinePunct w:val="0"/>
              <w:bidi w:val="0"/>
              <w:adjustRightInd w:val="0"/>
              <w:spacing w:line="360" w:lineRule="auto"/>
              <w:rPr>
                <w:rFonts w:eastAsia="黑体"/>
                <w:color w:val="auto"/>
                <w:kern w:val="0"/>
                <w:szCs w:val="21"/>
              </w:rPr>
            </w:pPr>
            <w:r>
              <w:rPr>
                <w:rFonts w:hint="eastAsia" w:eastAsia="黑体"/>
                <w:color w:val="auto"/>
                <w:kern w:val="0"/>
                <w:szCs w:val="21"/>
              </w:rPr>
              <w:t>五</w:t>
            </w:r>
            <w:r>
              <w:rPr>
                <w:rFonts w:eastAsia="黑体"/>
                <w:color w:val="auto"/>
                <w:kern w:val="0"/>
                <w:szCs w:val="21"/>
              </w:rPr>
              <w:t>、地表水环境质量</w:t>
            </w:r>
          </w:p>
          <w:p w14:paraId="1C5F36BD">
            <w:pPr>
              <w:keepNext w:val="0"/>
              <w:keepLines w:val="0"/>
              <w:suppressLineNumbers w:val="0"/>
              <w:shd w:val="clear"/>
              <w:wordWrap w:val="0"/>
              <w:adjustRightInd w:val="0"/>
              <w:spacing w:before="0" w:beforeAutospacing="0" w:after="0" w:afterAutospacing="0" w:line="360" w:lineRule="auto"/>
              <w:ind w:left="0" w:right="0" w:firstLine="420" w:firstLineChars="200"/>
              <w:rPr>
                <w:rFonts w:hint="default"/>
                <w:color w:val="auto"/>
                <w:szCs w:val="21"/>
              </w:rPr>
            </w:pPr>
            <w:r>
              <w:rPr>
                <w:rFonts w:hint="default" w:ascii="Times New Roman" w:hAnsi="Times New Roman" w:cs="Times New Roman" w:eastAsiaTheme="minorEastAsia"/>
                <w:color w:val="auto"/>
                <w:szCs w:val="21"/>
                <w:highlight w:val="none"/>
                <w:lang w:val="en-US" w:eastAsia="zh-CN"/>
              </w:rPr>
              <w:t>本项目</w:t>
            </w:r>
            <w:r>
              <w:rPr>
                <w:rFonts w:hint="eastAsia" w:cs="Times New Roman" w:eastAsiaTheme="minorEastAsia"/>
                <w:color w:val="auto"/>
                <w:szCs w:val="21"/>
                <w:highlight w:val="none"/>
                <w:lang w:val="en-US" w:eastAsia="zh-CN"/>
              </w:rPr>
              <w:t>属于巴中市恩阳区、巴州区和南江县境内</w:t>
            </w:r>
            <w:r>
              <w:rPr>
                <w:rFonts w:hint="eastAsia"/>
                <w:color w:val="auto"/>
                <w:szCs w:val="21"/>
                <w:shd w:val="clear" w:color="auto" w:fill="FFFFFF"/>
              </w:rPr>
              <w:t>，</w:t>
            </w:r>
            <w:r>
              <w:rPr>
                <w:rFonts w:hint="default"/>
                <w:color w:val="auto"/>
                <w:szCs w:val="21"/>
              </w:rPr>
              <w:t>本次地表水环境质量引用</w:t>
            </w:r>
            <w:r>
              <w:rPr>
                <w:rFonts w:hint="default" w:ascii="Times New Roman" w:hAnsi="Times New Roman" w:cs="Times New Roman"/>
                <w:color w:val="auto"/>
                <w:szCs w:val="21"/>
                <w:shd w:val="clear" w:color="auto" w:fill="FFFFFF"/>
                <w:lang w:val="en-US" w:eastAsia="zh-CN"/>
              </w:rPr>
              <w:t>巴中市</w:t>
            </w:r>
            <w:r>
              <w:rPr>
                <w:rFonts w:hint="default" w:ascii="Times New Roman" w:hAnsi="Times New Roman" w:cs="Times New Roman"/>
                <w:color w:val="auto"/>
                <w:szCs w:val="21"/>
                <w:shd w:val="clear" w:color="auto" w:fill="FFFFFF"/>
              </w:rPr>
              <w:t>生态环境局发布的《</w:t>
            </w:r>
            <w:r>
              <w:rPr>
                <w:rFonts w:hint="default" w:ascii="Times New Roman" w:hAnsi="Times New Roman" w:cs="Times New Roman"/>
                <w:color w:val="auto"/>
                <w:szCs w:val="21"/>
                <w:shd w:val="clear" w:color="auto" w:fill="FFFFFF"/>
                <w:lang w:val="en-US" w:eastAsia="zh-CN"/>
              </w:rPr>
              <w:t>202</w:t>
            </w:r>
            <w:r>
              <w:rPr>
                <w:rFonts w:hint="eastAsia" w:cs="Times New Roman"/>
                <w:color w:val="auto"/>
                <w:szCs w:val="21"/>
                <w:shd w:val="clear" w:color="auto" w:fill="FFFFFF"/>
                <w:lang w:val="en-US" w:eastAsia="zh-CN"/>
              </w:rPr>
              <w:t>5</w:t>
            </w:r>
            <w:r>
              <w:rPr>
                <w:rFonts w:hint="default" w:ascii="Times New Roman" w:hAnsi="Times New Roman" w:cs="Times New Roman"/>
                <w:color w:val="auto"/>
                <w:szCs w:val="21"/>
                <w:shd w:val="clear" w:color="auto" w:fill="FFFFFF"/>
                <w:lang w:val="en-US" w:eastAsia="zh-CN"/>
              </w:rPr>
              <w:t>年巴中市生态环境状况公报</w:t>
            </w:r>
            <w:r>
              <w:rPr>
                <w:rFonts w:hint="default" w:ascii="Times New Roman" w:hAnsi="Times New Roman" w:cs="Times New Roman"/>
                <w:color w:val="auto"/>
                <w:szCs w:val="21"/>
                <w:shd w:val="clear" w:color="auto" w:fill="FFFFFF"/>
              </w:rPr>
              <w:t>》</w:t>
            </w:r>
            <w:r>
              <w:rPr>
                <w:rFonts w:hint="default" w:ascii="Times New Roman" w:hAnsi="Times New Roman" w:cs="Times New Roman"/>
                <w:color w:val="auto"/>
                <w:szCs w:val="21"/>
                <w:shd w:val="clear" w:color="auto" w:fill="FFFFFF"/>
                <w:lang w:eastAsia="zh-CN"/>
              </w:rPr>
              <w:t>（https://sthjj.cnbz.gov.cn/group4/M00/0E/E4/rBUtI2og0tqAQyKLBNZx1FwpdL8176.pdf）</w:t>
            </w:r>
            <w:r>
              <w:rPr>
                <w:rFonts w:hint="default" w:ascii="Times New Roman" w:hAnsi="Times New Roman" w:cs="Times New Roman"/>
                <w:color w:val="auto"/>
                <w:szCs w:val="21"/>
                <w:shd w:val="clear" w:color="auto" w:fill="FFFFFF"/>
              </w:rPr>
              <w:t>中的数据</w:t>
            </w:r>
            <w:r>
              <w:rPr>
                <w:rFonts w:hint="default"/>
                <w:color w:val="auto"/>
                <w:szCs w:val="21"/>
              </w:rPr>
              <w:t>来说明当地地表水环境质量现状。具体如下：</w:t>
            </w:r>
          </w:p>
          <w:p w14:paraId="2DE3BD9B">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leftChars="0" w:right="0" w:firstLine="420" w:firstLineChars="200"/>
              <w:rPr>
                <w:rFonts w:hint="default"/>
                <w:color w:val="auto"/>
                <w:szCs w:val="21"/>
                <w:lang w:val="en-US" w:eastAsia="zh-CN"/>
              </w:rPr>
            </w:pPr>
            <w:r>
              <w:rPr>
                <w:rFonts w:hint="default" w:ascii="Times New Roman" w:hAnsi="Times New Roman" w:cs="Times New Roman" w:eastAsiaTheme="minorEastAsia"/>
                <w:bCs/>
                <w:color w:val="auto"/>
                <w:kern w:val="0"/>
                <w:szCs w:val="21"/>
              </w:rPr>
              <w:t>2025年，巴河总体水质为优，10个国省控断面和2个入境断面均达到或优于I类水质。6个国控断面</w:t>
            </w:r>
            <w:r>
              <w:rPr>
                <w:rFonts w:hint="default" w:ascii="Times New Roman" w:hAnsi="Times New Roman" w:cs="Times New Roman" w:eastAsiaTheme="minorEastAsia"/>
                <w:bCs/>
                <w:color w:val="auto"/>
                <w:kern w:val="0"/>
                <w:szCs w:val="21"/>
                <w:lang w:val="en-US" w:eastAsia="zh-CN"/>
              </w:rPr>
              <w:t>Ⅰ</w:t>
            </w:r>
            <w:r>
              <w:rPr>
                <w:rFonts w:hint="default" w:ascii="Times New Roman" w:hAnsi="Times New Roman" w:cs="Times New Roman" w:eastAsiaTheme="minorEastAsia"/>
                <w:bCs/>
                <w:color w:val="auto"/>
                <w:kern w:val="0"/>
                <w:szCs w:val="21"/>
              </w:rPr>
              <w:t>-II类水质占比100%，4个省控断面</w:t>
            </w:r>
            <w:r>
              <w:rPr>
                <w:rFonts w:hint="default" w:ascii="Times New Roman" w:hAnsi="Times New Roman" w:cs="Times New Roman" w:eastAsiaTheme="minorEastAsia"/>
                <w:bCs/>
                <w:color w:val="auto"/>
                <w:kern w:val="0"/>
                <w:szCs w:val="21"/>
                <w:lang w:val="en-US" w:eastAsia="zh-CN"/>
              </w:rPr>
              <w:t>Ⅰ</w:t>
            </w:r>
            <w:r>
              <w:rPr>
                <w:rFonts w:hint="default" w:ascii="Times New Roman" w:hAnsi="Times New Roman" w:cs="Times New Roman" w:eastAsiaTheme="minorEastAsia"/>
                <w:bCs/>
                <w:color w:val="auto"/>
                <w:kern w:val="0"/>
                <w:szCs w:val="21"/>
              </w:rPr>
              <w:t>-</w:t>
            </w:r>
            <w:r>
              <w:rPr>
                <w:rFonts w:hint="default" w:ascii="Times New Roman" w:hAnsi="Times New Roman" w:cs="Times New Roman" w:eastAsiaTheme="minorEastAsia"/>
                <w:bCs/>
                <w:color w:val="auto"/>
                <w:kern w:val="0"/>
                <w:szCs w:val="21"/>
                <w:lang w:val="en-US" w:eastAsia="zh-CN"/>
              </w:rPr>
              <w:t>Ⅱ</w:t>
            </w:r>
            <w:r>
              <w:rPr>
                <w:rFonts w:hint="default" w:ascii="Times New Roman" w:hAnsi="Times New Roman" w:cs="Times New Roman" w:eastAsiaTheme="minorEastAsia"/>
                <w:bCs/>
                <w:color w:val="auto"/>
                <w:kern w:val="0"/>
                <w:szCs w:val="21"/>
              </w:rPr>
              <w:t>类水质占比75%，仅徐家河断面水质为川类。与上年相比，巴河总体水质不变，保持为优，I-</w:t>
            </w:r>
            <w:r>
              <w:rPr>
                <w:rFonts w:hint="default" w:ascii="Times New Roman" w:hAnsi="Times New Roman" w:cs="Times New Roman" w:eastAsiaTheme="minorEastAsia"/>
                <w:bCs/>
                <w:color w:val="auto"/>
                <w:kern w:val="0"/>
                <w:szCs w:val="21"/>
                <w:lang w:val="en-US" w:eastAsia="zh-CN"/>
              </w:rPr>
              <w:t>Ⅲ</w:t>
            </w:r>
            <w:r>
              <w:rPr>
                <w:rFonts w:hint="default" w:ascii="Times New Roman" w:hAnsi="Times New Roman" w:cs="Times New Roman" w:eastAsiaTheme="minorEastAsia"/>
                <w:bCs/>
                <w:color w:val="auto"/>
                <w:kern w:val="0"/>
                <w:szCs w:val="21"/>
              </w:rPr>
              <w:t>类水质占比100%，各断面水质类别均无明显变化。徐家河断面频次达标率下降8.3个百分点。</w:t>
            </w:r>
          </w:p>
          <w:p w14:paraId="3CFD9C0E">
            <w:pPr>
              <w:keepNext w:val="0"/>
              <w:keepLines w:val="0"/>
              <w:pageBreakBefore w:val="0"/>
              <w:widowControl w:val="0"/>
              <w:shd w:val="clear"/>
              <w:kinsoku/>
              <w:wordWrap w:val="0"/>
              <w:overflowPunct/>
              <w:topLinePunct w:val="0"/>
              <w:bidi w:val="0"/>
              <w:adjustRightInd w:val="0"/>
              <w:spacing w:line="360" w:lineRule="auto"/>
              <w:ind w:firstLine="422" w:firstLineChars="200"/>
              <w:rPr>
                <w:rFonts w:hint="default" w:eastAsia="宋体"/>
                <w:color w:val="auto"/>
                <w:szCs w:val="21"/>
                <w:lang w:val="en-US" w:eastAsia="zh-CN"/>
              </w:rPr>
            </w:pPr>
            <w:r>
              <w:rPr>
                <w:rFonts w:hint="default" w:ascii="Times New Roman" w:hAnsi="Times New Roman" w:cs="Times New Roman"/>
                <w:b/>
                <w:bCs/>
                <w:color w:val="auto"/>
                <w:szCs w:val="21"/>
                <w:highlight w:val="none"/>
                <w:lang w:val="en-US" w:eastAsia="zh-CN"/>
              </w:rPr>
              <w:t>本项目所在区域属于巴河</w:t>
            </w:r>
            <w:r>
              <w:rPr>
                <w:rFonts w:hint="eastAsia" w:cs="Times New Roman"/>
                <w:b/>
                <w:bCs/>
                <w:color w:val="auto"/>
                <w:szCs w:val="21"/>
                <w:highlight w:val="none"/>
                <w:lang w:val="en-US" w:eastAsia="zh-CN"/>
              </w:rPr>
              <w:t>支流</w:t>
            </w:r>
            <w:r>
              <w:rPr>
                <w:rFonts w:hint="default" w:ascii="Times New Roman" w:hAnsi="Times New Roman" w:cs="Times New Roman"/>
                <w:b/>
                <w:bCs/>
                <w:color w:val="auto"/>
                <w:szCs w:val="21"/>
                <w:highlight w:val="none"/>
                <w:lang w:val="en-US" w:eastAsia="zh-CN"/>
              </w:rPr>
              <w:t>流域</w:t>
            </w:r>
            <w:r>
              <w:rPr>
                <w:rFonts w:hint="eastAsia" w:cs="Times New Roman"/>
                <w:b/>
                <w:bCs/>
                <w:color w:val="auto"/>
                <w:szCs w:val="21"/>
                <w:highlight w:val="none"/>
                <w:lang w:val="en-US" w:eastAsia="zh-CN"/>
              </w:rPr>
              <w:t>（恩阳河）</w:t>
            </w:r>
            <w:r>
              <w:rPr>
                <w:rFonts w:hint="default" w:ascii="Times New Roman" w:hAnsi="Times New Roman" w:cs="Times New Roman"/>
                <w:b/>
                <w:bCs/>
                <w:color w:val="auto"/>
                <w:szCs w:val="21"/>
                <w:highlight w:val="none"/>
              </w:rPr>
              <w:t>，由</w:t>
            </w:r>
            <w:r>
              <w:rPr>
                <w:rFonts w:hint="eastAsia"/>
                <w:b/>
                <w:bCs/>
                <w:color w:val="auto"/>
                <w:szCs w:val="21"/>
                <w:shd w:val="clear" w:color="auto" w:fill="FFFFFF"/>
              </w:rPr>
              <w:t>《</w:t>
            </w:r>
            <w:r>
              <w:rPr>
                <w:rFonts w:hint="eastAsia"/>
                <w:b/>
                <w:bCs/>
                <w:color w:val="auto"/>
                <w:szCs w:val="21"/>
                <w:shd w:val="clear" w:color="auto" w:fill="FFFFFF"/>
                <w:lang w:val="en-US" w:eastAsia="zh-CN"/>
              </w:rPr>
              <w:t>2025年巴中市生态环境状况公报</w:t>
            </w:r>
            <w:r>
              <w:rPr>
                <w:rFonts w:hint="eastAsia"/>
                <w:b/>
                <w:bCs/>
                <w:color w:val="auto"/>
                <w:szCs w:val="21"/>
                <w:shd w:val="clear" w:color="auto" w:fill="FFFFFF"/>
              </w:rPr>
              <w:t>》</w:t>
            </w:r>
            <w:r>
              <w:rPr>
                <w:rFonts w:hint="eastAsia" w:cs="Times New Roman"/>
                <w:b/>
                <w:bCs/>
                <w:color w:val="auto"/>
                <w:szCs w:val="21"/>
                <w:highlight w:val="none"/>
                <w:lang w:val="en-US" w:eastAsia="zh-CN"/>
              </w:rPr>
              <w:t>可知</w:t>
            </w:r>
            <w:r>
              <w:rPr>
                <w:rFonts w:hint="default" w:ascii="Times New Roman" w:hAnsi="Times New Roman" w:cs="Times New Roman"/>
                <w:b/>
                <w:bCs/>
                <w:color w:val="auto"/>
                <w:szCs w:val="21"/>
                <w:highlight w:val="none"/>
              </w:rPr>
              <w:t>，</w:t>
            </w:r>
            <w:r>
              <w:rPr>
                <w:rFonts w:hint="default" w:ascii="Times New Roman" w:hAnsi="Times New Roman" w:cs="Times New Roman"/>
                <w:b/>
                <w:bCs/>
                <w:color w:val="auto"/>
                <w:szCs w:val="21"/>
                <w:highlight w:val="none"/>
                <w:lang w:val="en-US" w:eastAsia="zh-CN"/>
              </w:rPr>
              <w:t>巴河</w:t>
            </w:r>
            <w:r>
              <w:rPr>
                <w:rFonts w:hint="eastAsia" w:cs="Times New Roman"/>
                <w:b/>
                <w:bCs/>
                <w:color w:val="auto"/>
                <w:szCs w:val="21"/>
                <w:highlight w:val="none"/>
                <w:lang w:val="en-US" w:eastAsia="zh-CN"/>
              </w:rPr>
              <w:t>支流</w:t>
            </w:r>
            <w:r>
              <w:rPr>
                <w:rFonts w:hint="default" w:ascii="Times New Roman" w:hAnsi="Times New Roman" w:cs="Times New Roman"/>
                <w:b/>
                <w:bCs/>
                <w:color w:val="auto"/>
                <w:szCs w:val="21"/>
                <w:highlight w:val="none"/>
                <w:lang w:val="en-US" w:eastAsia="zh-CN"/>
              </w:rPr>
              <w:t>流域</w:t>
            </w:r>
            <w:r>
              <w:rPr>
                <w:rFonts w:hint="eastAsia" w:cs="Times New Roman"/>
                <w:b/>
                <w:bCs/>
                <w:color w:val="auto"/>
                <w:szCs w:val="21"/>
                <w:highlight w:val="none"/>
                <w:lang w:val="en-US" w:eastAsia="zh-CN"/>
              </w:rPr>
              <w:t>（恩阳河）</w:t>
            </w:r>
            <w:r>
              <w:rPr>
                <w:rFonts w:hint="default" w:ascii="Times New Roman" w:hAnsi="Times New Roman" w:cs="Times New Roman"/>
                <w:b/>
                <w:bCs/>
                <w:color w:val="auto"/>
                <w:szCs w:val="21"/>
                <w:highlight w:val="none"/>
              </w:rPr>
              <w:t>可以满足《地表水环境质量标准》（GB3838-2002）Ⅲ类水域要求</w:t>
            </w:r>
            <w:r>
              <w:rPr>
                <w:rFonts w:hint="eastAsia"/>
                <w:color w:val="auto"/>
                <w:szCs w:val="21"/>
                <w:lang w:val="en-US" w:eastAsia="zh-CN"/>
              </w:rPr>
              <w:t>。</w:t>
            </w:r>
          </w:p>
          <w:p w14:paraId="147EE0BD">
            <w:pPr>
              <w:keepNext w:val="0"/>
              <w:keepLines w:val="0"/>
              <w:pageBreakBefore w:val="0"/>
              <w:widowControl w:val="0"/>
              <w:kinsoku/>
              <w:overflowPunct/>
              <w:topLinePunct w:val="0"/>
              <w:bidi w:val="0"/>
              <w:adjustRightInd w:val="0"/>
              <w:spacing w:line="360" w:lineRule="auto"/>
              <w:rPr>
                <w:rFonts w:eastAsia="黑体"/>
                <w:color w:val="auto"/>
                <w:szCs w:val="21"/>
              </w:rPr>
            </w:pPr>
            <w:r>
              <w:rPr>
                <w:rFonts w:hint="eastAsia" w:eastAsia="黑体"/>
                <w:color w:val="auto"/>
                <w:szCs w:val="21"/>
              </w:rPr>
              <w:t>六</w:t>
            </w:r>
            <w:r>
              <w:rPr>
                <w:rFonts w:eastAsia="黑体"/>
                <w:color w:val="auto"/>
                <w:szCs w:val="21"/>
              </w:rPr>
              <w:t>、</w:t>
            </w:r>
            <w:r>
              <w:rPr>
                <w:rFonts w:hint="eastAsia" w:eastAsia="黑体"/>
                <w:color w:val="auto"/>
                <w:szCs w:val="21"/>
              </w:rPr>
              <w:t>电磁和</w:t>
            </w:r>
            <w:r>
              <w:rPr>
                <w:rFonts w:eastAsia="黑体"/>
                <w:color w:val="auto"/>
                <w:szCs w:val="21"/>
              </w:rPr>
              <w:t>声环境</w:t>
            </w:r>
            <w:r>
              <w:rPr>
                <w:rFonts w:hint="eastAsia" w:eastAsia="黑体"/>
                <w:color w:val="auto"/>
                <w:szCs w:val="21"/>
              </w:rPr>
              <w:t>质量现状</w:t>
            </w:r>
          </w:p>
          <w:p w14:paraId="49191D8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次环评现场调查期间，评价人员首先根据设计、建设单位人员介绍本项目变电站选址及外环境关系、拟建输电线路的路径方案以及工程区附近的敏感目标分布情况，并对本项目变电站周围和输电线路沿线现场踏勘调查，最后根据拟建</w:t>
            </w:r>
            <w:r>
              <w:rPr>
                <w:rFonts w:hint="eastAsia" w:cs="Times New Roman"/>
                <w:color w:val="auto"/>
                <w:szCs w:val="21"/>
                <w:highlight w:val="none"/>
                <w:lang w:val="en-US" w:eastAsia="zh-CN"/>
              </w:rPr>
              <w:t>司城</w:t>
            </w:r>
            <w:r>
              <w:rPr>
                <w:rFonts w:hint="eastAsia" w:cs="Times New Roman"/>
                <w:color w:val="auto"/>
                <w:szCs w:val="21"/>
                <w:highlight w:val="none"/>
                <w:lang w:eastAsia="zh-CN"/>
              </w:rPr>
              <w:t>110kV变电站</w:t>
            </w:r>
            <w:r>
              <w:rPr>
                <w:rFonts w:hint="default" w:ascii="Times New Roman" w:hAnsi="Times New Roman" w:cs="Times New Roman"/>
                <w:color w:val="auto"/>
                <w:szCs w:val="21"/>
                <w:highlight w:val="none"/>
              </w:rPr>
              <w:t>和拟建输电线路沿线外环境关系情况及敏感目标位置确立了具体的电磁和声环境监测点位。</w:t>
            </w:r>
          </w:p>
          <w:p w14:paraId="729AE675">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年</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月</w:t>
            </w:r>
            <w:r>
              <w:rPr>
                <w:rFonts w:hint="eastAsia" w:cs="Times New Roman"/>
                <w:color w:val="auto"/>
                <w:szCs w:val="21"/>
                <w:highlight w:val="none"/>
                <w:lang w:val="en-US" w:eastAsia="zh-CN"/>
              </w:rPr>
              <w:t>13日</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en-US" w:eastAsia="zh-CN"/>
              </w:rPr>
              <w:t>1</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日，评价单位委托</w:t>
            </w:r>
            <w:r>
              <w:rPr>
                <w:rFonts w:hint="eastAsia" w:cs="Times New Roman"/>
                <w:color w:val="auto"/>
                <w:szCs w:val="21"/>
                <w:highlight w:val="none"/>
                <w:lang w:eastAsia="zh-CN"/>
              </w:rPr>
              <w:t>四川省辐安环境监测有限公司</w:t>
            </w:r>
            <w:r>
              <w:rPr>
                <w:rFonts w:hint="default" w:ascii="Times New Roman" w:hAnsi="Times New Roman" w:cs="Times New Roman"/>
                <w:color w:val="auto"/>
                <w:szCs w:val="21"/>
                <w:highlight w:val="none"/>
              </w:rPr>
              <w:t>对本项目拟建变电站、拟建输电线路、评价范围内敏感点的电磁和声环境进行了现状监测。</w:t>
            </w:r>
          </w:p>
          <w:p w14:paraId="447562E4">
            <w:pPr>
              <w:adjustRightInd w:val="0"/>
              <w:spacing w:line="360" w:lineRule="auto"/>
              <w:ind w:firstLine="422" w:firstLineChars="200"/>
              <w:textAlignment w:val="baseline"/>
              <w:rPr>
                <w:rFonts w:hint="default" w:ascii="Times New Roman" w:hAnsi="Times New Roman" w:cs="Times New Roman" w:eastAsiaTheme="minorEastAsia"/>
                <w:b/>
                <w:color w:val="auto"/>
                <w:kern w:val="0"/>
                <w:szCs w:val="21"/>
                <w:highlight w:val="none"/>
              </w:rPr>
            </w:pPr>
            <w:r>
              <w:rPr>
                <w:rFonts w:hint="default" w:ascii="Times New Roman" w:hAnsi="Times New Roman" w:cs="Times New Roman" w:eastAsiaTheme="minorEastAsia"/>
                <w:b/>
                <w:color w:val="auto"/>
                <w:kern w:val="0"/>
                <w:szCs w:val="21"/>
                <w:highlight w:val="none"/>
              </w:rPr>
              <w:t>1、</w:t>
            </w:r>
            <w:r>
              <w:rPr>
                <w:rFonts w:hint="eastAsia" w:cs="Times New Roman" w:eastAsiaTheme="minorEastAsia"/>
                <w:b/>
                <w:color w:val="auto"/>
                <w:kern w:val="0"/>
                <w:szCs w:val="21"/>
                <w:highlight w:val="none"/>
                <w:lang w:val="en-US" w:eastAsia="zh-CN"/>
              </w:rPr>
              <w:t>司城</w:t>
            </w:r>
            <w:r>
              <w:rPr>
                <w:rFonts w:hint="eastAsia" w:cs="Times New Roman" w:eastAsiaTheme="minorEastAsia"/>
                <w:b/>
                <w:color w:val="auto"/>
                <w:kern w:val="0"/>
                <w:szCs w:val="21"/>
                <w:highlight w:val="none"/>
                <w:lang w:eastAsia="zh-CN"/>
              </w:rPr>
              <w:t>110kV变电站</w:t>
            </w:r>
          </w:p>
          <w:p w14:paraId="48FD78F0">
            <w:pPr>
              <w:adjustRightInd w:val="0"/>
              <w:spacing w:line="360" w:lineRule="auto"/>
              <w:ind w:firstLine="420" w:firstLineChars="200"/>
              <w:textAlignment w:val="baseline"/>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通过现场踏勘，拟建</w:t>
            </w:r>
            <w:r>
              <w:rPr>
                <w:rFonts w:hint="eastAsia" w:cs="Times New Roman"/>
                <w:color w:val="auto"/>
                <w:kern w:val="0"/>
                <w:szCs w:val="21"/>
                <w:highlight w:val="none"/>
                <w:lang w:val="en-US" w:eastAsia="zh-CN"/>
              </w:rPr>
              <w:t>司城</w:t>
            </w:r>
            <w:r>
              <w:rPr>
                <w:rFonts w:hint="eastAsia" w:cs="Times New Roman"/>
                <w:color w:val="auto"/>
                <w:kern w:val="0"/>
                <w:szCs w:val="21"/>
                <w:highlight w:val="none"/>
                <w:lang w:eastAsia="zh-CN"/>
              </w:rPr>
              <w:t>110kV变电站</w:t>
            </w:r>
            <w:r>
              <w:rPr>
                <w:rFonts w:hint="default" w:ascii="Times New Roman" w:hAnsi="Times New Roman" w:cs="Times New Roman"/>
                <w:color w:val="auto"/>
                <w:kern w:val="0"/>
                <w:szCs w:val="21"/>
                <w:highlight w:val="none"/>
              </w:rPr>
              <w:t>站址附近为</w:t>
            </w:r>
            <w:r>
              <w:rPr>
                <w:rFonts w:hint="eastAsia" w:ascii="Times New Roman" w:hAnsi="Times New Roman" w:cs="Times New Roman"/>
                <w:color w:val="auto"/>
                <w:kern w:val="0"/>
                <w:szCs w:val="21"/>
                <w:highlight w:val="none"/>
                <w:lang w:val="en-US" w:eastAsia="zh-CN"/>
              </w:rPr>
              <w:t>建设用地及</w:t>
            </w:r>
            <w:r>
              <w:rPr>
                <w:rFonts w:hint="eastAsia" w:cs="Times New Roman"/>
                <w:color w:val="auto"/>
                <w:kern w:val="0"/>
                <w:szCs w:val="21"/>
                <w:highlight w:val="none"/>
                <w:lang w:val="en-US" w:eastAsia="zh-CN"/>
              </w:rPr>
              <w:t>耕地</w:t>
            </w:r>
            <w:r>
              <w:rPr>
                <w:rFonts w:hint="default" w:ascii="Times New Roman" w:hAnsi="Times New Roman" w:cs="Times New Roman"/>
                <w:color w:val="auto"/>
                <w:kern w:val="0"/>
                <w:szCs w:val="21"/>
                <w:highlight w:val="none"/>
              </w:rPr>
              <w:t>，附近无电磁环境影响源，根据</w:t>
            </w:r>
            <w:r>
              <w:rPr>
                <w:rFonts w:hint="default" w:ascii="Times New Roman" w:hAnsi="Times New Roman" w:cs="Times New Roman"/>
                <w:color w:val="auto"/>
                <w:szCs w:val="21"/>
                <w:highlight w:val="none"/>
              </w:rPr>
              <w:t>《环境影响评价技术导则  输变电》（HJ24-2020），</w:t>
            </w:r>
            <w:r>
              <w:rPr>
                <w:rFonts w:hint="default" w:ascii="Times New Roman" w:hAnsi="Times New Roman" w:cs="Times New Roman"/>
                <w:color w:val="auto"/>
                <w:kern w:val="0"/>
                <w:szCs w:val="21"/>
                <w:highlight w:val="none"/>
              </w:rPr>
              <w:t>本次评价在拟建站址中心处设置了1个电磁环境监测点（EB</w:t>
            </w:r>
            <w:r>
              <w:rPr>
                <w:rFonts w:hint="eastAsia" w:cs="Times New Roman"/>
                <w:color w:val="auto"/>
                <w:kern w:val="0"/>
                <w:szCs w:val="21"/>
                <w:highlight w:val="none"/>
                <w:lang w:val="en-US" w:eastAsia="zh-CN"/>
              </w:rPr>
              <w:t>21</w:t>
            </w:r>
            <w:r>
              <w:rPr>
                <w:rFonts w:hint="default" w:ascii="Times New Roman" w:hAnsi="Times New Roman" w:cs="Times New Roman"/>
                <w:color w:val="auto"/>
                <w:kern w:val="0"/>
                <w:szCs w:val="21"/>
                <w:highlight w:val="none"/>
              </w:rPr>
              <w:t>#），以了解拟建站址处的电磁环境背景状况。</w:t>
            </w:r>
            <w:r>
              <w:rPr>
                <w:rFonts w:hint="default" w:ascii="Times New Roman" w:hAnsi="Times New Roman" w:cs="Times New Roman"/>
                <w:color w:val="auto"/>
                <w:szCs w:val="21"/>
                <w:highlight w:val="none"/>
              </w:rPr>
              <w:t>本次</w:t>
            </w:r>
            <w:r>
              <w:rPr>
                <w:rFonts w:hint="default" w:ascii="Times New Roman" w:hAnsi="Times New Roman" w:cs="Times New Roman"/>
                <w:color w:val="auto"/>
                <w:kern w:val="0"/>
                <w:szCs w:val="21"/>
                <w:highlight w:val="none"/>
              </w:rPr>
              <w:t>在拟建站址四侧站界处分别设置了1个声环境监测点（N</w:t>
            </w:r>
            <w:r>
              <w:rPr>
                <w:rFonts w:hint="eastAsia" w:cs="Times New Roman"/>
                <w:color w:val="auto"/>
                <w:kern w:val="0"/>
                <w:szCs w:val="21"/>
                <w:highlight w:val="none"/>
                <w:lang w:val="en-US" w:eastAsia="zh-CN"/>
              </w:rPr>
              <w:t>27</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kern w:val="0"/>
                <w:szCs w:val="21"/>
                <w:highlight w:val="none"/>
                <w:lang w:val="en-US" w:eastAsia="zh-CN"/>
              </w:rPr>
              <w:t>～</w:t>
            </w:r>
            <w:r>
              <w:rPr>
                <w:rFonts w:hint="eastAsia" w:cs="Times New Roman"/>
                <w:color w:val="auto"/>
                <w:kern w:val="0"/>
                <w:szCs w:val="21"/>
                <w:highlight w:val="none"/>
                <w:lang w:val="en-US" w:eastAsia="zh-CN"/>
              </w:rPr>
              <w:t>30</w:t>
            </w:r>
            <w:r>
              <w:rPr>
                <w:rFonts w:hint="default" w:ascii="Times New Roman" w:hAnsi="Times New Roman" w:cs="Times New Roman"/>
                <w:color w:val="auto"/>
                <w:szCs w:val="21"/>
                <w:highlight w:val="none"/>
              </w:rPr>
              <w:t>#</w:t>
            </w:r>
            <w:r>
              <w:rPr>
                <w:rFonts w:hint="default" w:ascii="Times New Roman" w:hAnsi="Times New Roman" w:cs="Times New Roman"/>
                <w:color w:val="auto"/>
                <w:kern w:val="0"/>
                <w:szCs w:val="21"/>
                <w:highlight w:val="none"/>
              </w:rPr>
              <w:t>），以了解拟建站址处的声环境背景状况。</w:t>
            </w:r>
          </w:p>
          <w:p w14:paraId="755FCF60">
            <w:pPr>
              <w:spacing w:line="360" w:lineRule="auto"/>
              <w:ind w:firstLine="420" w:firstLineChars="200"/>
              <w:rPr>
                <w:rFonts w:hint="default" w:ascii="Times New Roman" w:hAnsi="Times New Roman" w:eastAsia="宋体" w:cs="Times New Roman"/>
                <w:b/>
                <w:color w:val="auto"/>
                <w:szCs w:val="21"/>
                <w:highlight w:val="none"/>
                <w:lang w:eastAsia="zh-CN"/>
              </w:rPr>
            </w:pPr>
            <w:r>
              <w:rPr>
                <w:rFonts w:hint="default" w:ascii="Times New Roman" w:hAnsi="Times New Roman" w:cs="Times New Roman"/>
                <w:color w:val="auto"/>
                <w:kern w:val="0"/>
                <w:szCs w:val="21"/>
                <w:highlight w:val="none"/>
              </w:rPr>
              <w:t>通过现场踏勘，</w:t>
            </w:r>
            <w:r>
              <w:rPr>
                <w:rFonts w:hint="eastAsia" w:cs="Times New Roman"/>
                <w:color w:val="auto"/>
                <w:kern w:val="0"/>
                <w:szCs w:val="21"/>
                <w:highlight w:val="none"/>
                <w:lang w:val="en-US" w:eastAsia="zh-CN"/>
              </w:rPr>
              <w:t>司城</w:t>
            </w:r>
            <w:r>
              <w:rPr>
                <w:rFonts w:hint="eastAsia" w:cs="Times New Roman"/>
                <w:color w:val="auto"/>
                <w:kern w:val="0"/>
                <w:szCs w:val="21"/>
                <w:highlight w:val="none"/>
                <w:lang w:eastAsia="zh-CN"/>
              </w:rPr>
              <w:t>110kV变电站</w:t>
            </w:r>
            <w:r>
              <w:rPr>
                <w:rFonts w:hint="eastAsia"/>
                <w:color w:val="auto"/>
                <w:szCs w:val="21"/>
              </w:rPr>
              <w:t>电磁环境评价范围内</w:t>
            </w:r>
            <w:r>
              <w:rPr>
                <w:rFonts w:hint="eastAsia"/>
                <w:color w:val="auto"/>
                <w:szCs w:val="21"/>
                <w:lang w:val="en-US" w:eastAsia="zh-CN"/>
              </w:rPr>
              <w:t>不存在</w:t>
            </w:r>
            <w:r>
              <w:rPr>
                <w:rFonts w:hint="eastAsia"/>
                <w:color w:val="auto"/>
                <w:szCs w:val="21"/>
              </w:rPr>
              <w:t>环境敏感目标</w:t>
            </w:r>
            <w:r>
              <w:rPr>
                <w:rFonts w:hint="eastAsia"/>
                <w:color w:val="auto"/>
                <w:szCs w:val="21"/>
                <w:lang w:eastAsia="zh-CN"/>
              </w:rPr>
              <w:t>，</w:t>
            </w:r>
            <w:r>
              <w:rPr>
                <w:rFonts w:hint="default" w:ascii="Times New Roman" w:hAnsi="Times New Roman" w:cs="Times New Roman"/>
                <w:color w:val="auto"/>
                <w:szCs w:val="21"/>
                <w:highlight w:val="none"/>
                <w:lang w:eastAsia="zh-CN"/>
              </w:rPr>
              <w:t>声</w:t>
            </w:r>
            <w:r>
              <w:rPr>
                <w:rFonts w:hint="default" w:ascii="Times New Roman" w:hAnsi="Times New Roman" w:cs="Times New Roman"/>
                <w:color w:val="auto"/>
                <w:szCs w:val="21"/>
                <w:highlight w:val="none"/>
              </w:rPr>
              <w:t>环境评价范围内</w:t>
            </w:r>
            <w:r>
              <w:rPr>
                <w:rFonts w:hint="default" w:ascii="Times New Roman" w:hAnsi="Times New Roman" w:cs="Times New Roman"/>
                <w:color w:val="auto"/>
                <w:szCs w:val="21"/>
                <w:highlight w:val="none"/>
                <w:lang w:eastAsia="zh-CN"/>
              </w:rPr>
              <w:t>有</w:t>
            </w:r>
            <w:r>
              <w:rPr>
                <w:rFonts w:hint="eastAsia"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lang w:val="en-US" w:eastAsia="zh-CN"/>
              </w:rPr>
              <w:t>处</w:t>
            </w:r>
            <w:r>
              <w:rPr>
                <w:rFonts w:hint="default" w:ascii="Times New Roman" w:hAnsi="Times New Roman" w:cs="Times New Roman"/>
                <w:color w:val="auto"/>
                <w:szCs w:val="21"/>
                <w:highlight w:val="none"/>
              </w:rPr>
              <w:t>环境敏感目标（即</w:t>
            </w:r>
            <w:r>
              <w:rPr>
                <w:rFonts w:hint="eastAsia" w:ascii="Times New Roman" w:hAnsi="Times New Roman" w:cs="Times New Roman"/>
                <w:color w:val="auto"/>
                <w:szCs w:val="21"/>
                <w:highlight w:val="none"/>
                <w:lang w:val="en-US" w:eastAsia="zh-CN"/>
              </w:rPr>
              <w:t>25</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28</w:t>
            </w:r>
            <w:r>
              <w:rPr>
                <w:rFonts w:hint="default" w:ascii="Times New Roman" w:hAnsi="Times New Roman" w:cs="Times New Roman"/>
                <w:color w:val="auto"/>
                <w:szCs w:val="21"/>
                <w:highlight w:val="none"/>
              </w:rPr>
              <w:t>#环境敏感目标</w:t>
            </w:r>
            <w:r>
              <w:rPr>
                <w:rFonts w:hint="eastAsia" w:ascii="Times New Roman" w:hAnsi="Times New Roman" w:cs="Times New Roman"/>
                <w:color w:val="auto"/>
                <w:szCs w:val="21"/>
                <w:highlight w:val="none"/>
                <w:lang w:eastAsia="zh-CN"/>
              </w:rPr>
              <w:t>，其中</w:t>
            </w:r>
            <w:r>
              <w:rPr>
                <w:rFonts w:hint="eastAsia" w:ascii="Times New Roman" w:hAnsi="Times New Roman" w:cs="Times New Roman"/>
                <w:color w:val="auto"/>
                <w:szCs w:val="21"/>
                <w:highlight w:val="none"/>
                <w:lang w:val="en-US" w:eastAsia="zh-CN"/>
              </w:rPr>
              <w:t>27</w:t>
            </w:r>
            <w:r>
              <w:rPr>
                <w:rFonts w:hint="eastAsia" w:ascii="Times New Roman" w:hAnsi="Times New Roman" w:cs="Times New Roman"/>
                <w:color w:val="auto"/>
                <w:szCs w:val="21"/>
                <w:highlight w:val="none"/>
                <w:lang w:eastAsia="zh-CN"/>
              </w:rPr>
              <w:t>#环境敏感目标分为</w:t>
            </w:r>
            <w:r>
              <w:rPr>
                <w:rFonts w:hint="eastAsia" w:ascii="Times New Roman" w:hAnsi="Times New Roman" w:cs="Times New Roman"/>
                <w:color w:val="auto"/>
                <w:szCs w:val="21"/>
                <w:highlight w:val="none"/>
                <w:lang w:val="en-US" w:eastAsia="zh-CN"/>
              </w:rPr>
              <w:t>27</w:t>
            </w:r>
            <w:r>
              <w:rPr>
                <w:rFonts w:hint="eastAsia" w:ascii="Times New Roman" w:hAnsi="Times New Roman" w:cs="Times New Roman"/>
                <w:color w:val="auto"/>
                <w:szCs w:val="21"/>
                <w:highlight w:val="none"/>
                <w:lang w:eastAsia="zh-CN"/>
              </w:rPr>
              <w:t>-1#和</w:t>
            </w:r>
            <w:r>
              <w:rPr>
                <w:rFonts w:hint="eastAsia" w:ascii="Times New Roman" w:hAnsi="Times New Roman" w:cs="Times New Roman"/>
                <w:color w:val="auto"/>
                <w:szCs w:val="21"/>
                <w:highlight w:val="none"/>
                <w:lang w:val="en-US" w:eastAsia="zh-CN"/>
              </w:rPr>
              <w:t>27</w:t>
            </w:r>
            <w:r>
              <w:rPr>
                <w:rFonts w:hint="eastAsia" w:ascii="Times New Roman" w:hAnsi="Times New Roman" w:cs="Times New Roman"/>
                <w:color w:val="auto"/>
                <w:szCs w:val="21"/>
                <w:highlight w:val="none"/>
                <w:lang w:eastAsia="zh-CN"/>
              </w:rPr>
              <w:t>-2#，</w:t>
            </w:r>
            <w:r>
              <w:rPr>
                <w:rFonts w:hint="eastAsia" w:ascii="Times New Roman" w:hAnsi="Times New Roman" w:cs="Times New Roman"/>
                <w:color w:val="auto"/>
                <w:szCs w:val="21"/>
                <w:highlight w:val="none"/>
                <w:lang w:val="en-US" w:eastAsia="zh-CN"/>
              </w:rPr>
              <w:t>28</w:t>
            </w:r>
            <w:r>
              <w:rPr>
                <w:rFonts w:hint="eastAsia" w:ascii="Times New Roman" w:hAnsi="Times New Roman" w:cs="Times New Roman"/>
                <w:color w:val="auto"/>
                <w:szCs w:val="21"/>
                <w:highlight w:val="none"/>
                <w:lang w:eastAsia="zh-CN"/>
              </w:rPr>
              <w:t>#环境敏感目标分为</w:t>
            </w:r>
            <w:r>
              <w:rPr>
                <w:rFonts w:hint="eastAsia" w:ascii="Times New Roman" w:hAnsi="Times New Roman" w:cs="Times New Roman"/>
                <w:color w:val="auto"/>
                <w:szCs w:val="21"/>
                <w:highlight w:val="none"/>
                <w:lang w:val="en-US" w:eastAsia="zh-CN"/>
              </w:rPr>
              <w:t>28</w:t>
            </w:r>
            <w:r>
              <w:rPr>
                <w:rFonts w:hint="eastAsia" w:ascii="Times New Roman" w:hAnsi="Times New Roman" w:cs="Times New Roman"/>
                <w:color w:val="auto"/>
                <w:szCs w:val="21"/>
                <w:highlight w:val="none"/>
                <w:lang w:eastAsia="zh-CN"/>
              </w:rPr>
              <w:t>-1#和</w:t>
            </w:r>
            <w:r>
              <w:rPr>
                <w:rFonts w:hint="eastAsia" w:ascii="Times New Roman" w:hAnsi="Times New Roman" w:cs="Times New Roman"/>
                <w:color w:val="auto"/>
                <w:szCs w:val="21"/>
                <w:highlight w:val="none"/>
                <w:lang w:val="en-US" w:eastAsia="zh-CN"/>
              </w:rPr>
              <w:t>28</w:t>
            </w:r>
            <w:r>
              <w:rPr>
                <w:rFonts w:hint="eastAsia" w:ascii="Times New Roman" w:hAnsi="Times New Roman" w:cs="Times New Roman"/>
                <w:color w:val="auto"/>
                <w:szCs w:val="21"/>
                <w:highlight w:val="none"/>
                <w:lang w:eastAsia="zh-CN"/>
              </w:rPr>
              <w:t>-2#</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本次评价在</w:t>
            </w:r>
            <w:r>
              <w:rPr>
                <w:rFonts w:hint="eastAsia" w:cs="Times New Roman"/>
                <w:color w:val="auto"/>
                <w:szCs w:val="21"/>
                <w:highlight w:val="none"/>
                <w:lang w:val="en-US" w:eastAsia="zh-CN"/>
              </w:rPr>
              <w:t>25</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28</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环境敏感目标处分别</w:t>
            </w:r>
            <w:r>
              <w:rPr>
                <w:rFonts w:hint="default" w:ascii="Times New Roman" w:hAnsi="Times New Roman" w:cs="Times New Roman"/>
                <w:color w:val="auto"/>
                <w:szCs w:val="21"/>
                <w:highlight w:val="none"/>
              </w:rPr>
              <w:t>设置了1个监测点</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N</w:t>
            </w:r>
            <w:r>
              <w:rPr>
                <w:rFonts w:hint="eastAsia" w:cs="Times New Roman"/>
                <w:color w:val="auto"/>
                <w:szCs w:val="21"/>
                <w:highlight w:val="none"/>
                <w:lang w:val="en-US" w:eastAsia="zh-CN"/>
              </w:rPr>
              <w:t>21#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26</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），以了解</w:t>
            </w:r>
            <w:r>
              <w:rPr>
                <w:rFonts w:hint="eastAsia" w:ascii="Times New Roman" w:hAnsi="Times New Roman" w:cs="Times New Roman"/>
                <w:color w:val="auto"/>
                <w:szCs w:val="21"/>
                <w:highlight w:val="none"/>
                <w:lang w:val="en-US" w:eastAsia="zh-CN"/>
              </w:rPr>
              <w:t>25</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28</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环境敏感目标</w:t>
            </w:r>
            <w:r>
              <w:rPr>
                <w:rFonts w:hint="default" w:ascii="Times New Roman" w:hAnsi="Times New Roman" w:cs="Times New Roman"/>
                <w:color w:val="auto"/>
                <w:szCs w:val="21"/>
                <w:highlight w:val="none"/>
              </w:rPr>
              <w:t>处的</w:t>
            </w:r>
            <w:r>
              <w:rPr>
                <w:rFonts w:hint="default" w:ascii="Times New Roman" w:hAnsi="Times New Roman" w:cs="Times New Roman"/>
                <w:color w:val="auto"/>
                <w:szCs w:val="21"/>
                <w:highlight w:val="none"/>
                <w:lang w:eastAsia="zh-CN"/>
              </w:rPr>
              <w:t>声</w:t>
            </w:r>
            <w:r>
              <w:rPr>
                <w:rFonts w:hint="default" w:ascii="Times New Roman" w:hAnsi="Times New Roman" w:cs="Times New Roman"/>
                <w:color w:val="auto"/>
                <w:szCs w:val="21"/>
                <w:highlight w:val="none"/>
              </w:rPr>
              <w:t>环境</w:t>
            </w:r>
            <w:r>
              <w:rPr>
                <w:rFonts w:hint="default" w:ascii="Times New Roman" w:hAnsi="Times New Roman" w:cs="Times New Roman"/>
                <w:color w:val="auto"/>
                <w:kern w:val="0"/>
                <w:szCs w:val="21"/>
                <w:highlight w:val="none"/>
              </w:rPr>
              <w:t>背景状况</w:t>
            </w:r>
            <w:r>
              <w:rPr>
                <w:rFonts w:hint="default" w:ascii="Times New Roman" w:hAnsi="Times New Roman" w:cs="Times New Roman"/>
                <w:color w:val="auto"/>
                <w:kern w:val="0"/>
                <w:szCs w:val="21"/>
                <w:highlight w:val="none"/>
                <w:lang w:eastAsia="zh-CN"/>
              </w:rPr>
              <w:t>。</w:t>
            </w:r>
          </w:p>
          <w:p w14:paraId="3CE03EF1">
            <w:pPr>
              <w:spacing w:line="360" w:lineRule="auto"/>
              <w:ind w:firstLine="422" w:firstLineChars="200"/>
              <w:rPr>
                <w:rFonts w:hint="default" w:ascii="Times New Roman" w:hAnsi="Times New Roman" w:cs="Times New Roman" w:eastAsiaTheme="minorEastAsia"/>
                <w:b/>
                <w:color w:val="auto"/>
                <w:szCs w:val="21"/>
                <w:highlight w:val="none"/>
              </w:rPr>
            </w:pPr>
            <w:r>
              <w:rPr>
                <w:rFonts w:hint="eastAsia" w:cs="Times New Roman" w:eastAsiaTheme="minorEastAsia"/>
                <w:b/>
                <w:color w:val="auto"/>
                <w:szCs w:val="21"/>
                <w:highlight w:val="none"/>
                <w:lang w:val="en-US" w:eastAsia="zh-CN"/>
              </w:rPr>
              <w:t>2</w:t>
            </w:r>
            <w:r>
              <w:rPr>
                <w:rFonts w:hint="default" w:ascii="Times New Roman" w:hAnsi="Times New Roman" w:cs="Times New Roman" w:eastAsiaTheme="minorEastAsia"/>
                <w:b/>
                <w:color w:val="auto"/>
                <w:szCs w:val="21"/>
                <w:highlight w:val="none"/>
              </w:rPr>
              <w:t>、输电线路</w:t>
            </w:r>
          </w:p>
          <w:p w14:paraId="08DA2752">
            <w:pPr>
              <w:adjustRightInd w:val="0"/>
              <w:spacing w:line="360" w:lineRule="auto"/>
              <w:ind w:firstLine="420" w:firstLineChars="200"/>
              <w:textAlignment w:val="baseline"/>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kern w:val="0"/>
                <w:szCs w:val="21"/>
                <w:highlight w:val="none"/>
              </w:rPr>
              <w:t>通过现场踏勘，</w:t>
            </w:r>
            <w:r>
              <w:rPr>
                <w:rFonts w:hint="eastAsia" w:cs="Times New Roman"/>
                <w:color w:val="auto"/>
                <w:kern w:val="0"/>
                <w:szCs w:val="21"/>
                <w:highlight w:val="none"/>
                <w:lang w:val="en-US" w:eastAsia="zh-CN"/>
              </w:rPr>
              <w:t>新建线路</w:t>
            </w:r>
            <w:r>
              <w:rPr>
                <w:rFonts w:hint="default" w:cs="Times New Roman"/>
                <w:color w:val="auto"/>
                <w:kern w:val="0"/>
                <w:szCs w:val="21"/>
                <w:highlight w:val="none"/>
                <w:lang w:val="en-US" w:eastAsia="zh-CN"/>
              </w:rPr>
              <w:t>Ⅰ</w:t>
            </w:r>
            <w:r>
              <w:rPr>
                <w:rFonts w:hint="eastAsia" w:cs="Times New Roman"/>
                <w:color w:val="auto"/>
                <w:kern w:val="0"/>
                <w:szCs w:val="21"/>
                <w:highlight w:val="none"/>
                <w:lang w:val="en-US" w:eastAsia="zh-CN"/>
              </w:rPr>
              <w:t>和线路</w:t>
            </w:r>
            <w:r>
              <w:rPr>
                <w:rFonts w:hint="default" w:ascii="Times New Roman" w:hAnsi="Times New Roman" w:cs="Times New Roman"/>
                <w:color w:val="auto"/>
                <w:szCs w:val="21"/>
                <w:lang w:val="en-US" w:eastAsia="zh-CN"/>
              </w:rPr>
              <w:t>Ⅱ</w:t>
            </w:r>
            <w:r>
              <w:rPr>
                <w:rFonts w:hint="default" w:ascii="Times New Roman" w:hAnsi="Times New Roman" w:cs="Times New Roman"/>
                <w:color w:val="auto"/>
                <w:kern w:val="0"/>
                <w:szCs w:val="21"/>
                <w:highlight w:val="none"/>
                <w:lang w:eastAsia="zh-CN"/>
              </w:rPr>
              <w:t>架空段110kV输电线路</w:t>
            </w:r>
            <w:r>
              <w:rPr>
                <w:rFonts w:hint="default" w:ascii="Times New Roman" w:hAnsi="Times New Roman" w:cs="Times New Roman"/>
                <w:color w:val="auto"/>
                <w:szCs w:val="21"/>
                <w:highlight w:val="none"/>
              </w:rPr>
              <w:t>沿线存在</w:t>
            </w:r>
            <w:r>
              <w:rPr>
                <w:rFonts w:hint="eastAsia" w:cs="Times New Roman"/>
                <w:color w:val="auto"/>
                <w:szCs w:val="21"/>
                <w:highlight w:val="none"/>
                <w:lang w:val="en-US" w:eastAsia="zh-CN"/>
              </w:rPr>
              <w:t>24</w:t>
            </w:r>
            <w:r>
              <w:rPr>
                <w:rFonts w:hint="default" w:ascii="Times New Roman" w:hAnsi="Times New Roman" w:cs="Times New Roman"/>
                <w:color w:val="auto"/>
                <w:szCs w:val="21"/>
                <w:highlight w:val="none"/>
              </w:rPr>
              <w:t>处环境敏感目标（即</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24</w:t>
            </w:r>
            <w:r>
              <w:rPr>
                <w:rFonts w:hint="default" w:ascii="Times New Roman" w:hAnsi="Times New Roman" w:cs="Times New Roman"/>
                <w:color w:val="auto"/>
                <w:szCs w:val="21"/>
                <w:highlight w:val="none"/>
              </w:rPr>
              <w:t>#环境敏感目标）</w:t>
            </w:r>
            <w:r>
              <w:rPr>
                <w:rFonts w:hint="default" w:ascii="Times New Roman" w:hAnsi="Times New Roman" w:cs="Times New Roman"/>
                <w:color w:val="auto"/>
                <w:szCs w:val="21"/>
                <w:highlight w:val="none"/>
                <w:lang w:eastAsia="zh-CN"/>
              </w:rPr>
              <w:t>，</w:t>
            </w:r>
            <w:r>
              <w:rPr>
                <w:rFonts w:hint="default" w:ascii="Times New Roman" w:hAnsi="Times New Roman" w:cs="Times New Roman"/>
                <w:bCs/>
                <w:color w:val="auto"/>
                <w:szCs w:val="21"/>
                <w:highlight w:val="none"/>
              </w:rPr>
              <w:t>敏感目标附近无电磁</w:t>
            </w:r>
            <w:r>
              <w:rPr>
                <w:rFonts w:hint="default" w:ascii="Times New Roman" w:hAnsi="Times New Roman" w:cs="Times New Roman"/>
                <w:bCs/>
                <w:color w:val="auto"/>
                <w:szCs w:val="21"/>
                <w:highlight w:val="none"/>
                <w:lang w:val="en-US" w:eastAsia="zh-CN"/>
              </w:rPr>
              <w:t>和声</w:t>
            </w:r>
            <w:r>
              <w:rPr>
                <w:rFonts w:hint="default" w:ascii="Times New Roman" w:hAnsi="Times New Roman" w:cs="Times New Roman"/>
                <w:bCs/>
                <w:color w:val="auto"/>
                <w:szCs w:val="21"/>
                <w:highlight w:val="none"/>
              </w:rPr>
              <w:t>环境影响因素</w:t>
            </w:r>
            <w:r>
              <w:rPr>
                <w:rFonts w:hint="default" w:ascii="Times New Roman" w:hAnsi="Times New Roman" w:cs="Times New Roman"/>
                <w:bCs/>
                <w:color w:val="auto"/>
                <w:szCs w:val="21"/>
                <w:highlight w:val="none"/>
                <w:lang w:eastAsia="zh-CN"/>
              </w:rPr>
              <w:t>，</w:t>
            </w:r>
            <w:r>
              <w:rPr>
                <w:rFonts w:hint="eastAsia" w:ascii="Times New Roman" w:hAnsi="Times New Roman" w:cs="Times New Roman"/>
                <w:bCs/>
                <w:color w:val="auto"/>
                <w:szCs w:val="21"/>
                <w:highlight w:val="none"/>
                <w:lang w:val="en-US" w:eastAsia="zh-CN"/>
              </w:rPr>
              <w:t>因此</w:t>
            </w:r>
            <w:r>
              <w:rPr>
                <w:rFonts w:hint="eastAsia" w:cs="Times New Roman"/>
                <w:bCs/>
                <w:color w:val="auto"/>
                <w:szCs w:val="21"/>
                <w:highlight w:val="none"/>
                <w:lang w:val="en-US" w:eastAsia="zh-CN"/>
              </w:rPr>
              <w:t>，</w:t>
            </w:r>
            <w:r>
              <w:rPr>
                <w:rFonts w:hint="default" w:ascii="Times New Roman" w:hAnsi="Times New Roman" w:cs="Times New Roman"/>
                <w:color w:val="auto"/>
                <w:szCs w:val="21"/>
                <w:highlight w:val="none"/>
              </w:rPr>
              <w:t>本次评价在</w:t>
            </w:r>
            <w:r>
              <w:rPr>
                <w:rFonts w:hint="eastAsia" w:cs="Times New Roman"/>
                <w:color w:val="auto"/>
                <w:szCs w:val="21"/>
                <w:highlight w:val="none"/>
                <w:lang w:val="en-US" w:eastAsia="zh-CN"/>
              </w:rPr>
              <w:t>具有代表性</w:t>
            </w:r>
            <w:r>
              <w:rPr>
                <w:rFonts w:hint="default" w:ascii="Times New Roman" w:hAnsi="Times New Roman" w:cs="Times New Roman"/>
                <w:color w:val="auto"/>
                <w:szCs w:val="21"/>
                <w:highlight w:val="none"/>
                <w:lang w:val="en-US" w:eastAsia="zh-CN"/>
              </w:rPr>
              <w:t>环境敏感目标处</w:t>
            </w:r>
            <w:r>
              <w:rPr>
                <w:rFonts w:hint="eastAsia" w:cs="Times New Roman"/>
                <w:color w:val="auto"/>
                <w:szCs w:val="21"/>
                <w:highlight w:val="none"/>
                <w:lang w:val="en-US" w:eastAsia="zh-CN"/>
              </w:rPr>
              <w:t>（即</w:t>
            </w:r>
            <w:r>
              <w:rPr>
                <w:rFonts w:hint="eastAsia"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~4#、6#~8#、10#~18#{其中17#敏感目标包括17-1#和17-2#，18#敏感目标包含18-1#和18-2#}、20#以及22#敏感目标）</w:t>
            </w:r>
            <w:r>
              <w:rPr>
                <w:rFonts w:hint="default" w:ascii="Times New Roman" w:hAnsi="Times New Roman" w:cs="Times New Roman"/>
                <w:color w:val="auto"/>
                <w:szCs w:val="21"/>
                <w:highlight w:val="none"/>
                <w:lang w:val="en-US" w:eastAsia="zh-CN"/>
              </w:rPr>
              <w:t>分别</w:t>
            </w:r>
            <w:r>
              <w:rPr>
                <w:rFonts w:hint="default" w:ascii="Times New Roman" w:hAnsi="Times New Roman" w:cs="Times New Roman"/>
                <w:color w:val="auto"/>
                <w:szCs w:val="21"/>
                <w:highlight w:val="none"/>
              </w:rPr>
              <w:t>设置了</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个监测点</w:t>
            </w: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即</w:t>
            </w:r>
            <w:r>
              <w:rPr>
                <w:rFonts w:hint="default" w:ascii="Times New Roman" w:hAnsi="Times New Roman" w:cs="Times New Roman"/>
                <w:color w:val="auto"/>
                <w:szCs w:val="21"/>
                <w:highlight w:val="none"/>
              </w:rPr>
              <w:t>EB</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20</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和</w:t>
            </w:r>
            <w:r>
              <w:rPr>
                <w:rFonts w:hint="default" w:ascii="Times New Roman" w:hAnsi="Times New Roman" w:cs="Times New Roman"/>
                <w:color w:val="auto"/>
                <w:szCs w:val="21"/>
                <w:highlight w:val="none"/>
                <w:lang w:val="en-US" w:eastAsia="zh-CN"/>
              </w:rPr>
              <w:t>N</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20</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），以了解</w:t>
            </w:r>
            <w:r>
              <w:rPr>
                <w:rFonts w:hint="default" w:ascii="Times New Roman" w:hAnsi="Times New Roman" w:cs="Times New Roman"/>
                <w:color w:val="auto"/>
                <w:szCs w:val="21"/>
                <w:highlight w:val="none"/>
                <w:lang w:val="en-US" w:eastAsia="zh-CN"/>
              </w:rPr>
              <w:t>1</w:t>
            </w:r>
            <w:r>
              <w:rPr>
                <w:rFonts w:hint="eastAsia" w:cs="Times New Roman"/>
                <w:color w:val="auto"/>
                <w:szCs w:val="21"/>
                <w:highlight w:val="none"/>
                <w:lang w:val="en-US" w:eastAsia="zh-CN"/>
              </w:rPr>
              <w:t>#~24#</w:t>
            </w:r>
            <w:r>
              <w:rPr>
                <w:rFonts w:hint="default" w:ascii="Times New Roman" w:hAnsi="Times New Roman" w:cs="Times New Roman"/>
                <w:bCs/>
                <w:color w:val="auto"/>
                <w:szCs w:val="21"/>
                <w:highlight w:val="none"/>
              </w:rPr>
              <w:t>敏感目标</w:t>
            </w:r>
            <w:r>
              <w:rPr>
                <w:rFonts w:hint="default" w:ascii="Times New Roman" w:hAnsi="Times New Roman" w:cs="Times New Roman"/>
                <w:color w:val="auto"/>
                <w:szCs w:val="21"/>
                <w:highlight w:val="none"/>
              </w:rPr>
              <w:t>处的电磁和声环境背景状况</w:t>
            </w:r>
            <w:r>
              <w:rPr>
                <w:rFonts w:hint="eastAsia" w:cs="Times New Roman"/>
                <w:color w:val="auto"/>
                <w:szCs w:val="21"/>
                <w:highlight w:val="none"/>
                <w:lang w:val="en-US" w:eastAsia="zh-CN"/>
              </w:rPr>
              <w:t>。</w:t>
            </w:r>
          </w:p>
          <w:p w14:paraId="66140CD0">
            <w:pPr>
              <w:adjustRightInd w:val="0"/>
              <w:spacing w:line="360" w:lineRule="auto"/>
              <w:ind w:firstLine="422" w:firstLineChars="200"/>
              <w:textAlignment w:val="baseline"/>
              <w:rPr>
                <w:rFonts w:hint="default" w:ascii="Times New Roman" w:hAnsi="Times New Roman" w:cs="Times New Roman" w:eastAsiaTheme="minorEastAsia"/>
                <w:b/>
                <w:color w:val="auto"/>
                <w:kern w:val="0"/>
                <w:szCs w:val="21"/>
                <w:highlight w:val="none"/>
              </w:rPr>
            </w:pPr>
            <w:r>
              <w:rPr>
                <w:rFonts w:hint="eastAsia" w:cs="Times New Roman" w:eastAsiaTheme="minorEastAsia"/>
                <w:b/>
                <w:color w:val="auto"/>
                <w:kern w:val="0"/>
                <w:szCs w:val="21"/>
                <w:highlight w:val="none"/>
                <w:lang w:val="en-US" w:eastAsia="zh-CN"/>
              </w:rPr>
              <w:t>3</w:t>
            </w:r>
            <w:r>
              <w:rPr>
                <w:rFonts w:hint="default" w:ascii="Times New Roman" w:hAnsi="Times New Roman" w:cs="Times New Roman" w:eastAsiaTheme="minorEastAsia"/>
                <w:b/>
                <w:color w:val="auto"/>
                <w:kern w:val="0"/>
                <w:szCs w:val="21"/>
                <w:highlight w:val="none"/>
              </w:rPr>
              <w:t>、监测布点合理性分析</w:t>
            </w:r>
          </w:p>
          <w:p w14:paraId="17E13AF8">
            <w:pPr>
              <w:adjustRightInd w:val="0"/>
              <w:spacing w:line="360" w:lineRule="auto"/>
              <w:ind w:firstLine="420" w:firstLineChars="200"/>
              <w:textAlignment w:val="baseline"/>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（1）电磁环境监测布点合理性分析</w:t>
            </w:r>
          </w:p>
          <w:p w14:paraId="1E1802EC">
            <w:pPr>
              <w:adjustRightInd w:val="0"/>
              <w:spacing w:line="360" w:lineRule="auto"/>
              <w:ind w:firstLine="420" w:firstLineChars="200"/>
              <w:textAlignment w:val="baseline"/>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本项目共布设</w:t>
            </w:r>
            <w:r>
              <w:rPr>
                <w:rFonts w:hint="eastAsia" w:cs="Times New Roman"/>
                <w:bCs/>
                <w:color w:val="auto"/>
                <w:kern w:val="0"/>
                <w:szCs w:val="21"/>
                <w:highlight w:val="none"/>
                <w:lang w:val="en-US" w:eastAsia="zh-CN"/>
              </w:rPr>
              <w:t>21</w:t>
            </w:r>
            <w:r>
              <w:rPr>
                <w:rFonts w:hint="default" w:ascii="Times New Roman" w:hAnsi="Times New Roman" w:cs="Times New Roman"/>
                <w:bCs/>
                <w:color w:val="auto"/>
                <w:kern w:val="0"/>
                <w:szCs w:val="21"/>
                <w:highlight w:val="none"/>
              </w:rPr>
              <w:t>个电磁环境监测点位，本项目的建设内容包含</w:t>
            </w:r>
            <w:r>
              <w:rPr>
                <w:rFonts w:hint="default" w:ascii="Times New Roman" w:hAnsi="Times New Roman" w:cs="Times New Roman"/>
                <w:color w:val="auto"/>
                <w:szCs w:val="21"/>
                <w:highlight w:val="none"/>
              </w:rPr>
              <w:t>新建变电站、新建输电线路</w:t>
            </w:r>
            <w:r>
              <w:rPr>
                <w:rFonts w:hint="default" w:ascii="Times New Roman" w:hAnsi="Times New Roman" w:cs="Times New Roman"/>
                <w:bCs/>
                <w:color w:val="auto"/>
                <w:kern w:val="0"/>
                <w:szCs w:val="21"/>
                <w:highlight w:val="none"/>
              </w:rPr>
              <w:t>。</w:t>
            </w:r>
          </w:p>
          <w:p w14:paraId="2CA5B18B">
            <w:pPr>
              <w:adjustRightInd w:val="0"/>
              <w:spacing w:line="360" w:lineRule="auto"/>
              <w:ind w:firstLine="420" w:firstLineChars="200"/>
              <w:textAlignment w:val="baseline"/>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根据《环境影响评价技术导则  输变电》（HJ24-2020），</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如新建站址附近无其他电磁设施，可在站址中心布点监测</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，因此在拟建</w:t>
            </w:r>
            <w:r>
              <w:rPr>
                <w:rFonts w:hint="eastAsia" w:ascii="Times New Roman" w:hAnsi="Times New Roman" w:cs="Times New Roman"/>
                <w:color w:val="auto"/>
                <w:szCs w:val="21"/>
                <w:highlight w:val="none"/>
                <w:lang w:val="en-US" w:eastAsia="zh-CN"/>
              </w:rPr>
              <w:t>司城</w:t>
            </w:r>
            <w:r>
              <w:rPr>
                <w:rFonts w:hint="eastAsia" w:cs="Times New Roman"/>
                <w:color w:val="auto"/>
                <w:kern w:val="0"/>
                <w:szCs w:val="21"/>
                <w:highlight w:val="none"/>
                <w:lang w:eastAsia="zh-CN"/>
              </w:rPr>
              <w:t>110kV变电站</w:t>
            </w:r>
            <w:r>
              <w:rPr>
                <w:rFonts w:hint="default" w:ascii="Times New Roman" w:hAnsi="Times New Roman" w:cs="Times New Roman"/>
                <w:color w:val="auto"/>
                <w:szCs w:val="21"/>
                <w:highlight w:val="none"/>
              </w:rPr>
              <w:t>站址中心处设置了1个电磁</w:t>
            </w:r>
            <w:r>
              <w:rPr>
                <w:rFonts w:hint="default" w:ascii="Times New Roman" w:hAnsi="Times New Roman" w:cs="Times New Roman"/>
                <w:color w:val="auto"/>
                <w:kern w:val="0"/>
                <w:szCs w:val="21"/>
                <w:highlight w:val="none"/>
              </w:rPr>
              <w:t>环境</w:t>
            </w:r>
            <w:r>
              <w:rPr>
                <w:rFonts w:hint="default" w:ascii="Times New Roman" w:hAnsi="Times New Roman" w:cs="Times New Roman"/>
                <w:color w:val="auto"/>
                <w:szCs w:val="21"/>
                <w:highlight w:val="none"/>
              </w:rPr>
              <w:t>监测点</w:t>
            </w:r>
            <w:r>
              <w:rPr>
                <w:rFonts w:hint="eastAsia" w:cs="Times New Roman"/>
                <w:color w:val="auto"/>
                <w:szCs w:val="21"/>
                <w:highlight w:val="none"/>
                <w:lang w:val="en-US" w:eastAsia="zh-CN"/>
              </w:rPr>
              <w:t>，监测高度为距</w:t>
            </w:r>
            <w:r>
              <w:rPr>
                <w:color w:val="auto"/>
                <w:kern w:val="0"/>
                <w:szCs w:val="21"/>
              </w:rPr>
              <w:t>地面1.5m高</w:t>
            </w:r>
            <w:r>
              <w:rPr>
                <w:rFonts w:hint="default" w:ascii="Times New Roman" w:hAnsi="Times New Roman" w:cs="Times New Roman"/>
                <w:color w:val="auto"/>
                <w:szCs w:val="21"/>
                <w:highlight w:val="none"/>
              </w:rPr>
              <w:t>。</w:t>
            </w:r>
          </w:p>
          <w:p w14:paraId="7B3E686E">
            <w:pPr>
              <w:adjustRightInd w:val="0"/>
              <w:spacing w:line="360" w:lineRule="auto"/>
              <w:ind w:firstLine="420" w:firstLineChars="200"/>
              <w:textAlignment w:val="baseline"/>
              <w:rPr>
                <w:rFonts w:hint="default" w:ascii="Times New Roman" w:hAnsi="Times New Roman" w:eastAsia="宋体" w:cs="Times New Roman"/>
                <w:bCs/>
                <w:color w:val="auto"/>
                <w:kern w:val="0"/>
                <w:szCs w:val="21"/>
                <w:highlight w:val="none"/>
                <w:lang w:eastAsia="zh-CN"/>
              </w:rPr>
            </w:pPr>
            <w:r>
              <w:rPr>
                <w:rFonts w:hint="default" w:ascii="Times New Roman" w:hAnsi="Times New Roman" w:cs="Times New Roman"/>
                <w:color w:val="auto"/>
                <w:szCs w:val="21"/>
                <w:highlight w:val="none"/>
              </w:rPr>
              <w:t>根据《环境影响评价技术导则  输变电》（HJ24-2020），</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电磁环境敏感目标的布点方法以定点监测为主</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w:t>
            </w:r>
            <w:r>
              <w:rPr>
                <w:rFonts w:hint="eastAsia" w:ascii="Times New Roman" w:hAnsi="Times New Roman" w:cs="Times New Roman"/>
                <w:bCs/>
                <w:color w:val="auto"/>
                <w:szCs w:val="21"/>
                <w:highlight w:val="none"/>
                <w:lang w:val="en-US" w:eastAsia="zh-CN"/>
              </w:rPr>
              <w:t>因此</w:t>
            </w:r>
            <w:r>
              <w:rPr>
                <w:rFonts w:hint="eastAsia" w:cs="Times New Roman"/>
                <w:bCs/>
                <w:color w:val="auto"/>
                <w:szCs w:val="21"/>
                <w:highlight w:val="none"/>
                <w:lang w:val="en-US" w:eastAsia="zh-CN"/>
              </w:rPr>
              <w:t>，</w:t>
            </w:r>
            <w:r>
              <w:rPr>
                <w:rFonts w:hint="default" w:ascii="Times New Roman" w:hAnsi="Times New Roman" w:cs="Times New Roman"/>
                <w:color w:val="auto"/>
                <w:szCs w:val="21"/>
                <w:highlight w:val="none"/>
              </w:rPr>
              <w:t>本次评价在</w:t>
            </w:r>
            <w:r>
              <w:rPr>
                <w:rFonts w:hint="eastAsia" w:cs="Times New Roman"/>
                <w:color w:val="auto"/>
                <w:szCs w:val="21"/>
                <w:highlight w:val="none"/>
                <w:lang w:val="en-US" w:eastAsia="zh-CN"/>
              </w:rPr>
              <w:t>具有代表性</w:t>
            </w:r>
            <w:r>
              <w:rPr>
                <w:rFonts w:hint="default" w:ascii="Times New Roman" w:hAnsi="Times New Roman" w:cs="Times New Roman"/>
                <w:color w:val="auto"/>
                <w:szCs w:val="21"/>
                <w:highlight w:val="none"/>
                <w:lang w:val="en-US" w:eastAsia="zh-CN"/>
              </w:rPr>
              <w:t>环境敏感目标处</w:t>
            </w:r>
            <w:r>
              <w:rPr>
                <w:rFonts w:hint="eastAsia" w:cs="Times New Roman"/>
                <w:color w:val="auto"/>
                <w:szCs w:val="21"/>
                <w:highlight w:val="none"/>
                <w:lang w:val="en-US" w:eastAsia="zh-CN"/>
              </w:rPr>
              <w:t>（即</w:t>
            </w:r>
            <w:r>
              <w:rPr>
                <w:rFonts w:hint="eastAsia"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~4#、6#~8#、10#~18#{17#敏感目标包括17-1#和17-2#，18#敏感目标包含18-1#和18-2#}、20#以及22#敏感目标）</w:t>
            </w:r>
            <w:r>
              <w:rPr>
                <w:rFonts w:hint="default" w:ascii="Times New Roman" w:hAnsi="Times New Roman" w:cs="Times New Roman"/>
                <w:color w:val="auto"/>
                <w:szCs w:val="21"/>
                <w:highlight w:val="none"/>
                <w:lang w:val="en-US" w:eastAsia="zh-CN"/>
              </w:rPr>
              <w:t>分别</w:t>
            </w:r>
            <w:r>
              <w:rPr>
                <w:rFonts w:hint="default" w:ascii="Times New Roman" w:hAnsi="Times New Roman" w:cs="Times New Roman"/>
                <w:color w:val="auto"/>
                <w:szCs w:val="21"/>
                <w:highlight w:val="none"/>
              </w:rPr>
              <w:t>设置了</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个监测点</w:t>
            </w: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即</w:t>
            </w:r>
            <w:r>
              <w:rPr>
                <w:rFonts w:hint="default" w:ascii="Times New Roman" w:hAnsi="Times New Roman" w:cs="Times New Roman"/>
                <w:color w:val="auto"/>
                <w:szCs w:val="21"/>
                <w:highlight w:val="none"/>
              </w:rPr>
              <w:t>EB</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20</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，监测高度为距</w:t>
            </w:r>
            <w:r>
              <w:rPr>
                <w:color w:val="auto"/>
                <w:kern w:val="0"/>
                <w:szCs w:val="21"/>
              </w:rPr>
              <w:t>地面1.5m高</w:t>
            </w:r>
            <w:r>
              <w:rPr>
                <w:rFonts w:hint="default" w:ascii="Times New Roman" w:hAnsi="Times New Roman" w:cs="Times New Roman"/>
                <w:color w:val="auto"/>
                <w:szCs w:val="21"/>
                <w:highlight w:val="none"/>
                <w:lang w:eastAsia="zh-CN"/>
              </w:rPr>
              <w:t>。</w:t>
            </w:r>
          </w:p>
          <w:p w14:paraId="7C9E852E">
            <w:pPr>
              <w:adjustRightInd w:val="0"/>
              <w:spacing w:line="360" w:lineRule="auto"/>
              <w:ind w:firstLine="420" w:firstLineChars="200"/>
              <w:textAlignment w:val="baseline"/>
              <w:rPr>
                <w:rFonts w:hint="default" w:ascii="Times New Roman" w:hAnsi="Times New Roman" w:eastAsia="宋体" w:cs="Times New Roman"/>
                <w:bCs/>
                <w:color w:val="auto"/>
                <w:kern w:val="0"/>
                <w:szCs w:val="21"/>
                <w:highlight w:val="none"/>
                <w:lang w:eastAsia="zh-CN"/>
              </w:rPr>
            </w:pPr>
            <w:r>
              <w:rPr>
                <w:rFonts w:hint="default" w:ascii="Times New Roman" w:hAnsi="Times New Roman" w:cs="Times New Roman"/>
                <w:color w:val="auto"/>
                <w:szCs w:val="21"/>
                <w:highlight w:val="none"/>
              </w:rPr>
              <w:t>上述监测点位</w:t>
            </w:r>
            <w:r>
              <w:rPr>
                <w:rFonts w:hint="default" w:ascii="Times New Roman" w:hAnsi="Times New Roman" w:cs="Times New Roman"/>
                <w:color w:val="auto"/>
                <w:szCs w:val="21"/>
                <w:highlight w:val="none"/>
                <w:lang w:val="en-US" w:eastAsia="zh-CN"/>
              </w:rPr>
              <w:t>布设及监测要求</w:t>
            </w:r>
            <w:r>
              <w:rPr>
                <w:rFonts w:hint="default" w:ascii="Times New Roman" w:hAnsi="Times New Roman" w:cs="Times New Roman"/>
                <w:color w:val="auto"/>
                <w:szCs w:val="21"/>
                <w:highlight w:val="none"/>
              </w:rPr>
              <w:t>符合《交流输变电工程电磁环境监测方法（试行）》（HJ 681-2013）</w:t>
            </w:r>
            <w:r>
              <w:rPr>
                <w:rFonts w:hint="default" w:ascii="Times New Roman" w:hAnsi="Times New Roman" w:cs="Times New Roman"/>
                <w:color w:val="auto"/>
                <w:highlight w:val="none"/>
              </w:rPr>
              <w:t>和</w:t>
            </w:r>
            <w:r>
              <w:rPr>
                <w:rFonts w:hint="default" w:ascii="Times New Roman" w:hAnsi="Times New Roman" w:cs="Times New Roman"/>
                <w:color w:val="auto"/>
                <w:szCs w:val="21"/>
                <w:highlight w:val="none"/>
              </w:rPr>
              <w:t>《环境影响评价技术导则  输变电》（HJ24-2020）的</w:t>
            </w:r>
            <w:r>
              <w:rPr>
                <w:rFonts w:hint="default" w:ascii="Times New Roman" w:hAnsi="Times New Roman" w:cs="Times New Roman"/>
                <w:color w:val="auto"/>
                <w:kern w:val="0"/>
                <w:szCs w:val="21"/>
                <w:highlight w:val="none"/>
              </w:rPr>
              <w:t>要求</w:t>
            </w:r>
            <w:r>
              <w:rPr>
                <w:rFonts w:hint="default" w:ascii="Times New Roman" w:hAnsi="Times New Roman" w:cs="Times New Roman"/>
                <w:color w:val="auto"/>
                <w:kern w:val="0"/>
                <w:szCs w:val="21"/>
                <w:highlight w:val="none"/>
                <w:lang w:eastAsia="zh-CN"/>
              </w:rPr>
              <w:t>。</w:t>
            </w:r>
          </w:p>
          <w:p w14:paraId="62447EE6">
            <w:pPr>
              <w:adjustRightInd w:val="0"/>
              <w:spacing w:line="360" w:lineRule="auto"/>
              <w:ind w:firstLine="420" w:firstLineChars="200"/>
              <w:textAlignment w:val="baseline"/>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（2）声环境监测布点合理性分析</w:t>
            </w:r>
          </w:p>
          <w:p w14:paraId="50F144D8">
            <w:pPr>
              <w:adjustRightInd w:val="0"/>
              <w:spacing w:line="360" w:lineRule="auto"/>
              <w:ind w:firstLine="420" w:firstLineChars="200"/>
              <w:textAlignment w:val="baseline"/>
              <w:rPr>
                <w:rFonts w:hint="default" w:ascii="Times New Roman" w:hAnsi="Times New Roman" w:cs="Times New Roman"/>
                <w:color w:val="auto"/>
                <w:szCs w:val="21"/>
                <w:highlight w:val="none"/>
                <w:lang w:eastAsia="zh-CN"/>
              </w:rPr>
            </w:pPr>
            <w:r>
              <w:rPr>
                <w:rFonts w:hint="default" w:ascii="Times New Roman" w:hAnsi="Times New Roman" w:cs="Times New Roman"/>
                <w:bCs/>
                <w:color w:val="auto"/>
                <w:kern w:val="0"/>
                <w:szCs w:val="21"/>
                <w:highlight w:val="none"/>
              </w:rPr>
              <w:t>本项目共布设</w:t>
            </w:r>
            <w:r>
              <w:rPr>
                <w:rFonts w:hint="eastAsia" w:cs="Times New Roman"/>
                <w:bCs/>
                <w:color w:val="auto"/>
                <w:kern w:val="0"/>
                <w:szCs w:val="21"/>
                <w:highlight w:val="none"/>
                <w:lang w:val="en-US" w:eastAsia="zh-CN"/>
              </w:rPr>
              <w:t>30</w:t>
            </w:r>
            <w:r>
              <w:rPr>
                <w:rFonts w:hint="default" w:ascii="Times New Roman" w:hAnsi="Times New Roman" w:cs="Times New Roman"/>
                <w:bCs/>
                <w:color w:val="auto"/>
                <w:kern w:val="0"/>
                <w:szCs w:val="21"/>
                <w:highlight w:val="none"/>
              </w:rPr>
              <w:t>个声环境监测点位，本项目的建设内容包含</w:t>
            </w:r>
            <w:r>
              <w:rPr>
                <w:rFonts w:hint="default" w:ascii="Times New Roman" w:hAnsi="Times New Roman" w:cs="Times New Roman"/>
                <w:color w:val="auto"/>
                <w:szCs w:val="21"/>
                <w:highlight w:val="none"/>
              </w:rPr>
              <w:t>新建变电站、新建输电线路</w:t>
            </w:r>
            <w:r>
              <w:rPr>
                <w:rFonts w:hint="default" w:ascii="Times New Roman" w:hAnsi="Times New Roman" w:cs="Times New Roman"/>
                <w:color w:val="auto"/>
                <w:szCs w:val="21"/>
                <w:highlight w:val="none"/>
                <w:lang w:eastAsia="zh-CN"/>
              </w:rPr>
              <w:t>。</w:t>
            </w:r>
          </w:p>
          <w:p w14:paraId="650DB5A8">
            <w:pPr>
              <w:adjustRightInd w:val="0"/>
              <w:spacing w:line="360" w:lineRule="auto"/>
              <w:ind w:firstLine="420" w:firstLineChars="200"/>
              <w:textAlignment w:val="baseline"/>
              <w:rPr>
                <w:rFonts w:hint="eastAsia" w:ascii="Times New Roman" w:hAnsi="Times New Roman" w:eastAsia="宋体" w:cs="Times New Roman"/>
                <w:bCs/>
                <w:color w:val="auto"/>
                <w:kern w:val="0"/>
                <w:szCs w:val="21"/>
                <w:highlight w:val="none"/>
                <w:lang w:eastAsia="zh-CN"/>
              </w:rPr>
            </w:pPr>
            <w:r>
              <w:rPr>
                <w:rFonts w:hint="default" w:ascii="Times New Roman" w:hAnsi="Times New Roman" w:cs="Times New Roman"/>
                <w:color w:val="auto"/>
                <w:kern w:val="0"/>
                <w:szCs w:val="21"/>
                <w:highlight w:val="none"/>
              </w:rPr>
              <w:t>根据</w:t>
            </w:r>
            <w:r>
              <w:rPr>
                <w:rFonts w:hint="default" w:ascii="Times New Roman" w:hAnsi="Times New Roman" w:cs="Times New Roman"/>
                <w:color w:val="auto"/>
                <w:szCs w:val="21"/>
                <w:highlight w:val="none"/>
              </w:rPr>
              <w:t>《环境影响评价技术导则 声环境》（HJ2.4-2021）中</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7.3.1.1监测布点原则，a）布点应覆盖整个评价范围，包括厂界（场界、边界）和声环境保护目标</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，本次监测</w:t>
            </w:r>
            <w:r>
              <w:rPr>
                <w:rFonts w:hint="default" w:ascii="Times New Roman" w:hAnsi="Times New Roman" w:cs="Times New Roman"/>
                <w:bCs/>
                <w:color w:val="auto"/>
                <w:kern w:val="0"/>
                <w:szCs w:val="21"/>
                <w:highlight w:val="none"/>
              </w:rPr>
              <w:t>分别在拟建</w:t>
            </w:r>
            <w:r>
              <w:rPr>
                <w:rFonts w:hint="default" w:ascii="Times New Roman" w:hAnsi="Times New Roman" w:cs="Times New Roman"/>
                <w:bCs/>
                <w:color w:val="auto"/>
                <w:kern w:val="0"/>
                <w:szCs w:val="21"/>
                <w:highlight w:val="none"/>
                <w:lang w:val="en-US" w:eastAsia="zh-CN"/>
              </w:rPr>
              <w:t>变电站</w:t>
            </w:r>
            <w:r>
              <w:rPr>
                <w:rFonts w:hint="default" w:ascii="Times New Roman" w:hAnsi="Times New Roman" w:cs="Times New Roman"/>
                <w:bCs/>
                <w:color w:val="auto"/>
                <w:kern w:val="0"/>
                <w:szCs w:val="21"/>
                <w:highlight w:val="none"/>
              </w:rPr>
              <w:t>站址四侧站界处分别设置1个声环境监测点</w:t>
            </w:r>
            <w:r>
              <w:rPr>
                <w:rFonts w:hint="eastAsia" w:cs="Times New Roman"/>
                <w:color w:val="auto"/>
                <w:szCs w:val="21"/>
                <w:highlight w:val="none"/>
                <w:lang w:eastAsia="zh-CN"/>
              </w:rPr>
              <w:t>（</w:t>
            </w:r>
            <w:r>
              <w:rPr>
                <w:rFonts w:hint="eastAsia" w:cs="Times New Roman"/>
                <w:color w:val="auto"/>
                <w:szCs w:val="21"/>
                <w:highlight w:val="none"/>
                <w:lang w:val="en-US" w:eastAsia="zh-CN"/>
              </w:rPr>
              <w:t>即N27#~30#</w:t>
            </w:r>
            <w:r>
              <w:rPr>
                <w:rFonts w:hint="eastAsia" w:cs="Times New Roman"/>
                <w:color w:val="auto"/>
                <w:szCs w:val="21"/>
                <w:highlight w:val="none"/>
                <w:lang w:eastAsia="zh-CN"/>
              </w:rPr>
              <w:t>）</w:t>
            </w:r>
            <w:r>
              <w:rPr>
                <w:rFonts w:hint="eastAsia" w:cs="Times New Roman"/>
                <w:color w:val="auto"/>
                <w:szCs w:val="21"/>
                <w:highlight w:val="none"/>
                <w:lang w:val="en-US" w:eastAsia="zh-CN"/>
              </w:rPr>
              <w:t>，监测高度为距</w:t>
            </w:r>
            <w:r>
              <w:rPr>
                <w:color w:val="auto"/>
                <w:kern w:val="0"/>
                <w:szCs w:val="21"/>
              </w:rPr>
              <w:t>地面1.5m高</w:t>
            </w:r>
            <w:r>
              <w:rPr>
                <w:rFonts w:hint="eastAsia"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rPr>
              <w:t>在</w:t>
            </w:r>
            <w:r>
              <w:rPr>
                <w:rFonts w:hint="eastAsia" w:cs="Times New Roman"/>
                <w:color w:val="auto"/>
                <w:szCs w:val="21"/>
                <w:highlight w:val="none"/>
                <w:lang w:val="en-US" w:eastAsia="zh-CN"/>
              </w:rPr>
              <w:t>具有代表性</w:t>
            </w:r>
            <w:r>
              <w:rPr>
                <w:rFonts w:hint="default" w:ascii="Times New Roman" w:hAnsi="Times New Roman" w:cs="Times New Roman"/>
                <w:color w:val="auto"/>
                <w:szCs w:val="21"/>
                <w:highlight w:val="none"/>
                <w:lang w:val="en-US" w:eastAsia="zh-CN"/>
              </w:rPr>
              <w:t>环境敏感目标处</w:t>
            </w:r>
            <w:r>
              <w:rPr>
                <w:rFonts w:hint="eastAsia" w:cs="Times New Roman"/>
                <w:color w:val="auto"/>
                <w:szCs w:val="21"/>
                <w:highlight w:val="none"/>
                <w:lang w:val="en-US" w:eastAsia="zh-CN"/>
              </w:rPr>
              <w:t>（即</w:t>
            </w:r>
            <w:r>
              <w:rPr>
                <w:rFonts w:hint="eastAsia"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~4#、6#~8#、10#~18#{17#敏感目标包括17-1#和17-2#，18#敏感目标包含18-1#和18-2#}、20#、22#以及25#~28#{27#敏感目标包括27-1#和27-2#，28#敏感目标包含28-1#和28-2#}敏感目标）</w:t>
            </w:r>
            <w:r>
              <w:rPr>
                <w:rFonts w:hint="default" w:ascii="Times New Roman" w:hAnsi="Times New Roman" w:cs="Times New Roman"/>
                <w:color w:val="auto"/>
                <w:szCs w:val="21"/>
                <w:highlight w:val="none"/>
                <w:lang w:val="en-US" w:eastAsia="zh-CN"/>
              </w:rPr>
              <w:t>分别</w:t>
            </w:r>
            <w:r>
              <w:rPr>
                <w:rFonts w:hint="default" w:ascii="Times New Roman" w:hAnsi="Times New Roman" w:cs="Times New Roman"/>
                <w:color w:val="auto"/>
                <w:szCs w:val="21"/>
                <w:highlight w:val="none"/>
              </w:rPr>
              <w:t>设置了</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个监测点</w:t>
            </w:r>
            <w:r>
              <w:rPr>
                <w:rFonts w:hint="eastAsia" w:cs="Times New Roman"/>
                <w:color w:val="auto"/>
                <w:szCs w:val="21"/>
                <w:highlight w:val="none"/>
                <w:lang w:eastAsia="zh-CN"/>
              </w:rPr>
              <w:t>（</w:t>
            </w:r>
            <w:r>
              <w:rPr>
                <w:rFonts w:hint="eastAsia" w:cs="Times New Roman"/>
                <w:color w:val="auto"/>
                <w:szCs w:val="21"/>
                <w:highlight w:val="none"/>
                <w:lang w:val="en-US" w:eastAsia="zh-CN"/>
              </w:rPr>
              <w:t>即N1#~26#</w:t>
            </w:r>
            <w:r>
              <w:rPr>
                <w:rFonts w:hint="eastAsia" w:cs="Times New Roman"/>
                <w:color w:val="auto"/>
                <w:szCs w:val="21"/>
                <w:highlight w:val="none"/>
                <w:lang w:eastAsia="zh-CN"/>
              </w:rPr>
              <w:t>）</w:t>
            </w:r>
            <w:r>
              <w:rPr>
                <w:rFonts w:hint="eastAsia" w:cs="Times New Roman"/>
                <w:color w:val="auto"/>
                <w:szCs w:val="21"/>
                <w:highlight w:val="none"/>
                <w:lang w:val="en-US" w:eastAsia="zh-CN"/>
              </w:rPr>
              <w:t>，监测高度为距</w:t>
            </w:r>
            <w:r>
              <w:rPr>
                <w:color w:val="auto"/>
                <w:kern w:val="0"/>
                <w:szCs w:val="21"/>
              </w:rPr>
              <w:t>地面1.5m高</w:t>
            </w:r>
            <w:r>
              <w:rPr>
                <w:rFonts w:hint="eastAsia" w:cs="Times New Roman"/>
                <w:color w:val="auto"/>
                <w:szCs w:val="21"/>
                <w:highlight w:val="none"/>
                <w:lang w:eastAsia="zh-CN"/>
              </w:rPr>
              <w:t>。</w:t>
            </w:r>
          </w:p>
          <w:p w14:paraId="6BFBC505">
            <w:pPr>
              <w:adjustRightInd w:val="0"/>
              <w:spacing w:line="360" w:lineRule="auto"/>
              <w:ind w:firstLine="420" w:firstLineChars="200"/>
              <w:textAlignment w:val="baseline"/>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上述声环境监测点位符合《声环境质量标准》（GB3096-2008）和《环境影响评价技术导则  声环境》（HJ2.4-2021）的要求。</w:t>
            </w:r>
          </w:p>
          <w:p w14:paraId="1DED4702">
            <w:pPr>
              <w:adjustRightInd w:val="0"/>
              <w:spacing w:line="360" w:lineRule="auto"/>
              <w:ind w:firstLine="420" w:firstLineChars="200"/>
              <w:textAlignment w:val="baseline"/>
              <w:rPr>
                <w:rFonts w:hint="default" w:ascii="Times New Roman" w:hAnsi="Times New Roman" w:cs="Times New Roman"/>
                <w:color w:val="auto"/>
                <w:kern w:val="0"/>
                <w:szCs w:val="21"/>
                <w:highlight w:val="none"/>
              </w:rPr>
            </w:pPr>
            <w:r>
              <w:rPr>
                <w:rFonts w:hint="default" w:ascii="Times New Roman" w:hAnsi="Times New Roman" w:cs="Times New Roman"/>
                <w:bCs/>
                <w:color w:val="auto"/>
                <w:kern w:val="0"/>
                <w:szCs w:val="21"/>
                <w:highlight w:val="none"/>
              </w:rPr>
              <w:t>本次电磁环境和声环境现状监测点涵盖了</w:t>
            </w:r>
            <w:r>
              <w:rPr>
                <w:rFonts w:hint="default" w:ascii="Times New Roman" w:hAnsi="Times New Roman" w:cs="Times New Roman"/>
                <w:color w:val="auto"/>
                <w:szCs w:val="21"/>
                <w:highlight w:val="none"/>
              </w:rPr>
              <w:t>本项目拟建变电站、输电线路及评价范围内敏感</w:t>
            </w:r>
            <w:r>
              <w:rPr>
                <w:rFonts w:hint="eastAsia" w:cs="Times New Roman"/>
                <w:color w:val="auto"/>
                <w:szCs w:val="21"/>
                <w:highlight w:val="none"/>
                <w:lang w:val="en-US" w:eastAsia="zh-CN"/>
              </w:rPr>
              <w:t>目标</w:t>
            </w:r>
            <w:r>
              <w:rPr>
                <w:rFonts w:hint="default" w:ascii="Times New Roman" w:hAnsi="Times New Roman" w:cs="Times New Roman"/>
                <w:color w:val="auto"/>
                <w:kern w:val="0"/>
                <w:szCs w:val="21"/>
                <w:highlight w:val="none"/>
              </w:rPr>
              <w:t>。综上所述，本项目</w:t>
            </w:r>
            <w:r>
              <w:rPr>
                <w:rFonts w:hint="default" w:ascii="Times New Roman" w:hAnsi="Times New Roman" w:cs="Times New Roman"/>
                <w:bCs/>
                <w:color w:val="auto"/>
                <w:kern w:val="0"/>
                <w:szCs w:val="21"/>
                <w:highlight w:val="none"/>
              </w:rPr>
              <w:t>监测点位的布置是合理的</w:t>
            </w:r>
            <w:r>
              <w:rPr>
                <w:rFonts w:hint="default" w:ascii="Times New Roman" w:hAnsi="Times New Roman" w:cs="Times New Roman"/>
                <w:color w:val="auto"/>
                <w:kern w:val="0"/>
                <w:szCs w:val="21"/>
                <w:highlight w:val="none"/>
              </w:rPr>
              <w:t>。</w:t>
            </w:r>
          </w:p>
          <w:p w14:paraId="6B4BB05F">
            <w:pPr>
              <w:keepNext w:val="0"/>
              <w:keepLines w:val="0"/>
              <w:pageBreakBefore w:val="0"/>
              <w:widowControl w:val="0"/>
              <w:kinsoku/>
              <w:overflowPunct/>
              <w:topLinePunct w:val="0"/>
              <w:bidi w:val="0"/>
              <w:spacing w:line="360" w:lineRule="auto"/>
              <w:ind w:firstLine="422" w:firstLineChars="200"/>
              <w:rPr>
                <w:b/>
                <w:color w:val="auto"/>
                <w:szCs w:val="21"/>
              </w:rPr>
            </w:pPr>
            <w:r>
              <w:rPr>
                <w:rFonts w:hint="eastAsia"/>
                <w:b/>
                <w:color w:val="auto"/>
                <w:szCs w:val="21"/>
                <w:lang w:val="en-US" w:eastAsia="zh-CN"/>
              </w:rPr>
              <w:t>4</w:t>
            </w:r>
            <w:r>
              <w:rPr>
                <w:rFonts w:hint="eastAsia"/>
                <w:b/>
                <w:color w:val="auto"/>
                <w:szCs w:val="21"/>
              </w:rPr>
              <w:t>、监测方法</w:t>
            </w:r>
          </w:p>
          <w:p w14:paraId="7D98713B">
            <w:pPr>
              <w:keepNext w:val="0"/>
              <w:keepLines w:val="0"/>
              <w:pageBreakBefore w:val="0"/>
              <w:widowControl w:val="0"/>
              <w:kinsoku/>
              <w:overflowPunct/>
              <w:topLinePunct w:val="0"/>
              <w:bidi w:val="0"/>
              <w:spacing w:line="360" w:lineRule="auto"/>
              <w:ind w:firstLine="420" w:firstLineChars="200"/>
              <w:rPr>
                <w:color w:val="auto"/>
                <w:szCs w:val="21"/>
              </w:rPr>
            </w:pPr>
            <w:r>
              <w:rPr>
                <w:color w:val="auto"/>
                <w:szCs w:val="21"/>
              </w:rPr>
              <w:t>《交流输变电工程电磁环境监测方法（试行）》</w:t>
            </w:r>
            <w:r>
              <w:rPr>
                <w:rFonts w:hint="eastAsia"/>
                <w:color w:val="auto"/>
                <w:szCs w:val="21"/>
              </w:rPr>
              <w:t>（</w:t>
            </w:r>
            <w:r>
              <w:rPr>
                <w:color w:val="auto"/>
                <w:szCs w:val="21"/>
              </w:rPr>
              <w:t>HJ 681-2013</w:t>
            </w:r>
            <w:r>
              <w:rPr>
                <w:rFonts w:hint="eastAsia"/>
                <w:color w:val="auto"/>
                <w:szCs w:val="21"/>
              </w:rPr>
              <w:t>）；</w:t>
            </w:r>
          </w:p>
          <w:p w14:paraId="692F56D8">
            <w:pPr>
              <w:keepNext w:val="0"/>
              <w:keepLines w:val="0"/>
              <w:pageBreakBefore w:val="0"/>
              <w:widowControl w:val="0"/>
              <w:kinsoku/>
              <w:overflowPunct/>
              <w:topLinePunct w:val="0"/>
              <w:bidi w:val="0"/>
              <w:spacing w:line="360" w:lineRule="auto"/>
              <w:ind w:firstLine="420" w:firstLineChars="200"/>
              <w:rPr>
                <w:color w:val="auto"/>
                <w:szCs w:val="21"/>
              </w:rPr>
            </w:pPr>
            <w:r>
              <w:rPr>
                <w:color w:val="auto"/>
                <w:szCs w:val="21"/>
              </w:rPr>
              <w:t>《</w:t>
            </w:r>
            <w:r>
              <w:rPr>
                <w:rFonts w:hint="eastAsia"/>
                <w:color w:val="auto"/>
                <w:szCs w:val="21"/>
              </w:rPr>
              <w:t>声环境质量标准</w:t>
            </w:r>
            <w:r>
              <w:rPr>
                <w:color w:val="auto"/>
                <w:szCs w:val="21"/>
              </w:rPr>
              <w:t>》</w:t>
            </w:r>
            <w:r>
              <w:rPr>
                <w:rFonts w:hint="eastAsia"/>
                <w:color w:val="auto"/>
                <w:szCs w:val="21"/>
              </w:rPr>
              <w:t>（</w:t>
            </w:r>
            <w:r>
              <w:rPr>
                <w:color w:val="auto"/>
                <w:szCs w:val="21"/>
              </w:rPr>
              <w:t>GB</w:t>
            </w:r>
            <w:r>
              <w:rPr>
                <w:rFonts w:hint="eastAsia"/>
                <w:color w:val="auto"/>
                <w:szCs w:val="21"/>
              </w:rPr>
              <w:t xml:space="preserve"> </w:t>
            </w:r>
            <w:r>
              <w:rPr>
                <w:color w:val="auto"/>
                <w:szCs w:val="21"/>
              </w:rPr>
              <w:t>3096-2008</w:t>
            </w:r>
            <w:r>
              <w:rPr>
                <w:rFonts w:hint="eastAsia"/>
                <w:color w:val="auto"/>
                <w:szCs w:val="21"/>
              </w:rPr>
              <w:t>）</w:t>
            </w:r>
            <w:r>
              <w:rPr>
                <w:rFonts w:hint="eastAsia"/>
                <w:color w:val="auto"/>
                <w:szCs w:val="21"/>
                <w:lang w:eastAsia="zh-CN"/>
              </w:rPr>
              <w:t>。</w:t>
            </w:r>
          </w:p>
          <w:p w14:paraId="43088B72">
            <w:pPr>
              <w:keepNext w:val="0"/>
              <w:keepLines w:val="0"/>
              <w:pageBreakBefore w:val="0"/>
              <w:widowControl w:val="0"/>
              <w:kinsoku/>
              <w:overflowPunct/>
              <w:topLinePunct w:val="0"/>
              <w:bidi w:val="0"/>
              <w:spacing w:line="360" w:lineRule="auto"/>
              <w:ind w:firstLine="422" w:firstLineChars="200"/>
              <w:rPr>
                <w:b/>
                <w:color w:val="auto"/>
                <w:szCs w:val="21"/>
              </w:rPr>
            </w:pPr>
            <w:r>
              <w:rPr>
                <w:rFonts w:hint="eastAsia"/>
                <w:b/>
                <w:color w:val="auto"/>
                <w:szCs w:val="21"/>
                <w:lang w:val="en-US" w:eastAsia="zh-CN"/>
              </w:rPr>
              <w:t>5</w:t>
            </w:r>
            <w:r>
              <w:rPr>
                <w:rFonts w:hint="eastAsia"/>
                <w:b/>
                <w:color w:val="auto"/>
                <w:szCs w:val="21"/>
              </w:rPr>
              <w:t>、监测仪器</w:t>
            </w:r>
          </w:p>
          <w:p w14:paraId="20358EEA">
            <w:pPr>
              <w:keepNext w:val="0"/>
              <w:keepLines w:val="0"/>
              <w:pageBreakBefore w:val="0"/>
              <w:widowControl w:val="0"/>
              <w:kinsoku/>
              <w:overflowPunct/>
              <w:topLinePunct w:val="0"/>
              <w:bidi w:val="0"/>
              <w:spacing w:line="360" w:lineRule="auto"/>
              <w:ind w:firstLine="420" w:firstLineChars="200"/>
              <w:rPr>
                <w:color w:val="auto"/>
                <w:szCs w:val="21"/>
              </w:rPr>
            </w:pPr>
            <w:r>
              <w:rPr>
                <w:rFonts w:hint="eastAsia"/>
                <w:color w:val="auto"/>
                <w:szCs w:val="21"/>
              </w:rPr>
              <w:t>本次监测所使用的仪器见下表：</w:t>
            </w:r>
          </w:p>
          <w:p w14:paraId="77D40C72">
            <w:pPr>
              <w:keepNext w:val="0"/>
              <w:keepLines w:val="0"/>
              <w:pageBreakBefore w:val="0"/>
              <w:widowControl w:val="0"/>
              <w:kinsoku/>
              <w:overflowPunct/>
              <w:topLinePunct w:val="0"/>
              <w:autoSpaceDE w:val="0"/>
              <w:autoSpaceDN w:val="0"/>
              <w:bidi w:val="0"/>
              <w:adjustRightInd w:val="0"/>
              <w:jc w:val="center"/>
              <w:textAlignment w:val="baseline"/>
              <w:rPr>
                <w:rFonts w:eastAsia="黑体"/>
                <w:bCs/>
                <w:color w:val="auto"/>
                <w:kern w:val="0"/>
                <w:szCs w:val="21"/>
              </w:rPr>
            </w:pPr>
            <w:r>
              <w:rPr>
                <w:rFonts w:eastAsia="黑体"/>
                <w:bCs/>
                <w:color w:val="auto"/>
                <w:kern w:val="0"/>
                <w:szCs w:val="21"/>
              </w:rPr>
              <w:t>表3-</w:t>
            </w:r>
            <w:r>
              <w:rPr>
                <w:rFonts w:hint="eastAsia" w:eastAsia="黑体"/>
                <w:bCs/>
                <w:color w:val="auto"/>
                <w:kern w:val="0"/>
                <w:szCs w:val="21"/>
                <w:lang w:val="en-US" w:eastAsia="zh-CN"/>
              </w:rPr>
              <w:t>5</w:t>
            </w:r>
            <w:r>
              <w:rPr>
                <w:rFonts w:eastAsia="黑体"/>
                <w:bCs/>
                <w:color w:val="auto"/>
                <w:kern w:val="0"/>
                <w:szCs w:val="21"/>
              </w:rPr>
              <w:t xml:space="preserve">  监测仪器一览表</w:t>
            </w:r>
          </w:p>
          <w:tbl>
            <w:tblPr>
              <w:tblStyle w:val="25"/>
              <w:tblW w:w="908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897"/>
              <w:gridCol w:w="521"/>
              <w:gridCol w:w="1842"/>
              <w:gridCol w:w="1560"/>
              <w:gridCol w:w="3548"/>
            </w:tblGrid>
            <w:tr w14:paraId="3ABB09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716" w:type="dxa"/>
                  <w:vMerge w:val="restart"/>
                  <w:tcBorders>
                    <w:tl2br w:val="nil"/>
                    <w:tr2bl w:val="nil"/>
                  </w:tcBorders>
                  <w:noWrap w:val="0"/>
                  <w:vAlign w:val="center"/>
                </w:tcPr>
                <w:p w14:paraId="60F97C33">
                  <w:pPr>
                    <w:jc w:val="center"/>
                    <w:rPr>
                      <w:rFonts w:hint="default" w:ascii="Times New Roman" w:hAnsi="Times New Roman" w:cs="Times New Roman"/>
                      <w:b/>
                      <w:szCs w:val="21"/>
                    </w:rPr>
                  </w:pPr>
                  <w:r>
                    <w:rPr>
                      <w:rFonts w:hint="default" w:ascii="Times New Roman" w:hAnsi="Times New Roman" w:cs="Times New Roman"/>
                      <w:b/>
                      <w:szCs w:val="21"/>
                    </w:rPr>
                    <w:t>监测</w:t>
                  </w:r>
                </w:p>
                <w:p w14:paraId="79AE3B9F">
                  <w:pPr>
                    <w:jc w:val="center"/>
                    <w:rPr>
                      <w:rFonts w:hint="default" w:ascii="Times New Roman" w:hAnsi="Times New Roman" w:cs="Times New Roman"/>
                      <w:b/>
                      <w:szCs w:val="21"/>
                    </w:rPr>
                  </w:pPr>
                  <w:r>
                    <w:rPr>
                      <w:rFonts w:hint="default" w:ascii="Times New Roman" w:hAnsi="Times New Roman" w:cs="Times New Roman"/>
                      <w:b/>
                      <w:szCs w:val="21"/>
                    </w:rPr>
                    <w:t>仪器</w:t>
                  </w:r>
                </w:p>
              </w:tc>
              <w:tc>
                <w:tcPr>
                  <w:tcW w:w="1418" w:type="dxa"/>
                  <w:gridSpan w:val="2"/>
                  <w:tcBorders>
                    <w:tl2br w:val="nil"/>
                    <w:tr2bl w:val="nil"/>
                  </w:tcBorders>
                  <w:noWrap w:val="0"/>
                  <w:vAlign w:val="center"/>
                </w:tcPr>
                <w:p w14:paraId="1191E9BF">
                  <w:pPr>
                    <w:jc w:val="center"/>
                    <w:rPr>
                      <w:rFonts w:hint="default" w:ascii="Times New Roman" w:hAnsi="Times New Roman" w:cs="Times New Roman"/>
                      <w:b/>
                      <w:szCs w:val="21"/>
                    </w:rPr>
                  </w:pPr>
                  <w:r>
                    <w:rPr>
                      <w:rFonts w:hint="default" w:ascii="Times New Roman" w:hAnsi="Times New Roman" w:cs="Times New Roman"/>
                      <w:b/>
                      <w:szCs w:val="21"/>
                    </w:rPr>
                    <w:t>监测项目</w:t>
                  </w:r>
                </w:p>
              </w:tc>
              <w:tc>
                <w:tcPr>
                  <w:tcW w:w="1842" w:type="dxa"/>
                  <w:tcBorders>
                    <w:tl2br w:val="nil"/>
                    <w:tr2bl w:val="nil"/>
                  </w:tcBorders>
                  <w:noWrap w:val="0"/>
                  <w:vAlign w:val="center"/>
                </w:tcPr>
                <w:p w14:paraId="3EDE2F4E">
                  <w:pPr>
                    <w:jc w:val="center"/>
                    <w:rPr>
                      <w:rFonts w:hint="default" w:ascii="Times New Roman" w:hAnsi="Times New Roman" w:cs="Times New Roman"/>
                      <w:b/>
                      <w:szCs w:val="21"/>
                    </w:rPr>
                  </w:pPr>
                  <w:r>
                    <w:rPr>
                      <w:rFonts w:hint="default" w:ascii="Times New Roman" w:hAnsi="Times New Roman" w:cs="Times New Roman"/>
                      <w:b/>
                      <w:szCs w:val="21"/>
                    </w:rPr>
                    <w:t>仪器名称</w:t>
                  </w:r>
                </w:p>
              </w:tc>
              <w:tc>
                <w:tcPr>
                  <w:tcW w:w="1560" w:type="dxa"/>
                  <w:tcBorders>
                    <w:tl2br w:val="nil"/>
                    <w:tr2bl w:val="nil"/>
                  </w:tcBorders>
                  <w:noWrap w:val="0"/>
                  <w:vAlign w:val="center"/>
                </w:tcPr>
                <w:p w14:paraId="70FA6643">
                  <w:pPr>
                    <w:jc w:val="center"/>
                    <w:rPr>
                      <w:rFonts w:hint="default" w:ascii="Times New Roman" w:hAnsi="Times New Roman" w:cs="Times New Roman"/>
                      <w:b/>
                      <w:szCs w:val="21"/>
                    </w:rPr>
                  </w:pPr>
                  <w:r>
                    <w:rPr>
                      <w:rFonts w:hint="default" w:ascii="Times New Roman" w:hAnsi="Times New Roman" w:cs="Times New Roman"/>
                      <w:b/>
                      <w:szCs w:val="21"/>
                    </w:rPr>
                    <w:t>仪器状态</w:t>
                  </w:r>
                </w:p>
              </w:tc>
              <w:tc>
                <w:tcPr>
                  <w:tcW w:w="3548" w:type="dxa"/>
                  <w:tcBorders>
                    <w:tl2br w:val="nil"/>
                    <w:tr2bl w:val="nil"/>
                  </w:tcBorders>
                  <w:noWrap w:val="0"/>
                  <w:vAlign w:val="center"/>
                </w:tcPr>
                <w:p w14:paraId="4922CA95">
                  <w:pPr>
                    <w:jc w:val="center"/>
                    <w:rPr>
                      <w:rFonts w:hint="default" w:ascii="Times New Roman" w:hAnsi="Times New Roman" w:cs="Times New Roman"/>
                      <w:b/>
                      <w:szCs w:val="21"/>
                    </w:rPr>
                  </w:pPr>
                  <w:r>
                    <w:rPr>
                      <w:rFonts w:hint="default" w:ascii="Times New Roman" w:hAnsi="Times New Roman" w:cs="Times New Roman"/>
                      <w:b/>
                      <w:szCs w:val="21"/>
                    </w:rPr>
                    <w:t>校准/检定情况</w:t>
                  </w:r>
                </w:p>
              </w:tc>
            </w:tr>
            <w:tr w14:paraId="070ABB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jc w:val="center"/>
              </w:trPr>
              <w:tc>
                <w:tcPr>
                  <w:tcW w:w="716" w:type="dxa"/>
                  <w:vMerge w:val="continue"/>
                  <w:tcBorders>
                    <w:tl2br w:val="nil"/>
                    <w:tr2bl w:val="nil"/>
                  </w:tcBorders>
                  <w:noWrap w:val="0"/>
                  <w:vAlign w:val="center"/>
                </w:tcPr>
                <w:p w14:paraId="3D1AF395">
                  <w:pPr>
                    <w:widowControl/>
                    <w:jc w:val="left"/>
                    <w:rPr>
                      <w:rFonts w:hint="default" w:ascii="Times New Roman" w:hAnsi="Times New Roman" w:cs="Times New Roman"/>
                      <w:b/>
                      <w:szCs w:val="21"/>
                    </w:rPr>
                  </w:pPr>
                </w:p>
              </w:tc>
              <w:tc>
                <w:tcPr>
                  <w:tcW w:w="1418" w:type="dxa"/>
                  <w:gridSpan w:val="2"/>
                  <w:vMerge w:val="restart"/>
                  <w:tcBorders>
                    <w:tl2br w:val="nil"/>
                    <w:tr2bl w:val="nil"/>
                  </w:tcBorders>
                  <w:noWrap w:val="0"/>
                  <w:vAlign w:val="center"/>
                </w:tcPr>
                <w:p w14:paraId="74D56033">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工频电场</w:t>
                  </w:r>
                </w:p>
                <w:p w14:paraId="7B1B7C8F">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工频磁场</w:t>
                  </w:r>
                </w:p>
              </w:tc>
              <w:tc>
                <w:tcPr>
                  <w:tcW w:w="1842" w:type="dxa"/>
                  <w:vMerge w:val="restart"/>
                  <w:tcBorders>
                    <w:tl2br w:val="nil"/>
                    <w:tr2bl w:val="nil"/>
                  </w:tcBorders>
                  <w:noWrap w:val="0"/>
                  <w:vAlign w:val="center"/>
                </w:tcPr>
                <w:p w14:paraId="43687844">
                  <w:pPr>
                    <w:jc w:val="center"/>
                    <w:rPr>
                      <w:rFonts w:hint="default" w:ascii="Times New Roman" w:hAnsi="Times New Roman" w:cs="Times New Roman"/>
                      <w:sz w:val="18"/>
                      <w:szCs w:val="18"/>
                    </w:rPr>
                  </w:pPr>
                  <w:r>
                    <w:rPr>
                      <w:rFonts w:hint="default" w:ascii="Times New Roman" w:hAnsi="Times New Roman" w:cs="Times New Roman"/>
                      <w:sz w:val="18"/>
                      <w:szCs w:val="18"/>
                    </w:rPr>
                    <w:t>NBM550/EHP50D</w:t>
                  </w:r>
                </w:p>
                <w:p w14:paraId="0569186E">
                  <w:pPr>
                    <w:jc w:val="center"/>
                    <w:rPr>
                      <w:rFonts w:hint="default" w:ascii="Times New Roman" w:hAnsi="Times New Roman" w:cs="Times New Roman"/>
                      <w:color w:val="FF0000"/>
                      <w:sz w:val="18"/>
                      <w:szCs w:val="18"/>
                    </w:rPr>
                  </w:pPr>
                  <w:r>
                    <w:rPr>
                      <w:rFonts w:hint="default" w:ascii="Times New Roman" w:hAnsi="Times New Roman" w:cs="Times New Roman"/>
                      <w:sz w:val="18"/>
                      <w:szCs w:val="18"/>
                    </w:rPr>
                    <w:t>（</w:t>
                  </w:r>
                  <w:r>
                    <w:rPr>
                      <w:rFonts w:hint="default" w:ascii="Times New Roman" w:hAnsi="Times New Roman" w:cs="Times New Roman"/>
                      <w:spacing w:val="-10"/>
                      <w:sz w:val="18"/>
                      <w:szCs w:val="18"/>
                    </w:rPr>
                    <w:t>编号</w:t>
                  </w:r>
                  <w:r>
                    <w:rPr>
                      <w:rFonts w:hint="default" w:ascii="Times New Roman" w:hAnsi="Times New Roman" w:cs="Times New Roman"/>
                      <w:sz w:val="18"/>
                      <w:szCs w:val="18"/>
                    </w:rPr>
                    <w:t>000WX11008</w:t>
                  </w:r>
                  <w:r>
                    <w:rPr>
                      <w:rFonts w:hint="default" w:ascii="Times New Roman" w:hAnsi="Times New Roman" w:cs="Times New Roman"/>
                      <w:bCs/>
                      <w:sz w:val="18"/>
                      <w:szCs w:val="18"/>
                    </w:rPr>
                    <w:t>）</w:t>
                  </w:r>
                </w:p>
              </w:tc>
              <w:tc>
                <w:tcPr>
                  <w:tcW w:w="1560" w:type="dxa"/>
                  <w:tcBorders>
                    <w:tl2br w:val="nil"/>
                    <w:tr2bl w:val="nil"/>
                  </w:tcBorders>
                  <w:noWrap w:val="0"/>
                  <w:vAlign w:val="center"/>
                </w:tcPr>
                <w:p w14:paraId="156B36E5">
                  <w:pPr>
                    <w:jc w:val="center"/>
                    <w:rPr>
                      <w:rFonts w:hint="default" w:ascii="Times New Roman" w:hAnsi="Times New Roman" w:cs="Times New Roman"/>
                      <w:sz w:val="18"/>
                      <w:szCs w:val="18"/>
                    </w:rPr>
                  </w:pPr>
                  <w:r>
                    <w:rPr>
                      <w:rFonts w:hint="default" w:ascii="Times New Roman" w:hAnsi="Times New Roman" w:cs="Times New Roman"/>
                      <w:sz w:val="18"/>
                      <w:szCs w:val="18"/>
                    </w:rPr>
                    <w:t>电场：</w:t>
                  </w:r>
                </w:p>
                <w:p w14:paraId="1D89EA95">
                  <w:pPr>
                    <w:jc w:val="center"/>
                    <w:rPr>
                      <w:rFonts w:hint="default" w:ascii="Times New Roman" w:hAnsi="Times New Roman" w:cs="Times New Roman"/>
                      <w:sz w:val="18"/>
                      <w:szCs w:val="18"/>
                    </w:rPr>
                  </w:pPr>
                  <w:r>
                    <w:rPr>
                      <w:rFonts w:hint="default" w:ascii="Times New Roman" w:hAnsi="Times New Roman" w:cs="Times New Roman"/>
                      <w:sz w:val="18"/>
                      <w:szCs w:val="18"/>
                    </w:rPr>
                    <w:t>1）检出下限：</w:t>
                  </w:r>
                </w:p>
                <w:p w14:paraId="4446BD56">
                  <w:pPr>
                    <w:jc w:val="center"/>
                    <w:rPr>
                      <w:rFonts w:hint="default" w:ascii="Times New Roman" w:hAnsi="Times New Roman" w:cs="Times New Roman"/>
                      <w:sz w:val="18"/>
                      <w:szCs w:val="18"/>
                    </w:rPr>
                  </w:pPr>
                  <w:r>
                    <w:rPr>
                      <w:rFonts w:hint="default" w:ascii="Times New Roman" w:hAnsi="Times New Roman" w:cs="Times New Roman"/>
                      <w:sz w:val="18"/>
                      <w:szCs w:val="18"/>
                    </w:rPr>
                    <w:t>0.005V/m</w:t>
                  </w:r>
                </w:p>
                <w:p w14:paraId="736CDC42">
                  <w:pPr>
                    <w:jc w:val="center"/>
                    <w:rPr>
                      <w:rFonts w:hint="default" w:ascii="Times New Roman" w:hAnsi="Times New Roman" w:cs="Times New Roman"/>
                      <w:sz w:val="18"/>
                      <w:szCs w:val="18"/>
                    </w:rPr>
                  </w:pPr>
                  <w:r>
                    <w:rPr>
                      <w:rFonts w:hint="default" w:ascii="Times New Roman" w:hAnsi="Times New Roman" w:cs="Times New Roman"/>
                      <w:sz w:val="18"/>
                      <w:szCs w:val="18"/>
                    </w:rPr>
                    <w:t>2）不确定度：</w:t>
                  </w:r>
                </w:p>
                <w:p w14:paraId="0E493A99">
                  <w:pPr>
                    <w:jc w:val="center"/>
                    <w:rPr>
                      <w:rFonts w:hint="default" w:ascii="Times New Roman" w:hAnsi="Times New Roman" w:cs="Times New Roman"/>
                      <w:sz w:val="18"/>
                      <w:szCs w:val="18"/>
                    </w:rPr>
                  </w:pPr>
                  <w:r>
                    <w:rPr>
                      <w:rFonts w:hint="default" w:ascii="Times New Roman" w:hAnsi="Times New Roman" w:cs="Times New Roman"/>
                      <w:sz w:val="18"/>
                      <w:szCs w:val="18"/>
                    </w:rPr>
                    <w:t>U=0.56dB</w:t>
                  </w:r>
                  <w:r>
                    <w:rPr>
                      <w:rFonts w:hint="default" w:ascii="Times New Roman" w:hAnsi="Times New Roman" w:cs="Times New Roman"/>
                      <w:bCs/>
                      <w:sz w:val="18"/>
                      <w:szCs w:val="18"/>
                    </w:rPr>
                    <w:t>，k=2</w:t>
                  </w:r>
                </w:p>
              </w:tc>
              <w:tc>
                <w:tcPr>
                  <w:tcW w:w="3548" w:type="dxa"/>
                  <w:tcBorders>
                    <w:tl2br w:val="nil"/>
                    <w:tr2bl w:val="nil"/>
                  </w:tcBorders>
                  <w:noWrap w:val="0"/>
                  <w:vAlign w:val="center"/>
                </w:tcPr>
                <w:p w14:paraId="69F416D6">
                  <w:pPr>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校准单位：中国测试技术研究院</w:t>
                  </w:r>
                </w:p>
                <w:p w14:paraId="569DFD19">
                  <w:pPr>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校准有效期：2025-12-12至2026-12-11</w:t>
                  </w:r>
                </w:p>
                <w:p w14:paraId="69BDE47D">
                  <w:pPr>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校准证书号：校准字第202512103583</w:t>
                  </w:r>
                  <w:r>
                    <w:rPr>
                      <w:rFonts w:hint="default" w:ascii="Times New Roman" w:hAnsi="Times New Roman" w:cs="Times New Roman"/>
                      <w:sz w:val="18"/>
                      <w:szCs w:val="18"/>
                    </w:rPr>
                    <w:t>号</w:t>
                  </w:r>
                </w:p>
              </w:tc>
            </w:tr>
            <w:tr w14:paraId="186020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716" w:type="dxa"/>
                  <w:vMerge w:val="continue"/>
                  <w:tcBorders>
                    <w:tl2br w:val="nil"/>
                    <w:tr2bl w:val="nil"/>
                  </w:tcBorders>
                  <w:noWrap w:val="0"/>
                  <w:vAlign w:val="center"/>
                </w:tcPr>
                <w:p w14:paraId="16B0F703">
                  <w:pPr>
                    <w:widowControl/>
                    <w:jc w:val="left"/>
                    <w:rPr>
                      <w:rFonts w:hint="default" w:ascii="Times New Roman" w:hAnsi="Times New Roman" w:cs="Times New Roman"/>
                      <w:b/>
                      <w:szCs w:val="21"/>
                    </w:rPr>
                  </w:pPr>
                </w:p>
              </w:tc>
              <w:tc>
                <w:tcPr>
                  <w:tcW w:w="1418" w:type="dxa"/>
                  <w:gridSpan w:val="2"/>
                  <w:vMerge w:val="continue"/>
                  <w:tcBorders>
                    <w:tl2br w:val="nil"/>
                    <w:tr2bl w:val="nil"/>
                  </w:tcBorders>
                  <w:noWrap w:val="0"/>
                  <w:vAlign w:val="center"/>
                </w:tcPr>
                <w:p w14:paraId="13EFF45E">
                  <w:pPr>
                    <w:jc w:val="center"/>
                    <w:rPr>
                      <w:rFonts w:hint="default" w:ascii="Times New Roman" w:hAnsi="Times New Roman" w:cs="Times New Roman"/>
                      <w:color w:val="000000"/>
                      <w:sz w:val="18"/>
                      <w:szCs w:val="18"/>
                    </w:rPr>
                  </w:pPr>
                </w:p>
              </w:tc>
              <w:tc>
                <w:tcPr>
                  <w:tcW w:w="1842" w:type="dxa"/>
                  <w:vMerge w:val="continue"/>
                  <w:tcBorders>
                    <w:tl2br w:val="nil"/>
                    <w:tr2bl w:val="nil"/>
                  </w:tcBorders>
                  <w:noWrap w:val="0"/>
                  <w:vAlign w:val="center"/>
                </w:tcPr>
                <w:p w14:paraId="4F028363">
                  <w:pPr>
                    <w:jc w:val="center"/>
                    <w:rPr>
                      <w:rFonts w:hint="default" w:ascii="Times New Roman" w:hAnsi="Times New Roman" w:cs="Times New Roman"/>
                      <w:sz w:val="18"/>
                      <w:szCs w:val="18"/>
                    </w:rPr>
                  </w:pPr>
                </w:p>
              </w:tc>
              <w:tc>
                <w:tcPr>
                  <w:tcW w:w="1560" w:type="dxa"/>
                  <w:tcBorders>
                    <w:tl2br w:val="nil"/>
                    <w:tr2bl w:val="nil"/>
                  </w:tcBorders>
                  <w:noWrap w:val="0"/>
                  <w:vAlign w:val="center"/>
                </w:tcPr>
                <w:p w14:paraId="556BBB13">
                  <w:pPr>
                    <w:jc w:val="center"/>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磁场：</w:t>
                  </w:r>
                </w:p>
                <w:p w14:paraId="398C6C5E">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1）检出下限：</w:t>
                  </w:r>
                </w:p>
                <w:p w14:paraId="24E245E6">
                  <w:pPr>
                    <w:jc w:val="center"/>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0.3nT</w:t>
                  </w:r>
                </w:p>
                <w:p w14:paraId="43234D95">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2）不确定度：</w:t>
                  </w:r>
                </w:p>
                <w:p w14:paraId="2BD0F823">
                  <w:pPr>
                    <w:jc w:val="left"/>
                    <w:rPr>
                      <w:rFonts w:hint="default" w:ascii="Times New Roman" w:hAnsi="Times New Roman" w:cs="Times New Roman"/>
                    </w:rPr>
                  </w:pPr>
                  <w:r>
                    <w:rPr>
                      <w:rFonts w:hint="default" w:ascii="Times New Roman" w:hAnsi="Times New Roman" w:eastAsia="宋体" w:cs="Times New Roman"/>
                      <w:color w:val="000000"/>
                      <w:sz w:val="18"/>
                      <w:szCs w:val="18"/>
                      <w:lang w:val="en-US" w:eastAsia="zh-CN"/>
                    </w:rPr>
                    <w:t>U=0.2μT，k=2</w:t>
                  </w:r>
                </w:p>
              </w:tc>
              <w:tc>
                <w:tcPr>
                  <w:tcW w:w="3548" w:type="dxa"/>
                  <w:tcBorders>
                    <w:tl2br w:val="nil"/>
                    <w:tr2bl w:val="nil"/>
                  </w:tcBorders>
                  <w:noWrap w:val="0"/>
                  <w:vAlign w:val="center"/>
                </w:tcPr>
                <w:p w14:paraId="6AA90E57">
                  <w:pPr>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校准单位：中国测试技术研究院</w:t>
                  </w:r>
                </w:p>
                <w:p w14:paraId="3D42E829">
                  <w:pPr>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校准有效期：2025-12-04至2026-12-03</w:t>
                  </w:r>
                </w:p>
                <w:p w14:paraId="0E66387F">
                  <w:pPr>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校准证书号：校准字第202512101186</w:t>
                  </w:r>
                  <w:r>
                    <w:rPr>
                      <w:rFonts w:hint="default" w:ascii="Times New Roman" w:hAnsi="Times New Roman" w:cs="Times New Roman"/>
                      <w:sz w:val="18"/>
                      <w:szCs w:val="18"/>
                    </w:rPr>
                    <w:t>号</w:t>
                  </w:r>
                </w:p>
              </w:tc>
            </w:tr>
            <w:tr w14:paraId="5C82AB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194" w:hRule="atLeast"/>
                <w:jc w:val="center"/>
              </w:trPr>
              <w:tc>
                <w:tcPr>
                  <w:tcW w:w="716" w:type="dxa"/>
                  <w:vMerge w:val="continue"/>
                  <w:tcBorders>
                    <w:tl2br w:val="nil"/>
                    <w:tr2bl w:val="nil"/>
                  </w:tcBorders>
                  <w:noWrap w:val="0"/>
                  <w:vAlign w:val="center"/>
                </w:tcPr>
                <w:p w14:paraId="2C55B6FF">
                  <w:pPr>
                    <w:widowControl/>
                    <w:jc w:val="left"/>
                    <w:rPr>
                      <w:rFonts w:hint="default" w:ascii="Times New Roman" w:hAnsi="Times New Roman" w:cs="Times New Roman"/>
                      <w:b/>
                      <w:szCs w:val="21"/>
                    </w:rPr>
                  </w:pPr>
                </w:p>
              </w:tc>
              <w:tc>
                <w:tcPr>
                  <w:tcW w:w="1418" w:type="dxa"/>
                  <w:gridSpan w:val="2"/>
                  <w:vMerge w:val="restart"/>
                  <w:tcBorders>
                    <w:tl2br w:val="nil"/>
                    <w:tr2bl w:val="nil"/>
                  </w:tcBorders>
                  <w:noWrap w:val="0"/>
                  <w:vAlign w:val="center"/>
                </w:tcPr>
                <w:p w14:paraId="27144686">
                  <w:pPr>
                    <w:jc w:val="center"/>
                    <w:rPr>
                      <w:rFonts w:hint="default" w:ascii="Times New Roman" w:hAnsi="Times New Roman" w:cs="Times New Roman"/>
                      <w:bCs/>
                      <w:sz w:val="18"/>
                      <w:szCs w:val="18"/>
                    </w:rPr>
                  </w:pPr>
                  <w:r>
                    <w:rPr>
                      <w:rFonts w:hint="default" w:ascii="Times New Roman" w:hAnsi="Times New Roman" w:cs="Times New Roman"/>
                      <w:bCs/>
                      <w:color w:val="000000"/>
                      <w:sz w:val="18"/>
                      <w:szCs w:val="18"/>
                    </w:rPr>
                    <w:t>声环境噪声</w:t>
                  </w:r>
                </w:p>
              </w:tc>
              <w:tc>
                <w:tcPr>
                  <w:tcW w:w="1842" w:type="dxa"/>
                  <w:vMerge w:val="restart"/>
                  <w:tcBorders>
                    <w:tl2br w:val="nil"/>
                    <w:tr2bl w:val="nil"/>
                  </w:tcBorders>
                  <w:noWrap w:val="0"/>
                  <w:vAlign w:val="center"/>
                </w:tcPr>
                <w:p w14:paraId="4C19E633">
                  <w:pPr>
                    <w:jc w:val="center"/>
                    <w:rPr>
                      <w:rFonts w:hint="default" w:ascii="Times New Roman" w:hAnsi="Times New Roman" w:cs="Times New Roman"/>
                      <w:color w:val="000000"/>
                      <w:spacing w:val="-20"/>
                      <w:sz w:val="18"/>
                      <w:szCs w:val="18"/>
                    </w:rPr>
                  </w:pPr>
                  <w:r>
                    <w:rPr>
                      <w:rFonts w:hint="default" w:ascii="Times New Roman" w:hAnsi="Times New Roman" w:cs="Times New Roman"/>
                      <w:color w:val="000000"/>
                      <w:sz w:val="18"/>
                      <w:szCs w:val="18"/>
                    </w:rPr>
                    <w:t>AWA6228</w:t>
                  </w:r>
                </w:p>
                <w:p w14:paraId="783FCEA0">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多功能声级计</w:t>
                  </w:r>
                </w:p>
                <w:p w14:paraId="47F623BF">
                  <w:pPr>
                    <w:widowControl/>
                    <w:jc w:val="center"/>
                    <w:rPr>
                      <w:rFonts w:hint="default" w:ascii="Times New Roman" w:hAnsi="Times New Roman" w:cs="Times New Roman"/>
                      <w:bCs/>
                      <w:sz w:val="18"/>
                      <w:szCs w:val="18"/>
                    </w:rPr>
                  </w:pPr>
                  <w:r>
                    <w:rPr>
                      <w:rFonts w:hint="default" w:ascii="Times New Roman" w:hAnsi="Times New Roman" w:cs="Times New Roman"/>
                      <w:sz w:val="18"/>
                      <w:szCs w:val="18"/>
                    </w:rPr>
                    <w:t>（</w:t>
                  </w:r>
                  <w:r>
                    <w:rPr>
                      <w:rFonts w:hint="default" w:ascii="Times New Roman" w:hAnsi="Times New Roman" w:cs="Times New Roman"/>
                      <w:spacing w:val="-10"/>
                      <w:sz w:val="18"/>
                      <w:szCs w:val="18"/>
                    </w:rPr>
                    <w:t>编号：</w:t>
                  </w:r>
                  <w:r>
                    <w:rPr>
                      <w:rFonts w:hint="default" w:ascii="Times New Roman" w:hAnsi="Times New Roman" w:cs="Times New Roman"/>
                      <w:sz w:val="18"/>
                      <w:szCs w:val="18"/>
                    </w:rPr>
                    <w:t>201708</w:t>
                  </w:r>
                  <w:r>
                    <w:rPr>
                      <w:rFonts w:hint="default" w:ascii="Times New Roman" w:hAnsi="Times New Roman" w:cs="Times New Roman"/>
                      <w:bCs/>
                      <w:sz w:val="18"/>
                      <w:szCs w:val="18"/>
                    </w:rPr>
                    <w:t>）</w:t>
                  </w:r>
                </w:p>
              </w:tc>
              <w:tc>
                <w:tcPr>
                  <w:tcW w:w="1560" w:type="dxa"/>
                  <w:vMerge w:val="restart"/>
                  <w:tcBorders>
                    <w:tl2br w:val="nil"/>
                    <w:tr2bl w:val="nil"/>
                  </w:tcBorders>
                  <w:noWrap w:val="0"/>
                  <w:vAlign w:val="center"/>
                </w:tcPr>
                <w:p w14:paraId="4A89AD27">
                  <w:pPr>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检出下限：</w:t>
                  </w:r>
                </w:p>
                <w:p w14:paraId="09B96D54">
                  <w:pPr>
                    <w:jc w:val="center"/>
                    <w:rPr>
                      <w:rFonts w:hint="default" w:ascii="Times New Roman" w:hAnsi="Times New Roman" w:cs="Times New Roman"/>
                      <w:bCs/>
                      <w:sz w:val="18"/>
                      <w:szCs w:val="18"/>
                    </w:rPr>
                  </w:pPr>
                  <w:r>
                    <w:rPr>
                      <w:rFonts w:hint="default" w:ascii="Times New Roman" w:hAnsi="Times New Roman" w:cs="Times New Roman"/>
                      <w:color w:val="000000"/>
                      <w:sz w:val="18"/>
                      <w:szCs w:val="18"/>
                    </w:rPr>
                    <w:t>30dB（A）</w:t>
                  </w:r>
                </w:p>
              </w:tc>
              <w:tc>
                <w:tcPr>
                  <w:tcW w:w="3548" w:type="dxa"/>
                  <w:tcBorders>
                    <w:tl2br w:val="nil"/>
                    <w:tr2bl w:val="nil"/>
                  </w:tcBorders>
                  <w:noWrap w:val="0"/>
                  <w:vAlign w:val="center"/>
                </w:tcPr>
                <w:p w14:paraId="4FE8924C">
                  <w:pPr>
                    <w:jc w:val="left"/>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检定单位：中国测试技术研究院</w:t>
                  </w:r>
                </w:p>
                <w:p w14:paraId="5868502F">
                  <w:pPr>
                    <w:jc w:val="left"/>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检定有效期：2025-05-21至2026-05-20</w:t>
                  </w:r>
                </w:p>
                <w:p w14:paraId="74046423">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检定证书编号：检定字第202505103303号</w:t>
                  </w:r>
                </w:p>
                <w:p w14:paraId="03AB0F7C">
                  <w:pPr>
                    <w:jc w:val="left"/>
                    <w:rPr>
                      <w:rFonts w:hint="default" w:ascii="Times New Roman" w:hAnsi="Times New Roman" w:cs="Times New Roman"/>
                      <w:sz w:val="18"/>
                      <w:szCs w:val="18"/>
                      <w:lang w:val="en-US" w:eastAsia="zh-CN"/>
                    </w:rPr>
                  </w:pPr>
                  <w:r>
                    <w:rPr>
                      <w:rFonts w:hint="default" w:ascii="Times New Roman" w:hAnsi="Times New Roman" w:eastAsia="宋体" w:cs="Times New Roman"/>
                      <w:color w:val="000000"/>
                      <w:sz w:val="18"/>
                      <w:szCs w:val="18"/>
                      <w:lang w:val="en-US" w:eastAsia="zh-CN"/>
                    </w:rPr>
                    <w:t>仪器检定：符合2级</w:t>
                  </w:r>
                </w:p>
              </w:tc>
            </w:tr>
            <w:tr w14:paraId="11BD00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716" w:type="dxa"/>
                  <w:vMerge w:val="continue"/>
                  <w:tcBorders>
                    <w:tl2br w:val="nil"/>
                    <w:tr2bl w:val="nil"/>
                  </w:tcBorders>
                  <w:noWrap w:val="0"/>
                  <w:vAlign w:val="center"/>
                </w:tcPr>
                <w:p w14:paraId="14351732">
                  <w:pPr>
                    <w:widowControl/>
                    <w:jc w:val="left"/>
                    <w:rPr>
                      <w:rFonts w:hint="default" w:ascii="Times New Roman" w:hAnsi="Times New Roman" w:cs="Times New Roman"/>
                      <w:b/>
                      <w:szCs w:val="21"/>
                    </w:rPr>
                  </w:pPr>
                </w:p>
              </w:tc>
              <w:tc>
                <w:tcPr>
                  <w:tcW w:w="1418" w:type="dxa"/>
                  <w:gridSpan w:val="2"/>
                  <w:vMerge w:val="continue"/>
                  <w:tcBorders>
                    <w:tl2br w:val="nil"/>
                    <w:tr2bl w:val="nil"/>
                  </w:tcBorders>
                  <w:noWrap w:val="0"/>
                  <w:vAlign w:val="center"/>
                </w:tcPr>
                <w:p w14:paraId="25320D2C">
                  <w:pPr>
                    <w:jc w:val="center"/>
                    <w:rPr>
                      <w:rFonts w:hint="default" w:ascii="Times New Roman" w:hAnsi="Times New Roman" w:cs="Times New Roman"/>
                      <w:bCs/>
                      <w:color w:val="000000"/>
                      <w:sz w:val="18"/>
                      <w:szCs w:val="18"/>
                    </w:rPr>
                  </w:pPr>
                </w:p>
              </w:tc>
              <w:tc>
                <w:tcPr>
                  <w:tcW w:w="1842" w:type="dxa"/>
                  <w:vMerge w:val="continue"/>
                  <w:tcBorders>
                    <w:tl2br w:val="nil"/>
                    <w:tr2bl w:val="nil"/>
                  </w:tcBorders>
                  <w:noWrap w:val="0"/>
                  <w:vAlign w:val="center"/>
                </w:tcPr>
                <w:p w14:paraId="07C0743C">
                  <w:pPr>
                    <w:jc w:val="center"/>
                    <w:rPr>
                      <w:rFonts w:hint="default" w:ascii="Times New Roman" w:hAnsi="Times New Roman" w:cs="Times New Roman"/>
                      <w:color w:val="000000"/>
                      <w:sz w:val="18"/>
                      <w:szCs w:val="18"/>
                    </w:rPr>
                  </w:pPr>
                </w:p>
              </w:tc>
              <w:tc>
                <w:tcPr>
                  <w:tcW w:w="1560" w:type="dxa"/>
                  <w:vMerge w:val="continue"/>
                  <w:tcBorders>
                    <w:tl2br w:val="nil"/>
                    <w:tr2bl w:val="nil"/>
                  </w:tcBorders>
                  <w:noWrap w:val="0"/>
                  <w:vAlign w:val="center"/>
                </w:tcPr>
                <w:p w14:paraId="050D8E72">
                  <w:pPr>
                    <w:jc w:val="center"/>
                    <w:rPr>
                      <w:rFonts w:hint="default" w:ascii="Times New Roman" w:hAnsi="Times New Roman" w:cs="Times New Roman"/>
                      <w:color w:val="000000"/>
                      <w:sz w:val="18"/>
                      <w:szCs w:val="18"/>
                    </w:rPr>
                  </w:pPr>
                </w:p>
              </w:tc>
              <w:tc>
                <w:tcPr>
                  <w:tcW w:w="3548" w:type="dxa"/>
                  <w:tcBorders>
                    <w:tl2br w:val="nil"/>
                    <w:tr2bl w:val="nil"/>
                  </w:tcBorders>
                  <w:noWrap w:val="0"/>
                  <w:vAlign w:val="center"/>
                </w:tcPr>
                <w:p w14:paraId="33AAE655">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检定单位：中国测试技术研究院</w:t>
                  </w:r>
                </w:p>
                <w:p w14:paraId="69449F71">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检定有效期：2026-05-22至2027-05-21</w:t>
                  </w:r>
                </w:p>
                <w:p w14:paraId="651ED349">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检定证书编号：检定字第202605104091号</w:t>
                  </w:r>
                </w:p>
                <w:p w14:paraId="1F30E375">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仪器检定：符合2级</w:t>
                  </w:r>
                </w:p>
              </w:tc>
            </w:tr>
            <w:tr w14:paraId="039506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716" w:type="dxa"/>
                  <w:vMerge w:val="continue"/>
                  <w:tcBorders>
                    <w:tl2br w:val="nil"/>
                    <w:tr2bl w:val="nil"/>
                  </w:tcBorders>
                  <w:noWrap w:val="0"/>
                  <w:vAlign w:val="center"/>
                </w:tcPr>
                <w:p w14:paraId="3AC9792F">
                  <w:pPr>
                    <w:widowControl/>
                    <w:jc w:val="left"/>
                    <w:rPr>
                      <w:rFonts w:hint="default" w:ascii="Times New Roman" w:hAnsi="Times New Roman" w:cs="Times New Roman"/>
                      <w:b/>
                      <w:szCs w:val="21"/>
                    </w:rPr>
                  </w:pPr>
                </w:p>
              </w:tc>
              <w:tc>
                <w:tcPr>
                  <w:tcW w:w="1418" w:type="dxa"/>
                  <w:gridSpan w:val="2"/>
                  <w:vMerge w:val="continue"/>
                  <w:tcBorders>
                    <w:tl2br w:val="nil"/>
                    <w:tr2bl w:val="nil"/>
                  </w:tcBorders>
                  <w:noWrap w:val="0"/>
                  <w:vAlign w:val="center"/>
                </w:tcPr>
                <w:p w14:paraId="6C4C0266">
                  <w:pPr>
                    <w:jc w:val="center"/>
                    <w:rPr>
                      <w:rFonts w:hint="default" w:ascii="Times New Roman" w:hAnsi="Times New Roman" w:cs="Times New Roman"/>
                      <w:bCs/>
                      <w:color w:val="000000"/>
                      <w:sz w:val="18"/>
                      <w:szCs w:val="18"/>
                    </w:rPr>
                  </w:pPr>
                </w:p>
              </w:tc>
              <w:tc>
                <w:tcPr>
                  <w:tcW w:w="1842" w:type="dxa"/>
                  <w:tcBorders>
                    <w:tl2br w:val="nil"/>
                    <w:tr2bl w:val="nil"/>
                  </w:tcBorders>
                  <w:noWrap w:val="0"/>
                  <w:vAlign w:val="center"/>
                </w:tcPr>
                <w:p w14:paraId="4E1E5326">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AWA6221B</w:t>
                  </w:r>
                </w:p>
                <w:p w14:paraId="4030F43F">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声校准器</w:t>
                  </w:r>
                </w:p>
                <w:p w14:paraId="736275D7">
                  <w:pPr>
                    <w:jc w:val="center"/>
                    <w:rPr>
                      <w:rFonts w:hint="default" w:ascii="Times New Roman" w:hAnsi="Times New Roman" w:cs="Times New Roman"/>
                      <w:bCs/>
                      <w:color w:val="000000"/>
                      <w:sz w:val="18"/>
                      <w:szCs w:val="18"/>
                    </w:rPr>
                  </w:pPr>
                  <w:r>
                    <w:rPr>
                      <w:rFonts w:hint="default" w:ascii="Times New Roman" w:hAnsi="Times New Roman" w:cs="Times New Roman"/>
                      <w:color w:val="000000"/>
                      <w:sz w:val="18"/>
                      <w:szCs w:val="18"/>
                    </w:rPr>
                    <w:t>（</w:t>
                  </w:r>
                  <w:r>
                    <w:rPr>
                      <w:rFonts w:hint="default" w:ascii="Times New Roman" w:hAnsi="Times New Roman" w:cs="Times New Roman"/>
                      <w:bCs/>
                      <w:color w:val="000000"/>
                      <w:sz w:val="18"/>
                      <w:szCs w:val="18"/>
                    </w:rPr>
                    <w:t>编号：2004696）</w:t>
                  </w:r>
                </w:p>
              </w:tc>
              <w:tc>
                <w:tcPr>
                  <w:tcW w:w="1560" w:type="dxa"/>
                  <w:tcBorders>
                    <w:tl2br w:val="nil"/>
                    <w:tr2bl w:val="nil"/>
                  </w:tcBorders>
                  <w:noWrap w:val="0"/>
                  <w:vAlign w:val="center"/>
                </w:tcPr>
                <w:p w14:paraId="61AD77A3">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标称声压级：</w:t>
                  </w:r>
                </w:p>
                <w:p w14:paraId="769BBB42">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94dB</w:t>
                  </w:r>
                </w:p>
              </w:tc>
              <w:tc>
                <w:tcPr>
                  <w:tcW w:w="3548" w:type="dxa"/>
                  <w:tcBorders>
                    <w:tl2br w:val="nil"/>
                    <w:tr2bl w:val="nil"/>
                  </w:tcBorders>
                  <w:noWrap w:val="0"/>
                  <w:vAlign w:val="center"/>
                </w:tcPr>
                <w:p w14:paraId="0B9E1680">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检定单位：中国测试技术研究院</w:t>
                  </w:r>
                </w:p>
                <w:p w14:paraId="163622B0">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检定有效期：2025-12-08至2026-12-07</w:t>
                  </w:r>
                </w:p>
                <w:p w14:paraId="4CFBEED8">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检定证书编号：检定字第202512101261号</w:t>
                  </w:r>
                </w:p>
                <w:p w14:paraId="157486C8">
                  <w:pPr>
                    <w:jc w:val="left"/>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color w:val="000000"/>
                      <w:sz w:val="18"/>
                      <w:szCs w:val="18"/>
                      <w:lang w:val="en-US" w:eastAsia="zh-CN"/>
                    </w:rPr>
                    <w:t>仪器检定：符合2级</w:t>
                  </w:r>
                </w:p>
              </w:tc>
            </w:tr>
            <w:tr w14:paraId="64F34B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16" w:hRule="atLeast"/>
                <w:jc w:val="center"/>
              </w:trPr>
              <w:tc>
                <w:tcPr>
                  <w:tcW w:w="716" w:type="dxa"/>
                  <w:vMerge w:val="continue"/>
                  <w:tcBorders>
                    <w:tl2br w:val="nil"/>
                    <w:tr2bl w:val="nil"/>
                  </w:tcBorders>
                  <w:noWrap w:val="0"/>
                  <w:vAlign w:val="center"/>
                </w:tcPr>
                <w:p w14:paraId="767901D2">
                  <w:pPr>
                    <w:widowControl/>
                    <w:jc w:val="left"/>
                    <w:rPr>
                      <w:rFonts w:hint="default" w:ascii="Times New Roman" w:hAnsi="Times New Roman" w:cs="Times New Roman"/>
                      <w:b/>
                      <w:szCs w:val="21"/>
                    </w:rPr>
                  </w:pPr>
                </w:p>
              </w:tc>
              <w:tc>
                <w:tcPr>
                  <w:tcW w:w="897" w:type="dxa"/>
                  <w:vMerge w:val="restart"/>
                  <w:tcBorders>
                    <w:tl2br w:val="nil"/>
                    <w:tr2bl w:val="nil"/>
                  </w:tcBorders>
                  <w:noWrap w:val="0"/>
                  <w:vAlign w:val="center"/>
                </w:tcPr>
                <w:p w14:paraId="7226BCD7">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自然环境条件</w:t>
                  </w:r>
                </w:p>
              </w:tc>
              <w:tc>
                <w:tcPr>
                  <w:tcW w:w="521" w:type="dxa"/>
                  <w:tcBorders>
                    <w:tl2br w:val="nil"/>
                    <w:tr2bl w:val="nil"/>
                  </w:tcBorders>
                  <w:noWrap w:val="0"/>
                  <w:vAlign w:val="center"/>
                </w:tcPr>
                <w:p w14:paraId="088687D4">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温度</w:t>
                  </w:r>
                </w:p>
              </w:tc>
              <w:tc>
                <w:tcPr>
                  <w:tcW w:w="1842" w:type="dxa"/>
                  <w:vMerge w:val="restart"/>
                  <w:tcBorders>
                    <w:tl2br w:val="nil"/>
                    <w:tr2bl w:val="nil"/>
                  </w:tcBorders>
                  <w:noWrap w:val="0"/>
                  <w:vAlign w:val="center"/>
                </w:tcPr>
                <w:p w14:paraId="2F823B15">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综合气象仪NK5500</w:t>
                  </w:r>
                </w:p>
                <w:p w14:paraId="019B76EF">
                  <w:pPr>
                    <w:jc w:val="center"/>
                    <w:rPr>
                      <w:rFonts w:hint="default" w:ascii="Times New Roman" w:hAnsi="Times New Roman" w:cs="Times New Roman"/>
                      <w:bCs/>
                      <w:color w:val="000000"/>
                      <w:sz w:val="18"/>
                      <w:szCs w:val="18"/>
                    </w:rPr>
                  </w:pPr>
                  <w:r>
                    <w:rPr>
                      <w:rFonts w:hint="default" w:ascii="Times New Roman" w:hAnsi="Times New Roman" w:cs="Times New Roman"/>
                      <w:color w:val="000000"/>
                      <w:sz w:val="18"/>
                      <w:szCs w:val="18"/>
                    </w:rPr>
                    <w:t>（</w:t>
                  </w:r>
                  <w:r>
                    <w:rPr>
                      <w:rFonts w:hint="default" w:ascii="Times New Roman" w:hAnsi="Times New Roman" w:cs="Times New Roman"/>
                      <w:bCs/>
                      <w:color w:val="000000"/>
                      <w:sz w:val="18"/>
                      <w:szCs w:val="18"/>
                    </w:rPr>
                    <w:t>编号：</w:t>
                  </w:r>
                  <w:r>
                    <w:rPr>
                      <w:rFonts w:hint="default" w:ascii="Times New Roman" w:hAnsi="Times New Roman" w:cs="Times New Roman"/>
                      <w:color w:val="000000"/>
                      <w:sz w:val="18"/>
                      <w:szCs w:val="18"/>
                    </w:rPr>
                    <w:t>2913744</w:t>
                  </w:r>
                  <w:r>
                    <w:rPr>
                      <w:rFonts w:hint="default" w:ascii="Times New Roman" w:hAnsi="Times New Roman" w:cs="Times New Roman"/>
                      <w:bCs/>
                      <w:color w:val="000000"/>
                      <w:sz w:val="18"/>
                      <w:szCs w:val="18"/>
                    </w:rPr>
                    <w:t>）</w:t>
                  </w:r>
                </w:p>
              </w:tc>
              <w:tc>
                <w:tcPr>
                  <w:tcW w:w="1560" w:type="dxa"/>
                  <w:tcBorders>
                    <w:tl2br w:val="nil"/>
                    <w:tr2bl w:val="nil"/>
                  </w:tcBorders>
                  <w:noWrap w:val="0"/>
                  <w:vAlign w:val="center"/>
                </w:tcPr>
                <w:p w14:paraId="1255FE2F">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测量范围：</w:t>
                  </w:r>
                </w:p>
                <w:p w14:paraId="574ADDD8">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-30～70℃</w:t>
                  </w:r>
                </w:p>
              </w:tc>
              <w:tc>
                <w:tcPr>
                  <w:tcW w:w="3548" w:type="dxa"/>
                  <w:vMerge w:val="restart"/>
                  <w:tcBorders>
                    <w:tl2br w:val="nil"/>
                    <w:tr2bl w:val="nil"/>
                  </w:tcBorders>
                  <w:noWrap w:val="0"/>
                  <w:vAlign w:val="center"/>
                </w:tcPr>
                <w:p w14:paraId="5A8DF153">
                  <w:pPr>
                    <w:jc w:val="left"/>
                    <w:rPr>
                      <w:rFonts w:hint="default" w:ascii="Times New Roman" w:hAnsi="Times New Roman" w:cs="Times New Roman"/>
                      <w:sz w:val="18"/>
                      <w:szCs w:val="18"/>
                    </w:rPr>
                  </w:pPr>
                  <w:r>
                    <w:rPr>
                      <w:rFonts w:hint="default" w:ascii="Times New Roman" w:hAnsi="Times New Roman" w:cs="Times New Roman"/>
                      <w:sz w:val="18"/>
                      <w:szCs w:val="18"/>
                    </w:rPr>
                    <w:t>校准单位：中国测试技术研究院</w:t>
                  </w:r>
                </w:p>
                <w:p w14:paraId="3D4B593D">
                  <w:pPr>
                    <w:jc w:val="left"/>
                    <w:rPr>
                      <w:rFonts w:hint="default" w:ascii="Times New Roman" w:hAnsi="Times New Roman" w:cs="Times New Roman"/>
                      <w:sz w:val="18"/>
                      <w:szCs w:val="18"/>
                    </w:rPr>
                  </w:pPr>
                  <w:r>
                    <w:rPr>
                      <w:rFonts w:hint="default" w:ascii="Times New Roman" w:hAnsi="Times New Roman" w:cs="Times New Roman"/>
                      <w:sz w:val="18"/>
                      <w:szCs w:val="18"/>
                    </w:rPr>
                    <w:t>检定有效期：2026-01-29至2027-01-28</w:t>
                  </w:r>
                </w:p>
                <w:p w14:paraId="1AD7EC38">
                  <w:pPr>
                    <w:jc w:val="left"/>
                    <w:rPr>
                      <w:rFonts w:hint="default" w:ascii="Times New Roman" w:hAnsi="Times New Roman" w:cs="Times New Roman"/>
                      <w:sz w:val="18"/>
                      <w:szCs w:val="18"/>
                    </w:rPr>
                  </w:pPr>
                  <w:r>
                    <w:rPr>
                      <w:rFonts w:hint="default" w:ascii="Times New Roman" w:hAnsi="Times New Roman" w:cs="Times New Roman"/>
                      <w:sz w:val="18"/>
                      <w:szCs w:val="18"/>
                    </w:rPr>
                    <w:t>校准证书号：校准字第202601107770号</w:t>
                  </w:r>
                </w:p>
              </w:tc>
            </w:tr>
            <w:tr w14:paraId="373AE8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16" w:type="dxa"/>
                  <w:vMerge w:val="continue"/>
                  <w:tcBorders>
                    <w:tl2br w:val="nil"/>
                    <w:tr2bl w:val="nil"/>
                  </w:tcBorders>
                  <w:noWrap w:val="0"/>
                  <w:vAlign w:val="center"/>
                </w:tcPr>
                <w:p w14:paraId="651FF7FD">
                  <w:pPr>
                    <w:widowControl/>
                    <w:jc w:val="left"/>
                    <w:rPr>
                      <w:rFonts w:hint="default" w:ascii="Times New Roman" w:hAnsi="Times New Roman" w:cs="Times New Roman"/>
                      <w:b/>
                      <w:szCs w:val="21"/>
                    </w:rPr>
                  </w:pPr>
                </w:p>
              </w:tc>
              <w:tc>
                <w:tcPr>
                  <w:tcW w:w="897" w:type="dxa"/>
                  <w:vMerge w:val="continue"/>
                  <w:tcBorders>
                    <w:tl2br w:val="nil"/>
                    <w:tr2bl w:val="nil"/>
                  </w:tcBorders>
                  <w:noWrap w:val="0"/>
                  <w:vAlign w:val="center"/>
                </w:tcPr>
                <w:p w14:paraId="74E7D49E">
                  <w:pPr>
                    <w:jc w:val="center"/>
                    <w:rPr>
                      <w:rFonts w:hint="default" w:ascii="Times New Roman" w:hAnsi="Times New Roman" w:cs="Times New Roman"/>
                      <w:bCs/>
                      <w:color w:val="000000"/>
                      <w:sz w:val="18"/>
                      <w:szCs w:val="18"/>
                    </w:rPr>
                  </w:pPr>
                </w:p>
              </w:tc>
              <w:tc>
                <w:tcPr>
                  <w:tcW w:w="521" w:type="dxa"/>
                  <w:tcBorders>
                    <w:tl2br w:val="nil"/>
                    <w:tr2bl w:val="nil"/>
                  </w:tcBorders>
                  <w:noWrap w:val="0"/>
                  <w:vAlign w:val="center"/>
                </w:tcPr>
                <w:p w14:paraId="3CEBE816">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湿度</w:t>
                  </w:r>
                </w:p>
              </w:tc>
              <w:tc>
                <w:tcPr>
                  <w:tcW w:w="1842" w:type="dxa"/>
                  <w:vMerge w:val="continue"/>
                  <w:tcBorders>
                    <w:tl2br w:val="nil"/>
                    <w:tr2bl w:val="nil"/>
                  </w:tcBorders>
                  <w:noWrap w:val="0"/>
                  <w:vAlign w:val="center"/>
                </w:tcPr>
                <w:p w14:paraId="2F31A001">
                  <w:pPr>
                    <w:jc w:val="center"/>
                    <w:rPr>
                      <w:rFonts w:hint="default" w:ascii="Times New Roman" w:hAnsi="Times New Roman" w:cs="Times New Roman"/>
                      <w:bCs/>
                      <w:sz w:val="18"/>
                      <w:szCs w:val="18"/>
                    </w:rPr>
                  </w:pPr>
                </w:p>
              </w:tc>
              <w:tc>
                <w:tcPr>
                  <w:tcW w:w="1560" w:type="dxa"/>
                  <w:tcBorders>
                    <w:tl2br w:val="nil"/>
                    <w:tr2bl w:val="nil"/>
                  </w:tcBorders>
                  <w:noWrap w:val="0"/>
                  <w:vAlign w:val="center"/>
                </w:tcPr>
                <w:p w14:paraId="7D61E2C5">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测量范围：</w:t>
                  </w:r>
                </w:p>
                <w:p w14:paraId="357F6D78">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0～100%RH</w:t>
                  </w:r>
                </w:p>
              </w:tc>
              <w:tc>
                <w:tcPr>
                  <w:tcW w:w="3548" w:type="dxa"/>
                  <w:vMerge w:val="continue"/>
                  <w:tcBorders>
                    <w:tl2br w:val="nil"/>
                    <w:tr2bl w:val="nil"/>
                  </w:tcBorders>
                  <w:noWrap w:val="0"/>
                  <w:vAlign w:val="center"/>
                </w:tcPr>
                <w:p w14:paraId="3AFD2763">
                  <w:pPr>
                    <w:jc w:val="left"/>
                    <w:rPr>
                      <w:rFonts w:hint="default" w:ascii="Times New Roman" w:hAnsi="Times New Roman" w:cs="Times New Roman"/>
                      <w:color w:val="000000"/>
                      <w:sz w:val="18"/>
                      <w:szCs w:val="18"/>
                    </w:rPr>
                  </w:pPr>
                </w:p>
              </w:tc>
            </w:tr>
            <w:tr w14:paraId="2C07BA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16" w:type="dxa"/>
                  <w:vMerge w:val="continue"/>
                  <w:tcBorders>
                    <w:tl2br w:val="nil"/>
                    <w:tr2bl w:val="nil"/>
                  </w:tcBorders>
                  <w:noWrap w:val="0"/>
                  <w:vAlign w:val="center"/>
                </w:tcPr>
                <w:p w14:paraId="77A6CD5C">
                  <w:pPr>
                    <w:widowControl/>
                    <w:jc w:val="left"/>
                    <w:rPr>
                      <w:rFonts w:hint="default" w:ascii="Times New Roman" w:hAnsi="Times New Roman" w:cs="Times New Roman"/>
                      <w:b/>
                      <w:szCs w:val="21"/>
                    </w:rPr>
                  </w:pPr>
                </w:p>
              </w:tc>
              <w:tc>
                <w:tcPr>
                  <w:tcW w:w="897" w:type="dxa"/>
                  <w:vMerge w:val="continue"/>
                  <w:tcBorders>
                    <w:tl2br w:val="nil"/>
                    <w:tr2bl w:val="nil"/>
                  </w:tcBorders>
                  <w:noWrap w:val="0"/>
                  <w:vAlign w:val="center"/>
                </w:tcPr>
                <w:p w14:paraId="79D1DA05">
                  <w:pPr>
                    <w:jc w:val="center"/>
                    <w:rPr>
                      <w:rFonts w:hint="default" w:ascii="Times New Roman" w:hAnsi="Times New Roman" w:cs="Times New Roman"/>
                      <w:bCs/>
                      <w:color w:val="000000"/>
                      <w:sz w:val="18"/>
                      <w:szCs w:val="18"/>
                    </w:rPr>
                  </w:pPr>
                </w:p>
              </w:tc>
              <w:tc>
                <w:tcPr>
                  <w:tcW w:w="521" w:type="dxa"/>
                  <w:tcBorders>
                    <w:tl2br w:val="nil"/>
                    <w:tr2bl w:val="nil"/>
                  </w:tcBorders>
                  <w:noWrap w:val="0"/>
                  <w:vAlign w:val="center"/>
                </w:tcPr>
                <w:p w14:paraId="6A38308C">
                  <w:pPr>
                    <w:jc w:val="center"/>
                    <w:rPr>
                      <w:rFonts w:hint="default" w:ascii="Times New Roman" w:hAnsi="Times New Roman" w:cs="Times New Roman"/>
                      <w:bCs/>
                      <w:color w:val="000000"/>
                      <w:sz w:val="18"/>
                      <w:szCs w:val="18"/>
                    </w:rPr>
                  </w:pPr>
                  <w:r>
                    <w:rPr>
                      <w:rFonts w:hint="default" w:ascii="Times New Roman" w:hAnsi="Times New Roman" w:cs="Times New Roman"/>
                      <w:bCs/>
                      <w:sz w:val="18"/>
                      <w:szCs w:val="18"/>
                    </w:rPr>
                    <w:t>风速</w:t>
                  </w:r>
                </w:p>
              </w:tc>
              <w:tc>
                <w:tcPr>
                  <w:tcW w:w="1842" w:type="dxa"/>
                  <w:vMerge w:val="continue"/>
                  <w:tcBorders>
                    <w:tl2br w:val="nil"/>
                    <w:tr2bl w:val="nil"/>
                  </w:tcBorders>
                  <w:noWrap w:val="0"/>
                  <w:vAlign w:val="center"/>
                </w:tcPr>
                <w:p w14:paraId="70C30920">
                  <w:pPr>
                    <w:jc w:val="center"/>
                    <w:rPr>
                      <w:rFonts w:hint="default" w:ascii="Times New Roman" w:hAnsi="Times New Roman" w:cs="Times New Roman"/>
                      <w:bCs/>
                      <w:sz w:val="18"/>
                      <w:szCs w:val="18"/>
                    </w:rPr>
                  </w:pPr>
                </w:p>
              </w:tc>
              <w:tc>
                <w:tcPr>
                  <w:tcW w:w="1560" w:type="dxa"/>
                  <w:tcBorders>
                    <w:tl2br w:val="nil"/>
                    <w:tr2bl w:val="nil"/>
                  </w:tcBorders>
                  <w:noWrap w:val="0"/>
                  <w:vAlign w:val="center"/>
                </w:tcPr>
                <w:p w14:paraId="32B39949">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测量范围：</w:t>
                  </w:r>
                </w:p>
                <w:p w14:paraId="640BB79D">
                  <w:pPr>
                    <w:jc w:val="center"/>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0～40m/s</w:t>
                  </w:r>
                </w:p>
              </w:tc>
              <w:tc>
                <w:tcPr>
                  <w:tcW w:w="3548" w:type="dxa"/>
                  <w:tcBorders>
                    <w:tl2br w:val="nil"/>
                    <w:tr2bl w:val="nil"/>
                  </w:tcBorders>
                  <w:noWrap w:val="0"/>
                  <w:vAlign w:val="center"/>
                </w:tcPr>
                <w:p w14:paraId="11D79A97">
                  <w:pPr>
                    <w:jc w:val="left"/>
                    <w:rPr>
                      <w:rFonts w:hint="default" w:ascii="Times New Roman" w:hAnsi="Times New Roman" w:cs="Times New Roman"/>
                      <w:sz w:val="18"/>
                      <w:szCs w:val="18"/>
                    </w:rPr>
                  </w:pPr>
                  <w:r>
                    <w:rPr>
                      <w:rFonts w:hint="default" w:ascii="Times New Roman" w:hAnsi="Times New Roman" w:cs="Times New Roman"/>
                      <w:sz w:val="18"/>
                      <w:szCs w:val="18"/>
                    </w:rPr>
                    <w:t>校准单位：中国测试技术研究院</w:t>
                  </w:r>
                </w:p>
                <w:p w14:paraId="47496725">
                  <w:pPr>
                    <w:jc w:val="left"/>
                    <w:rPr>
                      <w:rFonts w:hint="default" w:ascii="Times New Roman" w:hAnsi="Times New Roman" w:cs="Times New Roman"/>
                      <w:sz w:val="18"/>
                      <w:szCs w:val="18"/>
                    </w:rPr>
                  </w:pPr>
                  <w:r>
                    <w:rPr>
                      <w:rFonts w:hint="default" w:ascii="Times New Roman" w:hAnsi="Times New Roman" w:cs="Times New Roman"/>
                      <w:sz w:val="18"/>
                      <w:szCs w:val="18"/>
                    </w:rPr>
                    <w:t>检定有效期：2026-01-29至2027-01-28</w:t>
                  </w:r>
                </w:p>
                <w:p w14:paraId="2FF2FE0A">
                  <w:pPr>
                    <w:jc w:val="left"/>
                    <w:rPr>
                      <w:rFonts w:hint="default" w:ascii="Times New Roman" w:hAnsi="Times New Roman" w:cs="Times New Roman"/>
                      <w:sz w:val="18"/>
                      <w:szCs w:val="18"/>
                    </w:rPr>
                  </w:pPr>
                  <w:r>
                    <w:rPr>
                      <w:rFonts w:hint="default" w:ascii="Times New Roman" w:hAnsi="Times New Roman" w:cs="Times New Roman"/>
                      <w:sz w:val="18"/>
                      <w:szCs w:val="18"/>
                    </w:rPr>
                    <w:t>校准证书号：校准字第202601108216号</w:t>
                  </w:r>
                </w:p>
              </w:tc>
            </w:tr>
          </w:tbl>
          <w:p w14:paraId="14C835E6">
            <w:pPr>
              <w:keepNext w:val="0"/>
              <w:keepLines w:val="0"/>
              <w:pageBreakBefore w:val="0"/>
              <w:widowControl w:val="0"/>
              <w:kinsoku/>
              <w:overflowPunct/>
              <w:topLinePunct w:val="0"/>
              <w:bidi w:val="0"/>
              <w:adjustRightInd w:val="0"/>
              <w:spacing w:line="360" w:lineRule="auto"/>
              <w:ind w:firstLine="422" w:firstLineChars="200"/>
              <w:textAlignment w:val="baseline"/>
              <w:rPr>
                <w:b/>
                <w:color w:val="auto"/>
                <w:kern w:val="0"/>
                <w:szCs w:val="21"/>
              </w:rPr>
            </w:pPr>
            <w:r>
              <w:rPr>
                <w:rFonts w:hint="eastAsia"/>
                <w:b/>
                <w:color w:val="auto"/>
                <w:kern w:val="0"/>
                <w:szCs w:val="21"/>
                <w:lang w:val="en-US" w:eastAsia="zh-CN"/>
              </w:rPr>
              <w:t>6</w:t>
            </w:r>
            <w:r>
              <w:rPr>
                <w:b/>
                <w:color w:val="auto"/>
                <w:kern w:val="0"/>
                <w:szCs w:val="21"/>
              </w:rPr>
              <w:t>、质量保证</w:t>
            </w:r>
          </w:p>
          <w:p w14:paraId="4E60EC1D">
            <w:pPr>
              <w:keepNext w:val="0"/>
              <w:keepLines w:val="0"/>
              <w:pageBreakBefore w:val="0"/>
              <w:widowControl w:val="0"/>
              <w:kinsoku/>
              <w:overflowPunct/>
              <w:topLinePunct w:val="0"/>
              <w:bidi w:val="0"/>
              <w:adjustRightInd w:val="0"/>
              <w:spacing w:line="360" w:lineRule="auto"/>
              <w:ind w:firstLine="420" w:firstLineChars="200"/>
              <w:textAlignment w:val="baseline"/>
              <w:rPr>
                <w:rFonts w:eastAsiaTheme="minorEastAsia"/>
                <w:color w:val="auto"/>
                <w:kern w:val="0"/>
                <w:szCs w:val="21"/>
              </w:rPr>
            </w:pPr>
            <w:r>
              <w:rPr>
                <w:rFonts w:hint="eastAsia" w:eastAsiaTheme="minorEastAsia"/>
                <w:color w:val="auto"/>
                <w:kern w:val="0"/>
                <w:szCs w:val="21"/>
              </w:rPr>
              <w:t>（1）</w:t>
            </w:r>
            <w:r>
              <w:rPr>
                <w:rFonts w:eastAsiaTheme="minorEastAsia"/>
                <w:color w:val="auto"/>
                <w:kern w:val="0"/>
                <w:szCs w:val="21"/>
              </w:rPr>
              <w:t>计量认证</w:t>
            </w:r>
          </w:p>
          <w:p w14:paraId="1D924BA9">
            <w:pPr>
              <w:adjustRightInd w:val="0"/>
              <w:spacing w:line="360" w:lineRule="auto"/>
              <w:ind w:firstLine="420" w:firstLineChars="200"/>
              <w:textAlignment w:val="baseline"/>
              <w:rPr>
                <w:rFonts w:hint="default" w:ascii="Times New Roman" w:hAnsi="Times New Roman" w:cs="Times New Roman"/>
                <w:color w:val="000000" w:themeColor="text1"/>
                <w:kern w:val="0"/>
                <w:szCs w:val="21"/>
                <w:highlight w:val="none"/>
                <w14:textFill>
                  <w14:solidFill>
                    <w14:schemeClr w14:val="tx1"/>
                  </w14:solidFill>
                </w14:textFill>
              </w:rPr>
            </w:pPr>
            <w:bookmarkStart w:id="11" w:name="_Toc137692118"/>
            <w:bookmarkStart w:id="12" w:name="_Toc133224321"/>
            <w:bookmarkStart w:id="13" w:name="_Toc76820902"/>
            <w:r>
              <w:rPr>
                <w:rFonts w:hint="default" w:ascii="Times New Roman" w:hAnsi="Times New Roman" w:cs="Times New Roman"/>
                <w:color w:val="000000" w:themeColor="text1"/>
                <w:kern w:val="0"/>
                <w:szCs w:val="21"/>
                <w:highlight w:val="none"/>
                <w14:textFill>
                  <w14:solidFill>
                    <w14:schemeClr w14:val="tx1"/>
                  </w14:solidFill>
                </w14:textFill>
              </w:rPr>
              <w:t>从事监测的单位</w:t>
            </w:r>
            <w:r>
              <w:rPr>
                <w:rFonts w:hint="eastAsia" w:cs="Times New Roman"/>
                <w:color w:val="000000" w:themeColor="text1"/>
                <w:kern w:val="0"/>
                <w:szCs w:val="21"/>
                <w:highlight w:val="none"/>
                <w:lang w:eastAsia="zh-CN"/>
                <w14:textFill>
                  <w14:solidFill>
                    <w14:schemeClr w14:val="tx1"/>
                  </w14:solidFill>
                </w14:textFill>
              </w:rPr>
              <w:t>四川省辐安环境监测有限公司</w:t>
            </w:r>
            <w:r>
              <w:rPr>
                <w:rFonts w:hint="default" w:ascii="Times New Roman" w:hAnsi="Times New Roman" w:cs="Times New Roman"/>
                <w:color w:val="000000" w:themeColor="text1"/>
                <w:kern w:val="0"/>
                <w:szCs w:val="21"/>
                <w:highlight w:val="none"/>
                <w14:textFill>
                  <w14:solidFill>
                    <w14:schemeClr w14:val="tx1"/>
                  </w14:solidFill>
                </w14:textFill>
              </w:rPr>
              <w:t>通过了四川省市场监督管理局的计量认证</w:t>
            </w:r>
            <w:r>
              <w:rPr>
                <w:rFonts w:hint="default" w:ascii="Times New Roman" w:hAnsi="Times New Roman" w:cs="Times New Roman"/>
                <w:bCs/>
                <w:color w:val="000000" w:themeColor="text1"/>
                <w:kern w:val="0"/>
                <w:szCs w:val="21"/>
                <w:highlight w:val="none"/>
                <w14:textFill>
                  <w14:solidFill>
                    <w14:schemeClr w14:val="tx1"/>
                  </w14:solidFill>
                </w14:textFill>
              </w:rPr>
              <w:t>（计量认证号：242312051416）。</w:t>
            </w:r>
          </w:p>
          <w:p w14:paraId="573E01EC">
            <w:pPr>
              <w:adjustRightInd w:val="0"/>
              <w:spacing w:line="360" w:lineRule="auto"/>
              <w:ind w:firstLine="420" w:firstLineChars="200"/>
              <w:textAlignment w:val="baseline"/>
              <w:rPr>
                <w:rFonts w:hint="default" w:ascii="Times New Roman" w:hAnsi="Times New Roman" w:cs="Times New Roman" w:eastAsiaTheme="minorEastAsia"/>
                <w:color w:val="000000" w:themeColor="text1"/>
                <w:kern w:val="0"/>
                <w:szCs w:val="21"/>
                <w:highlight w:val="none"/>
                <w14:textFill>
                  <w14:solidFill>
                    <w14:schemeClr w14:val="tx1"/>
                  </w14:solidFill>
                </w14:textFill>
              </w:rPr>
            </w:pPr>
            <w:r>
              <w:rPr>
                <w:rFonts w:hint="default" w:ascii="Times New Roman" w:hAnsi="Times New Roman" w:cs="Times New Roman" w:eastAsiaTheme="minorEastAsia"/>
                <w:color w:val="000000" w:themeColor="text1"/>
                <w:kern w:val="0"/>
                <w:szCs w:val="21"/>
                <w:highlight w:val="none"/>
                <w14:textFill>
                  <w14:solidFill>
                    <w14:schemeClr w14:val="tx1"/>
                  </w14:solidFill>
                </w14:textFill>
              </w:rPr>
              <w:t>（2）仪器设备管理</w:t>
            </w:r>
          </w:p>
          <w:p w14:paraId="59C9D718">
            <w:pPr>
              <w:adjustRightInd w:val="0"/>
              <w:spacing w:line="360" w:lineRule="auto"/>
              <w:ind w:firstLine="420" w:firstLineChars="200"/>
              <w:textAlignment w:val="baseline"/>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①管理与标准化；②计量器具的标准化；③计量器具、仪器设备的检定。</w:t>
            </w:r>
          </w:p>
          <w:p w14:paraId="2C7A93AC">
            <w:pPr>
              <w:adjustRightInd w:val="0"/>
              <w:spacing w:line="360" w:lineRule="auto"/>
              <w:ind w:firstLine="420" w:firstLineChars="200"/>
              <w:textAlignment w:val="baseline"/>
              <w:rPr>
                <w:rFonts w:hint="default" w:ascii="Times New Roman" w:hAnsi="Times New Roman" w:cs="Times New Roman" w:eastAsiaTheme="minorEastAsia"/>
                <w:color w:val="000000" w:themeColor="text1"/>
                <w:kern w:val="0"/>
                <w:szCs w:val="21"/>
                <w:highlight w:val="none"/>
                <w14:textFill>
                  <w14:solidFill>
                    <w14:schemeClr w14:val="tx1"/>
                  </w14:solidFill>
                </w14:textFill>
              </w:rPr>
            </w:pPr>
            <w:r>
              <w:rPr>
                <w:rFonts w:hint="default" w:ascii="Times New Roman" w:hAnsi="Times New Roman" w:cs="Times New Roman" w:eastAsiaTheme="minorEastAsia"/>
                <w:color w:val="000000" w:themeColor="text1"/>
                <w:kern w:val="0"/>
                <w:szCs w:val="21"/>
                <w:highlight w:val="none"/>
                <w14:textFill>
                  <w14:solidFill>
                    <w14:schemeClr w14:val="tx1"/>
                  </w14:solidFill>
                </w14:textFill>
              </w:rPr>
              <w:t>（3）记录与报告</w:t>
            </w:r>
          </w:p>
          <w:p w14:paraId="1B3AC74F">
            <w:pPr>
              <w:adjustRightInd w:val="0"/>
              <w:spacing w:line="360" w:lineRule="auto"/>
              <w:ind w:firstLine="420" w:firstLineChars="200"/>
              <w:textAlignment w:val="baseline"/>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000000" w:themeColor="text1"/>
                <w:kern w:val="0"/>
                <w:szCs w:val="21"/>
                <w:highlight w:val="none"/>
                <w14:textFill>
                  <w14:solidFill>
                    <w14:schemeClr w14:val="tx1"/>
                  </w14:solidFill>
                </w14:textFill>
              </w:rPr>
              <w:t>①数据记录制度；②报告质量控制。</w:t>
            </w:r>
          </w:p>
          <w:p w14:paraId="0A8EBCAA">
            <w:pPr>
              <w:keepNext w:val="0"/>
              <w:keepLines w:val="0"/>
              <w:pageBreakBefore w:val="0"/>
              <w:widowControl w:val="0"/>
              <w:kinsoku/>
              <w:overflowPunct/>
              <w:topLinePunct w:val="0"/>
              <w:bidi w:val="0"/>
              <w:adjustRightInd w:val="0"/>
              <w:spacing w:line="360" w:lineRule="auto"/>
              <w:ind w:firstLine="422" w:firstLineChars="200"/>
              <w:textAlignment w:val="baseline"/>
              <w:rPr>
                <w:b/>
                <w:color w:val="auto"/>
                <w:kern w:val="0"/>
                <w:szCs w:val="21"/>
              </w:rPr>
            </w:pPr>
            <w:r>
              <w:rPr>
                <w:rFonts w:hint="eastAsia"/>
                <w:b/>
                <w:color w:val="auto"/>
                <w:kern w:val="0"/>
                <w:szCs w:val="21"/>
                <w:lang w:val="en-US" w:eastAsia="zh-CN"/>
              </w:rPr>
              <w:t>7</w:t>
            </w:r>
            <w:r>
              <w:rPr>
                <w:b/>
                <w:color w:val="auto"/>
                <w:kern w:val="0"/>
                <w:szCs w:val="21"/>
              </w:rPr>
              <w:t>、监测期间自然环境条件</w:t>
            </w:r>
            <w:bookmarkEnd w:id="11"/>
            <w:bookmarkEnd w:id="12"/>
            <w:bookmarkEnd w:id="13"/>
          </w:p>
          <w:p w14:paraId="4706F79E">
            <w:pPr>
              <w:keepNext w:val="0"/>
              <w:keepLines w:val="0"/>
              <w:pageBreakBefore w:val="0"/>
              <w:widowControl w:val="0"/>
              <w:kinsoku/>
              <w:overflowPunct/>
              <w:topLinePunct w:val="0"/>
              <w:autoSpaceDE w:val="0"/>
              <w:autoSpaceDN w:val="0"/>
              <w:bidi w:val="0"/>
              <w:adjustRightInd w:val="0"/>
              <w:jc w:val="center"/>
              <w:textAlignment w:val="baseline"/>
              <w:rPr>
                <w:rFonts w:hint="default" w:eastAsia="黑体"/>
                <w:b/>
                <w:color w:val="auto"/>
                <w:kern w:val="0"/>
                <w:szCs w:val="21"/>
                <w:lang w:val="en-US" w:eastAsia="zh-CN"/>
              </w:rPr>
            </w:pPr>
            <w:r>
              <w:rPr>
                <w:rFonts w:eastAsia="黑体"/>
                <w:bCs/>
                <w:color w:val="auto"/>
                <w:kern w:val="0"/>
                <w:szCs w:val="21"/>
              </w:rPr>
              <w:t>表3-</w:t>
            </w:r>
            <w:r>
              <w:rPr>
                <w:rFonts w:hint="eastAsia" w:eastAsia="黑体"/>
                <w:bCs/>
                <w:color w:val="auto"/>
                <w:kern w:val="0"/>
                <w:szCs w:val="21"/>
                <w:lang w:val="en-US" w:eastAsia="zh-CN"/>
              </w:rPr>
              <w:t>6</w:t>
            </w:r>
            <w:r>
              <w:rPr>
                <w:rFonts w:eastAsia="黑体"/>
                <w:bCs/>
                <w:color w:val="auto"/>
                <w:kern w:val="0"/>
                <w:szCs w:val="21"/>
              </w:rPr>
              <w:t xml:space="preserve">  监测</w:t>
            </w:r>
            <w:r>
              <w:rPr>
                <w:rFonts w:hint="eastAsia" w:eastAsia="黑体"/>
                <w:bCs/>
                <w:color w:val="auto"/>
                <w:kern w:val="0"/>
                <w:szCs w:val="21"/>
                <w:lang w:val="en-US" w:eastAsia="zh-CN"/>
              </w:rPr>
              <w:t>期间自然环境一览表</w:t>
            </w:r>
          </w:p>
          <w:tbl>
            <w:tblPr>
              <w:tblStyle w:val="25"/>
              <w:tblW w:w="908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559"/>
              <w:gridCol w:w="1846"/>
              <w:gridCol w:w="1556"/>
              <w:gridCol w:w="1701"/>
              <w:gridCol w:w="1706"/>
            </w:tblGrid>
            <w:tr w14:paraId="4C1405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716" w:type="dxa"/>
                  <w:vMerge w:val="restart"/>
                  <w:tcBorders>
                    <w:tl2br w:val="nil"/>
                    <w:tr2bl w:val="nil"/>
                  </w:tcBorders>
                  <w:noWrap w:val="0"/>
                  <w:vAlign w:val="center"/>
                </w:tcPr>
                <w:p w14:paraId="5261E1E1">
                  <w:pPr>
                    <w:jc w:val="center"/>
                    <w:rPr>
                      <w:rFonts w:hint="default" w:ascii="Times New Roman" w:hAnsi="Times New Roman" w:cs="Times New Roman"/>
                      <w:b/>
                      <w:szCs w:val="21"/>
                    </w:rPr>
                  </w:pPr>
                  <w:r>
                    <w:rPr>
                      <w:rFonts w:hint="default" w:ascii="Times New Roman" w:hAnsi="Times New Roman" w:cs="Times New Roman"/>
                      <w:b/>
                      <w:szCs w:val="21"/>
                    </w:rPr>
                    <w:t>监测</w:t>
                  </w:r>
                </w:p>
                <w:p w14:paraId="11375C98">
                  <w:pPr>
                    <w:jc w:val="center"/>
                    <w:rPr>
                      <w:rFonts w:hint="default" w:ascii="Times New Roman" w:hAnsi="Times New Roman" w:cs="Times New Roman"/>
                      <w:b/>
                      <w:szCs w:val="21"/>
                    </w:rPr>
                  </w:pPr>
                  <w:r>
                    <w:rPr>
                      <w:rFonts w:hint="default" w:ascii="Times New Roman" w:hAnsi="Times New Roman" w:cs="Times New Roman"/>
                      <w:b/>
                      <w:szCs w:val="21"/>
                    </w:rPr>
                    <w:t>环境</w:t>
                  </w:r>
                </w:p>
              </w:tc>
              <w:tc>
                <w:tcPr>
                  <w:tcW w:w="1559" w:type="dxa"/>
                  <w:tcBorders>
                    <w:tl2br w:val="nil"/>
                    <w:tr2bl w:val="nil"/>
                  </w:tcBorders>
                  <w:noWrap w:val="0"/>
                  <w:vAlign w:val="center"/>
                </w:tcPr>
                <w:p w14:paraId="48CC48D5">
                  <w:pPr>
                    <w:rPr>
                      <w:rFonts w:hint="default" w:ascii="Times New Roman" w:hAnsi="Times New Roman" w:cs="Times New Roman"/>
                      <w:bCs/>
                      <w:sz w:val="18"/>
                      <w:szCs w:val="18"/>
                    </w:rPr>
                  </w:pPr>
                  <w:r>
                    <w:rPr>
                      <w:rFonts w:hint="default" w:ascii="Times New Roman" w:hAnsi="Times New Roman" w:cs="Times New Roman"/>
                      <w:bCs/>
                      <w:sz w:val="18"/>
                      <w:szCs w:val="18"/>
                    </w:rPr>
                    <w:t>日期</w:t>
                  </w:r>
                  <w:r>
                    <w:rPr>
                      <w:rFonts w:hint="default" w:ascii="Times New Roman" w:hAnsi="Times New Roman" w:cs="Times New Roman"/>
                      <w:bCs/>
                      <w:color w:val="000000"/>
                      <w:sz w:val="18"/>
                      <w:szCs w:val="18"/>
                    </w:rPr>
                    <w:t>：</w:t>
                  </w:r>
                </w:p>
              </w:tc>
              <w:tc>
                <w:tcPr>
                  <w:tcW w:w="1846" w:type="dxa"/>
                  <w:tcBorders>
                    <w:tl2br w:val="nil"/>
                    <w:tr2bl w:val="nil"/>
                  </w:tcBorders>
                  <w:noWrap w:val="0"/>
                  <w:vAlign w:val="center"/>
                </w:tcPr>
                <w:p w14:paraId="19CF9758">
                  <w:pPr>
                    <w:rPr>
                      <w:rFonts w:hint="default" w:ascii="Times New Roman" w:hAnsi="Times New Roman" w:cs="Times New Roman"/>
                      <w:bCs/>
                      <w:sz w:val="18"/>
                      <w:szCs w:val="18"/>
                    </w:rPr>
                  </w:pPr>
                  <w:r>
                    <w:rPr>
                      <w:rFonts w:hint="default" w:ascii="Times New Roman" w:hAnsi="Times New Roman" w:cs="Times New Roman"/>
                      <w:bCs/>
                      <w:color w:val="000000"/>
                      <w:sz w:val="18"/>
                      <w:szCs w:val="18"/>
                    </w:rPr>
                    <w:t>环境温度：</w:t>
                  </w:r>
                </w:p>
              </w:tc>
              <w:tc>
                <w:tcPr>
                  <w:tcW w:w="1556" w:type="dxa"/>
                  <w:tcBorders>
                    <w:tl2br w:val="nil"/>
                    <w:tr2bl w:val="nil"/>
                  </w:tcBorders>
                  <w:noWrap w:val="0"/>
                  <w:vAlign w:val="center"/>
                </w:tcPr>
                <w:p w14:paraId="04C6DAF7">
                  <w:pPr>
                    <w:rPr>
                      <w:rFonts w:hint="default" w:ascii="Times New Roman" w:hAnsi="Times New Roman" w:cs="Times New Roman"/>
                      <w:bCs/>
                      <w:sz w:val="18"/>
                      <w:szCs w:val="18"/>
                    </w:rPr>
                  </w:pPr>
                  <w:r>
                    <w:rPr>
                      <w:rFonts w:hint="default" w:ascii="Times New Roman" w:hAnsi="Times New Roman" w:cs="Times New Roman"/>
                      <w:bCs/>
                      <w:color w:val="000000"/>
                      <w:sz w:val="18"/>
                      <w:szCs w:val="18"/>
                    </w:rPr>
                    <w:t>环境湿度：</w:t>
                  </w:r>
                </w:p>
              </w:tc>
              <w:tc>
                <w:tcPr>
                  <w:tcW w:w="1701" w:type="dxa"/>
                  <w:tcBorders>
                    <w:tl2br w:val="nil"/>
                    <w:tr2bl w:val="nil"/>
                  </w:tcBorders>
                  <w:noWrap w:val="0"/>
                  <w:vAlign w:val="center"/>
                </w:tcPr>
                <w:p w14:paraId="73E615FF">
                  <w:pPr>
                    <w:rPr>
                      <w:rFonts w:hint="default" w:ascii="Times New Roman" w:hAnsi="Times New Roman" w:cs="Times New Roman"/>
                      <w:bCs/>
                      <w:sz w:val="18"/>
                      <w:szCs w:val="18"/>
                    </w:rPr>
                  </w:pPr>
                  <w:r>
                    <w:rPr>
                      <w:rFonts w:hint="default" w:ascii="Times New Roman" w:hAnsi="Times New Roman" w:cs="Times New Roman"/>
                      <w:bCs/>
                      <w:color w:val="000000"/>
                      <w:sz w:val="18"/>
                      <w:szCs w:val="18"/>
                    </w:rPr>
                    <w:t>风速：</w:t>
                  </w:r>
                </w:p>
              </w:tc>
              <w:tc>
                <w:tcPr>
                  <w:tcW w:w="1706" w:type="dxa"/>
                  <w:tcBorders>
                    <w:tl2br w:val="nil"/>
                    <w:tr2bl w:val="nil"/>
                  </w:tcBorders>
                  <w:noWrap w:val="0"/>
                  <w:vAlign w:val="center"/>
                </w:tcPr>
                <w:p w14:paraId="2461BE8E">
                  <w:pPr>
                    <w:rPr>
                      <w:rFonts w:hint="default" w:ascii="Times New Roman" w:hAnsi="Times New Roman" w:cs="Times New Roman"/>
                      <w:bCs/>
                      <w:sz w:val="18"/>
                      <w:szCs w:val="18"/>
                    </w:rPr>
                  </w:pPr>
                  <w:r>
                    <w:rPr>
                      <w:rFonts w:hint="default" w:ascii="Times New Roman" w:hAnsi="Times New Roman" w:cs="Times New Roman"/>
                      <w:bCs/>
                      <w:color w:val="000000"/>
                      <w:sz w:val="18"/>
                      <w:szCs w:val="18"/>
                    </w:rPr>
                    <w:t>天气状况：</w:t>
                  </w:r>
                </w:p>
              </w:tc>
            </w:tr>
            <w:tr w14:paraId="23DC7F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716" w:type="dxa"/>
                  <w:vMerge w:val="continue"/>
                  <w:tcBorders>
                    <w:tl2br w:val="nil"/>
                    <w:tr2bl w:val="nil"/>
                  </w:tcBorders>
                  <w:noWrap w:val="0"/>
                  <w:vAlign w:val="center"/>
                </w:tcPr>
                <w:p w14:paraId="65AAC840">
                  <w:pPr>
                    <w:jc w:val="center"/>
                    <w:rPr>
                      <w:rFonts w:hint="default" w:ascii="Times New Roman" w:hAnsi="Times New Roman" w:cs="Times New Roman"/>
                      <w:b/>
                      <w:szCs w:val="21"/>
                    </w:rPr>
                  </w:pPr>
                </w:p>
              </w:tc>
              <w:tc>
                <w:tcPr>
                  <w:tcW w:w="1559" w:type="dxa"/>
                  <w:tcBorders>
                    <w:tl2br w:val="nil"/>
                    <w:tr2bl w:val="nil"/>
                  </w:tcBorders>
                  <w:noWrap w:val="0"/>
                  <w:vAlign w:val="center"/>
                </w:tcPr>
                <w:p w14:paraId="15741E1A">
                  <w:pPr>
                    <w:rPr>
                      <w:rFonts w:hint="default" w:ascii="Times New Roman" w:hAnsi="Times New Roman" w:eastAsia="宋体" w:cs="Times New Roman"/>
                      <w:bCs/>
                      <w:color w:val="000000"/>
                      <w:sz w:val="18"/>
                      <w:szCs w:val="18"/>
                      <w:lang w:val="en-US" w:eastAsia="zh-CN"/>
                    </w:rPr>
                  </w:pPr>
                  <w:r>
                    <w:rPr>
                      <w:rFonts w:hint="default" w:ascii="Times New Roman" w:hAnsi="Times New Roman" w:cs="Times New Roman"/>
                      <w:bCs/>
                      <w:color w:val="000000"/>
                      <w:sz w:val="18"/>
                      <w:szCs w:val="18"/>
                    </w:rPr>
                    <w:t>2026.</w:t>
                  </w:r>
                  <w:r>
                    <w:rPr>
                      <w:rFonts w:hint="default" w:ascii="Times New Roman" w:hAnsi="Times New Roman" w:cs="Times New Roman"/>
                      <w:bCs/>
                      <w:color w:val="000000"/>
                      <w:sz w:val="18"/>
                      <w:szCs w:val="18"/>
                      <w:lang w:val="en-US" w:eastAsia="zh-CN"/>
                    </w:rPr>
                    <w:t>06</w:t>
                  </w:r>
                  <w:r>
                    <w:rPr>
                      <w:rFonts w:hint="default" w:ascii="Times New Roman" w:hAnsi="Times New Roman" w:cs="Times New Roman"/>
                      <w:bCs/>
                      <w:color w:val="000000"/>
                      <w:sz w:val="18"/>
                      <w:szCs w:val="18"/>
                    </w:rPr>
                    <w:t>.</w:t>
                  </w:r>
                  <w:r>
                    <w:rPr>
                      <w:rFonts w:hint="default" w:ascii="Times New Roman" w:hAnsi="Times New Roman" w:cs="Times New Roman"/>
                      <w:bCs/>
                      <w:color w:val="000000"/>
                      <w:sz w:val="18"/>
                      <w:szCs w:val="18"/>
                      <w:lang w:val="en-US" w:eastAsia="zh-CN"/>
                    </w:rPr>
                    <w:t>13</w:t>
                  </w:r>
                </w:p>
              </w:tc>
              <w:tc>
                <w:tcPr>
                  <w:tcW w:w="1846" w:type="dxa"/>
                  <w:tcBorders>
                    <w:tl2br w:val="nil"/>
                    <w:tr2bl w:val="nil"/>
                  </w:tcBorders>
                  <w:noWrap w:val="0"/>
                  <w:vAlign w:val="center"/>
                </w:tcPr>
                <w:p w14:paraId="6E91C2D8">
                  <w:pPr>
                    <w:jc w:val="left"/>
                    <w:rPr>
                      <w:rFonts w:hint="default" w:ascii="Times New Roman" w:hAnsi="Times New Roman" w:cs="Times New Roman"/>
                    </w:rPr>
                  </w:pPr>
                  <w:r>
                    <w:rPr>
                      <w:rFonts w:hint="default" w:ascii="Times New Roman" w:hAnsi="Times New Roman" w:cs="Times New Roman"/>
                      <w:bCs/>
                      <w:sz w:val="18"/>
                      <w:szCs w:val="18"/>
                      <w:lang w:val="en-US" w:eastAsia="zh-CN"/>
                    </w:rPr>
                    <w:t>28.1~</w:t>
                  </w:r>
                  <w:r>
                    <w:rPr>
                      <w:rFonts w:hint="default" w:ascii="Times New Roman" w:hAnsi="Times New Roman" w:cs="Times New Roman"/>
                      <w:bCs/>
                      <w:sz w:val="18"/>
                      <w:szCs w:val="18"/>
                      <w:lang w:val="zh-CN"/>
                    </w:rPr>
                    <w:t>23</w:t>
                  </w:r>
                  <w:r>
                    <w:rPr>
                      <w:rFonts w:hint="default" w:ascii="Times New Roman" w:hAnsi="Times New Roman" w:cs="Times New Roman"/>
                      <w:bCs/>
                      <w:sz w:val="18"/>
                      <w:szCs w:val="18"/>
                    </w:rPr>
                    <w:t>.</w:t>
                  </w:r>
                  <w:r>
                    <w:rPr>
                      <w:rFonts w:hint="default" w:ascii="Times New Roman" w:hAnsi="Times New Roman" w:cs="Times New Roman"/>
                      <w:bCs/>
                      <w:sz w:val="18"/>
                      <w:szCs w:val="18"/>
                      <w:lang w:val="en-US" w:eastAsia="zh-CN"/>
                    </w:rPr>
                    <w:t>2</w:t>
                  </w:r>
                  <w:r>
                    <w:rPr>
                      <w:rFonts w:hint="default" w:ascii="Times New Roman" w:hAnsi="Times New Roman" w:cs="Times New Roman"/>
                      <w:bCs/>
                      <w:color w:val="000000"/>
                      <w:sz w:val="18"/>
                      <w:szCs w:val="18"/>
                    </w:rPr>
                    <w:t>℃</w:t>
                  </w:r>
                </w:p>
              </w:tc>
              <w:tc>
                <w:tcPr>
                  <w:tcW w:w="1556" w:type="dxa"/>
                  <w:tcBorders>
                    <w:tl2br w:val="nil"/>
                    <w:tr2bl w:val="nil"/>
                  </w:tcBorders>
                  <w:noWrap w:val="0"/>
                  <w:vAlign w:val="center"/>
                </w:tcPr>
                <w:p w14:paraId="2C428FB8">
                  <w:pPr>
                    <w:jc w:val="left"/>
                    <w:rPr>
                      <w:rFonts w:hint="default" w:ascii="Times New Roman" w:hAnsi="Times New Roman" w:cs="Times New Roman"/>
                    </w:rPr>
                  </w:pPr>
                  <w:r>
                    <w:rPr>
                      <w:rFonts w:hint="default" w:ascii="Times New Roman" w:hAnsi="Times New Roman" w:cs="Times New Roman"/>
                      <w:bCs/>
                      <w:color w:val="000000"/>
                      <w:sz w:val="18"/>
                      <w:szCs w:val="18"/>
                      <w:lang w:val="en-US" w:eastAsia="zh-CN"/>
                    </w:rPr>
                    <w:t>44.2</w:t>
                  </w:r>
                  <w:r>
                    <w:rPr>
                      <w:rFonts w:hint="default" w:ascii="Times New Roman" w:hAnsi="Times New Roman" w:cs="Times New Roman"/>
                      <w:bCs/>
                      <w:color w:val="000000"/>
                      <w:sz w:val="18"/>
                      <w:szCs w:val="18"/>
                    </w:rPr>
                    <w:t>~</w:t>
                  </w:r>
                  <w:r>
                    <w:rPr>
                      <w:rFonts w:hint="default" w:ascii="Times New Roman" w:hAnsi="Times New Roman" w:cs="Times New Roman"/>
                      <w:bCs/>
                      <w:color w:val="000000"/>
                      <w:sz w:val="18"/>
                      <w:szCs w:val="18"/>
                      <w:lang w:val="zh-CN"/>
                    </w:rPr>
                    <w:t>4</w:t>
                  </w:r>
                  <w:r>
                    <w:rPr>
                      <w:rFonts w:hint="default" w:ascii="Times New Roman" w:hAnsi="Times New Roman" w:cs="Times New Roman"/>
                      <w:bCs/>
                      <w:color w:val="000000"/>
                      <w:sz w:val="18"/>
                      <w:szCs w:val="18"/>
                      <w:lang w:val="en-US" w:eastAsia="zh-CN"/>
                    </w:rPr>
                    <w:t>9.7</w:t>
                  </w:r>
                  <w:r>
                    <w:rPr>
                      <w:rFonts w:hint="default" w:ascii="Times New Roman" w:hAnsi="Times New Roman" w:cs="Times New Roman"/>
                      <w:bCs/>
                      <w:color w:val="000000"/>
                      <w:sz w:val="18"/>
                      <w:szCs w:val="18"/>
                    </w:rPr>
                    <w:t>％</w:t>
                  </w:r>
                </w:p>
              </w:tc>
              <w:tc>
                <w:tcPr>
                  <w:tcW w:w="1701" w:type="dxa"/>
                  <w:tcBorders>
                    <w:tl2br w:val="nil"/>
                    <w:tr2bl w:val="nil"/>
                  </w:tcBorders>
                  <w:noWrap w:val="0"/>
                  <w:vAlign w:val="center"/>
                </w:tcPr>
                <w:p w14:paraId="0A76204F">
                  <w:pPr>
                    <w:jc w:val="left"/>
                    <w:rPr>
                      <w:rFonts w:hint="default" w:ascii="Times New Roman" w:hAnsi="Times New Roman" w:cs="Times New Roman"/>
                    </w:rPr>
                  </w:pPr>
                  <w:r>
                    <w:rPr>
                      <w:rFonts w:hint="default" w:ascii="Times New Roman" w:hAnsi="Times New Roman" w:cs="Times New Roman"/>
                      <w:bCs/>
                      <w:color w:val="000000"/>
                      <w:sz w:val="18"/>
                      <w:szCs w:val="18"/>
                    </w:rPr>
                    <w:t>0~</w:t>
                  </w:r>
                  <w:r>
                    <w:rPr>
                      <w:rFonts w:hint="default" w:ascii="Times New Roman" w:hAnsi="Times New Roman" w:cs="Times New Roman"/>
                      <w:bCs/>
                      <w:color w:val="000000"/>
                      <w:sz w:val="18"/>
                      <w:szCs w:val="18"/>
                      <w:lang w:val="zh-CN"/>
                    </w:rPr>
                    <w:t>1.</w:t>
                  </w:r>
                  <w:r>
                    <w:rPr>
                      <w:rFonts w:hint="default" w:ascii="Times New Roman" w:hAnsi="Times New Roman" w:cs="Times New Roman"/>
                      <w:bCs/>
                      <w:color w:val="000000"/>
                      <w:sz w:val="18"/>
                      <w:szCs w:val="18"/>
                      <w:lang w:val="en-US" w:eastAsia="zh-CN"/>
                    </w:rPr>
                    <w:t>0</w:t>
                  </w:r>
                  <w:r>
                    <w:rPr>
                      <w:rFonts w:hint="default" w:ascii="Times New Roman" w:hAnsi="Times New Roman" w:cs="Times New Roman"/>
                      <w:bCs/>
                      <w:color w:val="000000"/>
                      <w:sz w:val="18"/>
                      <w:szCs w:val="18"/>
                    </w:rPr>
                    <w:t>m/s</w:t>
                  </w:r>
                </w:p>
              </w:tc>
              <w:tc>
                <w:tcPr>
                  <w:tcW w:w="1706" w:type="dxa"/>
                  <w:tcBorders>
                    <w:tl2br w:val="nil"/>
                    <w:tr2bl w:val="nil"/>
                  </w:tcBorders>
                  <w:noWrap w:val="0"/>
                  <w:vAlign w:val="center"/>
                </w:tcPr>
                <w:p w14:paraId="6E4C4119">
                  <w:pPr>
                    <w:jc w:val="left"/>
                    <w:rPr>
                      <w:rFonts w:hint="default" w:ascii="Times New Roman" w:hAnsi="Times New Roman" w:cs="Times New Roman"/>
                    </w:rPr>
                  </w:pPr>
                  <w:r>
                    <w:rPr>
                      <w:rFonts w:hint="default" w:ascii="Times New Roman" w:hAnsi="Times New Roman" w:cs="Times New Roman"/>
                      <w:bCs/>
                      <w:color w:val="000000"/>
                      <w:sz w:val="18"/>
                      <w:szCs w:val="18"/>
                    </w:rPr>
                    <w:t>晴</w:t>
                  </w:r>
                </w:p>
              </w:tc>
            </w:tr>
            <w:tr w14:paraId="17C4A3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716" w:type="dxa"/>
                  <w:vMerge w:val="continue"/>
                  <w:tcBorders>
                    <w:tl2br w:val="nil"/>
                    <w:tr2bl w:val="nil"/>
                  </w:tcBorders>
                  <w:noWrap w:val="0"/>
                  <w:vAlign w:val="center"/>
                </w:tcPr>
                <w:p w14:paraId="1810FD83">
                  <w:pPr>
                    <w:jc w:val="center"/>
                    <w:rPr>
                      <w:rFonts w:hint="default" w:ascii="Times New Roman" w:hAnsi="Times New Roman" w:cs="Times New Roman"/>
                      <w:b/>
                      <w:szCs w:val="21"/>
                    </w:rPr>
                  </w:pPr>
                </w:p>
              </w:tc>
              <w:tc>
                <w:tcPr>
                  <w:tcW w:w="1559" w:type="dxa"/>
                  <w:tcBorders>
                    <w:tl2br w:val="nil"/>
                    <w:tr2bl w:val="nil"/>
                  </w:tcBorders>
                  <w:noWrap w:val="0"/>
                  <w:vAlign w:val="center"/>
                </w:tcPr>
                <w:p w14:paraId="537A12C0">
                  <w:pPr>
                    <w:rPr>
                      <w:rFonts w:hint="default" w:ascii="Times New Roman" w:hAnsi="Times New Roman" w:eastAsia="宋体" w:cs="Times New Roman"/>
                      <w:bCs/>
                      <w:color w:val="000000"/>
                      <w:sz w:val="18"/>
                      <w:szCs w:val="18"/>
                      <w:lang w:val="en-US" w:eastAsia="zh-CN"/>
                    </w:rPr>
                  </w:pPr>
                  <w:r>
                    <w:rPr>
                      <w:rFonts w:hint="default" w:ascii="Times New Roman" w:hAnsi="Times New Roman" w:cs="Times New Roman"/>
                      <w:bCs/>
                      <w:color w:val="000000"/>
                      <w:sz w:val="18"/>
                      <w:szCs w:val="18"/>
                    </w:rPr>
                    <w:t>2026.</w:t>
                  </w:r>
                  <w:r>
                    <w:rPr>
                      <w:rFonts w:hint="default" w:ascii="Times New Roman" w:hAnsi="Times New Roman" w:cs="Times New Roman"/>
                      <w:bCs/>
                      <w:color w:val="000000"/>
                      <w:sz w:val="18"/>
                      <w:szCs w:val="18"/>
                      <w:lang w:val="en-US" w:eastAsia="zh-CN"/>
                    </w:rPr>
                    <w:t>06.14</w:t>
                  </w:r>
                </w:p>
              </w:tc>
              <w:tc>
                <w:tcPr>
                  <w:tcW w:w="1846" w:type="dxa"/>
                  <w:tcBorders>
                    <w:tl2br w:val="nil"/>
                    <w:tr2bl w:val="nil"/>
                  </w:tcBorders>
                  <w:noWrap w:val="0"/>
                  <w:vAlign w:val="center"/>
                </w:tcPr>
                <w:p w14:paraId="70AFF30B">
                  <w:pPr>
                    <w:jc w:val="left"/>
                    <w:rPr>
                      <w:rFonts w:hint="default" w:ascii="Times New Roman" w:hAnsi="Times New Roman" w:cs="Times New Roman"/>
                      <w:bCs/>
                      <w:sz w:val="18"/>
                      <w:szCs w:val="18"/>
                      <w:lang w:val="zh-CN"/>
                    </w:rPr>
                  </w:pPr>
                  <w:r>
                    <w:rPr>
                      <w:rFonts w:hint="default" w:ascii="Times New Roman" w:hAnsi="Times New Roman" w:cs="Times New Roman"/>
                      <w:bCs/>
                      <w:sz w:val="18"/>
                      <w:szCs w:val="18"/>
                      <w:lang w:val="zh-CN"/>
                    </w:rPr>
                    <w:t>2</w:t>
                  </w:r>
                  <w:r>
                    <w:rPr>
                      <w:rFonts w:hint="default" w:ascii="Times New Roman" w:hAnsi="Times New Roman" w:cs="Times New Roman"/>
                      <w:bCs/>
                      <w:sz w:val="18"/>
                      <w:szCs w:val="18"/>
                      <w:lang w:val="en-US" w:eastAsia="zh-CN"/>
                    </w:rPr>
                    <w:t>4.3~</w:t>
                  </w:r>
                  <w:r>
                    <w:rPr>
                      <w:rFonts w:hint="default" w:ascii="Times New Roman" w:hAnsi="Times New Roman" w:cs="Times New Roman"/>
                      <w:bCs/>
                      <w:sz w:val="18"/>
                      <w:szCs w:val="18"/>
                      <w:lang w:val="zh-CN"/>
                    </w:rPr>
                    <w:t>32</w:t>
                  </w:r>
                  <w:r>
                    <w:rPr>
                      <w:rFonts w:hint="default" w:ascii="Times New Roman" w:hAnsi="Times New Roman" w:cs="Times New Roman"/>
                      <w:bCs/>
                      <w:sz w:val="18"/>
                      <w:szCs w:val="18"/>
                      <w:lang w:val="en-US" w:eastAsia="zh-CN"/>
                    </w:rPr>
                    <w:t>.8</w:t>
                  </w:r>
                  <w:r>
                    <w:rPr>
                      <w:rFonts w:hint="default" w:ascii="Times New Roman" w:hAnsi="Times New Roman" w:cs="Times New Roman"/>
                      <w:bCs/>
                      <w:color w:val="000000"/>
                      <w:sz w:val="18"/>
                      <w:szCs w:val="18"/>
                    </w:rPr>
                    <w:t>℃</w:t>
                  </w:r>
                </w:p>
              </w:tc>
              <w:tc>
                <w:tcPr>
                  <w:tcW w:w="1556" w:type="dxa"/>
                  <w:tcBorders>
                    <w:tl2br w:val="nil"/>
                    <w:tr2bl w:val="nil"/>
                  </w:tcBorders>
                  <w:noWrap w:val="0"/>
                  <w:vAlign w:val="center"/>
                </w:tcPr>
                <w:p w14:paraId="1896A7EF">
                  <w:pPr>
                    <w:jc w:val="left"/>
                    <w:rPr>
                      <w:rFonts w:hint="default" w:ascii="Times New Roman" w:hAnsi="Times New Roman" w:cs="Times New Roman"/>
                      <w:bCs/>
                      <w:color w:val="000000"/>
                      <w:sz w:val="18"/>
                      <w:szCs w:val="18"/>
                      <w:lang w:val="zh-CN"/>
                    </w:rPr>
                  </w:pPr>
                  <w:r>
                    <w:rPr>
                      <w:rFonts w:hint="default" w:ascii="Times New Roman" w:hAnsi="Times New Roman" w:cs="Times New Roman"/>
                      <w:bCs/>
                      <w:color w:val="000000"/>
                      <w:sz w:val="18"/>
                      <w:szCs w:val="18"/>
                      <w:lang w:val="en-US" w:eastAsia="zh-CN"/>
                    </w:rPr>
                    <w:t>56.5</w:t>
                  </w:r>
                  <w:r>
                    <w:rPr>
                      <w:rFonts w:hint="default" w:ascii="Times New Roman" w:hAnsi="Times New Roman" w:cs="Times New Roman"/>
                      <w:bCs/>
                      <w:color w:val="000000"/>
                      <w:sz w:val="18"/>
                      <w:szCs w:val="18"/>
                    </w:rPr>
                    <w:t>~</w:t>
                  </w:r>
                  <w:r>
                    <w:rPr>
                      <w:rFonts w:hint="default" w:ascii="Times New Roman" w:hAnsi="Times New Roman" w:cs="Times New Roman"/>
                      <w:bCs/>
                      <w:color w:val="000000"/>
                      <w:sz w:val="18"/>
                      <w:szCs w:val="18"/>
                      <w:lang w:val="en-US" w:eastAsia="zh-CN"/>
                    </w:rPr>
                    <w:t>66.3</w:t>
                  </w:r>
                  <w:r>
                    <w:rPr>
                      <w:rFonts w:hint="default" w:ascii="Times New Roman" w:hAnsi="Times New Roman" w:cs="Times New Roman"/>
                      <w:bCs/>
                      <w:color w:val="000000"/>
                      <w:sz w:val="18"/>
                      <w:szCs w:val="18"/>
                    </w:rPr>
                    <w:t>％</w:t>
                  </w:r>
                </w:p>
              </w:tc>
              <w:tc>
                <w:tcPr>
                  <w:tcW w:w="1701" w:type="dxa"/>
                  <w:tcBorders>
                    <w:tl2br w:val="nil"/>
                    <w:tr2bl w:val="nil"/>
                  </w:tcBorders>
                  <w:noWrap w:val="0"/>
                  <w:vAlign w:val="center"/>
                </w:tcPr>
                <w:p w14:paraId="1998C584">
                  <w:pPr>
                    <w:jc w:val="left"/>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0~</w:t>
                  </w:r>
                  <w:r>
                    <w:rPr>
                      <w:rFonts w:hint="default" w:ascii="Times New Roman" w:hAnsi="Times New Roman" w:cs="Times New Roman"/>
                      <w:bCs/>
                      <w:color w:val="000000"/>
                      <w:sz w:val="18"/>
                      <w:szCs w:val="18"/>
                      <w:lang w:val="zh-CN"/>
                    </w:rPr>
                    <w:t>1.</w:t>
                  </w:r>
                  <w:r>
                    <w:rPr>
                      <w:rFonts w:hint="default" w:ascii="Times New Roman" w:hAnsi="Times New Roman" w:cs="Times New Roman"/>
                      <w:bCs/>
                      <w:color w:val="000000"/>
                      <w:sz w:val="18"/>
                      <w:szCs w:val="18"/>
                      <w:lang w:val="en-US" w:eastAsia="zh-CN"/>
                    </w:rPr>
                    <w:t>2</w:t>
                  </w:r>
                  <w:r>
                    <w:rPr>
                      <w:rFonts w:hint="default" w:ascii="Times New Roman" w:hAnsi="Times New Roman" w:cs="Times New Roman"/>
                      <w:bCs/>
                      <w:color w:val="000000"/>
                      <w:sz w:val="18"/>
                      <w:szCs w:val="18"/>
                      <w:lang w:val="zh-CN"/>
                    </w:rPr>
                    <w:t>.</w:t>
                  </w:r>
                  <w:r>
                    <w:rPr>
                      <w:rFonts w:hint="default" w:ascii="Times New Roman" w:hAnsi="Times New Roman" w:cs="Times New Roman"/>
                      <w:bCs/>
                      <w:color w:val="000000"/>
                      <w:sz w:val="18"/>
                      <w:szCs w:val="18"/>
                    </w:rPr>
                    <w:t>m/s</w:t>
                  </w:r>
                </w:p>
              </w:tc>
              <w:tc>
                <w:tcPr>
                  <w:tcW w:w="1706" w:type="dxa"/>
                  <w:tcBorders>
                    <w:tl2br w:val="nil"/>
                    <w:tr2bl w:val="nil"/>
                  </w:tcBorders>
                  <w:noWrap w:val="0"/>
                  <w:vAlign w:val="center"/>
                </w:tcPr>
                <w:p w14:paraId="70C6B5B3">
                  <w:pPr>
                    <w:jc w:val="left"/>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晴</w:t>
                  </w:r>
                </w:p>
              </w:tc>
            </w:tr>
            <w:tr w14:paraId="7ACEAE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716" w:type="dxa"/>
                  <w:vMerge w:val="continue"/>
                  <w:tcBorders>
                    <w:tl2br w:val="nil"/>
                    <w:tr2bl w:val="nil"/>
                  </w:tcBorders>
                  <w:noWrap w:val="0"/>
                  <w:vAlign w:val="center"/>
                </w:tcPr>
                <w:p w14:paraId="70F9DD7F">
                  <w:pPr>
                    <w:jc w:val="center"/>
                    <w:rPr>
                      <w:rFonts w:hint="default" w:ascii="Times New Roman" w:hAnsi="Times New Roman" w:cs="Times New Roman"/>
                      <w:b/>
                      <w:szCs w:val="21"/>
                    </w:rPr>
                  </w:pPr>
                </w:p>
              </w:tc>
              <w:tc>
                <w:tcPr>
                  <w:tcW w:w="1559" w:type="dxa"/>
                  <w:tcBorders>
                    <w:tl2br w:val="nil"/>
                    <w:tr2bl w:val="nil"/>
                  </w:tcBorders>
                  <w:noWrap w:val="0"/>
                  <w:vAlign w:val="center"/>
                </w:tcPr>
                <w:p w14:paraId="5661536C">
                  <w:pPr>
                    <w:rPr>
                      <w:rFonts w:hint="default" w:ascii="Times New Roman" w:hAnsi="Times New Roman" w:eastAsia="宋体" w:cs="Times New Roman"/>
                      <w:bCs/>
                      <w:color w:val="000000"/>
                      <w:sz w:val="18"/>
                      <w:szCs w:val="18"/>
                      <w:lang w:val="en-US" w:eastAsia="zh-CN"/>
                    </w:rPr>
                  </w:pPr>
                  <w:r>
                    <w:rPr>
                      <w:rFonts w:hint="default" w:ascii="Times New Roman" w:hAnsi="Times New Roman" w:cs="Times New Roman"/>
                      <w:bCs/>
                      <w:color w:val="000000"/>
                      <w:sz w:val="18"/>
                      <w:szCs w:val="18"/>
                    </w:rPr>
                    <w:t>2026.</w:t>
                  </w:r>
                  <w:r>
                    <w:rPr>
                      <w:rFonts w:hint="default" w:ascii="Times New Roman" w:hAnsi="Times New Roman" w:cs="Times New Roman"/>
                      <w:bCs/>
                      <w:color w:val="000000"/>
                      <w:sz w:val="18"/>
                      <w:szCs w:val="18"/>
                      <w:lang w:val="en-US" w:eastAsia="zh-CN"/>
                    </w:rPr>
                    <w:t>06.15</w:t>
                  </w:r>
                </w:p>
              </w:tc>
              <w:tc>
                <w:tcPr>
                  <w:tcW w:w="1846" w:type="dxa"/>
                  <w:tcBorders>
                    <w:tl2br w:val="nil"/>
                    <w:tr2bl w:val="nil"/>
                  </w:tcBorders>
                  <w:noWrap w:val="0"/>
                  <w:vAlign w:val="center"/>
                </w:tcPr>
                <w:p w14:paraId="2F6F834F">
                  <w:pPr>
                    <w:jc w:val="left"/>
                    <w:rPr>
                      <w:rFonts w:hint="default" w:ascii="Times New Roman" w:hAnsi="Times New Roman" w:cs="Times New Roman"/>
                      <w:bCs/>
                      <w:sz w:val="18"/>
                      <w:szCs w:val="18"/>
                      <w:lang w:val="zh-CN"/>
                    </w:rPr>
                  </w:pPr>
                  <w:r>
                    <w:rPr>
                      <w:rFonts w:hint="default" w:ascii="Times New Roman" w:hAnsi="Times New Roman" w:cs="Times New Roman"/>
                      <w:bCs/>
                      <w:sz w:val="18"/>
                      <w:szCs w:val="18"/>
                      <w:lang w:val="en-US" w:eastAsia="zh-CN"/>
                    </w:rPr>
                    <w:t>22.6~</w:t>
                  </w:r>
                  <w:r>
                    <w:rPr>
                      <w:rFonts w:hint="default" w:ascii="Times New Roman" w:hAnsi="Times New Roman" w:cs="Times New Roman"/>
                      <w:bCs/>
                      <w:sz w:val="18"/>
                      <w:szCs w:val="18"/>
                      <w:lang w:val="zh-CN"/>
                    </w:rPr>
                    <w:t>2</w:t>
                  </w:r>
                  <w:r>
                    <w:rPr>
                      <w:rFonts w:hint="default" w:ascii="Times New Roman" w:hAnsi="Times New Roman" w:cs="Times New Roman"/>
                      <w:bCs/>
                      <w:sz w:val="18"/>
                      <w:szCs w:val="18"/>
                      <w:lang w:val="en-US" w:eastAsia="zh-CN"/>
                    </w:rPr>
                    <w:t>4.3</w:t>
                  </w:r>
                  <w:r>
                    <w:rPr>
                      <w:rFonts w:hint="default" w:ascii="Times New Roman" w:hAnsi="Times New Roman" w:cs="Times New Roman"/>
                      <w:bCs/>
                      <w:color w:val="000000"/>
                      <w:sz w:val="18"/>
                      <w:szCs w:val="18"/>
                    </w:rPr>
                    <w:t>℃</w:t>
                  </w:r>
                </w:p>
              </w:tc>
              <w:tc>
                <w:tcPr>
                  <w:tcW w:w="1556" w:type="dxa"/>
                  <w:tcBorders>
                    <w:tl2br w:val="nil"/>
                    <w:tr2bl w:val="nil"/>
                  </w:tcBorders>
                  <w:noWrap w:val="0"/>
                  <w:vAlign w:val="center"/>
                </w:tcPr>
                <w:p w14:paraId="11A337E8">
                  <w:pPr>
                    <w:jc w:val="left"/>
                    <w:rPr>
                      <w:rFonts w:hint="default" w:ascii="Times New Roman" w:hAnsi="Times New Roman" w:cs="Times New Roman"/>
                      <w:bCs/>
                      <w:color w:val="000000"/>
                      <w:sz w:val="18"/>
                      <w:szCs w:val="18"/>
                      <w:lang w:val="zh-CN"/>
                    </w:rPr>
                  </w:pPr>
                  <w:r>
                    <w:rPr>
                      <w:rFonts w:hint="default" w:ascii="Times New Roman" w:hAnsi="Times New Roman" w:cs="Times New Roman"/>
                      <w:bCs/>
                      <w:color w:val="000000"/>
                      <w:sz w:val="18"/>
                      <w:szCs w:val="18"/>
                      <w:lang w:val="zh-CN"/>
                    </w:rPr>
                    <w:t>61</w:t>
                  </w:r>
                  <w:r>
                    <w:rPr>
                      <w:rFonts w:hint="default" w:ascii="Times New Roman" w:hAnsi="Times New Roman" w:cs="Times New Roman"/>
                      <w:bCs/>
                      <w:color w:val="000000"/>
                      <w:sz w:val="18"/>
                      <w:szCs w:val="18"/>
                    </w:rPr>
                    <w:t>.4~6</w:t>
                  </w:r>
                  <w:r>
                    <w:rPr>
                      <w:rFonts w:hint="default" w:ascii="Times New Roman" w:hAnsi="Times New Roman" w:cs="Times New Roman"/>
                      <w:bCs/>
                      <w:color w:val="000000"/>
                      <w:sz w:val="18"/>
                      <w:szCs w:val="18"/>
                      <w:lang w:val="zh-CN"/>
                    </w:rPr>
                    <w:t>8.3</w:t>
                  </w:r>
                  <w:r>
                    <w:rPr>
                      <w:rFonts w:hint="default" w:ascii="Times New Roman" w:hAnsi="Times New Roman" w:cs="Times New Roman"/>
                      <w:bCs/>
                      <w:color w:val="000000"/>
                      <w:sz w:val="18"/>
                      <w:szCs w:val="18"/>
                    </w:rPr>
                    <w:t>％</w:t>
                  </w:r>
                </w:p>
              </w:tc>
              <w:tc>
                <w:tcPr>
                  <w:tcW w:w="1701" w:type="dxa"/>
                  <w:tcBorders>
                    <w:tl2br w:val="nil"/>
                    <w:tr2bl w:val="nil"/>
                  </w:tcBorders>
                  <w:noWrap w:val="0"/>
                  <w:vAlign w:val="center"/>
                </w:tcPr>
                <w:p w14:paraId="36687ADA">
                  <w:pPr>
                    <w:jc w:val="left"/>
                    <w:rPr>
                      <w:rFonts w:hint="default" w:ascii="Times New Roman" w:hAnsi="Times New Roman" w:cs="Times New Roman"/>
                      <w:bCs/>
                      <w:color w:val="000000"/>
                      <w:sz w:val="18"/>
                      <w:szCs w:val="18"/>
                    </w:rPr>
                  </w:pPr>
                  <w:r>
                    <w:rPr>
                      <w:rFonts w:hint="default" w:ascii="Times New Roman" w:hAnsi="Times New Roman" w:cs="Times New Roman"/>
                      <w:bCs/>
                      <w:color w:val="000000"/>
                      <w:sz w:val="18"/>
                      <w:szCs w:val="18"/>
                    </w:rPr>
                    <w:t>0~</w:t>
                  </w:r>
                  <w:r>
                    <w:rPr>
                      <w:rFonts w:hint="default" w:ascii="Times New Roman" w:hAnsi="Times New Roman" w:cs="Times New Roman"/>
                      <w:bCs/>
                      <w:color w:val="000000"/>
                      <w:sz w:val="18"/>
                      <w:szCs w:val="18"/>
                      <w:lang w:val="en-US" w:eastAsia="zh-CN"/>
                    </w:rPr>
                    <w:t>1.0</w:t>
                  </w:r>
                  <w:r>
                    <w:rPr>
                      <w:rFonts w:hint="default" w:ascii="Times New Roman" w:hAnsi="Times New Roman" w:cs="Times New Roman"/>
                      <w:bCs/>
                      <w:color w:val="000000"/>
                      <w:sz w:val="18"/>
                      <w:szCs w:val="18"/>
                      <w:lang w:val="zh-CN"/>
                    </w:rPr>
                    <w:t>.</w:t>
                  </w:r>
                  <w:r>
                    <w:rPr>
                      <w:rFonts w:hint="default" w:ascii="Times New Roman" w:hAnsi="Times New Roman" w:cs="Times New Roman"/>
                      <w:bCs/>
                      <w:color w:val="000000"/>
                      <w:sz w:val="18"/>
                      <w:szCs w:val="18"/>
                    </w:rPr>
                    <w:t>m/s</w:t>
                  </w:r>
                </w:p>
              </w:tc>
              <w:tc>
                <w:tcPr>
                  <w:tcW w:w="1706" w:type="dxa"/>
                  <w:tcBorders>
                    <w:tl2br w:val="nil"/>
                    <w:tr2bl w:val="nil"/>
                  </w:tcBorders>
                  <w:noWrap w:val="0"/>
                  <w:vAlign w:val="center"/>
                </w:tcPr>
                <w:p w14:paraId="6E60BCA8">
                  <w:pPr>
                    <w:jc w:val="left"/>
                    <w:rPr>
                      <w:rFonts w:hint="default" w:ascii="Times New Roman" w:hAnsi="Times New Roman" w:eastAsia="宋体" w:cs="Times New Roman"/>
                      <w:bCs/>
                      <w:color w:val="000000"/>
                      <w:sz w:val="18"/>
                      <w:szCs w:val="18"/>
                      <w:lang w:eastAsia="zh-CN"/>
                    </w:rPr>
                  </w:pPr>
                  <w:r>
                    <w:rPr>
                      <w:rFonts w:hint="default" w:ascii="Times New Roman" w:hAnsi="Times New Roman" w:cs="Times New Roman"/>
                      <w:bCs/>
                      <w:color w:val="000000"/>
                      <w:sz w:val="18"/>
                      <w:szCs w:val="18"/>
                      <w:lang w:val="en-US" w:eastAsia="zh-CN"/>
                    </w:rPr>
                    <w:t>/</w:t>
                  </w:r>
                </w:p>
              </w:tc>
            </w:tr>
          </w:tbl>
          <w:p w14:paraId="7234EE60">
            <w:pPr>
              <w:keepNext w:val="0"/>
              <w:keepLines w:val="0"/>
              <w:pageBreakBefore w:val="0"/>
              <w:widowControl w:val="0"/>
              <w:kinsoku/>
              <w:overflowPunct/>
              <w:topLinePunct w:val="0"/>
              <w:bidi w:val="0"/>
              <w:adjustRightInd w:val="0"/>
              <w:spacing w:line="360" w:lineRule="auto"/>
              <w:ind w:firstLine="422" w:firstLineChars="200"/>
              <w:textAlignment w:val="baseline"/>
              <w:rPr>
                <w:b/>
                <w:color w:val="auto"/>
                <w:kern w:val="0"/>
                <w:szCs w:val="21"/>
              </w:rPr>
            </w:pPr>
            <w:r>
              <w:rPr>
                <w:rFonts w:hint="eastAsia"/>
                <w:b/>
                <w:color w:val="auto"/>
                <w:kern w:val="0"/>
                <w:szCs w:val="21"/>
                <w:lang w:val="en-US" w:eastAsia="zh-CN"/>
              </w:rPr>
              <w:t>8</w:t>
            </w:r>
            <w:r>
              <w:rPr>
                <w:b/>
                <w:color w:val="auto"/>
                <w:kern w:val="0"/>
                <w:szCs w:val="21"/>
              </w:rPr>
              <w:t>、电磁环境现状监测与评价（详见专项报告）</w:t>
            </w:r>
          </w:p>
          <w:p w14:paraId="1424C7C4">
            <w:pPr>
              <w:keepNext w:val="0"/>
              <w:keepLines w:val="0"/>
              <w:pageBreakBefore w:val="0"/>
              <w:widowControl w:val="0"/>
              <w:kinsoku/>
              <w:overflowPunct/>
              <w:topLinePunct w:val="0"/>
              <w:bidi w:val="0"/>
              <w:adjustRightInd w:val="0"/>
              <w:spacing w:line="360" w:lineRule="auto"/>
              <w:ind w:firstLine="420" w:firstLineChars="200"/>
              <w:jc w:val="left"/>
              <w:textAlignment w:val="baseline"/>
              <w:rPr>
                <w:color w:val="auto"/>
                <w:kern w:val="0"/>
                <w:szCs w:val="21"/>
              </w:rPr>
            </w:pPr>
            <w:r>
              <w:rPr>
                <w:rFonts w:hint="eastAsia"/>
                <w:color w:val="auto"/>
                <w:kern w:val="0"/>
                <w:szCs w:val="21"/>
              </w:rPr>
              <w:t>（1）</w:t>
            </w:r>
            <w:r>
              <w:rPr>
                <w:color w:val="auto"/>
                <w:kern w:val="0"/>
                <w:szCs w:val="21"/>
              </w:rPr>
              <w:t>工频电场</w:t>
            </w:r>
          </w:p>
          <w:p w14:paraId="3E6480B3">
            <w:pPr>
              <w:keepNext w:val="0"/>
              <w:keepLines w:val="0"/>
              <w:pageBreakBefore w:val="0"/>
              <w:widowControl w:val="0"/>
              <w:kinsoku/>
              <w:overflowPunct/>
              <w:topLinePunct w:val="0"/>
              <w:bidi w:val="0"/>
              <w:adjustRightInd w:val="0"/>
              <w:spacing w:line="360" w:lineRule="auto"/>
              <w:ind w:firstLine="420" w:firstLineChars="200"/>
              <w:textAlignment w:val="baseline"/>
              <w:rPr>
                <w:color w:val="auto"/>
                <w:kern w:val="0"/>
                <w:szCs w:val="21"/>
              </w:rPr>
            </w:pPr>
            <w:r>
              <w:rPr>
                <w:color w:val="auto"/>
                <w:kern w:val="0"/>
                <w:szCs w:val="21"/>
              </w:rPr>
              <w:t>本次监测</w:t>
            </w:r>
            <w:r>
              <w:rPr>
                <w:rFonts w:hint="eastAsia"/>
                <w:color w:val="auto"/>
                <w:kern w:val="0"/>
                <w:szCs w:val="21"/>
                <w:lang w:val="en-US" w:eastAsia="zh-CN"/>
              </w:rPr>
              <w:t>21</w:t>
            </w:r>
            <w:r>
              <w:rPr>
                <w:rFonts w:hint="eastAsia"/>
                <w:color w:val="auto"/>
                <w:kern w:val="0"/>
                <w:szCs w:val="21"/>
              </w:rPr>
              <w:t>个</w:t>
            </w:r>
            <w:r>
              <w:rPr>
                <w:color w:val="auto"/>
                <w:kern w:val="0"/>
                <w:szCs w:val="21"/>
              </w:rPr>
              <w:t>点位</w:t>
            </w:r>
            <w:r>
              <w:rPr>
                <w:rFonts w:hint="eastAsia"/>
                <w:color w:val="auto"/>
                <w:kern w:val="0"/>
                <w:szCs w:val="21"/>
              </w:rPr>
              <w:t>在距离地面1.5m高处测得的</w:t>
            </w:r>
            <w:r>
              <w:rPr>
                <w:color w:val="auto"/>
                <w:kern w:val="0"/>
                <w:szCs w:val="21"/>
              </w:rPr>
              <w:t>工频电场强度在</w:t>
            </w:r>
            <w:r>
              <w:rPr>
                <w:rFonts w:hint="eastAsia"/>
                <w:color w:val="auto"/>
                <w:kern w:val="0"/>
                <w:szCs w:val="21"/>
              </w:rPr>
              <w:t>0.</w:t>
            </w:r>
            <w:r>
              <w:rPr>
                <w:rFonts w:hint="eastAsia"/>
                <w:color w:val="auto"/>
                <w:kern w:val="0"/>
                <w:szCs w:val="21"/>
                <w:lang w:val="en-US" w:eastAsia="zh-CN"/>
              </w:rPr>
              <w:t>428～3.578</w:t>
            </w:r>
            <w:r>
              <w:rPr>
                <w:color w:val="auto"/>
                <w:kern w:val="0"/>
                <w:szCs w:val="21"/>
              </w:rPr>
              <w:t>V/m之间，</w:t>
            </w:r>
            <w:r>
              <w:rPr>
                <w:rFonts w:hint="eastAsia"/>
                <w:color w:val="auto"/>
                <w:kern w:val="0"/>
                <w:szCs w:val="21"/>
              </w:rPr>
              <w:t>各点位的</w:t>
            </w:r>
            <w:r>
              <w:rPr>
                <w:bCs/>
                <w:color w:val="auto"/>
                <w:kern w:val="0"/>
                <w:szCs w:val="21"/>
              </w:rPr>
              <w:t>工频电场强度均小于4</w:t>
            </w:r>
            <w:r>
              <w:rPr>
                <w:rFonts w:hint="eastAsia"/>
                <w:bCs/>
                <w:color w:val="auto"/>
                <w:kern w:val="0"/>
                <w:szCs w:val="21"/>
                <w:lang w:val="en-US" w:eastAsia="zh-CN"/>
              </w:rPr>
              <w:t>000</w:t>
            </w:r>
            <w:r>
              <w:rPr>
                <w:bCs/>
                <w:color w:val="auto"/>
                <w:kern w:val="0"/>
                <w:szCs w:val="21"/>
              </w:rPr>
              <w:t>V/m的评价限值，满足</w:t>
            </w:r>
            <w:r>
              <w:rPr>
                <w:color w:val="auto"/>
                <w:kern w:val="0"/>
                <w:szCs w:val="21"/>
              </w:rPr>
              <w:t>《电磁环境控制限值》（GB8702-2014）相关</w:t>
            </w:r>
            <w:r>
              <w:rPr>
                <w:bCs/>
                <w:color w:val="auto"/>
                <w:kern w:val="0"/>
                <w:szCs w:val="21"/>
              </w:rPr>
              <w:t>评价标准的要求。</w:t>
            </w:r>
          </w:p>
          <w:p w14:paraId="32A98554">
            <w:pPr>
              <w:keepNext w:val="0"/>
              <w:keepLines w:val="0"/>
              <w:pageBreakBefore w:val="0"/>
              <w:widowControl w:val="0"/>
              <w:kinsoku/>
              <w:overflowPunct/>
              <w:topLinePunct w:val="0"/>
              <w:bidi w:val="0"/>
              <w:adjustRightInd w:val="0"/>
              <w:spacing w:line="360" w:lineRule="auto"/>
              <w:ind w:firstLine="420" w:firstLineChars="200"/>
              <w:jc w:val="left"/>
              <w:textAlignment w:val="baseline"/>
              <w:rPr>
                <w:bCs/>
                <w:color w:val="auto"/>
                <w:kern w:val="0"/>
                <w:szCs w:val="21"/>
              </w:rPr>
            </w:pPr>
            <w:r>
              <w:rPr>
                <w:rFonts w:hint="eastAsia"/>
                <w:bCs/>
                <w:color w:val="auto"/>
                <w:kern w:val="0"/>
                <w:szCs w:val="21"/>
              </w:rPr>
              <w:t>（2）</w:t>
            </w:r>
            <w:r>
              <w:rPr>
                <w:bCs/>
                <w:color w:val="auto"/>
                <w:kern w:val="0"/>
                <w:szCs w:val="21"/>
              </w:rPr>
              <w:t>工频磁场</w:t>
            </w:r>
          </w:p>
          <w:p w14:paraId="2AE9823A">
            <w:pPr>
              <w:keepNext w:val="0"/>
              <w:keepLines w:val="0"/>
              <w:pageBreakBefore w:val="0"/>
              <w:widowControl w:val="0"/>
              <w:kinsoku/>
              <w:overflowPunct/>
              <w:topLinePunct w:val="0"/>
              <w:bidi w:val="0"/>
              <w:adjustRightInd w:val="0"/>
              <w:spacing w:line="360" w:lineRule="auto"/>
              <w:ind w:firstLine="420" w:firstLineChars="200"/>
              <w:textAlignment w:val="baseline"/>
              <w:rPr>
                <w:color w:val="auto"/>
                <w:kern w:val="0"/>
                <w:szCs w:val="21"/>
              </w:rPr>
            </w:pPr>
            <w:r>
              <w:rPr>
                <w:color w:val="auto"/>
                <w:kern w:val="0"/>
                <w:szCs w:val="21"/>
              </w:rPr>
              <w:t>本次监测</w:t>
            </w:r>
            <w:r>
              <w:rPr>
                <w:rFonts w:hint="eastAsia"/>
                <w:color w:val="auto"/>
                <w:kern w:val="0"/>
                <w:szCs w:val="21"/>
                <w:lang w:val="en-US" w:eastAsia="zh-CN"/>
              </w:rPr>
              <w:t>21</w:t>
            </w:r>
            <w:r>
              <w:rPr>
                <w:rFonts w:hint="eastAsia"/>
                <w:color w:val="auto"/>
                <w:kern w:val="0"/>
                <w:szCs w:val="21"/>
              </w:rPr>
              <w:t>个</w:t>
            </w:r>
            <w:r>
              <w:rPr>
                <w:color w:val="auto"/>
                <w:kern w:val="0"/>
                <w:szCs w:val="21"/>
              </w:rPr>
              <w:t>点位</w:t>
            </w:r>
            <w:r>
              <w:rPr>
                <w:rFonts w:hint="eastAsia"/>
                <w:color w:val="auto"/>
                <w:kern w:val="0"/>
                <w:szCs w:val="21"/>
              </w:rPr>
              <w:t>在距离地面1.5m高处测得的</w:t>
            </w:r>
            <w:r>
              <w:rPr>
                <w:color w:val="auto"/>
                <w:kern w:val="0"/>
                <w:szCs w:val="21"/>
              </w:rPr>
              <w:t>工频磁感应强度</w:t>
            </w:r>
            <w:r>
              <w:rPr>
                <w:rFonts w:hint="eastAsia"/>
                <w:color w:val="auto"/>
                <w:kern w:val="0"/>
                <w:szCs w:val="21"/>
                <w:lang w:val="en-US" w:eastAsia="zh-CN"/>
              </w:rPr>
              <w:t>在</w:t>
            </w:r>
            <w:r>
              <w:rPr>
                <w:rFonts w:hint="eastAsia"/>
                <w:color w:val="auto"/>
                <w:kern w:val="0"/>
                <w:szCs w:val="21"/>
              </w:rPr>
              <w:t>0.0</w:t>
            </w:r>
            <w:r>
              <w:rPr>
                <w:rFonts w:hint="eastAsia"/>
                <w:color w:val="auto"/>
                <w:kern w:val="0"/>
                <w:szCs w:val="21"/>
                <w:lang w:val="en-US" w:eastAsia="zh-CN"/>
              </w:rPr>
              <w:t>051</w:t>
            </w:r>
            <w:r>
              <w:rPr>
                <w:rFonts w:hint="eastAsia"/>
                <w:color w:val="auto"/>
                <w:kern w:val="0"/>
                <w:szCs w:val="21"/>
              </w:rPr>
              <w:t>~</w:t>
            </w:r>
            <w:r>
              <w:rPr>
                <w:rFonts w:hint="eastAsia"/>
                <w:color w:val="auto"/>
                <w:kern w:val="0"/>
                <w:szCs w:val="21"/>
                <w:lang w:val="en-US" w:eastAsia="zh-CN"/>
              </w:rPr>
              <w:t>0.0251</w:t>
            </w:r>
            <w:r>
              <w:rPr>
                <w:bCs/>
                <w:color w:val="auto"/>
                <w:kern w:val="0"/>
                <w:szCs w:val="21"/>
              </w:rPr>
              <w:t>μ</w:t>
            </w:r>
            <w:r>
              <w:rPr>
                <w:color w:val="auto"/>
                <w:kern w:val="0"/>
                <w:szCs w:val="21"/>
              </w:rPr>
              <w:t>T之间，</w:t>
            </w:r>
            <w:r>
              <w:rPr>
                <w:rFonts w:hint="eastAsia"/>
                <w:color w:val="auto"/>
                <w:kern w:val="0"/>
                <w:szCs w:val="21"/>
              </w:rPr>
              <w:t>各</w:t>
            </w:r>
            <w:r>
              <w:rPr>
                <w:color w:val="auto"/>
                <w:kern w:val="0"/>
                <w:szCs w:val="21"/>
              </w:rPr>
              <w:t>点位</w:t>
            </w:r>
            <w:r>
              <w:rPr>
                <w:bCs/>
                <w:color w:val="auto"/>
                <w:kern w:val="0"/>
                <w:szCs w:val="21"/>
              </w:rPr>
              <w:t>工频磁感应强度均小于</w:t>
            </w:r>
            <w:r>
              <w:rPr>
                <w:rFonts w:hint="eastAsia"/>
                <w:bCs/>
                <w:color w:val="auto"/>
                <w:kern w:val="0"/>
                <w:szCs w:val="21"/>
              </w:rPr>
              <w:t>100</w:t>
            </w:r>
            <w:r>
              <w:rPr>
                <w:bCs/>
                <w:color w:val="auto"/>
                <w:kern w:val="0"/>
                <w:szCs w:val="21"/>
              </w:rPr>
              <w:t>μ</w:t>
            </w:r>
            <w:r>
              <w:rPr>
                <w:color w:val="auto"/>
                <w:kern w:val="0"/>
                <w:szCs w:val="21"/>
              </w:rPr>
              <w:t>T</w:t>
            </w:r>
            <w:r>
              <w:rPr>
                <w:bCs/>
                <w:color w:val="auto"/>
                <w:kern w:val="0"/>
                <w:szCs w:val="21"/>
              </w:rPr>
              <w:t>的评价限值，满足</w:t>
            </w:r>
            <w:r>
              <w:rPr>
                <w:color w:val="auto"/>
                <w:kern w:val="0"/>
                <w:szCs w:val="21"/>
              </w:rPr>
              <w:t>《电磁环境控制限值》（GB8702-2014）相关</w:t>
            </w:r>
            <w:r>
              <w:rPr>
                <w:bCs/>
                <w:color w:val="auto"/>
                <w:kern w:val="0"/>
                <w:szCs w:val="21"/>
              </w:rPr>
              <w:t>评价标准的要求。</w:t>
            </w:r>
          </w:p>
          <w:p w14:paraId="62ABFA40">
            <w:pPr>
              <w:keepNext w:val="0"/>
              <w:keepLines w:val="0"/>
              <w:pageBreakBefore w:val="0"/>
              <w:widowControl w:val="0"/>
              <w:kinsoku/>
              <w:overflowPunct/>
              <w:topLinePunct w:val="0"/>
              <w:bidi w:val="0"/>
              <w:adjustRightInd w:val="0"/>
              <w:spacing w:line="360" w:lineRule="auto"/>
              <w:ind w:firstLine="422" w:firstLineChars="200"/>
              <w:textAlignment w:val="baseline"/>
              <w:rPr>
                <w:b/>
                <w:color w:val="auto"/>
                <w:kern w:val="0"/>
                <w:szCs w:val="21"/>
              </w:rPr>
            </w:pPr>
            <w:r>
              <w:rPr>
                <w:rFonts w:hint="eastAsia"/>
                <w:b/>
                <w:color w:val="auto"/>
                <w:kern w:val="0"/>
                <w:szCs w:val="21"/>
                <w:lang w:val="en-US" w:eastAsia="zh-CN"/>
              </w:rPr>
              <w:t>9</w:t>
            </w:r>
            <w:r>
              <w:rPr>
                <w:b/>
                <w:color w:val="auto"/>
                <w:kern w:val="0"/>
                <w:szCs w:val="21"/>
              </w:rPr>
              <w:t>、声环境现状监测与评价</w:t>
            </w:r>
          </w:p>
          <w:p w14:paraId="3BD53D6A">
            <w:pPr>
              <w:pStyle w:val="7"/>
              <w:keepNext w:val="0"/>
              <w:keepLines w:val="0"/>
              <w:pageBreakBefore w:val="0"/>
              <w:widowControl w:val="0"/>
              <w:kinsoku/>
              <w:overflowPunct/>
              <w:topLinePunct w:val="0"/>
              <w:bidi w:val="0"/>
              <w:spacing w:line="360" w:lineRule="auto"/>
              <w:ind w:firstLine="420" w:firstLineChars="200"/>
              <w:jc w:val="both"/>
              <w:rPr>
                <w:rFonts w:hint="eastAsia"/>
                <w:color w:val="auto"/>
                <w:kern w:val="0"/>
                <w:szCs w:val="21"/>
              </w:rPr>
            </w:pPr>
            <w:r>
              <w:rPr>
                <w:rFonts w:hint="eastAsia"/>
                <w:bCs/>
                <w:color w:val="auto"/>
                <w:kern w:val="0"/>
                <w:szCs w:val="21"/>
              </w:rPr>
              <w:t>由表可知，</w:t>
            </w:r>
            <w:r>
              <w:rPr>
                <w:bCs/>
                <w:color w:val="auto"/>
                <w:kern w:val="0"/>
                <w:szCs w:val="21"/>
              </w:rPr>
              <w:t>本次布设的</w:t>
            </w:r>
            <w:r>
              <w:rPr>
                <w:rFonts w:hint="eastAsia"/>
                <w:bCs/>
                <w:color w:val="auto"/>
                <w:kern w:val="0"/>
                <w:szCs w:val="21"/>
              </w:rPr>
              <w:t>N</w:t>
            </w:r>
            <w:r>
              <w:rPr>
                <w:rFonts w:hint="eastAsia"/>
                <w:bCs/>
                <w:color w:val="auto"/>
                <w:kern w:val="0"/>
                <w:szCs w:val="21"/>
                <w:lang w:val="en-US" w:eastAsia="zh-CN"/>
              </w:rPr>
              <w:t>1</w:t>
            </w:r>
            <w:r>
              <w:rPr>
                <w:bCs/>
                <w:color w:val="auto"/>
                <w:kern w:val="0"/>
                <w:szCs w:val="21"/>
              </w:rPr>
              <w:t>#～</w:t>
            </w:r>
            <w:r>
              <w:rPr>
                <w:rFonts w:hint="eastAsia"/>
                <w:bCs/>
                <w:color w:val="auto"/>
                <w:kern w:val="0"/>
                <w:szCs w:val="21"/>
                <w:lang w:val="en-US" w:eastAsia="zh-CN"/>
              </w:rPr>
              <w:t>15</w:t>
            </w:r>
            <w:r>
              <w:rPr>
                <w:bCs/>
                <w:color w:val="auto"/>
                <w:kern w:val="0"/>
                <w:szCs w:val="21"/>
              </w:rPr>
              <w:t>#</w:t>
            </w:r>
            <w:r>
              <w:rPr>
                <w:rFonts w:hint="eastAsia"/>
                <w:bCs/>
                <w:color w:val="auto"/>
                <w:kern w:val="0"/>
                <w:szCs w:val="21"/>
                <w:lang w:eastAsia="zh-CN"/>
              </w:rPr>
              <w:t>、</w:t>
            </w:r>
            <w:r>
              <w:rPr>
                <w:rFonts w:hint="eastAsia"/>
                <w:bCs/>
                <w:color w:val="auto"/>
                <w:kern w:val="0"/>
                <w:szCs w:val="21"/>
                <w:lang w:val="en-US" w:eastAsia="zh-CN"/>
              </w:rPr>
              <w:t>N17#、N19#</w:t>
            </w:r>
            <w:r>
              <w:rPr>
                <w:bCs/>
                <w:color w:val="auto"/>
                <w:kern w:val="0"/>
                <w:szCs w:val="21"/>
              </w:rPr>
              <w:t>～</w:t>
            </w:r>
            <w:r>
              <w:rPr>
                <w:rFonts w:hint="eastAsia"/>
                <w:bCs/>
                <w:color w:val="auto"/>
                <w:kern w:val="0"/>
                <w:szCs w:val="21"/>
                <w:lang w:val="en-US" w:eastAsia="zh-CN"/>
              </w:rPr>
              <w:t>22</w:t>
            </w:r>
            <w:r>
              <w:rPr>
                <w:bCs/>
                <w:color w:val="auto"/>
                <w:kern w:val="0"/>
                <w:szCs w:val="21"/>
              </w:rPr>
              <w:t>#</w:t>
            </w:r>
            <w:r>
              <w:rPr>
                <w:rFonts w:hint="eastAsia"/>
                <w:bCs/>
                <w:color w:val="auto"/>
                <w:kern w:val="0"/>
                <w:szCs w:val="21"/>
                <w:lang w:eastAsia="zh-CN"/>
              </w:rPr>
              <w:t>、</w:t>
            </w:r>
            <w:r>
              <w:rPr>
                <w:rFonts w:hint="eastAsia"/>
                <w:bCs/>
                <w:color w:val="auto"/>
                <w:kern w:val="0"/>
                <w:szCs w:val="21"/>
                <w:lang w:val="en-US" w:eastAsia="zh-CN"/>
              </w:rPr>
              <w:t>N24#以及N26#~28#</w:t>
            </w:r>
            <w:r>
              <w:rPr>
                <w:bCs/>
                <w:color w:val="auto"/>
                <w:kern w:val="0"/>
                <w:szCs w:val="21"/>
              </w:rPr>
              <w:t>声环境</w:t>
            </w:r>
            <w:r>
              <w:rPr>
                <w:rFonts w:hint="eastAsia"/>
                <w:bCs/>
                <w:color w:val="auto"/>
                <w:kern w:val="0"/>
                <w:szCs w:val="21"/>
              </w:rPr>
              <w:t>监测</w:t>
            </w:r>
            <w:r>
              <w:rPr>
                <w:bCs/>
                <w:color w:val="auto"/>
                <w:kern w:val="0"/>
                <w:szCs w:val="21"/>
              </w:rPr>
              <w:t>点位昼间等效连续A声级在</w:t>
            </w:r>
            <w:r>
              <w:rPr>
                <w:rFonts w:hint="eastAsia"/>
                <w:bCs/>
                <w:color w:val="auto"/>
                <w:kern w:val="0"/>
                <w:szCs w:val="21"/>
              </w:rPr>
              <w:t>4</w:t>
            </w:r>
            <w:r>
              <w:rPr>
                <w:rFonts w:hint="eastAsia"/>
                <w:bCs/>
                <w:color w:val="auto"/>
                <w:kern w:val="0"/>
                <w:szCs w:val="21"/>
                <w:lang w:val="en-US" w:eastAsia="zh-CN"/>
              </w:rPr>
              <w:t>0</w:t>
            </w:r>
            <w:r>
              <w:rPr>
                <w:bCs/>
                <w:color w:val="auto"/>
                <w:kern w:val="0"/>
                <w:szCs w:val="21"/>
              </w:rPr>
              <w:t>~</w:t>
            </w:r>
            <w:r>
              <w:rPr>
                <w:rFonts w:hint="eastAsia"/>
                <w:bCs/>
                <w:color w:val="auto"/>
                <w:kern w:val="0"/>
                <w:szCs w:val="21"/>
                <w:lang w:val="en-US" w:eastAsia="zh-CN"/>
              </w:rPr>
              <w:t>46</w:t>
            </w:r>
            <w:r>
              <w:rPr>
                <w:bCs/>
                <w:color w:val="auto"/>
                <w:kern w:val="0"/>
                <w:szCs w:val="21"/>
              </w:rPr>
              <w:t>dB（A）之间，夜间等效连续A声级在</w:t>
            </w:r>
            <w:r>
              <w:rPr>
                <w:rFonts w:hint="eastAsia"/>
                <w:bCs/>
                <w:color w:val="auto"/>
                <w:kern w:val="0"/>
                <w:szCs w:val="21"/>
                <w:lang w:val="en-US" w:eastAsia="zh-CN"/>
              </w:rPr>
              <w:t>37</w:t>
            </w:r>
            <w:r>
              <w:rPr>
                <w:bCs/>
                <w:color w:val="auto"/>
                <w:kern w:val="0"/>
                <w:szCs w:val="21"/>
              </w:rPr>
              <w:t>~</w:t>
            </w:r>
            <w:r>
              <w:rPr>
                <w:rFonts w:hint="eastAsia"/>
                <w:bCs/>
                <w:color w:val="auto"/>
                <w:kern w:val="0"/>
                <w:szCs w:val="21"/>
                <w:lang w:val="en-US" w:eastAsia="zh-CN"/>
              </w:rPr>
              <w:t>42</w:t>
            </w:r>
            <w:r>
              <w:rPr>
                <w:bCs/>
                <w:color w:val="auto"/>
                <w:kern w:val="0"/>
                <w:szCs w:val="21"/>
              </w:rPr>
              <w:t>dB（A）之间，</w:t>
            </w:r>
            <w:r>
              <w:rPr>
                <w:color w:val="auto"/>
                <w:szCs w:val="21"/>
              </w:rPr>
              <w:t>昼间</w:t>
            </w:r>
            <w:r>
              <w:rPr>
                <w:rFonts w:hint="eastAsia"/>
                <w:color w:val="auto"/>
                <w:szCs w:val="21"/>
              </w:rPr>
              <w:t>、</w:t>
            </w:r>
            <w:r>
              <w:rPr>
                <w:color w:val="auto"/>
                <w:szCs w:val="21"/>
              </w:rPr>
              <w:t>夜间等效连续A声级</w:t>
            </w:r>
            <w:r>
              <w:rPr>
                <w:bCs/>
                <w:color w:val="auto"/>
                <w:kern w:val="0"/>
                <w:szCs w:val="21"/>
              </w:rPr>
              <w:t>均满足</w:t>
            </w:r>
            <w:r>
              <w:rPr>
                <w:color w:val="auto"/>
                <w:kern w:val="0"/>
                <w:szCs w:val="21"/>
              </w:rPr>
              <w:t>《声环境质量标准》中</w:t>
            </w:r>
            <w:r>
              <w:rPr>
                <w:rFonts w:hint="eastAsia"/>
                <w:color w:val="auto"/>
                <w:kern w:val="0"/>
                <w:szCs w:val="21"/>
              </w:rPr>
              <w:t>2</w:t>
            </w:r>
            <w:r>
              <w:rPr>
                <w:color w:val="auto"/>
                <w:kern w:val="0"/>
                <w:szCs w:val="21"/>
              </w:rPr>
              <w:t>类</w:t>
            </w:r>
            <w:r>
              <w:rPr>
                <w:rFonts w:hint="eastAsia"/>
                <w:color w:val="auto"/>
                <w:kern w:val="0"/>
                <w:szCs w:val="21"/>
              </w:rPr>
              <w:t>（</w:t>
            </w:r>
            <w:r>
              <w:rPr>
                <w:color w:val="auto"/>
                <w:kern w:val="0"/>
                <w:szCs w:val="21"/>
              </w:rPr>
              <w:t>昼间6</w:t>
            </w:r>
            <w:r>
              <w:rPr>
                <w:rFonts w:hint="eastAsia"/>
                <w:color w:val="auto"/>
                <w:kern w:val="0"/>
                <w:szCs w:val="21"/>
              </w:rPr>
              <w:t>0</w:t>
            </w:r>
            <w:r>
              <w:rPr>
                <w:color w:val="auto"/>
                <w:kern w:val="0"/>
                <w:szCs w:val="21"/>
              </w:rPr>
              <w:t>dB（A）、夜间</w:t>
            </w:r>
            <w:r>
              <w:rPr>
                <w:rFonts w:hint="eastAsia"/>
                <w:color w:val="auto"/>
                <w:kern w:val="0"/>
                <w:szCs w:val="21"/>
              </w:rPr>
              <w:t>50</w:t>
            </w:r>
            <w:r>
              <w:rPr>
                <w:color w:val="auto"/>
                <w:kern w:val="0"/>
                <w:szCs w:val="21"/>
              </w:rPr>
              <w:t>dB（A）</w:t>
            </w:r>
            <w:r>
              <w:rPr>
                <w:rFonts w:hint="eastAsia"/>
                <w:color w:val="auto"/>
                <w:kern w:val="0"/>
                <w:szCs w:val="21"/>
              </w:rPr>
              <w:t>）</w:t>
            </w:r>
            <w:r>
              <w:rPr>
                <w:color w:val="auto"/>
                <w:kern w:val="0"/>
                <w:szCs w:val="21"/>
              </w:rPr>
              <w:t>限值要求</w:t>
            </w:r>
            <w:r>
              <w:rPr>
                <w:rFonts w:hint="eastAsia"/>
                <w:color w:val="auto"/>
                <w:kern w:val="0"/>
                <w:szCs w:val="21"/>
              </w:rPr>
              <w:t>。</w:t>
            </w:r>
          </w:p>
          <w:p w14:paraId="538126CE">
            <w:pPr>
              <w:pStyle w:val="7"/>
              <w:keepNext w:val="0"/>
              <w:keepLines w:val="0"/>
              <w:pageBreakBefore w:val="0"/>
              <w:widowControl w:val="0"/>
              <w:kinsoku/>
              <w:overflowPunct/>
              <w:topLinePunct w:val="0"/>
              <w:bidi w:val="0"/>
              <w:spacing w:line="360" w:lineRule="auto"/>
              <w:ind w:firstLine="420" w:firstLineChars="200"/>
              <w:jc w:val="both"/>
              <w:rPr>
                <w:rFonts w:hint="default" w:eastAsia="宋体"/>
                <w:color w:val="auto"/>
                <w:szCs w:val="21"/>
                <w:lang w:val="en-US" w:eastAsia="zh-CN"/>
              </w:rPr>
            </w:pPr>
            <w:r>
              <w:rPr>
                <w:rFonts w:hint="eastAsia"/>
                <w:color w:val="auto"/>
                <w:kern w:val="0"/>
                <w:szCs w:val="21"/>
                <w:lang w:val="en-US" w:eastAsia="zh-CN"/>
              </w:rPr>
              <w:t>N16#、N18#、N23#、N25#以及N29#-30#</w:t>
            </w:r>
            <w:r>
              <w:rPr>
                <w:bCs/>
                <w:color w:val="auto"/>
                <w:kern w:val="0"/>
                <w:szCs w:val="21"/>
              </w:rPr>
              <w:t>声环境</w:t>
            </w:r>
            <w:r>
              <w:rPr>
                <w:rFonts w:hint="eastAsia"/>
                <w:bCs/>
                <w:color w:val="auto"/>
                <w:kern w:val="0"/>
                <w:szCs w:val="21"/>
              </w:rPr>
              <w:t>监测</w:t>
            </w:r>
            <w:r>
              <w:rPr>
                <w:bCs/>
                <w:color w:val="auto"/>
                <w:kern w:val="0"/>
                <w:szCs w:val="21"/>
              </w:rPr>
              <w:t>点位昼间等效连续A声级</w:t>
            </w:r>
            <w:r>
              <w:rPr>
                <w:rFonts w:hint="eastAsia"/>
                <w:bCs/>
                <w:color w:val="auto"/>
                <w:kern w:val="0"/>
                <w:szCs w:val="21"/>
                <w:lang w:val="en-US" w:eastAsia="zh-CN"/>
              </w:rPr>
              <w:t>在</w:t>
            </w:r>
            <w:r>
              <w:rPr>
                <w:rFonts w:hint="eastAsia"/>
                <w:bCs/>
                <w:color w:val="auto"/>
                <w:kern w:val="0"/>
                <w:szCs w:val="21"/>
              </w:rPr>
              <w:t>4</w:t>
            </w:r>
            <w:r>
              <w:rPr>
                <w:rFonts w:hint="eastAsia"/>
                <w:bCs/>
                <w:color w:val="auto"/>
                <w:kern w:val="0"/>
                <w:szCs w:val="21"/>
                <w:lang w:val="en-US" w:eastAsia="zh-CN"/>
              </w:rPr>
              <w:t>3~48</w:t>
            </w:r>
            <w:r>
              <w:rPr>
                <w:bCs/>
                <w:color w:val="auto"/>
                <w:kern w:val="0"/>
                <w:szCs w:val="21"/>
              </w:rPr>
              <w:t>dB（A）</w:t>
            </w:r>
            <w:r>
              <w:rPr>
                <w:rFonts w:hint="eastAsia"/>
                <w:bCs/>
                <w:color w:val="auto"/>
                <w:kern w:val="0"/>
                <w:szCs w:val="21"/>
                <w:lang w:val="en-US" w:eastAsia="zh-CN"/>
              </w:rPr>
              <w:t>之间</w:t>
            </w:r>
            <w:r>
              <w:rPr>
                <w:bCs/>
                <w:color w:val="auto"/>
                <w:kern w:val="0"/>
                <w:szCs w:val="21"/>
              </w:rPr>
              <w:t>，夜间等效连续A声级</w:t>
            </w:r>
            <w:r>
              <w:rPr>
                <w:rFonts w:hint="eastAsia"/>
                <w:bCs/>
                <w:color w:val="auto"/>
                <w:kern w:val="0"/>
                <w:szCs w:val="21"/>
                <w:lang w:val="en-US" w:eastAsia="zh-CN"/>
              </w:rPr>
              <w:t>在40~43</w:t>
            </w:r>
            <w:r>
              <w:rPr>
                <w:bCs/>
                <w:color w:val="auto"/>
                <w:kern w:val="0"/>
                <w:szCs w:val="21"/>
              </w:rPr>
              <w:t>dB（A）</w:t>
            </w:r>
            <w:r>
              <w:rPr>
                <w:rFonts w:hint="eastAsia"/>
                <w:bCs/>
                <w:color w:val="auto"/>
                <w:kern w:val="0"/>
                <w:szCs w:val="21"/>
                <w:lang w:val="en-US" w:eastAsia="zh-CN"/>
              </w:rPr>
              <w:t>之间</w:t>
            </w:r>
            <w:r>
              <w:rPr>
                <w:bCs/>
                <w:color w:val="auto"/>
                <w:kern w:val="0"/>
                <w:szCs w:val="21"/>
              </w:rPr>
              <w:t>，</w:t>
            </w:r>
            <w:r>
              <w:rPr>
                <w:color w:val="auto"/>
                <w:szCs w:val="21"/>
              </w:rPr>
              <w:t>昼间</w:t>
            </w:r>
            <w:r>
              <w:rPr>
                <w:rFonts w:hint="eastAsia"/>
                <w:color w:val="auto"/>
                <w:szCs w:val="21"/>
              </w:rPr>
              <w:t>、</w:t>
            </w:r>
            <w:r>
              <w:rPr>
                <w:color w:val="auto"/>
                <w:szCs w:val="21"/>
              </w:rPr>
              <w:t>夜间等效连续A声级</w:t>
            </w:r>
            <w:r>
              <w:rPr>
                <w:bCs/>
                <w:color w:val="auto"/>
                <w:kern w:val="0"/>
                <w:szCs w:val="21"/>
              </w:rPr>
              <w:t>满足</w:t>
            </w:r>
            <w:r>
              <w:rPr>
                <w:color w:val="auto"/>
                <w:kern w:val="0"/>
                <w:szCs w:val="21"/>
              </w:rPr>
              <w:t>《声环境质量标准》中</w:t>
            </w:r>
            <w:r>
              <w:rPr>
                <w:rFonts w:hint="eastAsia"/>
                <w:color w:val="auto"/>
                <w:kern w:val="0"/>
                <w:szCs w:val="21"/>
                <w:lang w:val="en-US" w:eastAsia="zh-CN"/>
              </w:rPr>
              <w:t>4a</w:t>
            </w:r>
            <w:r>
              <w:rPr>
                <w:color w:val="auto"/>
                <w:kern w:val="0"/>
                <w:szCs w:val="21"/>
              </w:rPr>
              <w:t>类</w:t>
            </w:r>
            <w:r>
              <w:rPr>
                <w:rFonts w:hint="eastAsia"/>
                <w:color w:val="auto"/>
                <w:kern w:val="0"/>
                <w:szCs w:val="21"/>
              </w:rPr>
              <w:t>（</w:t>
            </w:r>
            <w:r>
              <w:rPr>
                <w:color w:val="auto"/>
                <w:kern w:val="0"/>
                <w:szCs w:val="21"/>
              </w:rPr>
              <w:t>昼间</w:t>
            </w:r>
            <w:r>
              <w:rPr>
                <w:rFonts w:hint="eastAsia"/>
                <w:color w:val="auto"/>
                <w:kern w:val="0"/>
                <w:szCs w:val="21"/>
                <w:lang w:val="en-US" w:eastAsia="zh-CN"/>
              </w:rPr>
              <w:t>7</w:t>
            </w:r>
            <w:r>
              <w:rPr>
                <w:rFonts w:hint="eastAsia"/>
                <w:color w:val="auto"/>
                <w:kern w:val="0"/>
                <w:szCs w:val="21"/>
              </w:rPr>
              <w:t>0</w:t>
            </w:r>
            <w:r>
              <w:rPr>
                <w:color w:val="auto"/>
                <w:kern w:val="0"/>
                <w:szCs w:val="21"/>
              </w:rPr>
              <w:t>dB（A）、夜间</w:t>
            </w:r>
            <w:r>
              <w:rPr>
                <w:rFonts w:hint="eastAsia"/>
                <w:color w:val="auto"/>
                <w:kern w:val="0"/>
                <w:szCs w:val="21"/>
                <w:lang w:val="en-US" w:eastAsia="zh-CN"/>
              </w:rPr>
              <w:t>55</w:t>
            </w:r>
            <w:r>
              <w:rPr>
                <w:color w:val="auto"/>
                <w:kern w:val="0"/>
                <w:szCs w:val="21"/>
              </w:rPr>
              <w:t>dB（A）</w:t>
            </w:r>
            <w:r>
              <w:rPr>
                <w:rFonts w:hint="eastAsia"/>
                <w:color w:val="auto"/>
                <w:kern w:val="0"/>
                <w:szCs w:val="21"/>
              </w:rPr>
              <w:t>）</w:t>
            </w:r>
            <w:r>
              <w:rPr>
                <w:color w:val="auto"/>
                <w:kern w:val="0"/>
                <w:szCs w:val="21"/>
              </w:rPr>
              <w:t>限值要求</w:t>
            </w:r>
            <w:r>
              <w:rPr>
                <w:rFonts w:hint="eastAsia"/>
                <w:color w:val="auto"/>
                <w:kern w:val="0"/>
                <w:szCs w:val="21"/>
              </w:rPr>
              <w:t>。</w:t>
            </w:r>
          </w:p>
        </w:tc>
      </w:tr>
      <w:tr w14:paraId="350385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90" w:type="dxa"/>
            <w:vAlign w:val="center"/>
          </w:tcPr>
          <w:p w14:paraId="08114E85">
            <w:pPr>
              <w:keepNext w:val="0"/>
              <w:keepLines w:val="0"/>
              <w:pageBreakBefore w:val="0"/>
              <w:widowControl w:val="0"/>
              <w:kinsoku/>
              <w:overflowPunct/>
              <w:topLinePunct w:val="0"/>
              <w:bidi w:val="0"/>
              <w:adjustRightInd w:val="0"/>
              <w:jc w:val="center"/>
              <w:rPr>
                <w:color w:val="FF0000"/>
                <w:kern w:val="0"/>
                <w:szCs w:val="21"/>
              </w:rPr>
            </w:pPr>
            <w:r>
              <w:rPr>
                <w:bCs/>
                <w:color w:val="auto"/>
                <w:szCs w:val="21"/>
              </w:rPr>
              <w:t>与项目有关的原有环境污染和生态破坏问题</w:t>
            </w:r>
          </w:p>
        </w:tc>
        <w:tc>
          <w:tcPr>
            <w:tcW w:w="8808" w:type="dxa"/>
            <w:vAlign w:val="center"/>
          </w:tcPr>
          <w:p w14:paraId="4823E351">
            <w:pPr>
              <w:keepNext w:val="0"/>
              <w:keepLines w:val="0"/>
              <w:pageBreakBefore w:val="0"/>
              <w:widowControl w:val="0"/>
              <w:kinsoku/>
              <w:overflowPunct/>
              <w:topLinePunct w:val="0"/>
              <w:bidi w:val="0"/>
              <w:adjustRightInd w:val="0"/>
              <w:spacing w:line="360" w:lineRule="auto"/>
              <w:ind w:firstLine="422" w:firstLineChars="200"/>
              <w:rPr>
                <w:rFonts w:eastAsiaTheme="minorEastAsia"/>
                <w:b/>
                <w:color w:val="auto"/>
                <w:szCs w:val="21"/>
              </w:rPr>
            </w:pPr>
            <w:r>
              <w:rPr>
                <w:rFonts w:hint="eastAsia" w:eastAsiaTheme="minorEastAsia"/>
                <w:b/>
                <w:color w:val="auto"/>
                <w:szCs w:val="21"/>
              </w:rPr>
              <w:t>1、</w:t>
            </w:r>
            <w:r>
              <w:rPr>
                <w:rFonts w:hint="eastAsia" w:eastAsiaTheme="minorEastAsia"/>
                <w:b/>
                <w:color w:val="auto"/>
                <w:szCs w:val="21"/>
                <w:lang w:val="en-US" w:eastAsia="zh-CN"/>
              </w:rPr>
              <w:t>司城</w:t>
            </w:r>
            <w:r>
              <w:rPr>
                <w:rFonts w:eastAsiaTheme="minorEastAsia"/>
                <w:b/>
                <w:color w:val="auto"/>
                <w:szCs w:val="21"/>
              </w:rPr>
              <w:t>110</w:t>
            </w:r>
            <w:r>
              <w:rPr>
                <w:rFonts w:hint="eastAsia" w:eastAsiaTheme="minorEastAsia"/>
                <w:b/>
                <w:color w:val="auto"/>
                <w:szCs w:val="21"/>
                <w:lang w:val="en-US" w:eastAsia="zh-CN"/>
              </w:rPr>
              <w:t>kV</w:t>
            </w:r>
            <w:r>
              <w:rPr>
                <w:rFonts w:hint="eastAsia" w:eastAsiaTheme="minorEastAsia"/>
                <w:b/>
                <w:color w:val="auto"/>
                <w:szCs w:val="21"/>
              </w:rPr>
              <w:t>变电站</w:t>
            </w:r>
          </w:p>
          <w:p w14:paraId="1B226E77">
            <w:pPr>
              <w:keepNext w:val="0"/>
              <w:keepLines w:val="0"/>
              <w:pageBreakBefore w:val="0"/>
              <w:widowControl w:val="0"/>
              <w:kinsoku/>
              <w:overflowPunct/>
              <w:topLinePunct w:val="0"/>
              <w:bidi w:val="0"/>
              <w:adjustRightInd w:val="0"/>
              <w:spacing w:line="360" w:lineRule="auto"/>
              <w:ind w:firstLine="420" w:firstLineChars="200"/>
              <w:rPr>
                <w:color w:val="auto"/>
                <w:szCs w:val="21"/>
              </w:rPr>
            </w:pPr>
            <w:r>
              <w:rPr>
                <w:rFonts w:hint="eastAsia"/>
                <w:color w:val="auto"/>
                <w:szCs w:val="21"/>
              </w:rPr>
              <w:t>根据现场踏勘结果可知，</w:t>
            </w:r>
            <w:r>
              <w:rPr>
                <w:rFonts w:hint="eastAsia"/>
                <w:color w:val="auto"/>
                <w:szCs w:val="21"/>
                <w:lang w:val="en-US" w:eastAsia="zh-CN"/>
              </w:rPr>
              <w:t>司城</w:t>
            </w:r>
            <w:r>
              <w:rPr>
                <w:rFonts w:hint="eastAsia"/>
                <w:color w:val="auto"/>
                <w:szCs w:val="21"/>
              </w:rPr>
              <w:t>110</w:t>
            </w:r>
            <w:r>
              <w:rPr>
                <w:rFonts w:hint="eastAsia"/>
                <w:color w:val="auto"/>
                <w:szCs w:val="21"/>
                <w:lang w:val="en-US" w:eastAsia="zh-CN"/>
              </w:rPr>
              <w:t>kV</w:t>
            </w:r>
            <w:r>
              <w:rPr>
                <w:rFonts w:hint="eastAsia"/>
                <w:color w:val="auto"/>
                <w:szCs w:val="21"/>
              </w:rPr>
              <w:t>变电站尚未开工建设，占地区域</w:t>
            </w:r>
            <w:r>
              <w:rPr>
                <w:rFonts w:hint="eastAsia"/>
                <w:color w:val="auto"/>
                <w:szCs w:val="21"/>
                <w:lang w:val="en-US" w:eastAsia="zh-CN"/>
              </w:rPr>
              <w:t>主要为农用地（耕地）、建设用地</w:t>
            </w:r>
            <w:r>
              <w:rPr>
                <w:rFonts w:hint="eastAsia" w:eastAsia="宋体"/>
                <w:color w:val="auto"/>
                <w:szCs w:val="21"/>
              </w:rPr>
              <w:t>，</w:t>
            </w:r>
            <w:r>
              <w:rPr>
                <w:rFonts w:hint="eastAsia"/>
                <w:color w:val="auto"/>
                <w:szCs w:val="21"/>
              </w:rPr>
              <w:t>现状植被状况较好，不存在原有环境污染和生态破坏问题。</w:t>
            </w:r>
          </w:p>
          <w:p w14:paraId="15FBEDE0">
            <w:pPr>
              <w:keepNext w:val="0"/>
              <w:keepLines w:val="0"/>
              <w:pageBreakBefore w:val="0"/>
              <w:widowControl w:val="0"/>
              <w:kinsoku/>
              <w:overflowPunct/>
              <w:topLinePunct w:val="0"/>
              <w:bidi w:val="0"/>
              <w:spacing w:line="360" w:lineRule="auto"/>
              <w:ind w:firstLine="422" w:firstLineChars="200"/>
              <w:rPr>
                <w:rFonts w:hint="eastAsia" w:eastAsia="宋体"/>
                <w:b/>
                <w:bCs/>
                <w:color w:val="auto"/>
                <w:szCs w:val="21"/>
                <w:lang w:eastAsia="zh-CN"/>
              </w:rPr>
            </w:pPr>
            <w:r>
              <w:rPr>
                <w:rFonts w:hint="eastAsia"/>
                <w:b/>
                <w:bCs/>
                <w:color w:val="auto"/>
                <w:szCs w:val="21"/>
              </w:rPr>
              <w:t>2、</w:t>
            </w:r>
            <w:r>
              <w:rPr>
                <w:rFonts w:hint="eastAsia"/>
                <w:b/>
                <w:bCs/>
                <w:color w:val="auto"/>
                <w:szCs w:val="21"/>
                <w:lang w:val="en-US" w:eastAsia="zh-CN"/>
              </w:rPr>
              <w:t>盘兴</w:t>
            </w:r>
            <w:r>
              <w:rPr>
                <w:rFonts w:hint="eastAsia"/>
                <w:b/>
                <w:bCs/>
                <w:color w:val="auto"/>
                <w:szCs w:val="21"/>
                <w:lang w:eastAsia="zh-CN"/>
              </w:rPr>
              <w:t>220</w:t>
            </w:r>
            <w:r>
              <w:rPr>
                <w:rFonts w:hint="eastAsia" w:eastAsiaTheme="minorEastAsia"/>
                <w:b/>
                <w:color w:val="auto"/>
                <w:szCs w:val="21"/>
                <w:lang w:val="en-US" w:eastAsia="zh-CN"/>
              </w:rPr>
              <w:t>kV</w:t>
            </w:r>
            <w:r>
              <w:rPr>
                <w:rFonts w:hint="eastAsia"/>
                <w:b/>
                <w:bCs/>
                <w:color w:val="auto"/>
                <w:szCs w:val="21"/>
                <w:lang w:eastAsia="zh-CN"/>
              </w:rPr>
              <w:t>变电站</w:t>
            </w:r>
          </w:p>
          <w:p w14:paraId="73D8252D">
            <w:pPr>
              <w:keepNext w:val="0"/>
              <w:keepLines w:val="0"/>
              <w:suppressLineNumbers w:val="0"/>
              <w:spacing w:before="0" w:beforeAutospacing="0" w:after="0" w:afterAutospacing="0" w:line="360" w:lineRule="auto"/>
              <w:ind w:left="0" w:right="0" w:firstLine="420" w:firstLineChars="200"/>
              <w:rPr>
                <w:rFonts w:hint="eastAsia" w:ascii="Times New Roman" w:hAnsi="Times New Roman" w:eastAsia="宋体" w:cs="Times New Roman"/>
                <w:bCs/>
                <w:color w:val="auto"/>
                <w:szCs w:val="21"/>
                <w:lang w:val="en-US" w:eastAsia="zh-CN"/>
              </w:rPr>
            </w:pPr>
            <w:r>
              <w:rPr>
                <w:rFonts w:hint="eastAsia"/>
                <w:bCs/>
                <w:color w:val="auto"/>
                <w:szCs w:val="21"/>
                <w:lang w:val="en-US" w:eastAsia="zh-CN"/>
              </w:rPr>
              <w:t>目前盘兴</w:t>
            </w:r>
            <w:r>
              <w:rPr>
                <w:rFonts w:hint="eastAsia"/>
                <w:bCs/>
                <w:color w:val="auto"/>
                <w:szCs w:val="21"/>
              </w:rPr>
              <w:t>220</w:t>
            </w:r>
            <w:r>
              <w:rPr>
                <w:rFonts w:hint="eastAsia"/>
                <w:color w:val="auto"/>
                <w:szCs w:val="21"/>
                <w:lang w:val="en-US" w:eastAsia="zh-CN"/>
              </w:rPr>
              <w:t>kV</w:t>
            </w:r>
            <w:r>
              <w:rPr>
                <w:rFonts w:hint="eastAsia"/>
                <w:bCs/>
                <w:color w:val="auto"/>
                <w:szCs w:val="21"/>
              </w:rPr>
              <w:t>变电站</w:t>
            </w:r>
            <w:r>
              <w:rPr>
                <w:rFonts w:hint="eastAsia"/>
                <w:bCs/>
                <w:color w:val="auto"/>
                <w:szCs w:val="21"/>
                <w:lang w:val="en-US" w:eastAsia="zh-CN"/>
              </w:rPr>
              <w:t>已建成投运，</w:t>
            </w:r>
            <w:r>
              <w:rPr>
                <w:rFonts w:hint="eastAsia"/>
                <w:bCs/>
                <w:color w:val="auto"/>
                <w:szCs w:val="21"/>
              </w:rPr>
              <w:t>位于巴中市巴州区回风办事处八王村3组，</w:t>
            </w:r>
            <w:r>
              <w:rPr>
                <w:rFonts w:hint="eastAsia" w:cs="Times New Roman"/>
                <w:bCs/>
                <w:color w:val="auto"/>
                <w:szCs w:val="21"/>
                <w:lang w:val="en-US" w:eastAsia="zh-CN"/>
              </w:rPr>
              <w:t>盘兴</w:t>
            </w:r>
            <w:r>
              <w:rPr>
                <w:rFonts w:hint="default" w:ascii="Times New Roman" w:hAnsi="Times New Roman" w:cs="Times New Roman"/>
                <w:bCs/>
                <w:color w:val="auto"/>
                <w:szCs w:val="21"/>
                <w:lang w:val="en-US" w:eastAsia="zh-CN"/>
              </w:rPr>
              <w:t>220kV变电站环境影响评价包含在《</w:t>
            </w:r>
            <w:r>
              <w:rPr>
                <w:rFonts w:hint="eastAsia" w:cs="Times New Roman"/>
                <w:bCs/>
                <w:color w:val="auto"/>
                <w:szCs w:val="21"/>
                <w:lang w:val="en-US" w:eastAsia="zh-CN"/>
              </w:rPr>
              <w:t>巴中城西(盘兴)220千伏变电站主变扩建工程环境影响报告表</w:t>
            </w:r>
            <w:r>
              <w:rPr>
                <w:rFonts w:hint="default" w:ascii="Times New Roman" w:hAnsi="Times New Roman" w:cs="Times New Roman"/>
                <w:bCs/>
                <w:color w:val="auto"/>
                <w:szCs w:val="21"/>
                <w:lang w:val="en-US" w:eastAsia="zh-CN"/>
              </w:rPr>
              <w:t>》中，</w:t>
            </w:r>
            <w:r>
              <w:rPr>
                <w:rFonts w:hint="eastAsia" w:cs="Times New Roman"/>
                <w:bCs/>
                <w:color w:val="auto"/>
                <w:szCs w:val="21"/>
                <w:lang w:val="en-US" w:eastAsia="zh-CN"/>
              </w:rPr>
              <w:t>巴中市生态环境局以“</w:t>
            </w:r>
            <w:r>
              <w:rPr>
                <w:rFonts w:hint="default" w:ascii="Times New Roman" w:hAnsi="Times New Roman" w:cs="Times New Roman"/>
                <w:bCs/>
                <w:color w:val="auto"/>
                <w:szCs w:val="21"/>
                <w:lang w:val="en-US" w:eastAsia="zh-CN"/>
              </w:rPr>
              <w:t>巴环境审〔202</w:t>
            </w:r>
            <w:r>
              <w:rPr>
                <w:rFonts w:hint="eastAsia" w:ascii="Times New Roman" w:hAnsi="Times New Roman" w:cs="Times New Roman"/>
                <w:bCs/>
                <w:color w:val="auto"/>
                <w:szCs w:val="21"/>
                <w:lang w:val="en-US" w:eastAsia="zh-CN"/>
              </w:rPr>
              <w:t>5</w:t>
            </w:r>
            <w:r>
              <w:rPr>
                <w:rFonts w:hint="default" w:ascii="Times New Roman" w:hAnsi="Times New Roman" w:cs="Times New Roman"/>
                <w:bCs/>
                <w:color w:val="auto"/>
                <w:szCs w:val="21"/>
                <w:lang w:val="en-US" w:eastAsia="zh-CN"/>
              </w:rPr>
              <w:t>〕</w:t>
            </w:r>
            <w:r>
              <w:rPr>
                <w:rFonts w:hint="eastAsia" w:ascii="Times New Roman" w:hAnsi="Times New Roman" w:cs="Times New Roman"/>
                <w:bCs/>
                <w:color w:val="auto"/>
                <w:szCs w:val="21"/>
                <w:lang w:val="en-US" w:eastAsia="zh-CN"/>
              </w:rPr>
              <w:t>41</w:t>
            </w:r>
            <w:r>
              <w:rPr>
                <w:rFonts w:hint="default" w:ascii="Times New Roman" w:hAnsi="Times New Roman" w:cs="Times New Roman"/>
                <w:bCs/>
                <w:color w:val="auto"/>
                <w:szCs w:val="21"/>
                <w:lang w:val="en-US" w:eastAsia="zh-CN"/>
              </w:rPr>
              <w:t>号</w:t>
            </w:r>
            <w:r>
              <w:rPr>
                <w:rFonts w:hint="eastAsia" w:ascii="Times New Roman" w:hAnsi="Times New Roman" w:cs="Times New Roman"/>
                <w:bCs/>
                <w:color w:val="auto"/>
                <w:szCs w:val="21"/>
                <w:highlight w:val="none"/>
                <w:lang w:val="en-US" w:eastAsia="zh-CN"/>
              </w:rPr>
              <w:t>”</w:t>
            </w:r>
            <w:r>
              <w:rPr>
                <w:rFonts w:hint="default" w:ascii="Times New Roman" w:hAnsi="Times New Roman" w:cs="Times New Roman"/>
                <w:bCs/>
                <w:color w:val="auto"/>
                <w:szCs w:val="21"/>
                <w:highlight w:val="none"/>
                <w:lang w:val="en-US" w:eastAsia="zh-CN"/>
              </w:rPr>
              <w:t>（见附件</w:t>
            </w:r>
            <w:r>
              <w:rPr>
                <w:rFonts w:hint="eastAsia" w:cs="Times New Roman"/>
                <w:bCs/>
                <w:color w:val="auto"/>
                <w:szCs w:val="21"/>
                <w:highlight w:val="none"/>
                <w:lang w:val="en-US" w:eastAsia="zh-CN"/>
              </w:rPr>
              <w:t>6</w:t>
            </w:r>
            <w:r>
              <w:rPr>
                <w:rFonts w:hint="default" w:ascii="Times New Roman" w:hAnsi="Times New Roman" w:cs="Times New Roman"/>
                <w:bCs/>
                <w:color w:val="auto"/>
                <w:szCs w:val="21"/>
                <w:highlight w:val="none"/>
                <w:lang w:val="en-US" w:eastAsia="zh-CN"/>
              </w:rPr>
              <w:t>-</w:t>
            </w:r>
            <w:r>
              <w:rPr>
                <w:rFonts w:hint="eastAsia" w:cs="Times New Roman"/>
                <w:bCs/>
                <w:color w:val="auto"/>
                <w:szCs w:val="21"/>
                <w:highlight w:val="none"/>
                <w:lang w:val="en-US" w:eastAsia="zh-CN"/>
              </w:rPr>
              <w:t>2</w:t>
            </w:r>
            <w:r>
              <w:rPr>
                <w:rFonts w:hint="default" w:ascii="Times New Roman" w:hAnsi="Times New Roman" w:cs="Times New Roman"/>
                <w:bCs/>
                <w:color w:val="auto"/>
                <w:szCs w:val="21"/>
                <w:highlight w:val="none"/>
                <w:lang w:val="en-US" w:eastAsia="zh-CN"/>
              </w:rPr>
              <w:t>）文对其按</w:t>
            </w:r>
            <w:r>
              <w:rPr>
                <w:rFonts w:hint="default" w:ascii="Times New Roman" w:hAnsi="Times New Roman" w:cs="Times New Roman"/>
                <w:bCs/>
                <w:color w:val="auto"/>
                <w:szCs w:val="21"/>
                <w:lang w:val="en-US" w:eastAsia="zh-CN"/>
              </w:rPr>
              <w:t>终期规模进行了批复，批复规模：</w:t>
            </w:r>
            <w:r>
              <w:rPr>
                <w:rFonts w:hint="eastAsia" w:ascii="Times New Roman" w:hAnsi="Times New Roman" w:cs="Times New Roman"/>
                <w:bCs/>
                <w:color w:val="auto"/>
                <w:szCs w:val="21"/>
                <w:highlight w:val="none"/>
                <w:lang w:val="en-US" w:eastAsia="zh-CN"/>
              </w:rPr>
              <w:t>主变2×180MVA+1×240MVA，</w:t>
            </w:r>
            <w:r>
              <w:rPr>
                <w:rFonts w:hint="default" w:ascii="Times New Roman" w:hAnsi="Times New Roman" w:cs="Times New Roman"/>
                <w:bCs/>
                <w:color w:val="auto"/>
                <w:szCs w:val="21"/>
                <w:highlight w:val="none"/>
                <w:lang w:val="en-US" w:eastAsia="zh-CN"/>
              </w:rPr>
              <w:t>220</w:t>
            </w:r>
            <w:r>
              <w:rPr>
                <w:rFonts w:hint="default" w:ascii="Times New Roman" w:hAnsi="Times New Roman" w:cs="Times New Roman"/>
                <w:bCs/>
                <w:color w:val="auto"/>
                <w:szCs w:val="21"/>
                <w:highlight w:val="none"/>
              </w:rPr>
              <w:t>kV出线</w:t>
            </w:r>
            <w:r>
              <w:rPr>
                <w:rFonts w:hint="eastAsia" w:cs="Times New Roman"/>
                <w:bCs/>
                <w:color w:val="auto"/>
                <w:szCs w:val="21"/>
                <w:highlight w:val="none"/>
                <w:lang w:val="en-US" w:eastAsia="zh-CN"/>
              </w:rPr>
              <w:t>间隔</w:t>
            </w:r>
            <w:r>
              <w:rPr>
                <w:rFonts w:hint="eastAsia" w:ascii="Times New Roman" w:hAnsi="Times New Roman" w:cs="Times New Roman"/>
                <w:bCs/>
                <w:color w:val="auto"/>
                <w:szCs w:val="21"/>
                <w:highlight w:val="none"/>
                <w:lang w:val="en-US" w:eastAsia="zh-CN"/>
              </w:rPr>
              <w:t>6</w:t>
            </w:r>
            <w:r>
              <w:rPr>
                <w:rFonts w:hint="default" w:ascii="Times New Roman" w:hAnsi="Times New Roman" w:cs="Times New Roman"/>
                <w:bCs/>
                <w:color w:val="auto"/>
                <w:szCs w:val="21"/>
                <w:highlight w:val="none"/>
              </w:rPr>
              <w:t>回</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110kV出线</w:t>
            </w:r>
            <w:r>
              <w:rPr>
                <w:rFonts w:hint="eastAsia" w:cs="Times New Roman"/>
                <w:bCs/>
                <w:color w:val="auto"/>
                <w:szCs w:val="21"/>
                <w:highlight w:val="none"/>
                <w:lang w:val="en-US" w:eastAsia="zh-CN"/>
              </w:rPr>
              <w:t>间隔</w:t>
            </w:r>
            <w:r>
              <w:rPr>
                <w:rFonts w:hint="eastAsia" w:ascii="Times New Roman" w:hAnsi="Times New Roman" w:cs="Times New Roman"/>
                <w:bCs/>
                <w:color w:val="auto"/>
                <w:szCs w:val="21"/>
                <w:highlight w:val="none"/>
                <w:lang w:val="en-US" w:eastAsia="zh-CN"/>
              </w:rPr>
              <w:t>10</w:t>
            </w:r>
            <w:r>
              <w:rPr>
                <w:rFonts w:hint="default" w:ascii="Times New Roman" w:hAnsi="Times New Roman" w:cs="Times New Roman"/>
                <w:bCs/>
                <w:color w:val="auto"/>
                <w:szCs w:val="21"/>
                <w:highlight w:val="none"/>
              </w:rPr>
              <w:t>回</w:t>
            </w:r>
            <w:r>
              <w:rPr>
                <w:rFonts w:hint="eastAsia" w:cs="Times New Roman"/>
                <w:bCs/>
                <w:color w:val="auto"/>
                <w:szCs w:val="21"/>
                <w:highlight w:val="none"/>
                <w:lang w:eastAsia="zh-CN"/>
              </w:rPr>
              <w:t>，</w:t>
            </w:r>
            <w:r>
              <w:rPr>
                <w:rFonts w:hint="default" w:ascii="Times New Roman" w:hAnsi="Times New Roman" w:cs="Times New Roman"/>
                <w:bCs/>
                <w:color w:val="auto"/>
                <w:szCs w:val="21"/>
                <w:highlight w:val="none"/>
              </w:rPr>
              <w:t>10kV出线</w:t>
            </w:r>
            <w:r>
              <w:rPr>
                <w:rFonts w:hint="eastAsia" w:cs="Times New Roman"/>
                <w:bCs/>
                <w:color w:val="auto"/>
                <w:szCs w:val="21"/>
                <w:highlight w:val="none"/>
                <w:lang w:val="en-US" w:eastAsia="zh-CN"/>
              </w:rPr>
              <w:t>间隔</w:t>
            </w:r>
            <w:r>
              <w:rPr>
                <w:rFonts w:hint="eastAsia" w:ascii="Times New Roman" w:hAnsi="Times New Roman" w:cs="Times New Roman"/>
                <w:bCs/>
                <w:color w:val="auto"/>
                <w:szCs w:val="21"/>
                <w:highlight w:val="none"/>
                <w:lang w:val="en-US" w:eastAsia="zh-CN"/>
              </w:rPr>
              <w:t>24</w:t>
            </w:r>
            <w:r>
              <w:rPr>
                <w:rFonts w:hint="default" w:ascii="Times New Roman" w:hAnsi="Times New Roman" w:cs="Times New Roman"/>
                <w:bCs/>
                <w:color w:val="auto"/>
                <w:szCs w:val="21"/>
                <w:highlight w:val="none"/>
              </w:rPr>
              <w:t>回</w:t>
            </w:r>
            <w:r>
              <w:rPr>
                <w:rFonts w:hint="eastAsia" w:cs="Times New Roman"/>
                <w:bCs/>
                <w:color w:val="auto"/>
                <w:szCs w:val="21"/>
                <w:highlight w:val="none"/>
                <w:lang w:eastAsia="zh-CN"/>
              </w:rPr>
              <w:t>。</w:t>
            </w:r>
            <w:r>
              <w:rPr>
                <w:rFonts w:hint="eastAsia" w:ascii="Times New Roman" w:hAnsi="Times New Roman" w:cs="Times New Roman"/>
                <w:bCs/>
                <w:color w:val="auto"/>
                <w:szCs w:val="21"/>
                <w:highlight w:val="none"/>
                <w:lang w:val="en-US" w:eastAsia="zh-CN"/>
              </w:rPr>
              <w:t>工程目前</w:t>
            </w:r>
            <w:r>
              <w:rPr>
                <w:rFonts w:hint="eastAsia" w:cs="Times New Roman"/>
                <w:bCs/>
                <w:color w:val="auto"/>
                <w:szCs w:val="21"/>
                <w:highlight w:val="none"/>
                <w:lang w:val="en-US" w:eastAsia="zh-CN"/>
              </w:rPr>
              <w:t>暂未开工建设。</w:t>
            </w:r>
          </w:p>
          <w:p w14:paraId="50D19441">
            <w:pPr>
              <w:keepNext w:val="0"/>
              <w:keepLines w:val="0"/>
              <w:suppressLineNumbers w:val="0"/>
              <w:spacing w:before="0" w:beforeAutospacing="0" w:after="0" w:afterAutospacing="0" w:line="360" w:lineRule="auto"/>
              <w:ind w:left="0" w:right="0" w:firstLine="420" w:firstLineChars="200"/>
              <w:rPr>
                <w:rFonts w:hint="eastAsia"/>
                <w:bCs/>
                <w:color w:val="auto"/>
                <w:szCs w:val="21"/>
                <w:highlight w:val="none"/>
                <w:lang w:val="en-US" w:eastAsia="zh-CN"/>
              </w:rPr>
            </w:pPr>
            <w:r>
              <w:rPr>
                <w:rFonts w:hint="default" w:ascii="Times New Roman" w:hAnsi="Times New Roman" w:cs="Times New Roman"/>
                <w:bCs/>
                <w:color w:val="auto"/>
                <w:szCs w:val="21"/>
                <w:lang w:val="en-US" w:eastAsia="zh-CN"/>
              </w:rPr>
              <w:t>变电站</w:t>
            </w:r>
            <w:r>
              <w:rPr>
                <w:rFonts w:hint="eastAsia"/>
                <w:bCs/>
                <w:color w:val="auto"/>
                <w:szCs w:val="21"/>
                <w:lang w:val="en-US" w:eastAsia="zh-CN"/>
              </w:rPr>
              <w:t>现有规模：</w:t>
            </w:r>
            <w:r>
              <w:rPr>
                <w:rFonts w:hint="default" w:ascii="Times New Roman" w:hAnsi="Times New Roman" w:cs="Times New Roman"/>
                <w:bCs/>
                <w:color w:val="auto"/>
                <w:szCs w:val="21"/>
              </w:rPr>
              <w:t>主变</w:t>
            </w:r>
            <w:r>
              <w:rPr>
                <w:rFonts w:hint="default" w:ascii="Times New Roman" w:hAnsi="Times New Roman" w:cs="Times New Roman"/>
                <w:bCs/>
                <w:color w:val="auto"/>
                <w:szCs w:val="21"/>
                <w:lang w:val="en-US" w:eastAsia="zh-CN"/>
              </w:rPr>
              <w:t>2</w:t>
            </w:r>
            <w:r>
              <w:rPr>
                <w:rFonts w:hint="default" w:ascii="Times New Roman" w:hAnsi="Times New Roman" w:cs="Times New Roman"/>
                <w:bCs/>
                <w:color w:val="auto"/>
                <w:szCs w:val="21"/>
              </w:rPr>
              <w:t>×</w:t>
            </w:r>
            <w:r>
              <w:rPr>
                <w:rFonts w:hint="default" w:ascii="Times New Roman" w:hAnsi="Times New Roman" w:cs="Times New Roman"/>
                <w:bCs/>
                <w:color w:val="auto"/>
                <w:szCs w:val="21"/>
                <w:lang w:val="en-US" w:eastAsia="zh-CN"/>
              </w:rPr>
              <w:t>180</w:t>
            </w:r>
            <w:r>
              <w:rPr>
                <w:rFonts w:hint="default" w:ascii="Times New Roman" w:hAnsi="Times New Roman" w:cs="Times New Roman"/>
                <w:bCs/>
                <w:color w:val="auto"/>
                <w:szCs w:val="21"/>
              </w:rPr>
              <w:t>MVA，</w:t>
            </w:r>
            <w:r>
              <w:rPr>
                <w:rFonts w:hint="default" w:ascii="Times New Roman" w:hAnsi="Times New Roman" w:cs="Times New Roman"/>
                <w:bCs/>
                <w:color w:val="auto"/>
                <w:szCs w:val="21"/>
                <w:lang w:val="en-US" w:eastAsia="zh-CN"/>
              </w:rPr>
              <w:t>220</w:t>
            </w:r>
            <w:r>
              <w:rPr>
                <w:rFonts w:hint="default" w:ascii="Times New Roman" w:hAnsi="Times New Roman" w:cs="Times New Roman"/>
                <w:bCs/>
                <w:color w:val="auto"/>
                <w:szCs w:val="21"/>
              </w:rPr>
              <w:t>kV出线</w:t>
            </w:r>
            <w:r>
              <w:rPr>
                <w:rFonts w:hint="eastAsia" w:cs="Times New Roman"/>
                <w:bCs/>
                <w:color w:val="auto"/>
                <w:szCs w:val="21"/>
                <w:lang w:val="en-US" w:eastAsia="zh-CN"/>
              </w:rPr>
              <w:t>间隔</w:t>
            </w:r>
            <w:r>
              <w:rPr>
                <w:rFonts w:hint="default" w:ascii="Times New Roman" w:hAnsi="Times New Roman" w:cs="Times New Roman"/>
                <w:bCs/>
                <w:color w:val="auto"/>
                <w:szCs w:val="21"/>
                <w:lang w:val="en-US" w:eastAsia="zh-CN"/>
              </w:rPr>
              <w:t>4</w:t>
            </w:r>
            <w:r>
              <w:rPr>
                <w:rFonts w:hint="default" w:ascii="Times New Roman" w:hAnsi="Times New Roman" w:cs="Times New Roman"/>
                <w:bCs/>
                <w:color w:val="auto"/>
                <w:szCs w:val="21"/>
              </w:rPr>
              <w:t>回</w:t>
            </w:r>
            <w:r>
              <w:rPr>
                <w:rFonts w:hint="default" w:ascii="Times New Roman" w:hAnsi="Times New Roman" w:cs="Times New Roman"/>
                <w:bCs/>
                <w:color w:val="auto"/>
                <w:szCs w:val="21"/>
                <w:lang w:eastAsia="zh-CN"/>
              </w:rPr>
              <w:t>，</w:t>
            </w:r>
            <w:r>
              <w:rPr>
                <w:rFonts w:hint="default" w:ascii="Times New Roman" w:hAnsi="Times New Roman" w:cs="Times New Roman"/>
                <w:bCs/>
                <w:color w:val="auto"/>
                <w:szCs w:val="21"/>
              </w:rPr>
              <w:t>110kV出线</w:t>
            </w:r>
            <w:r>
              <w:rPr>
                <w:rFonts w:hint="eastAsia" w:cs="Times New Roman"/>
                <w:bCs/>
                <w:color w:val="auto"/>
                <w:szCs w:val="21"/>
                <w:lang w:val="en-US" w:eastAsia="zh-CN"/>
              </w:rPr>
              <w:t>间隔</w:t>
            </w:r>
            <w:r>
              <w:rPr>
                <w:rFonts w:hint="eastAsia" w:ascii="Times New Roman" w:hAnsi="Times New Roman" w:cs="Times New Roman"/>
                <w:bCs/>
                <w:color w:val="auto"/>
                <w:szCs w:val="21"/>
                <w:lang w:val="en-US" w:eastAsia="zh-CN"/>
              </w:rPr>
              <w:t>9</w:t>
            </w:r>
            <w:r>
              <w:rPr>
                <w:rFonts w:hint="default" w:ascii="Times New Roman" w:hAnsi="Times New Roman" w:cs="Times New Roman"/>
                <w:bCs/>
                <w:color w:val="auto"/>
                <w:szCs w:val="21"/>
              </w:rPr>
              <w:t>回</w:t>
            </w:r>
            <w:r>
              <w:rPr>
                <w:rFonts w:hint="eastAsia" w:cs="Times New Roman"/>
                <w:bCs/>
                <w:color w:val="auto"/>
                <w:szCs w:val="21"/>
                <w:lang w:eastAsia="zh-CN"/>
              </w:rPr>
              <w:t>，</w:t>
            </w:r>
            <w:r>
              <w:rPr>
                <w:rFonts w:hint="default" w:ascii="Times New Roman" w:hAnsi="Times New Roman" w:cs="Times New Roman"/>
                <w:bCs/>
                <w:color w:val="auto"/>
                <w:szCs w:val="21"/>
              </w:rPr>
              <w:t>10kV出线</w:t>
            </w:r>
            <w:r>
              <w:rPr>
                <w:rFonts w:hint="eastAsia" w:cs="Times New Roman"/>
                <w:bCs/>
                <w:color w:val="auto"/>
                <w:szCs w:val="21"/>
                <w:lang w:val="en-US" w:eastAsia="zh-CN"/>
              </w:rPr>
              <w:t>间隔</w:t>
            </w:r>
            <w:r>
              <w:rPr>
                <w:rFonts w:hint="default" w:ascii="Times New Roman" w:hAnsi="Times New Roman" w:cs="Times New Roman"/>
                <w:bCs/>
                <w:color w:val="auto"/>
                <w:szCs w:val="21"/>
                <w:lang w:val="en-US" w:eastAsia="zh-CN"/>
              </w:rPr>
              <w:t>12</w:t>
            </w:r>
            <w:r>
              <w:rPr>
                <w:rFonts w:hint="default" w:ascii="Times New Roman" w:hAnsi="Times New Roman" w:cs="Times New Roman"/>
                <w:bCs/>
                <w:color w:val="auto"/>
                <w:szCs w:val="21"/>
              </w:rPr>
              <w:t>回</w:t>
            </w:r>
            <w:r>
              <w:rPr>
                <w:rFonts w:hint="default" w:ascii="Times New Roman" w:hAnsi="Times New Roman" w:cs="Times New Roman"/>
                <w:color w:val="auto"/>
                <w:szCs w:val="21"/>
              </w:rPr>
              <w:t>。</w:t>
            </w:r>
            <w:r>
              <w:rPr>
                <w:rFonts w:hint="eastAsia"/>
                <w:bCs/>
                <w:color w:val="auto"/>
                <w:szCs w:val="21"/>
                <w:lang w:val="en-US" w:eastAsia="zh-CN"/>
              </w:rPr>
              <w:t>本次利用盘兴220</w:t>
            </w:r>
            <w:r>
              <w:rPr>
                <w:rFonts w:hint="eastAsia" w:cs="Times New Roman"/>
                <w:color w:val="auto"/>
                <w:kern w:val="2"/>
                <w:sz w:val="21"/>
                <w:szCs w:val="21"/>
                <w:lang w:val="en-US" w:eastAsia="zh-CN" w:bidi="ar-SA"/>
              </w:rPr>
              <w:t>kV</w:t>
            </w:r>
            <w:r>
              <w:rPr>
                <w:rFonts w:hint="eastAsia"/>
                <w:bCs/>
                <w:color w:val="auto"/>
                <w:szCs w:val="21"/>
                <w:lang w:val="en-US" w:eastAsia="zh-CN"/>
              </w:rPr>
              <w:t>变电站110</w:t>
            </w:r>
            <w:r>
              <w:rPr>
                <w:rFonts w:hint="eastAsia" w:cs="Times New Roman"/>
                <w:color w:val="auto"/>
                <w:kern w:val="2"/>
                <w:sz w:val="21"/>
                <w:szCs w:val="21"/>
                <w:lang w:val="en-US" w:eastAsia="zh-CN" w:bidi="ar-SA"/>
              </w:rPr>
              <w:t>kV备用出线间隔，仅完善间隔内出线侧引下线，</w:t>
            </w:r>
            <w:r>
              <w:rPr>
                <w:rFonts w:hint="default" w:ascii="Times New Roman" w:hAnsi="Times New Roman" w:cs="Times New Roman"/>
                <w:bCs/>
                <w:color w:val="auto"/>
                <w:szCs w:val="21"/>
                <w:highlight w:val="none"/>
              </w:rPr>
              <w:t>不涉及土建施工</w:t>
            </w:r>
            <w:r>
              <w:rPr>
                <w:rFonts w:hint="eastAsia" w:ascii="Times New Roman" w:hAnsi="Times New Roman" w:cs="Times New Roman"/>
                <w:bCs/>
                <w:color w:val="auto"/>
                <w:szCs w:val="21"/>
                <w:highlight w:val="none"/>
                <w:lang w:eastAsia="zh-CN"/>
              </w:rPr>
              <w:t>。</w:t>
            </w:r>
          </w:p>
          <w:p w14:paraId="504A128F">
            <w:pPr>
              <w:tabs>
                <w:tab w:val="left" w:pos="3240"/>
              </w:tabs>
              <w:spacing w:line="360" w:lineRule="auto"/>
              <w:ind w:firstLine="420" w:firstLineChars="200"/>
              <w:rPr>
                <w:rFonts w:hint="eastAsia"/>
                <w:color w:val="auto"/>
                <w:szCs w:val="21"/>
                <w:highlight w:val="none"/>
                <w:lang w:val="en-US" w:eastAsia="zh-CN"/>
              </w:rPr>
            </w:pPr>
            <w:r>
              <w:rPr>
                <w:rFonts w:hint="eastAsia"/>
                <w:color w:val="auto"/>
                <w:szCs w:val="21"/>
                <w:highlight w:val="none"/>
              </w:rPr>
              <w:t>根据现场踏勘和走访调查结果可知，</w:t>
            </w:r>
            <w:r>
              <w:rPr>
                <w:rFonts w:hint="eastAsia"/>
                <w:color w:val="auto"/>
                <w:szCs w:val="21"/>
                <w:highlight w:val="none"/>
                <w:lang w:val="en-US" w:eastAsia="zh-CN"/>
              </w:rPr>
              <w:t>盘兴</w:t>
            </w:r>
            <w:r>
              <w:rPr>
                <w:rFonts w:hint="eastAsia"/>
                <w:bCs/>
                <w:color w:val="auto"/>
                <w:szCs w:val="21"/>
                <w:highlight w:val="none"/>
              </w:rPr>
              <w:t>220</w:t>
            </w:r>
            <w:r>
              <w:rPr>
                <w:rFonts w:hint="eastAsia"/>
                <w:color w:val="auto"/>
                <w:szCs w:val="21"/>
                <w:highlight w:val="none"/>
                <w:lang w:val="en-US" w:eastAsia="zh-CN"/>
              </w:rPr>
              <w:t>千伏</w:t>
            </w:r>
            <w:r>
              <w:rPr>
                <w:rFonts w:hint="eastAsia"/>
                <w:color w:val="auto"/>
                <w:szCs w:val="21"/>
                <w:highlight w:val="none"/>
              </w:rPr>
              <w:t>变电站建成投运以来</w:t>
            </w:r>
            <w:r>
              <w:rPr>
                <w:rFonts w:hint="eastAsia"/>
                <w:bCs/>
                <w:color w:val="auto"/>
                <w:szCs w:val="21"/>
                <w:highlight w:val="none"/>
                <w:lang w:val="en-US" w:eastAsia="zh-CN"/>
              </w:rPr>
              <w:t>无</w:t>
            </w:r>
            <w:r>
              <w:rPr>
                <w:bCs/>
                <w:color w:val="auto"/>
                <w:szCs w:val="21"/>
                <w:highlight w:val="none"/>
              </w:rPr>
              <w:t>原有环境污染和生态破坏问题</w:t>
            </w:r>
            <w:r>
              <w:rPr>
                <w:rFonts w:hint="eastAsia"/>
                <w:color w:val="auto"/>
                <w:szCs w:val="21"/>
                <w:highlight w:val="none"/>
              </w:rPr>
              <w:t>。</w:t>
            </w:r>
          </w:p>
          <w:p w14:paraId="45401166">
            <w:pPr>
              <w:keepNext w:val="0"/>
              <w:keepLines w:val="0"/>
              <w:pageBreakBefore w:val="0"/>
              <w:widowControl w:val="0"/>
              <w:kinsoku/>
              <w:overflowPunct/>
              <w:topLinePunct w:val="0"/>
              <w:bidi w:val="0"/>
              <w:spacing w:line="360" w:lineRule="auto"/>
              <w:ind w:firstLine="422" w:firstLineChars="200"/>
              <w:rPr>
                <w:rFonts w:hint="eastAsia" w:eastAsia="宋体"/>
                <w:b/>
                <w:bCs/>
                <w:color w:val="auto"/>
                <w:szCs w:val="21"/>
                <w:highlight w:val="none"/>
                <w:lang w:eastAsia="zh-CN"/>
              </w:rPr>
            </w:pPr>
            <w:r>
              <w:rPr>
                <w:rFonts w:hint="eastAsia"/>
                <w:b/>
                <w:bCs/>
                <w:color w:val="auto"/>
                <w:szCs w:val="21"/>
                <w:highlight w:val="none"/>
                <w:lang w:val="en-US" w:eastAsia="zh-CN"/>
              </w:rPr>
              <w:t>3</w:t>
            </w:r>
            <w:r>
              <w:rPr>
                <w:rFonts w:hint="eastAsia"/>
                <w:b/>
                <w:bCs/>
                <w:color w:val="auto"/>
                <w:szCs w:val="21"/>
                <w:highlight w:val="none"/>
              </w:rPr>
              <w:t>、</w:t>
            </w:r>
            <w:r>
              <w:rPr>
                <w:rFonts w:hint="eastAsia"/>
                <w:b/>
                <w:bCs/>
                <w:color w:val="auto"/>
                <w:szCs w:val="21"/>
                <w:highlight w:val="none"/>
                <w:lang w:val="en-US" w:eastAsia="zh-CN"/>
              </w:rPr>
              <w:t>印合110</w:t>
            </w:r>
            <w:r>
              <w:rPr>
                <w:rFonts w:hint="eastAsia" w:eastAsiaTheme="minorEastAsia"/>
                <w:b/>
                <w:color w:val="auto"/>
                <w:szCs w:val="21"/>
                <w:highlight w:val="none"/>
                <w:lang w:val="en-US" w:eastAsia="zh-CN"/>
              </w:rPr>
              <w:t>kV</w:t>
            </w:r>
            <w:r>
              <w:rPr>
                <w:rFonts w:hint="eastAsia"/>
                <w:b/>
                <w:bCs/>
                <w:color w:val="auto"/>
                <w:szCs w:val="21"/>
                <w:highlight w:val="none"/>
                <w:lang w:eastAsia="zh-CN"/>
              </w:rPr>
              <w:t>变电站</w:t>
            </w:r>
          </w:p>
          <w:p w14:paraId="1D9837A2">
            <w:pPr>
              <w:pStyle w:val="24"/>
              <w:spacing w:after="0" w:line="360" w:lineRule="auto"/>
              <w:ind w:left="0" w:leftChars="0" w:firstLine="420" w:firstLineChars="200"/>
              <w:rPr>
                <w:rFonts w:hint="eastAsia"/>
                <w:color w:val="auto"/>
                <w:szCs w:val="21"/>
                <w:highlight w:val="none"/>
                <w:lang w:val="en-US" w:eastAsia="zh-CN"/>
              </w:rPr>
            </w:pPr>
            <w:r>
              <w:rPr>
                <w:rFonts w:hint="eastAsia"/>
                <w:color w:val="auto"/>
                <w:szCs w:val="21"/>
                <w:highlight w:val="none"/>
                <w:u w:val="none"/>
                <w:lang w:val="en-US" w:eastAsia="zh-CN"/>
              </w:rPr>
              <w:t>印合110</w:t>
            </w:r>
            <w:r>
              <w:rPr>
                <w:rFonts w:hint="eastAsia"/>
                <w:color w:val="auto"/>
                <w:szCs w:val="21"/>
                <w:highlight w:val="none"/>
                <w:lang w:val="en-US" w:eastAsia="zh-CN"/>
              </w:rPr>
              <w:t>kV</w:t>
            </w:r>
            <w:r>
              <w:rPr>
                <w:rFonts w:hint="eastAsia"/>
                <w:color w:val="auto"/>
                <w:szCs w:val="21"/>
                <w:highlight w:val="none"/>
                <w:u w:val="none"/>
                <w:lang w:val="en-US" w:eastAsia="zh-CN"/>
              </w:rPr>
              <w:t>变电站</w:t>
            </w:r>
            <w:r>
              <w:rPr>
                <w:rFonts w:hint="eastAsia" w:ascii="Times New Roman" w:hAnsi="Times New Roman" w:eastAsia="宋体" w:cs="Times New Roman"/>
                <w:color w:val="auto"/>
                <w:kern w:val="2"/>
                <w:sz w:val="21"/>
                <w:szCs w:val="21"/>
                <w:highlight w:val="none"/>
                <w:u w:val="none"/>
                <w:lang w:val="en-US" w:eastAsia="zh-CN" w:bidi="ar-SA"/>
              </w:rPr>
              <w:t>位于巴中市南江县正直镇沿溪河村3社</w:t>
            </w:r>
            <w:r>
              <w:rPr>
                <w:rFonts w:hint="eastAsia" w:cs="Times New Roman"/>
                <w:color w:val="auto"/>
                <w:kern w:val="2"/>
                <w:sz w:val="21"/>
                <w:szCs w:val="21"/>
                <w:highlight w:val="none"/>
                <w:u w:val="none"/>
                <w:lang w:val="en-US" w:eastAsia="zh-CN" w:bidi="ar-SA"/>
              </w:rPr>
              <w:t>，</w:t>
            </w:r>
            <w:r>
              <w:rPr>
                <w:rFonts w:hint="eastAsia"/>
                <w:bCs/>
                <w:color w:val="auto"/>
                <w:szCs w:val="21"/>
                <w:highlight w:val="none"/>
                <w:lang w:val="en-US" w:eastAsia="zh-CN"/>
              </w:rPr>
              <w:t>本次需在印合110</w:t>
            </w:r>
            <w:r>
              <w:rPr>
                <w:rFonts w:hint="eastAsia" w:cs="Times New Roman"/>
                <w:color w:val="auto"/>
                <w:kern w:val="2"/>
                <w:sz w:val="21"/>
                <w:szCs w:val="21"/>
                <w:highlight w:val="none"/>
                <w:lang w:val="en-US" w:eastAsia="zh-CN" w:bidi="ar-SA"/>
              </w:rPr>
              <w:t>kV</w:t>
            </w:r>
            <w:r>
              <w:rPr>
                <w:rFonts w:hint="eastAsia"/>
                <w:bCs/>
                <w:color w:val="auto"/>
                <w:szCs w:val="21"/>
                <w:highlight w:val="none"/>
                <w:lang w:val="en-US" w:eastAsia="zh-CN"/>
              </w:rPr>
              <w:t>变电站现有围墙内扩建</w:t>
            </w:r>
            <w:r>
              <w:rPr>
                <w:rFonts w:hint="eastAsia"/>
                <w:color w:val="auto"/>
                <w:highlight w:val="none"/>
                <w:shd w:val="clear" w:color="auto" w:fill="FFFFFF"/>
                <w:lang w:val="en-US" w:eastAsia="zh-CN"/>
              </w:rPr>
              <w:t>1</w:t>
            </w:r>
            <w:r>
              <w:rPr>
                <w:rFonts w:hint="eastAsia"/>
                <w:color w:val="auto"/>
                <w:highlight w:val="none"/>
                <w:shd w:val="clear" w:color="auto" w:fill="FFFFFF"/>
              </w:rPr>
              <w:t>个</w:t>
            </w:r>
            <w:r>
              <w:rPr>
                <w:rFonts w:hint="eastAsia"/>
                <w:color w:val="auto"/>
                <w:highlight w:val="none"/>
                <w:shd w:val="clear" w:color="auto" w:fill="FFFFFF"/>
                <w:lang w:val="en-US" w:eastAsia="zh-CN"/>
              </w:rPr>
              <w:t>11</w:t>
            </w:r>
            <w:r>
              <w:rPr>
                <w:color w:val="auto"/>
                <w:highlight w:val="none"/>
                <w:shd w:val="clear" w:color="auto" w:fill="FFFFFF"/>
              </w:rPr>
              <w:t>0</w:t>
            </w:r>
            <w:r>
              <w:rPr>
                <w:rFonts w:hint="eastAsia" w:cs="Times New Roman"/>
                <w:color w:val="auto"/>
                <w:kern w:val="2"/>
                <w:sz w:val="21"/>
                <w:szCs w:val="21"/>
                <w:highlight w:val="none"/>
                <w:lang w:val="en-US" w:eastAsia="zh-CN" w:bidi="ar-SA"/>
              </w:rPr>
              <w:t>kV</w:t>
            </w:r>
            <w:r>
              <w:rPr>
                <w:rFonts w:hint="eastAsia"/>
                <w:color w:val="auto"/>
                <w:highlight w:val="none"/>
                <w:shd w:val="clear" w:color="auto" w:fill="FFFFFF"/>
              </w:rPr>
              <w:t>出线</w:t>
            </w:r>
            <w:r>
              <w:rPr>
                <w:color w:val="auto"/>
                <w:highlight w:val="none"/>
                <w:shd w:val="clear" w:color="auto" w:fill="FFFFFF"/>
              </w:rPr>
              <w:t>间隔</w:t>
            </w:r>
            <w:r>
              <w:rPr>
                <w:rFonts w:hint="eastAsia"/>
                <w:bCs/>
                <w:color w:val="auto"/>
                <w:szCs w:val="21"/>
                <w:highlight w:val="none"/>
              </w:rPr>
              <w:t>至</w:t>
            </w:r>
            <w:r>
              <w:rPr>
                <w:rFonts w:hint="eastAsia"/>
                <w:bCs/>
                <w:color w:val="auto"/>
                <w:szCs w:val="21"/>
                <w:highlight w:val="none"/>
                <w:lang w:val="en-US" w:eastAsia="zh-CN"/>
              </w:rPr>
              <w:t>司城11</w:t>
            </w:r>
            <w:r>
              <w:rPr>
                <w:rFonts w:hint="eastAsia"/>
                <w:bCs/>
                <w:color w:val="auto"/>
                <w:szCs w:val="21"/>
                <w:highlight w:val="none"/>
              </w:rPr>
              <w:t>0</w:t>
            </w:r>
            <w:r>
              <w:rPr>
                <w:rFonts w:hint="eastAsia" w:cs="Times New Roman"/>
                <w:color w:val="auto"/>
                <w:kern w:val="2"/>
                <w:sz w:val="21"/>
                <w:szCs w:val="21"/>
                <w:highlight w:val="none"/>
                <w:lang w:val="en-US" w:eastAsia="zh-CN" w:bidi="ar-SA"/>
              </w:rPr>
              <w:t>kV</w:t>
            </w:r>
            <w:r>
              <w:rPr>
                <w:rFonts w:hint="eastAsia"/>
                <w:bCs/>
                <w:color w:val="auto"/>
                <w:szCs w:val="21"/>
                <w:highlight w:val="none"/>
              </w:rPr>
              <w:t>变电站</w:t>
            </w:r>
            <w:r>
              <w:rPr>
                <w:rFonts w:hint="eastAsia"/>
                <w:color w:val="auto"/>
                <w:szCs w:val="21"/>
                <w:highlight w:val="none"/>
                <w:lang w:val="en-US" w:eastAsia="zh-CN"/>
              </w:rPr>
              <w:t>。</w:t>
            </w:r>
          </w:p>
          <w:p w14:paraId="3BC15949">
            <w:pPr>
              <w:spacing w:line="360" w:lineRule="auto"/>
              <w:ind w:firstLine="420" w:firstLineChars="200"/>
              <w:rPr>
                <w:rFonts w:hint="default"/>
                <w:color w:val="auto"/>
                <w:szCs w:val="21"/>
                <w:lang w:val="en-US" w:eastAsia="zh-CN"/>
              </w:rPr>
            </w:pPr>
            <w:r>
              <w:rPr>
                <w:rFonts w:hint="eastAsia"/>
                <w:color w:val="auto"/>
                <w:szCs w:val="21"/>
                <w:highlight w:val="none"/>
                <w:lang w:eastAsia="zh-CN"/>
              </w:rPr>
              <w:t>该变电站于</w:t>
            </w:r>
            <w:r>
              <w:rPr>
                <w:rFonts w:hint="eastAsia"/>
                <w:color w:val="auto"/>
                <w:szCs w:val="21"/>
                <w:highlight w:val="none"/>
              </w:rPr>
              <w:t>20</w:t>
            </w:r>
            <w:r>
              <w:rPr>
                <w:rFonts w:hint="eastAsia"/>
                <w:color w:val="auto"/>
                <w:szCs w:val="21"/>
                <w:highlight w:val="none"/>
                <w:lang w:val="en-US" w:eastAsia="zh-CN"/>
              </w:rPr>
              <w:t>24</w:t>
            </w:r>
            <w:r>
              <w:rPr>
                <w:rFonts w:hint="eastAsia"/>
                <w:color w:val="auto"/>
                <w:szCs w:val="21"/>
                <w:highlight w:val="none"/>
              </w:rPr>
              <w:t>年</w:t>
            </w:r>
            <w:r>
              <w:rPr>
                <w:rFonts w:hint="eastAsia"/>
                <w:color w:val="auto"/>
                <w:szCs w:val="21"/>
                <w:highlight w:val="none"/>
                <w:lang w:eastAsia="zh-CN"/>
              </w:rPr>
              <w:t>取得了</w:t>
            </w:r>
            <w:r>
              <w:rPr>
                <w:rFonts w:hint="eastAsia"/>
                <w:color w:val="auto"/>
                <w:highlight w:val="none"/>
                <w:lang w:eastAsia="zh-CN"/>
              </w:rPr>
              <w:t>巴中市生态环境局</w:t>
            </w:r>
            <w:r>
              <w:rPr>
                <w:rFonts w:hint="eastAsia"/>
                <w:color w:val="auto"/>
                <w:highlight w:val="none"/>
                <w:lang w:val="en-US" w:eastAsia="zh-CN"/>
              </w:rPr>
              <w:t>出具的</w:t>
            </w:r>
            <w:r>
              <w:rPr>
                <w:rFonts w:hint="eastAsia"/>
                <w:color w:val="auto"/>
                <w:highlight w:val="none"/>
                <w:lang w:eastAsia="zh-CN"/>
              </w:rPr>
              <w:t>《关于巴中南江印合110kV输变电工程环境影响报告表的批复》（巴环境审〔2024〕30号，</w:t>
            </w:r>
            <w:r>
              <w:rPr>
                <w:rFonts w:hint="eastAsia"/>
                <w:color w:val="auto"/>
                <w:highlight w:val="none"/>
                <w:lang w:val="en-US" w:eastAsia="zh-CN"/>
              </w:rPr>
              <w:t>见附件6-1</w:t>
            </w:r>
            <w:r>
              <w:rPr>
                <w:rFonts w:hint="eastAsia"/>
                <w:color w:val="auto"/>
                <w:highlight w:val="none"/>
                <w:lang w:eastAsia="zh-CN"/>
              </w:rPr>
              <w:t>）。</w:t>
            </w:r>
            <w:r>
              <w:rPr>
                <w:rFonts w:hint="eastAsia"/>
                <w:color w:val="auto"/>
                <w:szCs w:val="21"/>
                <w:highlight w:val="none"/>
                <w:u w:val="none"/>
                <w:lang w:val="en-US" w:eastAsia="zh-CN"/>
              </w:rPr>
              <w:t>印</w:t>
            </w:r>
            <w:r>
              <w:rPr>
                <w:rFonts w:hint="eastAsia"/>
                <w:color w:val="auto"/>
                <w:szCs w:val="21"/>
                <w:u w:val="none"/>
                <w:lang w:val="en-US" w:eastAsia="zh-CN"/>
              </w:rPr>
              <w:t>合</w:t>
            </w:r>
            <w:r>
              <w:rPr>
                <w:rFonts w:hint="eastAsia"/>
                <w:color w:val="auto"/>
                <w:lang w:val="en-US" w:eastAsia="zh-CN"/>
              </w:rPr>
              <w:t>110kV变电站批复规模为</w:t>
            </w:r>
            <w:r>
              <w:rPr>
                <w:rFonts w:hint="default" w:ascii="Times New Roman" w:hAnsi="Times New Roman" w:cs="Times New Roman"/>
                <w:bCs/>
                <w:color w:val="auto"/>
                <w:szCs w:val="21"/>
              </w:rPr>
              <w:t>主变</w:t>
            </w:r>
            <w:r>
              <w:rPr>
                <w:rFonts w:hint="default" w:ascii="Times New Roman" w:hAnsi="Times New Roman" w:cs="Times New Roman"/>
                <w:bCs/>
                <w:color w:val="auto"/>
                <w:szCs w:val="21"/>
                <w:lang w:val="en-US" w:eastAsia="zh-CN"/>
              </w:rPr>
              <w:t>3</w:t>
            </w:r>
            <w:r>
              <w:rPr>
                <w:rFonts w:hint="default" w:ascii="Times New Roman" w:hAnsi="Times New Roman" w:cs="Times New Roman"/>
                <w:bCs/>
                <w:color w:val="auto"/>
                <w:szCs w:val="21"/>
              </w:rPr>
              <w:t>×</w:t>
            </w:r>
            <w:r>
              <w:rPr>
                <w:rFonts w:hint="eastAsia" w:cs="Times New Roman"/>
                <w:bCs/>
                <w:color w:val="auto"/>
                <w:szCs w:val="21"/>
                <w:lang w:val="en-US" w:eastAsia="zh-CN"/>
              </w:rPr>
              <w:t>50</w:t>
            </w:r>
            <w:r>
              <w:rPr>
                <w:rFonts w:hint="default" w:ascii="Times New Roman" w:hAnsi="Times New Roman" w:cs="Times New Roman"/>
                <w:bCs/>
                <w:color w:val="auto"/>
                <w:szCs w:val="21"/>
              </w:rPr>
              <w:t>MVA，110kV出线</w:t>
            </w:r>
            <w:r>
              <w:rPr>
                <w:rFonts w:hint="eastAsia" w:cs="Times New Roman"/>
                <w:bCs/>
                <w:color w:val="auto"/>
                <w:szCs w:val="21"/>
                <w:lang w:val="en-US" w:eastAsia="zh-CN"/>
              </w:rPr>
              <w:t>间隔</w:t>
            </w:r>
            <w:r>
              <w:rPr>
                <w:rFonts w:hint="default" w:ascii="Times New Roman" w:hAnsi="Times New Roman" w:cs="Times New Roman"/>
                <w:bCs/>
                <w:color w:val="auto"/>
                <w:szCs w:val="21"/>
                <w:lang w:val="en-US" w:eastAsia="zh-CN"/>
              </w:rPr>
              <w:t>4</w:t>
            </w:r>
            <w:r>
              <w:rPr>
                <w:rFonts w:hint="default" w:ascii="Times New Roman" w:hAnsi="Times New Roman" w:cs="Times New Roman"/>
                <w:bCs/>
                <w:color w:val="auto"/>
                <w:szCs w:val="21"/>
              </w:rPr>
              <w:t>回</w:t>
            </w:r>
            <w:r>
              <w:rPr>
                <w:rFonts w:hint="eastAsia" w:cs="Times New Roman"/>
                <w:bCs/>
                <w:color w:val="auto"/>
                <w:szCs w:val="21"/>
                <w:lang w:eastAsia="zh-CN"/>
              </w:rPr>
              <w:t>。</w:t>
            </w:r>
            <w:r>
              <w:rPr>
                <w:rFonts w:hint="eastAsia" w:ascii="Times New Roman" w:hAnsi="Times New Roman" w:cs="Times New Roman"/>
                <w:bCs/>
                <w:color w:val="auto"/>
                <w:szCs w:val="21"/>
                <w:lang w:val="en-US" w:eastAsia="zh-CN"/>
              </w:rPr>
              <w:t>工程目前</w:t>
            </w:r>
            <w:r>
              <w:rPr>
                <w:rFonts w:hint="eastAsia" w:cs="Times New Roman"/>
                <w:bCs/>
                <w:color w:val="auto"/>
                <w:szCs w:val="21"/>
                <w:lang w:val="en-US" w:eastAsia="zh-CN"/>
              </w:rPr>
              <w:t>暂未开工建设</w:t>
            </w:r>
            <w:r>
              <w:rPr>
                <w:rFonts w:hint="default" w:ascii="Times New Roman" w:hAnsi="Times New Roman" w:cs="Times New Roman"/>
                <w:bCs/>
                <w:color w:val="auto"/>
                <w:szCs w:val="21"/>
              </w:rPr>
              <w:t>。</w:t>
            </w:r>
          </w:p>
          <w:p w14:paraId="19FEC1CF">
            <w:pPr>
              <w:pStyle w:val="24"/>
              <w:spacing w:after="0" w:line="360" w:lineRule="auto"/>
              <w:ind w:left="0" w:leftChars="0" w:firstLine="420" w:firstLineChars="200"/>
              <w:rPr>
                <w:rFonts w:hint="default"/>
                <w:color w:val="auto"/>
                <w:szCs w:val="21"/>
                <w:u w:val="none"/>
                <w:lang w:val="en-US" w:eastAsia="zh-CN"/>
              </w:rPr>
            </w:pPr>
            <w:r>
              <w:rPr>
                <w:rFonts w:hint="eastAsia"/>
                <w:color w:val="auto"/>
                <w:szCs w:val="21"/>
              </w:rPr>
              <w:t>根据现场踏勘结果可知，</w:t>
            </w:r>
            <w:r>
              <w:rPr>
                <w:rFonts w:hint="eastAsia"/>
                <w:color w:val="auto"/>
                <w:szCs w:val="21"/>
                <w:u w:val="none"/>
                <w:lang w:val="en-US" w:eastAsia="zh-CN"/>
              </w:rPr>
              <w:t>印合110</w:t>
            </w:r>
            <w:r>
              <w:rPr>
                <w:rFonts w:hint="eastAsia"/>
                <w:color w:val="auto"/>
                <w:szCs w:val="21"/>
                <w:lang w:val="en-US" w:eastAsia="zh-CN"/>
              </w:rPr>
              <w:t>kV</w:t>
            </w:r>
            <w:r>
              <w:rPr>
                <w:rFonts w:hint="eastAsia"/>
                <w:color w:val="auto"/>
                <w:szCs w:val="21"/>
                <w:u w:val="none"/>
                <w:lang w:val="en-US" w:eastAsia="zh-CN"/>
              </w:rPr>
              <w:t>变电站站址周围</w:t>
            </w:r>
            <w:r>
              <w:rPr>
                <w:rFonts w:hint="eastAsia"/>
                <w:color w:val="auto"/>
                <w:szCs w:val="21"/>
              </w:rPr>
              <w:t>现状植被状况较好，不存在原有环境污染和生态破坏问题。</w:t>
            </w:r>
          </w:p>
        </w:tc>
      </w:tr>
      <w:tr w14:paraId="0EC4E8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4FF3D121">
            <w:pPr>
              <w:keepNext w:val="0"/>
              <w:keepLines w:val="0"/>
              <w:pageBreakBefore w:val="0"/>
              <w:widowControl w:val="0"/>
              <w:kinsoku/>
              <w:overflowPunct/>
              <w:topLinePunct w:val="0"/>
              <w:bidi w:val="0"/>
              <w:adjustRightInd w:val="0"/>
              <w:jc w:val="center"/>
              <w:rPr>
                <w:color w:val="FF0000"/>
                <w:kern w:val="0"/>
                <w:szCs w:val="21"/>
              </w:rPr>
            </w:pPr>
            <w:r>
              <w:rPr>
                <w:color w:val="auto"/>
                <w:kern w:val="0"/>
                <w:szCs w:val="21"/>
              </w:rPr>
              <w:t>生态环境敏感目标</w:t>
            </w:r>
          </w:p>
        </w:tc>
        <w:tc>
          <w:tcPr>
            <w:tcW w:w="8808" w:type="dxa"/>
            <w:vAlign w:val="center"/>
          </w:tcPr>
          <w:p w14:paraId="264417D6">
            <w:pPr>
              <w:keepNext w:val="0"/>
              <w:keepLines w:val="0"/>
              <w:pageBreakBefore w:val="0"/>
              <w:widowControl w:val="0"/>
              <w:tabs>
                <w:tab w:val="left" w:pos="3240"/>
              </w:tabs>
              <w:kinsoku/>
              <w:overflowPunct/>
              <w:topLinePunct w:val="0"/>
              <w:bidi w:val="0"/>
              <w:spacing w:line="360" w:lineRule="auto"/>
              <w:textAlignment w:val="baseline"/>
              <w:rPr>
                <w:rFonts w:ascii="黑体" w:hAnsi="黑体" w:eastAsia="黑体"/>
                <w:color w:val="auto"/>
                <w:szCs w:val="21"/>
              </w:rPr>
            </w:pPr>
            <w:r>
              <w:rPr>
                <w:rFonts w:hint="eastAsia" w:ascii="黑体" w:hAnsi="黑体" w:eastAsia="黑体"/>
                <w:color w:val="auto"/>
                <w:szCs w:val="21"/>
                <w:lang w:val="en-US" w:eastAsia="zh-CN"/>
              </w:rPr>
              <w:t>一</w:t>
            </w:r>
            <w:r>
              <w:rPr>
                <w:rFonts w:hint="eastAsia" w:ascii="黑体" w:hAnsi="黑体" w:eastAsia="黑体"/>
                <w:color w:val="auto"/>
                <w:szCs w:val="21"/>
              </w:rPr>
              <w:t>、评价范围</w:t>
            </w:r>
          </w:p>
          <w:p w14:paraId="55746C30">
            <w:pPr>
              <w:spacing w:line="360" w:lineRule="auto"/>
              <w:ind w:firstLine="420" w:firstLineChars="200"/>
              <w:rPr>
                <w:color w:val="auto"/>
                <w:szCs w:val="21"/>
              </w:rPr>
            </w:pPr>
            <w:r>
              <w:rPr>
                <w:rFonts w:hint="eastAsia" w:hAnsi="宋体"/>
                <w:color w:val="auto"/>
                <w:szCs w:val="21"/>
              </w:rPr>
              <w:t>（1）</w:t>
            </w:r>
            <w:r>
              <w:rPr>
                <w:rFonts w:hAnsi="宋体"/>
                <w:color w:val="auto"/>
                <w:szCs w:val="21"/>
              </w:rPr>
              <w:t>电磁环境</w:t>
            </w:r>
          </w:p>
          <w:p w14:paraId="29AEB417">
            <w:pPr>
              <w:spacing w:line="360" w:lineRule="auto"/>
              <w:ind w:firstLine="420" w:firstLineChars="200"/>
              <w:rPr>
                <w:color w:val="auto"/>
                <w:szCs w:val="21"/>
              </w:rPr>
            </w:pPr>
            <w:r>
              <w:rPr>
                <w:color w:val="auto"/>
                <w:szCs w:val="21"/>
              </w:rPr>
              <w:t>根据《环境影响评价技术导则 输变电》(HJ24-2020)，本项目属于</w:t>
            </w:r>
            <w:r>
              <w:rPr>
                <w:rFonts w:hint="eastAsia"/>
                <w:color w:val="auto"/>
                <w:szCs w:val="21"/>
              </w:rPr>
              <w:t>11</w:t>
            </w:r>
            <w:r>
              <w:rPr>
                <w:color w:val="auto"/>
                <w:szCs w:val="21"/>
              </w:rPr>
              <w:t>0kV交流输变电工程，电磁环境评价范围如下：</w:t>
            </w:r>
          </w:p>
          <w:p w14:paraId="6BDE4333">
            <w:pPr>
              <w:spacing w:line="360" w:lineRule="auto"/>
              <w:ind w:firstLine="420" w:firstLineChars="200"/>
              <w:rPr>
                <w:color w:val="auto"/>
                <w:szCs w:val="21"/>
              </w:rPr>
            </w:pPr>
            <w:r>
              <w:rPr>
                <w:rStyle w:val="56"/>
                <w:rFonts w:hint="eastAsia" w:ascii="宋体" w:hAnsi="宋体" w:cs="宋体"/>
                <w:color w:val="auto"/>
                <w:sz w:val="21"/>
                <w:szCs w:val="21"/>
              </w:rPr>
              <w:t>①</w:t>
            </w:r>
            <w:r>
              <w:rPr>
                <w:rStyle w:val="56"/>
                <w:rFonts w:hint="eastAsia" w:ascii="宋体" w:hAnsi="宋体" w:cs="宋体"/>
                <w:color w:val="auto"/>
                <w:sz w:val="21"/>
                <w:szCs w:val="21"/>
                <w:lang w:val="en-US" w:eastAsia="zh-CN"/>
              </w:rPr>
              <w:t>司城</w:t>
            </w:r>
            <w:r>
              <w:rPr>
                <w:rFonts w:hint="eastAsia"/>
                <w:color w:val="auto"/>
                <w:szCs w:val="21"/>
                <w:lang w:eastAsia="zh-CN"/>
              </w:rPr>
              <w:t>110kV变电站</w:t>
            </w:r>
            <w:r>
              <w:rPr>
                <w:color w:val="auto"/>
                <w:szCs w:val="21"/>
              </w:rPr>
              <w:t>：站界外30m；</w:t>
            </w:r>
          </w:p>
          <w:p w14:paraId="13E4043A">
            <w:pPr>
              <w:spacing w:line="360" w:lineRule="auto"/>
              <w:ind w:firstLine="420" w:firstLineChars="200"/>
              <w:rPr>
                <w:rFonts w:hint="eastAsia" w:hAnsi="宋体" w:eastAsia="宋体"/>
                <w:color w:val="auto"/>
                <w:szCs w:val="21"/>
                <w:lang w:eastAsia="zh-CN"/>
              </w:rPr>
            </w:pPr>
            <w:r>
              <w:rPr>
                <w:rFonts w:hint="eastAsia" w:ascii="宋体" w:hAnsi="宋体" w:cs="宋体"/>
                <w:color w:val="auto"/>
                <w:szCs w:val="21"/>
              </w:rPr>
              <w:t>②</w:t>
            </w:r>
            <w:r>
              <w:rPr>
                <w:color w:val="auto"/>
                <w:szCs w:val="21"/>
              </w:rPr>
              <w:t>110kV</w:t>
            </w:r>
            <w:r>
              <w:rPr>
                <w:rStyle w:val="56"/>
                <w:rFonts w:ascii="Times New Roman" w:hAnsi="Times New Roman"/>
                <w:color w:val="auto"/>
                <w:sz w:val="21"/>
                <w:szCs w:val="21"/>
              </w:rPr>
              <w:t>架空线路：边导线地面投影</w:t>
            </w:r>
            <w:r>
              <w:rPr>
                <w:rStyle w:val="56"/>
                <w:rFonts w:hint="eastAsia"/>
                <w:color w:val="auto"/>
                <w:sz w:val="21"/>
                <w:szCs w:val="21"/>
                <w:lang w:val="en-US" w:eastAsia="zh-CN"/>
              </w:rPr>
              <w:t>外</w:t>
            </w:r>
            <w:r>
              <w:rPr>
                <w:rStyle w:val="56"/>
                <w:rFonts w:ascii="Times New Roman" w:hAnsi="Times New Roman"/>
                <w:color w:val="auto"/>
                <w:sz w:val="21"/>
                <w:szCs w:val="21"/>
              </w:rPr>
              <w:t>两侧各30m</w:t>
            </w:r>
            <w:r>
              <w:rPr>
                <w:rStyle w:val="56"/>
                <w:rFonts w:hint="eastAsia"/>
                <w:color w:val="auto"/>
                <w:sz w:val="21"/>
                <w:szCs w:val="21"/>
                <w:lang w:eastAsia="zh-CN"/>
              </w:rPr>
              <w:t>；</w:t>
            </w:r>
          </w:p>
          <w:p w14:paraId="487ACD6B">
            <w:pPr>
              <w:spacing w:line="360" w:lineRule="auto"/>
              <w:ind w:firstLine="420" w:firstLineChars="200"/>
              <w:rPr>
                <w:rFonts w:hAnsi="宋体"/>
                <w:color w:val="auto"/>
                <w:szCs w:val="21"/>
              </w:rPr>
            </w:pPr>
            <w:r>
              <w:rPr>
                <w:rFonts w:hint="eastAsia" w:hAnsi="宋体"/>
                <w:color w:val="auto"/>
                <w:szCs w:val="21"/>
              </w:rPr>
              <w:t>（2）</w:t>
            </w:r>
            <w:r>
              <w:rPr>
                <w:rFonts w:hAnsi="宋体"/>
                <w:color w:val="auto"/>
                <w:szCs w:val="21"/>
              </w:rPr>
              <w:t>声环境</w:t>
            </w:r>
          </w:p>
          <w:p w14:paraId="554505CD">
            <w:pPr>
              <w:spacing w:line="360" w:lineRule="auto"/>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根据《环境影响评价技术导则 输变电》(HJ24-2020)和《环境影响评价技术导则 声环境》(HJ2.4-20</w:t>
            </w:r>
            <w:r>
              <w:rPr>
                <w:rFonts w:hint="eastAsia"/>
                <w:color w:val="000000" w:themeColor="text1"/>
                <w:szCs w:val="21"/>
                <w:lang w:val="en-US" w:eastAsia="zh-CN"/>
                <w14:textFill>
                  <w14:solidFill>
                    <w14:schemeClr w14:val="tx1"/>
                  </w14:solidFill>
                </w14:textFill>
              </w:rPr>
              <w:t>21</w:t>
            </w:r>
            <w:r>
              <w:rPr>
                <w:color w:val="000000" w:themeColor="text1"/>
                <w:szCs w:val="21"/>
                <w14:textFill>
                  <w14:solidFill>
                    <w14:schemeClr w14:val="tx1"/>
                  </w14:solidFill>
                </w14:textFill>
              </w:rPr>
              <w:t>)，声环境评价范围如下：</w:t>
            </w:r>
          </w:p>
          <w:p w14:paraId="65C05C00">
            <w:pPr>
              <w:spacing w:line="360" w:lineRule="auto"/>
              <w:ind w:firstLine="420" w:firstLineChars="200"/>
              <w:rPr>
                <w:rStyle w:val="56"/>
                <w:rFonts w:ascii="Times New Roman" w:hAnsi="Times New Roman" w:cs="Times New Roman"/>
                <w:color w:val="000000" w:themeColor="text1"/>
                <w:sz w:val="21"/>
                <w:szCs w:val="21"/>
                <w14:textFill>
                  <w14:solidFill>
                    <w14:schemeClr w14:val="tx1"/>
                  </w14:solidFill>
                </w14:textFill>
              </w:rPr>
            </w:pPr>
            <w:r>
              <w:rPr>
                <w:rStyle w:val="56"/>
                <w:rFonts w:hint="eastAsia" w:ascii="宋体" w:hAnsi="宋体" w:cs="宋体"/>
                <w:color w:val="auto"/>
                <w:sz w:val="21"/>
                <w:szCs w:val="21"/>
              </w:rPr>
              <w:t>①</w:t>
            </w:r>
            <w:r>
              <w:rPr>
                <w:rStyle w:val="56"/>
                <w:rFonts w:hint="eastAsia" w:ascii="宋体" w:hAnsi="宋体" w:cs="宋体"/>
                <w:color w:val="auto"/>
                <w:sz w:val="21"/>
                <w:szCs w:val="21"/>
                <w:lang w:val="en-US" w:eastAsia="zh-CN"/>
              </w:rPr>
              <w:t>司城</w:t>
            </w:r>
            <w:r>
              <w:rPr>
                <w:rFonts w:hint="eastAsia"/>
                <w:color w:val="auto"/>
                <w:szCs w:val="21"/>
                <w:lang w:eastAsia="zh-CN"/>
              </w:rPr>
              <w:t>110kV变电站</w:t>
            </w:r>
            <w:r>
              <w:rPr>
                <w:rStyle w:val="56"/>
                <w:rFonts w:ascii="Times New Roman" w:hAnsi="Times New Roman"/>
                <w:color w:val="auto"/>
                <w:sz w:val="21"/>
                <w:szCs w:val="21"/>
              </w:rPr>
              <w:t>：</w:t>
            </w:r>
            <w:r>
              <w:rPr>
                <w:rFonts w:ascii="Times New Roman" w:hAnsi="Times New Roman" w:cs="Times New Roman"/>
                <w:color w:val="000000" w:themeColor="text1"/>
                <w:szCs w:val="21"/>
                <w14:textFill>
                  <w14:solidFill>
                    <w14:schemeClr w14:val="tx1"/>
                  </w14:solidFill>
                </w14:textFill>
              </w:rPr>
              <w:t>站界外</w:t>
            </w:r>
            <w:r>
              <w:rPr>
                <w:rStyle w:val="56"/>
                <w:rFonts w:hint="eastAsia" w:ascii="Times New Roman" w:hAnsi="Times New Roman" w:cs="Times New Roman"/>
                <w:color w:val="000000" w:themeColor="text1"/>
                <w:sz w:val="21"/>
                <w:szCs w:val="21"/>
                <w:lang w:val="en-US" w:eastAsia="zh-CN"/>
                <w14:textFill>
                  <w14:solidFill>
                    <w14:schemeClr w14:val="tx1"/>
                  </w14:solidFill>
                </w14:textFill>
              </w:rPr>
              <w:t>20</w:t>
            </w:r>
            <w:r>
              <w:rPr>
                <w:rStyle w:val="56"/>
                <w:rFonts w:hint="default" w:ascii="Times New Roman" w:hAnsi="Times New Roman" w:cs="Times New Roman"/>
                <w:color w:val="000000" w:themeColor="text1"/>
                <w:sz w:val="21"/>
                <w:szCs w:val="21"/>
                <w:lang w:val="en-US" w:eastAsia="zh-CN"/>
                <w14:textFill>
                  <w14:solidFill>
                    <w14:schemeClr w14:val="tx1"/>
                  </w14:solidFill>
                </w14:textFill>
              </w:rPr>
              <w:t>0</w:t>
            </w:r>
            <w:r>
              <w:rPr>
                <w:rStyle w:val="56"/>
                <w:rFonts w:ascii="Times New Roman" w:hAnsi="Times New Roman" w:cs="Times New Roman"/>
                <w:color w:val="000000" w:themeColor="text1"/>
                <w:sz w:val="21"/>
                <w:szCs w:val="21"/>
                <w14:textFill>
                  <w14:solidFill>
                    <w14:schemeClr w14:val="tx1"/>
                  </w14:solidFill>
                </w14:textFill>
              </w:rPr>
              <w:t>m</w:t>
            </w:r>
            <w:r>
              <w:rPr>
                <w:rFonts w:hint="default" w:ascii="Times New Roman" w:hAnsi="Times New Roman" w:cs="Times New Roman"/>
                <w:color w:val="000000" w:themeColor="text1"/>
                <w:szCs w:val="21"/>
                <w:highlight w:val="none"/>
                <w14:textFill>
                  <w14:solidFill>
                    <w14:schemeClr w14:val="tx1"/>
                  </w14:solidFill>
                </w14:textFill>
              </w:rPr>
              <w:t>范围内的区域</w:t>
            </w:r>
            <w:r>
              <w:rPr>
                <w:rStyle w:val="56"/>
                <w:rFonts w:ascii="Times New Roman" w:hAnsi="Times New Roman" w:cs="Times New Roman"/>
                <w:color w:val="000000" w:themeColor="text1"/>
                <w:sz w:val="21"/>
                <w:szCs w:val="21"/>
                <w14:textFill>
                  <w14:solidFill>
                    <w14:schemeClr w14:val="tx1"/>
                  </w14:solidFill>
                </w14:textFill>
              </w:rPr>
              <w:t>；</w:t>
            </w:r>
          </w:p>
          <w:p w14:paraId="564BBAF5">
            <w:pPr>
              <w:spacing w:line="360" w:lineRule="auto"/>
              <w:ind w:firstLine="420" w:firstLineChars="200"/>
              <w:rPr>
                <w:color w:val="auto"/>
                <w:szCs w:val="21"/>
              </w:rPr>
            </w:pPr>
            <w:r>
              <w:rPr>
                <w:rFonts w:hint="eastAsia" w:ascii="宋体" w:hAnsi="宋体" w:cs="宋体"/>
                <w:color w:val="auto"/>
                <w:szCs w:val="21"/>
              </w:rPr>
              <w:t>②</w:t>
            </w:r>
            <w:r>
              <w:rPr>
                <w:color w:val="auto"/>
                <w:szCs w:val="21"/>
              </w:rPr>
              <w:t>110kV</w:t>
            </w:r>
            <w:r>
              <w:rPr>
                <w:rStyle w:val="56"/>
                <w:rFonts w:ascii="Times New Roman" w:hAnsi="Times New Roman"/>
                <w:color w:val="auto"/>
                <w:sz w:val="21"/>
                <w:szCs w:val="21"/>
              </w:rPr>
              <w:t>架空线路：边导线地面投影</w:t>
            </w:r>
            <w:r>
              <w:rPr>
                <w:rStyle w:val="56"/>
                <w:rFonts w:hint="eastAsia"/>
                <w:color w:val="auto"/>
                <w:sz w:val="21"/>
                <w:szCs w:val="21"/>
                <w:lang w:val="en-US" w:eastAsia="zh-CN"/>
              </w:rPr>
              <w:t>外</w:t>
            </w:r>
            <w:r>
              <w:rPr>
                <w:rStyle w:val="56"/>
                <w:rFonts w:ascii="Times New Roman" w:hAnsi="Times New Roman"/>
                <w:color w:val="auto"/>
                <w:sz w:val="21"/>
                <w:szCs w:val="21"/>
              </w:rPr>
              <w:t>两侧各30m</w:t>
            </w:r>
            <w:r>
              <w:rPr>
                <w:color w:val="auto"/>
                <w:szCs w:val="21"/>
              </w:rPr>
              <w:t>。</w:t>
            </w:r>
          </w:p>
          <w:p w14:paraId="018B59C4">
            <w:pPr>
              <w:spacing w:line="360" w:lineRule="auto"/>
              <w:ind w:firstLine="420" w:firstLineChars="200"/>
              <w:rPr>
                <w:color w:val="auto"/>
                <w:szCs w:val="21"/>
              </w:rPr>
            </w:pPr>
            <w:r>
              <w:rPr>
                <w:rFonts w:hint="eastAsia"/>
                <w:color w:val="auto"/>
                <w:szCs w:val="21"/>
              </w:rPr>
              <w:t>（3）</w:t>
            </w:r>
            <w:r>
              <w:rPr>
                <w:color w:val="auto"/>
                <w:szCs w:val="21"/>
              </w:rPr>
              <w:t>生态环境</w:t>
            </w:r>
          </w:p>
          <w:p w14:paraId="0E436799">
            <w:pPr>
              <w:spacing w:line="360" w:lineRule="auto"/>
              <w:ind w:firstLine="420" w:firstLineChars="200"/>
              <w:rPr>
                <w:color w:val="auto"/>
                <w:szCs w:val="21"/>
              </w:rPr>
            </w:pPr>
            <w:r>
              <w:rPr>
                <w:color w:val="auto"/>
                <w:szCs w:val="21"/>
              </w:rPr>
              <w:t>根据《环境影响评价技术导则 输变电》(HJ24-2020)</w:t>
            </w:r>
            <w:r>
              <w:rPr>
                <w:rFonts w:hint="eastAsia"/>
                <w:color w:val="auto"/>
              </w:rPr>
              <w:t xml:space="preserve"> </w:t>
            </w:r>
            <w:r>
              <w:rPr>
                <w:rFonts w:hint="eastAsia"/>
                <w:color w:val="auto"/>
                <w:lang w:eastAsia="zh-CN"/>
              </w:rPr>
              <w:t>，</w:t>
            </w:r>
            <w:r>
              <w:rPr>
                <w:color w:val="auto"/>
                <w:szCs w:val="21"/>
              </w:rPr>
              <w:t>本项目属于110kV交流输变电工程，生态环境评价范围如下：</w:t>
            </w:r>
          </w:p>
          <w:p w14:paraId="0E2D288E">
            <w:pPr>
              <w:spacing w:line="360" w:lineRule="auto"/>
              <w:ind w:firstLine="420" w:firstLineChars="200"/>
              <w:rPr>
                <w:color w:val="auto"/>
                <w:szCs w:val="21"/>
              </w:rPr>
            </w:pPr>
            <w:r>
              <w:rPr>
                <w:rStyle w:val="56"/>
                <w:rFonts w:hint="eastAsia"/>
                <w:color w:val="auto"/>
                <w:sz w:val="21"/>
                <w:szCs w:val="21"/>
              </w:rPr>
              <w:t>①</w:t>
            </w:r>
            <w:r>
              <w:rPr>
                <w:rStyle w:val="56"/>
                <w:rFonts w:hint="eastAsia"/>
                <w:color w:val="auto"/>
                <w:sz w:val="21"/>
                <w:szCs w:val="21"/>
                <w:lang w:val="en-US" w:eastAsia="zh-CN"/>
              </w:rPr>
              <w:t>司城</w:t>
            </w:r>
            <w:r>
              <w:rPr>
                <w:rFonts w:hint="eastAsia"/>
                <w:color w:val="auto"/>
                <w:szCs w:val="21"/>
                <w:lang w:eastAsia="zh-CN"/>
              </w:rPr>
              <w:t>110kV变电站</w:t>
            </w:r>
            <w:r>
              <w:rPr>
                <w:color w:val="auto"/>
                <w:szCs w:val="21"/>
              </w:rPr>
              <w:t>：站界外500m</w:t>
            </w:r>
            <w:r>
              <w:rPr>
                <w:rFonts w:hint="eastAsia"/>
                <w:color w:val="auto"/>
                <w:szCs w:val="21"/>
              </w:rPr>
              <w:t>内</w:t>
            </w:r>
            <w:r>
              <w:rPr>
                <w:color w:val="auto"/>
                <w:szCs w:val="21"/>
              </w:rPr>
              <w:t>；</w:t>
            </w:r>
          </w:p>
          <w:p w14:paraId="11BE2FE8">
            <w:pPr>
              <w:tabs>
                <w:tab w:val="left" w:pos="3240"/>
              </w:tabs>
              <w:spacing w:line="360" w:lineRule="auto"/>
              <w:ind w:firstLine="420" w:firstLineChars="200"/>
              <w:textAlignment w:val="baseline"/>
              <w:rPr>
                <w:color w:val="auto"/>
                <w:szCs w:val="21"/>
              </w:rPr>
            </w:pPr>
            <w:r>
              <w:rPr>
                <w:rFonts w:hint="eastAsia" w:ascii="宋体" w:hAnsi="宋体" w:cs="宋体"/>
                <w:color w:val="auto"/>
                <w:szCs w:val="21"/>
              </w:rPr>
              <w:t>②</w:t>
            </w:r>
            <w:r>
              <w:rPr>
                <w:color w:val="auto"/>
                <w:szCs w:val="21"/>
              </w:rPr>
              <w:t>输电线路：</w:t>
            </w:r>
            <w:r>
              <w:rPr>
                <w:rFonts w:hint="eastAsia"/>
                <w:color w:val="auto"/>
                <w:szCs w:val="21"/>
                <w:lang w:val="en-US" w:eastAsia="zh-CN"/>
              </w:rPr>
              <w:t>架空</w:t>
            </w:r>
            <w:r>
              <w:rPr>
                <w:rFonts w:hint="eastAsia"/>
                <w:bCs/>
                <w:color w:val="auto"/>
                <w:szCs w:val="21"/>
              </w:rPr>
              <w:t>线路边导线地面投影外两侧各300m以内的带状区域</w:t>
            </w:r>
            <w:r>
              <w:rPr>
                <w:color w:val="auto"/>
                <w:szCs w:val="21"/>
              </w:rPr>
              <w:t>。</w:t>
            </w:r>
          </w:p>
          <w:p w14:paraId="472ED63F">
            <w:pPr>
              <w:keepNext w:val="0"/>
              <w:keepLines w:val="0"/>
              <w:pageBreakBefore w:val="0"/>
              <w:widowControl w:val="0"/>
              <w:tabs>
                <w:tab w:val="left" w:pos="3240"/>
              </w:tabs>
              <w:kinsoku/>
              <w:overflowPunct/>
              <w:topLinePunct w:val="0"/>
              <w:bidi w:val="0"/>
              <w:spacing w:line="360" w:lineRule="auto"/>
              <w:textAlignment w:val="baseline"/>
              <w:rPr>
                <w:rFonts w:ascii="黑体" w:hAnsi="黑体" w:eastAsia="黑体"/>
                <w:color w:val="auto"/>
                <w:szCs w:val="21"/>
              </w:rPr>
            </w:pPr>
            <w:r>
              <w:rPr>
                <w:rFonts w:hint="eastAsia" w:ascii="黑体" w:hAnsi="黑体" w:eastAsia="黑体"/>
                <w:color w:val="auto"/>
                <w:szCs w:val="21"/>
                <w:lang w:val="en-US" w:eastAsia="zh-CN"/>
              </w:rPr>
              <w:t>二</w:t>
            </w:r>
            <w:r>
              <w:rPr>
                <w:rFonts w:hint="eastAsia" w:ascii="黑体" w:hAnsi="黑体" w:eastAsia="黑体"/>
                <w:color w:val="auto"/>
                <w:szCs w:val="21"/>
              </w:rPr>
              <w:t>、环境敏感目标</w:t>
            </w:r>
          </w:p>
          <w:p w14:paraId="1FC2989B">
            <w:pPr>
              <w:keepNext w:val="0"/>
              <w:keepLines w:val="0"/>
              <w:pageBreakBefore w:val="0"/>
              <w:widowControl w:val="0"/>
              <w:tabs>
                <w:tab w:val="left" w:pos="3240"/>
              </w:tabs>
              <w:kinsoku/>
              <w:overflowPunct/>
              <w:topLinePunct w:val="0"/>
              <w:bidi w:val="0"/>
              <w:spacing w:line="360" w:lineRule="auto"/>
              <w:ind w:firstLine="420" w:firstLineChars="200"/>
              <w:textAlignment w:val="baseline"/>
              <w:rPr>
                <w:color w:val="auto"/>
                <w:szCs w:val="21"/>
              </w:rPr>
            </w:pPr>
            <w:r>
              <w:rPr>
                <w:rFonts w:hint="eastAsia"/>
                <w:color w:val="auto"/>
                <w:szCs w:val="21"/>
              </w:rPr>
              <w:t>（1）生态环境保护目标</w:t>
            </w:r>
          </w:p>
          <w:p w14:paraId="7434AB74">
            <w:pPr>
              <w:keepNext w:val="0"/>
              <w:keepLines w:val="0"/>
              <w:pageBreakBefore w:val="0"/>
              <w:widowControl w:val="0"/>
              <w:tabs>
                <w:tab w:val="left" w:pos="3240"/>
              </w:tabs>
              <w:kinsoku/>
              <w:overflowPunct/>
              <w:topLinePunct w:val="0"/>
              <w:bidi w:val="0"/>
              <w:spacing w:line="360" w:lineRule="auto"/>
              <w:ind w:firstLine="420" w:firstLineChars="200"/>
              <w:textAlignment w:val="baseline"/>
              <w:rPr>
                <w:color w:val="auto"/>
                <w:szCs w:val="21"/>
              </w:rPr>
            </w:pPr>
            <w:r>
              <w:rPr>
                <w:color w:val="auto"/>
                <w:szCs w:val="21"/>
              </w:rPr>
              <w:t>本项目评价范围内</w:t>
            </w:r>
            <w:r>
              <w:rPr>
                <w:color w:val="auto"/>
                <w:kern w:val="0"/>
                <w:szCs w:val="21"/>
              </w:rPr>
              <w:t>不涉及</w:t>
            </w:r>
            <w:r>
              <w:rPr>
                <w:rFonts w:hint="eastAsia"/>
                <w:color w:val="auto"/>
                <w:kern w:val="0"/>
                <w:szCs w:val="21"/>
              </w:rPr>
              <w:t>国家公园、自然保护区、自然公园等自然保护地、世界自然遗产、生态保护红线等区域</w:t>
            </w:r>
            <w:r>
              <w:rPr>
                <w:rFonts w:hint="eastAsia"/>
                <w:color w:val="auto"/>
                <w:kern w:val="0"/>
                <w:szCs w:val="21"/>
                <w:lang w:eastAsia="zh-CN"/>
              </w:rPr>
              <w:t>，</w:t>
            </w:r>
            <w:r>
              <w:rPr>
                <w:rFonts w:hint="eastAsia"/>
                <w:color w:val="auto"/>
                <w:kern w:val="0"/>
                <w:szCs w:val="21"/>
                <w:lang w:val="en-US" w:eastAsia="zh-CN"/>
              </w:rPr>
              <w:t>不涉及</w:t>
            </w:r>
            <w:r>
              <w:rPr>
                <w:rFonts w:hint="eastAsia"/>
                <w:color w:val="auto"/>
                <w:kern w:val="0"/>
                <w:szCs w:val="21"/>
                <w:lang w:eastAsia="zh-CN"/>
              </w:rPr>
              <w:t>重要物种的天然集中分布区、栖息地，</w:t>
            </w:r>
            <w:r>
              <w:rPr>
                <w:rFonts w:hint="eastAsia"/>
                <w:color w:val="auto"/>
                <w:kern w:val="0"/>
                <w:szCs w:val="21"/>
                <w:lang w:val="en-US" w:eastAsia="zh-CN"/>
              </w:rPr>
              <w:t>不涉及迁徙鸟类的重要繁殖地、停歇地、越冬地以及野生动物迁徙通道</w:t>
            </w:r>
            <w:r>
              <w:rPr>
                <w:color w:val="auto"/>
                <w:szCs w:val="21"/>
              </w:rPr>
              <w:t>，</w:t>
            </w:r>
            <w:r>
              <w:rPr>
                <w:rFonts w:hint="eastAsia"/>
                <w:color w:val="auto"/>
                <w:szCs w:val="21"/>
                <w:lang w:val="en-US" w:eastAsia="zh-CN"/>
              </w:rPr>
              <w:t>不涉及受影响的重要物种，不涉及其他需要保护的物种、种群、生物群落及生态空间。</w:t>
            </w:r>
            <w:r>
              <w:rPr>
                <w:color w:val="auto"/>
                <w:szCs w:val="21"/>
              </w:rPr>
              <w:t>因此，不涉及</w:t>
            </w:r>
            <w:r>
              <w:rPr>
                <w:rFonts w:hint="eastAsia"/>
                <w:color w:val="auto"/>
                <w:szCs w:val="21"/>
              </w:rPr>
              <w:t>生态环境保护目标。</w:t>
            </w:r>
          </w:p>
          <w:p w14:paraId="421BF289">
            <w:pPr>
              <w:tabs>
                <w:tab w:val="left" w:pos="3240"/>
              </w:tabs>
              <w:spacing w:line="360" w:lineRule="auto"/>
              <w:ind w:firstLine="420" w:firstLineChars="200"/>
              <w:textAlignment w:val="baseline"/>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）地表水环境保护目标</w:t>
            </w:r>
          </w:p>
          <w:p w14:paraId="021C90D3">
            <w:pPr>
              <w:keepNext w:val="0"/>
              <w:keepLines w:val="0"/>
              <w:pageBreakBefore w:val="0"/>
              <w:widowControl w:val="0"/>
              <w:numPr>
                <w:ilvl w:val="-1"/>
                <w:numId w:val="0"/>
              </w:numPr>
              <w:tabs>
                <w:tab w:val="left" w:pos="3240"/>
              </w:tabs>
              <w:kinsoku/>
              <w:overflowPunct/>
              <w:topLinePunct w:val="0"/>
              <w:bidi w:val="0"/>
              <w:spacing w:line="360" w:lineRule="auto"/>
              <w:ind w:firstLine="420" w:firstLineChars="200"/>
              <w:textAlignment w:val="baseline"/>
              <w:rPr>
                <w:rFonts w:hint="eastAsia" w:eastAsia="宋体"/>
                <w:color w:val="auto"/>
                <w:szCs w:val="21"/>
                <w:lang w:val="en-US" w:eastAsia="zh-CN"/>
              </w:rPr>
            </w:pPr>
            <w:r>
              <w:rPr>
                <w:rFonts w:hint="eastAsia" w:cs="Times New Roman"/>
                <w:color w:val="auto"/>
                <w:szCs w:val="21"/>
                <w:lang w:eastAsia="zh-CN"/>
              </w:rPr>
              <w:t>根据设计资料和现场踏勘，本项目评价范围内不涉及饮用水水源保护区、珍稀鱼类保护区、水产种质资源保护区等</w:t>
            </w:r>
            <w:r>
              <w:rPr>
                <w:rFonts w:hint="eastAsia" w:cs="Times New Roman"/>
                <w:color w:val="auto"/>
                <w:szCs w:val="21"/>
                <w:lang w:val="en-US" w:eastAsia="zh-CN"/>
              </w:rPr>
              <w:t>特殊地表</w:t>
            </w:r>
            <w:r>
              <w:rPr>
                <w:rFonts w:hint="eastAsia" w:cs="Times New Roman"/>
                <w:color w:val="auto"/>
                <w:szCs w:val="21"/>
                <w:lang w:eastAsia="zh-CN"/>
              </w:rPr>
              <w:t>水环境</w:t>
            </w:r>
            <w:r>
              <w:rPr>
                <w:rFonts w:hint="eastAsia" w:cs="Times New Roman"/>
                <w:color w:val="auto"/>
                <w:szCs w:val="21"/>
                <w:lang w:val="en-US" w:eastAsia="zh-CN"/>
              </w:rPr>
              <w:t>保护目标</w:t>
            </w:r>
            <w:r>
              <w:rPr>
                <w:rFonts w:hint="eastAsia"/>
                <w:color w:val="auto"/>
                <w:szCs w:val="21"/>
                <w:lang w:eastAsia="zh-CN"/>
              </w:rPr>
              <w:t>。</w:t>
            </w:r>
          </w:p>
          <w:p w14:paraId="0F78142E">
            <w:pPr>
              <w:keepNext w:val="0"/>
              <w:keepLines w:val="0"/>
              <w:pageBreakBefore w:val="0"/>
              <w:widowControl w:val="0"/>
              <w:tabs>
                <w:tab w:val="left" w:pos="3240"/>
              </w:tabs>
              <w:kinsoku/>
              <w:overflowPunct/>
              <w:topLinePunct w:val="0"/>
              <w:bidi w:val="0"/>
              <w:spacing w:line="360" w:lineRule="auto"/>
              <w:ind w:firstLine="420" w:firstLineChars="200"/>
              <w:textAlignment w:val="baseline"/>
              <w:rPr>
                <w:color w:val="auto"/>
                <w:szCs w:val="21"/>
              </w:rPr>
            </w:pPr>
            <w:r>
              <w:rPr>
                <w:rFonts w:hint="eastAsia"/>
                <w:color w:val="auto"/>
                <w:szCs w:val="21"/>
              </w:rPr>
              <w:t>（</w:t>
            </w:r>
            <w:r>
              <w:rPr>
                <w:rFonts w:hint="eastAsia"/>
                <w:color w:val="auto"/>
                <w:szCs w:val="21"/>
                <w:lang w:val="en-US" w:eastAsia="zh-CN"/>
              </w:rPr>
              <w:t>3</w:t>
            </w:r>
            <w:r>
              <w:rPr>
                <w:rFonts w:hint="eastAsia"/>
                <w:color w:val="auto"/>
                <w:szCs w:val="21"/>
              </w:rPr>
              <w:t>）电磁和声环境敏感目标</w:t>
            </w:r>
          </w:p>
          <w:p w14:paraId="49C06C85">
            <w:pPr>
              <w:keepNext w:val="0"/>
              <w:keepLines w:val="0"/>
              <w:pageBreakBefore w:val="0"/>
              <w:widowControl w:val="0"/>
              <w:tabs>
                <w:tab w:val="left" w:pos="3240"/>
              </w:tabs>
              <w:kinsoku/>
              <w:overflowPunct/>
              <w:topLinePunct w:val="0"/>
              <w:bidi w:val="0"/>
              <w:spacing w:line="360" w:lineRule="auto"/>
              <w:ind w:firstLine="420" w:firstLineChars="200"/>
              <w:textAlignment w:val="baseline"/>
              <w:rPr>
                <w:color w:val="auto"/>
                <w:szCs w:val="21"/>
              </w:rPr>
            </w:pPr>
            <w:r>
              <w:rPr>
                <w:rFonts w:hint="eastAsia"/>
                <w:color w:val="auto"/>
                <w:szCs w:val="21"/>
              </w:rPr>
              <w:fldChar w:fldCharType="begin"/>
            </w:r>
            <w:r>
              <w:rPr>
                <w:rFonts w:hint="eastAsia"/>
                <w:color w:val="auto"/>
                <w:szCs w:val="21"/>
              </w:rPr>
              <w:instrText xml:space="preserve"> = 1 \* GB3 \* MERGEFORMAT </w:instrText>
            </w:r>
            <w:r>
              <w:rPr>
                <w:rFonts w:hint="eastAsia"/>
                <w:color w:val="auto"/>
                <w:szCs w:val="21"/>
              </w:rPr>
              <w:fldChar w:fldCharType="separate"/>
            </w:r>
            <w:r>
              <w:rPr>
                <w:color w:val="auto"/>
              </w:rPr>
              <w:t>①</w:t>
            </w:r>
            <w:r>
              <w:rPr>
                <w:rFonts w:hint="eastAsia"/>
                <w:color w:val="auto"/>
                <w:szCs w:val="21"/>
              </w:rPr>
              <w:fldChar w:fldCharType="end"/>
            </w:r>
            <w:r>
              <w:rPr>
                <w:rFonts w:hint="eastAsia"/>
                <w:color w:val="auto"/>
                <w:szCs w:val="21"/>
              </w:rPr>
              <w:t>输电线路环境敏感目标</w:t>
            </w:r>
          </w:p>
          <w:p w14:paraId="5FFC0747">
            <w:pPr>
              <w:keepNext w:val="0"/>
              <w:keepLines w:val="0"/>
              <w:pageBreakBefore w:val="0"/>
              <w:widowControl w:val="0"/>
              <w:tabs>
                <w:tab w:val="left" w:pos="3240"/>
              </w:tabs>
              <w:kinsoku/>
              <w:overflowPunct/>
              <w:topLinePunct w:val="0"/>
              <w:bidi w:val="0"/>
              <w:spacing w:line="360" w:lineRule="auto"/>
              <w:ind w:firstLine="420" w:firstLineChars="200"/>
              <w:textAlignment w:val="baseline"/>
              <w:rPr>
                <w:color w:val="auto"/>
                <w:szCs w:val="21"/>
              </w:rPr>
            </w:pPr>
            <w:r>
              <w:rPr>
                <w:rFonts w:hint="eastAsia"/>
                <w:color w:val="auto"/>
                <w:szCs w:val="21"/>
              </w:rPr>
              <w:t>本项目110kV输电线路电磁环境评价范围内（边导线外30m）</w:t>
            </w:r>
            <w:r>
              <w:rPr>
                <w:rFonts w:hint="eastAsia"/>
                <w:color w:val="auto"/>
                <w:szCs w:val="21"/>
                <w:lang w:val="en-US" w:eastAsia="zh-CN"/>
              </w:rPr>
              <w:t>存在24</w:t>
            </w:r>
            <w:r>
              <w:rPr>
                <w:rFonts w:hint="eastAsia"/>
                <w:color w:val="auto"/>
                <w:szCs w:val="21"/>
              </w:rPr>
              <w:t>处环境敏感目标（即</w:t>
            </w:r>
            <w:r>
              <w:rPr>
                <w:rFonts w:hint="eastAsia"/>
                <w:color w:val="auto"/>
                <w:szCs w:val="21"/>
                <w:lang w:val="en-US" w:eastAsia="zh-CN"/>
              </w:rPr>
              <w:t>1</w:t>
            </w:r>
            <w:r>
              <w:rPr>
                <w:rFonts w:hint="eastAsia"/>
                <w:color w:val="auto"/>
                <w:szCs w:val="21"/>
              </w:rPr>
              <w:t>~</w:t>
            </w:r>
            <w:r>
              <w:rPr>
                <w:rFonts w:hint="eastAsia"/>
                <w:color w:val="auto"/>
                <w:szCs w:val="21"/>
                <w:lang w:val="en-US" w:eastAsia="zh-CN"/>
              </w:rPr>
              <w:t>24</w:t>
            </w:r>
            <w:r>
              <w:rPr>
                <w:rFonts w:hint="eastAsia"/>
                <w:color w:val="auto"/>
                <w:szCs w:val="21"/>
              </w:rPr>
              <w:t>#环境敏感目标）</w:t>
            </w:r>
            <w:r>
              <w:rPr>
                <w:rFonts w:hint="eastAsia"/>
                <w:color w:val="auto"/>
                <w:szCs w:val="21"/>
                <w:lang w:eastAsia="zh-CN"/>
              </w:rPr>
              <w:t>，</w:t>
            </w:r>
            <w:r>
              <w:rPr>
                <w:rFonts w:hint="eastAsia"/>
                <w:color w:val="auto"/>
                <w:szCs w:val="21"/>
              </w:rPr>
              <w:t>声环境评价范围内（边导线外30m）存在</w:t>
            </w:r>
            <w:r>
              <w:rPr>
                <w:rFonts w:hint="eastAsia"/>
                <w:color w:val="auto"/>
                <w:szCs w:val="21"/>
                <w:lang w:val="en-US" w:eastAsia="zh-CN"/>
              </w:rPr>
              <w:t>24</w:t>
            </w:r>
            <w:r>
              <w:rPr>
                <w:rFonts w:hint="eastAsia"/>
                <w:color w:val="auto"/>
                <w:szCs w:val="21"/>
              </w:rPr>
              <w:t>处环境敏感目标（即</w:t>
            </w:r>
            <w:r>
              <w:rPr>
                <w:rFonts w:hint="eastAsia"/>
                <w:color w:val="auto"/>
                <w:szCs w:val="21"/>
                <w:lang w:val="en-US" w:eastAsia="zh-CN"/>
              </w:rPr>
              <w:t>1</w:t>
            </w:r>
            <w:r>
              <w:rPr>
                <w:rFonts w:hint="eastAsia"/>
                <w:color w:val="auto"/>
                <w:szCs w:val="21"/>
              </w:rPr>
              <w:t>~</w:t>
            </w:r>
            <w:r>
              <w:rPr>
                <w:rFonts w:hint="eastAsia"/>
                <w:color w:val="auto"/>
                <w:szCs w:val="21"/>
                <w:lang w:val="en-US" w:eastAsia="zh-CN"/>
              </w:rPr>
              <w:t>24</w:t>
            </w:r>
            <w:r>
              <w:rPr>
                <w:rFonts w:hint="eastAsia"/>
                <w:color w:val="auto"/>
                <w:szCs w:val="21"/>
              </w:rPr>
              <w:t>#环境敏感目标）。</w:t>
            </w:r>
          </w:p>
          <w:p w14:paraId="3A3E7B15">
            <w:pPr>
              <w:keepNext w:val="0"/>
              <w:keepLines w:val="0"/>
              <w:pageBreakBefore w:val="0"/>
              <w:widowControl w:val="0"/>
              <w:tabs>
                <w:tab w:val="left" w:pos="3240"/>
              </w:tabs>
              <w:kinsoku/>
              <w:overflowPunct/>
              <w:topLinePunct w:val="0"/>
              <w:bidi w:val="0"/>
              <w:spacing w:line="360" w:lineRule="auto"/>
              <w:ind w:firstLine="420" w:firstLineChars="200"/>
              <w:textAlignment w:val="baseline"/>
              <w:rPr>
                <w:color w:val="auto"/>
                <w:szCs w:val="21"/>
              </w:rPr>
            </w:pPr>
            <w:r>
              <w:rPr>
                <w:rFonts w:hint="eastAsia"/>
                <w:color w:val="auto"/>
                <w:szCs w:val="21"/>
              </w:rPr>
              <w:fldChar w:fldCharType="begin"/>
            </w:r>
            <w:r>
              <w:rPr>
                <w:rFonts w:hint="eastAsia"/>
                <w:color w:val="auto"/>
                <w:szCs w:val="21"/>
              </w:rPr>
              <w:instrText xml:space="preserve"> = 2 \* GB3 \* MERGEFORMAT </w:instrText>
            </w:r>
            <w:r>
              <w:rPr>
                <w:rFonts w:hint="eastAsia"/>
                <w:color w:val="auto"/>
                <w:szCs w:val="21"/>
              </w:rPr>
              <w:fldChar w:fldCharType="separate"/>
            </w:r>
            <w:r>
              <w:rPr>
                <w:color w:val="auto"/>
              </w:rPr>
              <w:t>②</w:t>
            </w:r>
            <w:r>
              <w:rPr>
                <w:rFonts w:hint="eastAsia"/>
                <w:color w:val="auto"/>
                <w:szCs w:val="21"/>
              </w:rPr>
              <w:fldChar w:fldCharType="end"/>
            </w:r>
            <w:r>
              <w:rPr>
                <w:rFonts w:hint="eastAsia"/>
                <w:color w:val="auto"/>
                <w:szCs w:val="21"/>
              </w:rPr>
              <w:t>变电站环境敏感目标</w:t>
            </w:r>
          </w:p>
          <w:p w14:paraId="3F45A697">
            <w:pPr>
              <w:keepNext w:val="0"/>
              <w:keepLines w:val="0"/>
              <w:pageBreakBefore w:val="0"/>
              <w:widowControl w:val="0"/>
              <w:tabs>
                <w:tab w:val="left" w:pos="3240"/>
              </w:tabs>
              <w:kinsoku/>
              <w:overflowPunct/>
              <w:topLinePunct w:val="0"/>
              <w:bidi w:val="0"/>
              <w:spacing w:line="360" w:lineRule="auto"/>
              <w:ind w:firstLine="420" w:firstLineChars="200"/>
              <w:textAlignment w:val="baseline"/>
              <w:rPr>
                <w:color w:val="auto"/>
                <w:szCs w:val="21"/>
              </w:rPr>
            </w:pPr>
            <w:r>
              <w:rPr>
                <w:rFonts w:hint="eastAsia"/>
                <w:color w:val="auto"/>
                <w:szCs w:val="21"/>
              </w:rPr>
              <w:t>本项目</w:t>
            </w:r>
            <w:r>
              <w:rPr>
                <w:rFonts w:hint="eastAsia" w:cs="Times New Roman"/>
                <w:color w:val="auto"/>
                <w:kern w:val="0"/>
                <w:szCs w:val="21"/>
                <w:lang w:val="en-US" w:eastAsia="zh-CN"/>
              </w:rPr>
              <w:t>司城</w:t>
            </w:r>
            <w:r>
              <w:rPr>
                <w:rFonts w:hint="eastAsia"/>
                <w:color w:val="auto"/>
                <w:szCs w:val="21"/>
              </w:rPr>
              <w:t>110kV变电站电磁环境评价范围内（站界外30m）</w:t>
            </w:r>
            <w:r>
              <w:rPr>
                <w:rFonts w:hint="eastAsia"/>
                <w:color w:val="auto"/>
                <w:szCs w:val="21"/>
                <w:lang w:val="en-US" w:eastAsia="zh-CN"/>
              </w:rPr>
              <w:t>不</w:t>
            </w:r>
            <w:r>
              <w:rPr>
                <w:rFonts w:hint="eastAsia"/>
                <w:color w:val="auto"/>
                <w:szCs w:val="21"/>
              </w:rPr>
              <w:t>存在环境敏感目标，声环境评价范围内（站界外200m）存在</w:t>
            </w:r>
            <w:r>
              <w:rPr>
                <w:rFonts w:hint="eastAsia"/>
                <w:color w:val="auto"/>
                <w:szCs w:val="21"/>
                <w:lang w:val="en-US" w:eastAsia="zh-CN"/>
              </w:rPr>
              <w:t>6</w:t>
            </w:r>
            <w:r>
              <w:rPr>
                <w:rFonts w:hint="eastAsia"/>
                <w:color w:val="auto"/>
                <w:szCs w:val="21"/>
              </w:rPr>
              <w:t>处敏感目标（即</w:t>
            </w:r>
            <w:r>
              <w:rPr>
                <w:rFonts w:hint="eastAsia"/>
                <w:color w:val="auto"/>
                <w:szCs w:val="21"/>
                <w:lang w:val="en-US" w:eastAsia="zh-CN"/>
              </w:rPr>
              <w:t>25</w:t>
            </w:r>
            <w:r>
              <w:rPr>
                <w:rFonts w:hint="eastAsia"/>
                <w:color w:val="auto"/>
                <w:szCs w:val="21"/>
              </w:rPr>
              <w:t>～</w:t>
            </w:r>
            <w:r>
              <w:rPr>
                <w:rFonts w:hint="eastAsia"/>
                <w:color w:val="auto"/>
                <w:szCs w:val="21"/>
                <w:lang w:val="en-US" w:eastAsia="zh-CN"/>
              </w:rPr>
              <w:t>28</w:t>
            </w:r>
            <w:r>
              <w:rPr>
                <w:rFonts w:hint="eastAsia"/>
                <w:color w:val="auto"/>
                <w:szCs w:val="21"/>
              </w:rPr>
              <w:t>#环境敏感目标</w:t>
            </w:r>
            <w:r>
              <w:rPr>
                <w:rFonts w:hint="eastAsia"/>
                <w:color w:val="auto"/>
                <w:szCs w:val="21"/>
                <w:lang w:eastAsia="zh-CN"/>
              </w:rPr>
              <w:t>，</w:t>
            </w:r>
            <w:r>
              <w:rPr>
                <w:rFonts w:hint="eastAsia" w:ascii="Times New Roman" w:hAnsi="Times New Roman" w:cs="Times New Roman"/>
                <w:color w:val="auto"/>
                <w:szCs w:val="21"/>
                <w:highlight w:val="none"/>
                <w:lang w:eastAsia="zh-CN"/>
              </w:rPr>
              <w:t>其中</w:t>
            </w:r>
            <w:r>
              <w:rPr>
                <w:rFonts w:hint="eastAsia" w:ascii="Times New Roman" w:hAnsi="Times New Roman" w:cs="Times New Roman"/>
                <w:color w:val="auto"/>
                <w:szCs w:val="21"/>
                <w:highlight w:val="none"/>
                <w:lang w:val="en-US" w:eastAsia="zh-CN"/>
              </w:rPr>
              <w:t>27</w:t>
            </w:r>
            <w:r>
              <w:rPr>
                <w:rFonts w:hint="eastAsia" w:ascii="Times New Roman" w:hAnsi="Times New Roman" w:cs="Times New Roman"/>
                <w:color w:val="auto"/>
                <w:szCs w:val="21"/>
                <w:highlight w:val="none"/>
                <w:lang w:eastAsia="zh-CN"/>
              </w:rPr>
              <w:t>#环境敏感目标分为</w:t>
            </w:r>
            <w:r>
              <w:rPr>
                <w:rFonts w:hint="eastAsia" w:ascii="Times New Roman" w:hAnsi="Times New Roman" w:cs="Times New Roman"/>
                <w:color w:val="auto"/>
                <w:szCs w:val="21"/>
                <w:highlight w:val="none"/>
                <w:lang w:val="en-US" w:eastAsia="zh-CN"/>
              </w:rPr>
              <w:t>27</w:t>
            </w:r>
            <w:r>
              <w:rPr>
                <w:rFonts w:hint="eastAsia" w:ascii="Times New Roman" w:hAnsi="Times New Roman" w:cs="Times New Roman"/>
                <w:color w:val="auto"/>
                <w:szCs w:val="21"/>
                <w:highlight w:val="none"/>
                <w:lang w:eastAsia="zh-CN"/>
              </w:rPr>
              <w:t>-1#和</w:t>
            </w:r>
            <w:r>
              <w:rPr>
                <w:rFonts w:hint="eastAsia" w:ascii="Times New Roman" w:hAnsi="Times New Roman" w:cs="Times New Roman"/>
                <w:color w:val="auto"/>
                <w:szCs w:val="21"/>
                <w:highlight w:val="none"/>
                <w:lang w:val="en-US" w:eastAsia="zh-CN"/>
              </w:rPr>
              <w:t>27</w:t>
            </w:r>
            <w:r>
              <w:rPr>
                <w:rFonts w:hint="eastAsia" w:ascii="Times New Roman" w:hAnsi="Times New Roman" w:cs="Times New Roman"/>
                <w:color w:val="auto"/>
                <w:szCs w:val="21"/>
                <w:highlight w:val="none"/>
                <w:lang w:eastAsia="zh-CN"/>
              </w:rPr>
              <w:t>-2#，</w:t>
            </w:r>
            <w:r>
              <w:rPr>
                <w:rFonts w:hint="eastAsia" w:ascii="Times New Roman" w:hAnsi="Times New Roman" w:cs="Times New Roman"/>
                <w:color w:val="auto"/>
                <w:szCs w:val="21"/>
                <w:highlight w:val="none"/>
                <w:lang w:val="en-US" w:eastAsia="zh-CN"/>
              </w:rPr>
              <w:t>28</w:t>
            </w:r>
            <w:r>
              <w:rPr>
                <w:rFonts w:hint="eastAsia" w:ascii="Times New Roman" w:hAnsi="Times New Roman" w:cs="Times New Roman"/>
                <w:color w:val="auto"/>
                <w:szCs w:val="21"/>
                <w:highlight w:val="none"/>
                <w:lang w:eastAsia="zh-CN"/>
              </w:rPr>
              <w:t>#环境敏感目标分为</w:t>
            </w:r>
            <w:r>
              <w:rPr>
                <w:rFonts w:hint="eastAsia" w:ascii="Times New Roman" w:hAnsi="Times New Roman" w:cs="Times New Roman"/>
                <w:color w:val="auto"/>
                <w:szCs w:val="21"/>
                <w:highlight w:val="none"/>
                <w:lang w:val="en-US" w:eastAsia="zh-CN"/>
              </w:rPr>
              <w:t>28</w:t>
            </w:r>
            <w:r>
              <w:rPr>
                <w:rFonts w:hint="eastAsia" w:ascii="Times New Roman" w:hAnsi="Times New Roman" w:cs="Times New Roman"/>
                <w:color w:val="auto"/>
                <w:szCs w:val="21"/>
                <w:highlight w:val="none"/>
                <w:lang w:eastAsia="zh-CN"/>
              </w:rPr>
              <w:t>-1#和</w:t>
            </w:r>
            <w:r>
              <w:rPr>
                <w:rFonts w:hint="eastAsia" w:ascii="Times New Roman" w:hAnsi="Times New Roman" w:cs="Times New Roman"/>
                <w:color w:val="auto"/>
                <w:szCs w:val="21"/>
                <w:highlight w:val="none"/>
                <w:lang w:val="en-US" w:eastAsia="zh-CN"/>
              </w:rPr>
              <w:t>28</w:t>
            </w:r>
            <w:r>
              <w:rPr>
                <w:rFonts w:hint="eastAsia" w:ascii="Times New Roman" w:hAnsi="Times New Roman" w:cs="Times New Roman"/>
                <w:color w:val="auto"/>
                <w:szCs w:val="21"/>
                <w:highlight w:val="none"/>
                <w:lang w:eastAsia="zh-CN"/>
              </w:rPr>
              <w:t>-2#</w:t>
            </w:r>
            <w:r>
              <w:rPr>
                <w:rFonts w:hint="eastAsia"/>
                <w:color w:val="auto"/>
                <w:szCs w:val="21"/>
              </w:rPr>
              <w:t>）。</w:t>
            </w:r>
          </w:p>
        </w:tc>
      </w:tr>
      <w:tr w14:paraId="175B0A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690" w:type="dxa"/>
            <w:vAlign w:val="center"/>
          </w:tcPr>
          <w:p w14:paraId="5C909467">
            <w:pPr>
              <w:keepNext w:val="0"/>
              <w:keepLines w:val="0"/>
              <w:pageBreakBefore w:val="0"/>
              <w:widowControl w:val="0"/>
              <w:kinsoku/>
              <w:overflowPunct/>
              <w:topLinePunct w:val="0"/>
              <w:bidi w:val="0"/>
              <w:adjustRightInd w:val="0"/>
              <w:jc w:val="center"/>
              <w:rPr>
                <w:color w:val="auto"/>
                <w:kern w:val="0"/>
                <w:szCs w:val="21"/>
              </w:rPr>
            </w:pPr>
            <w:r>
              <w:rPr>
                <w:color w:val="auto"/>
                <w:kern w:val="0"/>
                <w:szCs w:val="21"/>
              </w:rPr>
              <w:t>评价</w:t>
            </w:r>
          </w:p>
          <w:p w14:paraId="2F82DD85">
            <w:pPr>
              <w:keepNext w:val="0"/>
              <w:keepLines w:val="0"/>
              <w:pageBreakBefore w:val="0"/>
              <w:widowControl w:val="0"/>
              <w:kinsoku/>
              <w:overflowPunct/>
              <w:topLinePunct w:val="0"/>
              <w:bidi w:val="0"/>
              <w:adjustRightInd w:val="0"/>
              <w:jc w:val="center"/>
              <w:rPr>
                <w:color w:val="FF0000"/>
                <w:kern w:val="0"/>
                <w:szCs w:val="21"/>
              </w:rPr>
            </w:pPr>
            <w:r>
              <w:rPr>
                <w:color w:val="auto"/>
                <w:kern w:val="0"/>
                <w:szCs w:val="21"/>
              </w:rPr>
              <w:t>标准</w:t>
            </w:r>
          </w:p>
        </w:tc>
        <w:tc>
          <w:tcPr>
            <w:tcW w:w="8808" w:type="dxa"/>
            <w:vAlign w:val="center"/>
          </w:tcPr>
          <w:p w14:paraId="7DC17F9A">
            <w:pPr>
              <w:keepNext w:val="0"/>
              <w:keepLines w:val="0"/>
              <w:pageBreakBefore w:val="0"/>
              <w:widowControl w:val="0"/>
              <w:kinsoku/>
              <w:overflowPunct/>
              <w:topLinePunct w:val="0"/>
              <w:bidi w:val="0"/>
              <w:spacing w:line="360" w:lineRule="auto"/>
              <w:ind w:firstLine="420" w:firstLineChars="200"/>
              <w:rPr>
                <w:rFonts w:eastAsia="黑体"/>
                <w:color w:val="auto"/>
                <w:szCs w:val="21"/>
                <w:highlight w:val="none"/>
              </w:rPr>
            </w:pPr>
            <w:r>
              <w:rPr>
                <w:rFonts w:eastAsia="黑体"/>
                <w:color w:val="auto"/>
                <w:szCs w:val="21"/>
                <w:highlight w:val="none"/>
              </w:rPr>
              <w:t>一、环境质量标准</w:t>
            </w:r>
          </w:p>
          <w:p w14:paraId="7532FD61">
            <w:pPr>
              <w:spacing w:line="360" w:lineRule="auto"/>
              <w:ind w:firstLine="420" w:firstLineChars="200"/>
              <w:rPr>
                <w:color w:val="auto"/>
                <w:szCs w:val="21"/>
              </w:rPr>
            </w:pPr>
            <w:r>
              <w:rPr>
                <w:color w:val="auto"/>
                <w:szCs w:val="21"/>
              </w:rPr>
              <w:t>（1）地表水：执行《地表水环境质量标准》（GB3838-2002）中Ⅲ类水域标准。</w:t>
            </w:r>
          </w:p>
          <w:p w14:paraId="1EFD2753">
            <w:pPr>
              <w:spacing w:line="360" w:lineRule="auto"/>
              <w:ind w:firstLine="420" w:firstLineChars="200"/>
              <w:rPr>
                <w:color w:val="auto"/>
                <w:szCs w:val="21"/>
              </w:rPr>
            </w:pPr>
            <w:r>
              <w:rPr>
                <w:color w:val="auto"/>
                <w:szCs w:val="21"/>
              </w:rPr>
              <w:t>（2）环境</w:t>
            </w:r>
            <w:r>
              <w:rPr>
                <w:color w:val="auto"/>
                <w:szCs w:val="21"/>
                <w:highlight w:val="none"/>
              </w:rPr>
              <w:t>空气：执行《环境空气质量标准》（GB3095-</w:t>
            </w:r>
            <w:r>
              <w:rPr>
                <w:rFonts w:hint="eastAsia"/>
                <w:color w:val="auto"/>
                <w:szCs w:val="21"/>
                <w:highlight w:val="none"/>
                <w:lang w:val="en-US" w:eastAsia="zh-CN"/>
              </w:rPr>
              <w:t>2026</w:t>
            </w:r>
            <w:r>
              <w:rPr>
                <w:color w:val="auto"/>
                <w:szCs w:val="21"/>
                <w:highlight w:val="none"/>
              </w:rPr>
              <w:t>）</w:t>
            </w:r>
            <w:r>
              <w:rPr>
                <w:color w:val="auto"/>
                <w:szCs w:val="21"/>
              </w:rPr>
              <w:t>中</w:t>
            </w:r>
            <w:r>
              <w:rPr>
                <w:rFonts w:hint="eastAsia"/>
                <w:color w:val="auto"/>
                <w:szCs w:val="21"/>
                <w:lang w:val="en-US" w:eastAsia="zh-CN"/>
              </w:rPr>
              <w:t>过渡时期</w:t>
            </w:r>
            <w:r>
              <w:rPr>
                <w:color w:val="auto"/>
                <w:szCs w:val="21"/>
              </w:rPr>
              <w:t>二类标准。</w:t>
            </w:r>
          </w:p>
          <w:p w14:paraId="481158FF">
            <w:pPr>
              <w:spacing w:line="360" w:lineRule="auto"/>
              <w:ind w:firstLine="420" w:firstLineChars="200"/>
              <w:rPr>
                <w:rFonts w:hint="eastAsia" w:cs="Times New Roman"/>
                <w:color w:val="auto"/>
                <w:szCs w:val="21"/>
                <w:highlight w:val="none"/>
                <w:lang w:val="en-US" w:eastAsia="zh-CN"/>
              </w:rPr>
            </w:pPr>
            <w:r>
              <w:rPr>
                <w:color w:val="auto"/>
                <w:szCs w:val="21"/>
                <w:highlight w:val="none"/>
              </w:rPr>
              <w:t>（3）声环境：</w:t>
            </w:r>
            <w:r>
              <w:rPr>
                <w:rFonts w:hint="default" w:ascii="Times New Roman" w:hAnsi="Times New Roman" w:cs="Times New Roman"/>
                <w:color w:val="auto"/>
                <w:szCs w:val="21"/>
                <w:highlight w:val="none"/>
              </w:rPr>
              <w:t>根据</w:t>
            </w:r>
            <w:r>
              <w:rPr>
                <w:rFonts w:hint="eastAsia" w:cs="Times New Roman"/>
                <w:color w:val="auto"/>
                <w:szCs w:val="21"/>
                <w:highlight w:val="none"/>
                <w:lang w:val="en-US" w:eastAsia="zh-CN"/>
              </w:rPr>
              <w:t>巴中市生态环境局《关于明确&lt;巴中市城区噪声功能区调整划分方案&gt;中有关情况的函》</w:t>
            </w:r>
            <w:r>
              <w:rPr>
                <w:rFonts w:hint="default" w:ascii="Times New Roman" w:hAnsi="Times New Roman" w:cs="Times New Roman"/>
                <w:color w:val="auto"/>
                <w:szCs w:val="21"/>
                <w:highlight w:val="none"/>
                <w:lang w:val="en-US" w:eastAsia="zh-CN"/>
              </w:rPr>
              <w:t>及本项目与</w:t>
            </w:r>
            <w:r>
              <w:rPr>
                <w:rFonts w:hint="eastAsia" w:cs="Times New Roman"/>
                <w:color w:val="auto"/>
                <w:szCs w:val="21"/>
                <w:highlight w:val="none"/>
                <w:lang w:val="en-US" w:eastAsia="zh-CN"/>
              </w:rPr>
              <w:t>巴中市</w:t>
            </w:r>
            <w:r>
              <w:rPr>
                <w:rFonts w:hint="default" w:ascii="Times New Roman" w:hAnsi="Times New Roman" w:cs="Times New Roman"/>
                <w:color w:val="auto"/>
                <w:szCs w:val="21"/>
                <w:highlight w:val="none"/>
                <w:lang w:val="en-US" w:eastAsia="zh-CN"/>
              </w:rPr>
              <w:t>声环境功能区划</w:t>
            </w:r>
            <w:r>
              <w:rPr>
                <w:rFonts w:hint="eastAsia" w:cs="Times New Roman"/>
                <w:color w:val="auto"/>
                <w:szCs w:val="21"/>
                <w:highlight w:val="none"/>
                <w:lang w:val="en-US" w:eastAsia="zh-CN"/>
              </w:rPr>
              <w:t>分</w:t>
            </w:r>
            <w:r>
              <w:rPr>
                <w:rFonts w:hint="default" w:ascii="Times New Roman" w:hAnsi="Times New Roman" w:cs="Times New Roman"/>
                <w:color w:val="auto"/>
                <w:szCs w:val="21"/>
                <w:highlight w:val="none"/>
                <w:lang w:val="en-US" w:eastAsia="zh-CN"/>
              </w:rPr>
              <w:t>位置关系图（详见附图1</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lang w:val="en-US" w:eastAsia="zh-CN"/>
              </w:rPr>
              <w:t>）</w:t>
            </w:r>
            <w:r>
              <w:rPr>
                <w:rFonts w:hint="eastAsia" w:cs="Times New Roman"/>
                <w:color w:val="auto"/>
                <w:szCs w:val="21"/>
                <w:highlight w:val="none"/>
                <w:lang w:val="en-US" w:eastAsia="zh-CN"/>
              </w:rPr>
              <w:t>。</w:t>
            </w:r>
          </w:p>
          <w:p w14:paraId="1390015C">
            <w:pPr>
              <w:keepNext w:val="0"/>
              <w:keepLines w:val="0"/>
              <w:suppressLineNumbers w:val="0"/>
              <w:spacing w:before="0" w:beforeAutospacing="0" w:after="0" w:afterAutospacing="0" w:line="360" w:lineRule="auto"/>
              <w:ind w:left="0" w:right="0" w:firstLine="420" w:firstLineChars="200"/>
              <w:rPr>
                <w:rFonts w:hint="default"/>
                <w:color w:val="auto"/>
                <w:szCs w:val="21"/>
              </w:rPr>
            </w:pPr>
            <w:r>
              <w:rPr>
                <w:rFonts w:hint="eastAsia"/>
                <w:color w:val="auto"/>
                <w:szCs w:val="21"/>
                <w:highlight w:val="none"/>
                <w:lang w:val="en-US" w:eastAsia="zh-CN"/>
              </w:rPr>
              <w:t>G244国道、S302省道</w:t>
            </w:r>
            <w:r>
              <w:rPr>
                <w:rFonts w:hint="default"/>
                <w:color w:val="auto"/>
                <w:szCs w:val="21"/>
                <w:highlight w:val="none"/>
              </w:rPr>
              <w:t>用地红线两侧</w:t>
            </w:r>
            <w:r>
              <w:rPr>
                <w:rFonts w:hint="eastAsia"/>
                <w:color w:val="auto"/>
                <w:szCs w:val="21"/>
                <w:highlight w:val="none"/>
                <w:lang w:eastAsia="zh-CN"/>
              </w:rPr>
              <w:t>4</w:t>
            </w:r>
            <w:r>
              <w:rPr>
                <w:rFonts w:hint="eastAsia"/>
                <w:color w:val="auto"/>
                <w:szCs w:val="21"/>
                <w:highlight w:val="none"/>
                <w:lang w:val="en-US" w:eastAsia="zh-CN"/>
              </w:rPr>
              <w:t>0</w:t>
            </w:r>
            <w:r>
              <w:rPr>
                <w:rFonts w:hint="default"/>
                <w:color w:val="auto"/>
                <w:szCs w:val="21"/>
                <w:highlight w:val="none"/>
              </w:rPr>
              <w:t>m范围内执行《声环境质量标准》</w:t>
            </w:r>
            <w:r>
              <w:rPr>
                <w:rFonts w:hint="default"/>
                <w:color w:val="auto"/>
                <w:szCs w:val="21"/>
              </w:rPr>
              <w:t>（GB3096-2008）4a类声环境功能区限值（昼间70dB（A）、夜间55dB（A）），</w:t>
            </w:r>
            <w:r>
              <w:rPr>
                <w:rFonts w:hint="eastAsia"/>
                <w:color w:val="auto"/>
                <w:szCs w:val="21"/>
                <w:lang w:val="en-US" w:eastAsia="zh-CN"/>
              </w:rPr>
              <w:t>本项目拟建司城110kV变电站东</w:t>
            </w:r>
            <w:r>
              <w:rPr>
                <w:rFonts w:hint="default"/>
                <w:color w:val="auto"/>
                <w:szCs w:val="21"/>
              </w:rPr>
              <w:t>南侧站界距离</w:t>
            </w:r>
            <w:r>
              <w:rPr>
                <w:rFonts w:hint="eastAsia"/>
                <w:color w:val="auto"/>
                <w:szCs w:val="21"/>
                <w:lang w:val="en-US" w:eastAsia="zh-CN"/>
              </w:rPr>
              <w:t>G244国道约23</w:t>
            </w:r>
            <w:r>
              <w:rPr>
                <w:rFonts w:hint="default"/>
                <w:color w:val="auto"/>
                <w:szCs w:val="21"/>
              </w:rPr>
              <w:t>米</w:t>
            </w:r>
            <w:r>
              <w:rPr>
                <w:rFonts w:hint="eastAsia"/>
                <w:color w:val="auto"/>
                <w:szCs w:val="21"/>
                <w:lang w:eastAsia="zh-CN"/>
              </w:rPr>
              <w:t>、</w:t>
            </w:r>
            <w:r>
              <w:rPr>
                <w:rFonts w:hint="eastAsia"/>
                <w:color w:val="auto"/>
                <w:szCs w:val="21"/>
                <w:lang w:val="en-US" w:eastAsia="zh-CN"/>
              </w:rPr>
              <w:t>西</w:t>
            </w:r>
            <w:r>
              <w:rPr>
                <w:rFonts w:hint="default"/>
                <w:color w:val="auto"/>
                <w:szCs w:val="21"/>
              </w:rPr>
              <w:t>南侧站界距离</w:t>
            </w:r>
            <w:r>
              <w:rPr>
                <w:rFonts w:hint="eastAsia"/>
                <w:color w:val="auto"/>
                <w:szCs w:val="21"/>
                <w:lang w:val="en-US" w:eastAsia="zh-CN"/>
              </w:rPr>
              <w:t>S302省道约16</w:t>
            </w:r>
            <w:r>
              <w:rPr>
                <w:rFonts w:hint="default"/>
                <w:color w:val="auto"/>
                <w:szCs w:val="21"/>
              </w:rPr>
              <w:t>米</w:t>
            </w:r>
            <w:r>
              <w:rPr>
                <w:rFonts w:hint="eastAsia"/>
                <w:color w:val="auto"/>
                <w:szCs w:val="21"/>
                <w:lang w:eastAsia="zh-CN"/>
              </w:rPr>
              <w:t>，</w:t>
            </w:r>
            <w:r>
              <w:rPr>
                <w:rFonts w:hint="eastAsia"/>
                <w:color w:val="auto"/>
                <w:szCs w:val="21"/>
                <w:lang w:val="en-US" w:eastAsia="zh-CN"/>
              </w:rPr>
              <w:t>因此变电站东南侧、西南侧站界</w:t>
            </w:r>
            <w:r>
              <w:rPr>
                <w:rFonts w:hint="default"/>
                <w:color w:val="auto"/>
                <w:szCs w:val="21"/>
              </w:rPr>
              <w:t>执行</w:t>
            </w:r>
            <w:r>
              <w:rPr>
                <w:rFonts w:hint="eastAsia" w:cs="Times New Roman"/>
                <w:color w:val="auto"/>
                <w:szCs w:val="21"/>
                <w:highlight w:val="none"/>
                <w:lang w:val="en-US" w:eastAsia="zh-CN"/>
              </w:rPr>
              <w:t>《声环境质量标准》（GB3096-2008）中的4a类标准限值要求（昼间70dB（A）、夜间55dB（A））</w:t>
            </w:r>
            <w:r>
              <w:rPr>
                <w:rFonts w:hint="default"/>
                <w:color w:val="auto"/>
                <w:szCs w:val="21"/>
              </w:rPr>
              <w:t>，其他</w:t>
            </w:r>
            <w:r>
              <w:rPr>
                <w:rFonts w:hint="eastAsia"/>
                <w:color w:val="auto"/>
                <w:szCs w:val="21"/>
                <w:lang w:val="en-US" w:eastAsia="zh-CN"/>
              </w:rPr>
              <w:t>两</w:t>
            </w:r>
            <w:r>
              <w:rPr>
                <w:rFonts w:hint="default"/>
                <w:color w:val="auto"/>
                <w:szCs w:val="21"/>
              </w:rPr>
              <w:t>侧站界</w:t>
            </w:r>
            <w:r>
              <w:rPr>
                <w:rFonts w:hint="eastAsia" w:cs="Times New Roman"/>
                <w:color w:val="auto"/>
                <w:szCs w:val="21"/>
                <w:highlight w:val="none"/>
                <w:lang w:val="en-US" w:eastAsia="zh-CN"/>
              </w:rPr>
              <w:t>执行《声环境质量标准》（GB3096-2008）中的2类标准限值要求（昼间：60dB（A），夜间：50dB（A））。</w:t>
            </w:r>
          </w:p>
          <w:p w14:paraId="2A3C4C0D">
            <w:pPr>
              <w:keepNext w:val="0"/>
              <w:keepLines w:val="0"/>
              <w:suppressLineNumbers w:val="0"/>
              <w:spacing w:before="0" w:beforeAutospacing="0" w:after="0" w:afterAutospacing="0" w:line="360" w:lineRule="auto"/>
              <w:ind w:left="0" w:right="0"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b w:val="0"/>
                <w:bCs w:val="0"/>
                <w:color w:val="auto"/>
                <w:szCs w:val="21"/>
              </w:rPr>
              <w:t>拟</w:t>
            </w:r>
            <w:r>
              <w:rPr>
                <w:rFonts w:hint="eastAsia" w:ascii="Times New Roman" w:hAnsi="Times New Roman" w:cs="Times New Roman"/>
                <w:b w:val="0"/>
                <w:bCs w:val="0"/>
                <w:color w:val="auto"/>
                <w:szCs w:val="21"/>
                <w:lang w:val="en-US" w:eastAsia="zh-CN"/>
              </w:rPr>
              <w:t>建</w:t>
            </w:r>
            <w:r>
              <w:rPr>
                <w:rFonts w:hint="eastAsia" w:cs="Times New Roman"/>
                <w:b w:val="0"/>
                <w:bCs w:val="0"/>
                <w:color w:val="auto"/>
                <w:szCs w:val="21"/>
                <w:highlight w:val="none"/>
                <w:lang w:val="en-US" w:eastAsia="zh-CN"/>
              </w:rPr>
              <w:t>11</w:t>
            </w:r>
            <w:r>
              <w:rPr>
                <w:rFonts w:hint="default" w:ascii="Times New Roman" w:hAnsi="Times New Roman" w:cs="Times New Roman"/>
                <w:b w:val="0"/>
                <w:bCs w:val="0"/>
                <w:color w:val="auto"/>
                <w:szCs w:val="21"/>
                <w:highlight w:val="none"/>
                <w:lang w:val="en-US" w:eastAsia="zh-CN"/>
              </w:rPr>
              <w:t>0kV</w:t>
            </w:r>
            <w:r>
              <w:rPr>
                <w:rFonts w:hint="default" w:ascii="Times New Roman" w:hAnsi="Times New Roman" w:cs="Times New Roman"/>
                <w:b w:val="0"/>
                <w:bCs w:val="0"/>
                <w:color w:val="auto"/>
                <w:szCs w:val="21"/>
              </w:rPr>
              <w:t>输电线路</w:t>
            </w:r>
            <w:r>
              <w:rPr>
                <w:rFonts w:hint="default" w:ascii="Times New Roman" w:hAnsi="Times New Roman" w:cs="Times New Roman"/>
                <w:b w:val="0"/>
                <w:bCs w:val="0"/>
                <w:color w:val="auto"/>
                <w:sz w:val="21"/>
                <w:szCs w:val="21"/>
                <w:u w:val="single"/>
              </w:rPr>
              <w:t>在</w:t>
            </w:r>
            <w:r>
              <w:rPr>
                <w:rFonts w:hint="default" w:ascii="Times New Roman" w:hAnsi="Times New Roman" w:cs="Times New Roman"/>
                <w:color w:val="auto"/>
                <w:sz w:val="21"/>
                <w:szCs w:val="21"/>
                <w:u w:val="single"/>
              </w:rPr>
              <w:t>划定的声环境功能区内</w:t>
            </w:r>
            <w:r>
              <w:rPr>
                <w:rFonts w:hint="default" w:ascii="Times New Roman" w:hAnsi="Times New Roman" w:cs="Times New Roman"/>
                <w:color w:val="auto"/>
                <w:sz w:val="21"/>
                <w:szCs w:val="21"/>
                <w:lang w:val="en-US" w:eastAsia="zh-CN"/>
              </w:rPr>
              <w:t>的</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Cs w:val="21"/>
                <w:lang w:val="en-US" w:eastAsia="zh-CN"/>
              </w:rPr>
              <w:t>位于</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类声环境功能区</w:t>
            </w:r>
            <w:r>
              <w:rPr>
                <w:rFonts w:hint="default" w:ascii="Times New Roman" w:hAnsi="Times New Roman" w:cs="Times New Roman"/>
                <w:color w:val="auto"/>
                <w:szCs w:val="21"/>
                <w:highlight w:val="none"/>
                <w:lang w:val="en-US" w:eastAsia="zh-CN"/>
              </w:rPr>
              <w:t>内的</w:t>
            </w:r>
            <w:r>
              <w:rPr>
                <w:rFonts w:hint="eastAsia" w:cs="Times New Roman"/>
                <w:color w:val="auto"/>
                <w:szCs w:val="21"/>
                <w:highlight w:val="none"/>
                <w:lang w:val="en-US" w:eastAsia="zh-CN"/>
              </w:rPr>
              <w:t>11</w:t>
            </w:r>
            <w:r>
              <w:rPr>
                <w:rFonts w:hint="default" w:ascii="Times New Roman" w:hAnsi="Times New Roman" w:cs="Times New Roman"/>
                <w:color w:val="auto"/>
                <w:szCs w:val="21"/>
                <w:highlight w:val="none"/>
                <w:lang w:val="en-US" w:eastAsia="zh-CN"/>
              </w:rPr>
              <w:t>0kV架空</w:t>
            </w:r>
            <w:r>
              <w:rPr>
                <w:rFonts w:hint="default" w:ascii="Times New Roman" w:hAnsi="Times New Roman" w:cs="Times New Roman"/>
                <w:color w:val="auto"/>
                <w:szCs w:val="21"/>
              </w:rPr>
              <w:t>输电线路执行《声环境质量标准》（GB3096-2008）中的2类标准</w:t>
            </w:r>
            <w:r>
              <w:rPr>
                <w:rFonts w:hint="eastAsia" w:cs="Times New Roman"/>
                <w:color w:val="auto"/>
                <w:szCs w:val="21"/>
                <w:lang w:val="en-US" w:eastAsia="zh-CN"/>
              </w:rPr>
              <w:t>要求</w:t>
            </w:r>
            <w:r>
              <w:rPr>
                <w:rFonts w:hint="default" w:ascii="Times New Roman" w:hAnsi="Times New Roman" w:cs="Times New Roman"/>
                <w:color w:val="auto"/>
                <w:szCs w:val="21"/>
              </w:rPr>
              <w:t>（昼间60dB（A）、夜间50dB（A））</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拟</w:t>
            </w:r>
            <w:r>
              <w:rPr>
                <w:rFonts w:hint="eastAsia" w:ascii="Times New Roman" w:hAnsi="Times New Roman" w:cs="Times New Roman"/>
                <w:color w:val="auto"/>
                <w:szCs w:val="21"/>
                <w:highlight w:val="none"/>
                <w:lang w:val="en-US" w:eastAsia="zh-CN"/>
              </w:rPr>
              <w:t>建</w:t>
            </w:r>
            <w:r>
              <w:rPr>
                <w:rFonts w:hint="eastAsia" w:cs="Times New Roman"/>
                <w:color w:val="auto"/>
                <w:szCs w:val="21"/>
                <w:highlight w:val="none"/>
                <w:lang w:val="en-US" w:eastAsia="zh-CN"/>
              </w:rPr>
              <w:t>11</w:t>
            </w:r>
            <w:r>
              <w:rPr>
                <w:rFonts w:hint="default" w:ascii="Times New Roman" w:hAnsi="Times New Roman" w:cs="Times New Roman"/>
                <w:color w:val="auto"/>
                <w:szCs w:val="21"/>
                <w:highlight w:val="none"/>
                <w:lang w:val="en-US" w:eastAsia="zh-CN"/>
              </w:rPr>
              <w:t>0kV输电线路</w:t>
            </w:r>
            <w:r>
              <w:rPr>
                <w:rFonts w:hint="default" w:ascii="Times New Roman" w:hAnsi="Times New Roman" w:cs="Times New Roman"/>
                <w:color w:val="auto"/>
                <w:szCs w:val="21"/>
                <w:highlight w:val="none"/>
              </w:rPr>
              <w:t>沿线</w:t>
            </w:r>
            <w:r>
              <w:rPr>
                <w:rFonts w:hint="default" w:ascii="Times New Roman" w:hAnsi="Times New Roman" w:cs="Times New Roman"/>
                <w:color w:val="auto"/>
                <w:szCs w:val="21"/>
                <w:highlight w:val="none"/>
                <w:lang w:val="en-US" w:eastAsia="zh-CN"/>
              </w:rPr>
              <w:t>途经</w:t>
            </w:r>
            <w:r>
              <w:rPr>
                <w:rFonts w:hint="eastAsia"/>
                <w:color w:val="000000" w:themeColor="text1"/>
                <w:szCs w:val="21"/>
                <w:lang w:val="en-US" w:eastAsia="zh-CN"/>
                <w14:textFill>
                  <w14:solidFill>
                    <w14:schemeClr w14:val="tx1"/>
                  </w14:solidFill>
                </w14:textFill>
              </w:rPr>
              <w:t>S2成巴高速、G244国道、S302省道</w:t>
            </w:r>
            <w:r>
              <w:rPr>
                <w:rFonts w:hint="default" w:ascii="Times New Roman" w:hAnsi="Times New Roman" w:cs="Times New Roman"/>
                <w:color w:val="auto"/>
                <w:szCs w:val="21"/>
                <w:highlight w:val="none"/>
              </w:rPr>
              <w:t>用地红线两侧</w:t>
            </w:r>
            <w:r>
              <w:rPr>
                <w:rFonts w:hint="default" w:ascii="Times New Roman" w:hAnsi="Times New Roman" w:cs="Times New Roman"/>
                <w:color w:val="auto"/>
                <w:szCs w:val="21"/>
                <w:lang w:val="en-US" w:eastAsia="zh-CN"/>
              </w:rPr>
              <w:t>40m</w:t>
            </w:r>
            <w:r>
              <w:rPr>
                <w:rFonts w:hint="default" w:ascii="Times New Roman" w:hAnsi="Times New Roman" w:cs="Times New Roman"/>
                <w:color w:val="auto"/>
                <w:szCs w:val="21"/>
                <w:highlight w:val="none"/>
              </w:rPr>
              <w:t>内的区域为4类声环境功能区，执行《声环境质量标准》（GB3096-2008）中的4a类标准限值</w:t>
            </w:r>
            <w:r>
              <w:rPr>
                <w:rFonts w:hint="eastAsia" w:cs="Times New Roman"/>
                <w:color w:val="auto"/>
                <w:szCs w:val="21"/>
                <w:highlight w:val="none"/>
                <w:lang w:val="en-US" w:eastAsia="zh-CN"/>
              </w:rPr>
              <w:t>要求</w:t>
            </w:r>
            <w:r>
              <w:rPr>
                <w:rFonts w:hint="default" w:ascii="Times New Roman" w:hAnsi="Times New Roman" w:cs="Times New Roman"/>
                <w:color w:val="auto"/>
                <w:szCs w:val="21"/>
                <w:highlight w:val="none"/>
              </w:rPr>
              <w:t>（昼间70dB（A）、夜间55dB（A））</w:t>
            </w:r>
            <w:r>
              <w:rPr>
                <w:rFonts w:hint="eastAsia" w:ascii="Times New Roman" w:hAnsi="Times New Roman"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本项目</w:t>
            </w:r>
            <w:r>
              <w:rPr>
                <w:rFonts w:hint="default" w:ascii="Times New Roman" w:hAnsi="Times New Roman" w:eastAsia="宋体" w:cs="Times New Roman"/>
                <w:color w:val="auto"/>
                <w:szCs w:val="21"/>
                <w:highlight w:val="none"/>
                <w:u w:val="single"/>
                <w:lang w:val="en-US" w:eastAsia="zh-CN"/>
              </w:rPr>
              <w:t>不在划定的声环境功能区内</w:t>
            </w:r>
            <w:r>
              <w:rPr>
                <w:rFonts w:hint="default" w:ascii="Times New Roman" w:hAnsi="Times New Roman" w:eastAsia="宋体" w:cs="Times New Roman"/>
                <w:color w:val="auto"/>
                <w:szCs w:val="21"/>
                <w:highlight w:val="none"/>
                <w:lang w:val="en-US" w:eastAsia="zh-CN"/>
              </w:rPr>
              <w:t>的拟</w:t>
            </w:r>
            <w:r>
              <w:rPr>
                <w:rFonts w:hint="eastAsia" w:ascii="Times New Roman" w:hAnsi="Times New Roman" w:eastAsia="宋体" w:cs="Times New Roman"/>
                <w:color w:val="auto"/>
                <w:szCs w:val="21"/>
                <w:highlight w:val="none"/>
                <w:lang w:val="en-US" w:eastAsia="zh-CN"/>
              </w:rPr>
              <w:t>建11</w:t>
            </w:r>
            <w:r>
              <w:rPr>
                <w:rFonts w:hint="default" w:ascii="Times New Roman" w:hAnsi="Times New Roman" w:eastAsia="宋体" w:cs="Times New Roman"/>
                <w:color w:val="auto"/>
                <w:szCs w:val="21"/>
                <w:highlight w:val="none"/>
                <w:lang w:val="en-US" w:eastAsia="zh-CN"/>
              </w:rPr>
              <w:t>0kV输电线路，所在区域属于农村环境且有交通干线经过，因此，本次评价参照《声环境功能区划分技术规范》（GB/T 15190-2014）执行，拟建输电线路评价范围内执行《声环境质量标准》（GB3096-2008）中</w:t>
            </w:r>
            <w:r>
              <w:rPr>
                <w:rFonts w:hint="eastAsia" w:cs="Times New Roman"/>
                <w:color w:val="auto"/>
                <w:szCs w:val="21"/>
                <w:highlight w:val="none"/>
                <w:lang w:val="en-US" w:eastAsia="zh-CN"/>
              </w:rPr>
              <w:t>的</w:t>
            </w:r>
            <w:r>
              <w:rPr>
                <w:rFonts w:hint="default" w:ascii="Times New Roman" w:hAnsi="Times New Roman" w:eastAsia="宋体" w:cs="Times New Roman"/>
                <w:color w:val="auto"/>
                <w:szCs w:val="21"/>
                <w:highlight w:val="none"/>
                <w:lang w:val="en-US" w:eastAsia="zh-CN"/>
              </w:rPr>
              <w:t>2类标准</w:t>
            </w:r>
            <w:r>
              <w:rPr>
                <w:rFonts w:hint="eastAsia" w:cs="Times New Roman"/>
                <w:color w:val="auto"/>
                <w:szCs w:val="21"/>
                <w:highlight w:val="none"/>
                <w:lang w:val="en-US" w:eastAsia="zh-CN"/>
              </w:rPr>
              <w:t>要求</w:t>
            </w:r>
            <w:r>
              <w:rPr>
                <w:rFonts w:hint="default" w:ascii="Times New Roman" w:hAnsi="Times New Roman" w:eastAsia="宋体" w:cs="Times New Roman"/>
                <w:color w:val="auto"/>
                <w:szCs w:val="21"/>
                <w:highlight w:val="none"/>
                <w:lang w:val="en-US" w:eastAsia="zh-CN"/>
              </w:rPr>
              <w:t>（昼间：60dB(A)，夜间：50dB（A））。</w:t>
            </w:r>
          </w:p>
          <w:p w14:paraId="53199A27">
            <w:pPr>
              <w:keepNext w:val="0"/>
              <w:keepLines w:val="0"/>
              <w:pageBreakBefore w:val="0"/>
              <w:widowControl w:val="0"/>
              <w:kinsoku/>
              <w:overflowPunct/>
              <w:topLinePunct w:val="0"/>
              <w:bidi w:val="0"/>
              <w:spacing w:line="360" w:lineRule="auto"/>
              <w:ind w:firstLine="420" w:firstLineChars="200"/>
              <w:rPr>
                <w:color w:val="auto"/>
                <w:szCs w:val="21"/>
                <w:highlight w:val="none"/>
              </w:rPr>
            </w:pPr>
            <w:r>
              <w:rPr>
                <w:color w:val="auto"/>
                <w:szCs w:val="21"/>
                <w:highlight w:val="none"/>
              </w:rPr>
              <w:t>（</w:t>
            </w:r>
            <w:r>
              <w:rPr>
                <w:rFonts w:hint="eastAsia"/>
                <w:color w:val="auto"/>
                <w:szCs w:val="21"/>
                <w:highlight w:val="none"/>
              </w:rPr>
              <w:t>4</w:t>
            </w:r>
            <w:r>
              <w:rPr>
                <w:color w:val="auto"/>
                <w:szCs w:val="21"/>
                <w:highlight w:val="none"/>
              </w:rPr>
              <w:t>）工频电磁场：本</w:t>
            </w:r>
            <w:r>
              <w:rPr>
                <w:rFonts w:hint="default" w:ascii="Times New Roman" w:hAnsi="Times New Roman" w:cs="Times New Roman"/>
                <w:color w:val="auto"/>
                <w:szCs w:val="21"/>
              </w:rPr>
              <w:t>本项目工作频率为50Hz，故工频电场强度执行《电磁环境控制限值》（GB8702-2014）中公众曝露（评价范围内住宅、学校、医院、办公楼、工厂等有公众居住、工作或学习的建筑物）控制限值</w:t>
            </w:r>
            <w:r>
              <w:rPr>
                <w:rFonts w:hint="default" w:ascii="Times New Roman" w:hAnsi="Times New Roman" w:cs="Times New Roman"/>
                <w:color w:val="auto"/>
                <w:szCs w:val="21"/>
                <w:lang w:eastAsia="zh-CN"/>
              </w:rPr>
              <w:t>4000V/m，</w:t>
            </w:r>
            <w:r>
              <w:rPr>
                <w:rFonts w:hint="default" w:ascii="Times New Roman" w:hAnsi="Times New Roman" w:cs="Times New Roman"/>
                <w:color w:val="auto"/>
                <w:szCs w:val="21"/>
              </w:rPr>
              <w:t>架空输电线路线下的耕地、园地、牧草地、畜禽饲养地、养殖水面、道路等场所的电场强度控制限值为10kV/m</w:t>
            </w:r>
            <w:r>
              <w:rPr>
                <w:rFonts w:hint="eastAsia" w:cs="Times New Roman"/>
                <w:color w:val="auto"/>
                <w:szCs w:val="21"/>
                <w:lang w:eastAsia="zh-CN"/>
              </w:rPr>
              <w:t>，</w:t>
            </w:r>
            <w:r>
              <w:rPr>
                <w:rFonts w:hint="eastAsia" w:cs="Times New Roman"/>
                <w:color w:val="000000" w:themeColor="text1"/>
                <w:szCs w:val="21"/>
                <w:highlight w:val="none"/>
                <w:lang w:val="en-US" w:eastAsia="zh-CN"/>
                <w14:textFill>
                  <w14:solidFill>
                    <w14:schemeClr w14:val="tx1"/>
                  </w14:solidFill>
                </w14:textFill>
              </w:rPr>
              <w:t>且应给出警示和防护指示标志</w:t>
            </w:r>
            <w:r>
              <w:rPr>
                <w:rFonts w:hint="default" w:ascii="Times New Roman" w:hAnsi="Times New Roman" w:cs="Times New Roman"/>
                <w:color w:val="auto"/>
                <w:szCs w:val="21"/>
              </w:rPr>
              <w:t>；工频磁感应强度执行《电磁环境控制限值》（GB8702-2014）中公众曝露控制限值100μT</w:t>
            </w:r>
            <w:r>
              <w:rPr>
                <w:rFonts w:hint="default" w:ascii="Times New Roman" w:hAnsi="Times New Roman" w:cs="Times New Roman"/>
                <w:color w:val="000000" w:themeColor="text1"/>
                <w:szCs w:val="21"/>
                <w:highlight w:val="none"/>
                <w14:textFill>
                  <w14:solidFill>
                    <w14:schemeClr w14:val="tx1"/>
                  </w14:solidFill>
                </w14:textFill>
              </w:rPr>
              <w:t>。</w:t>
            </w:r>
          </w:p>
          <w:p w14:paraId="0B03495D">
            <w:pPr>
              <w:keepNext w:val="0"/>
              <w:keepLines w:val="0"/>
              <w:pageBreakBefore w:val="0"/>
              <w:widowControl w:val="0"/>
              <w:kinsoku/>
              <w:overflowPunct/>
              <w:topLinePunct w:val="0"/>
              <w:bidi w:val="0"/>
              <w:spacing w:line="360" w:lineRule="auto"/>
              <w:ind w:firstLine="420" w:firstLineChars="200"/>
              <w:rPr>
                <w:color w:val="auto"/>
                <w:szCs w:val="21"/>
                <w:highlight w:val="none"/>
              </w:rPr>
            </w:pPr>
            <w:r>
              <w:rPr>
                <w:color w:val="auto"/>
                <w:szCs w:val="21"/>
                <w:highlight w:val="none"/>
              </w:rPr>
              <w:t>（</w:t>
            </w:r>
            <w:r>
              <w:rPr>
                <w:rFonts w:hint="eastAsia"/>
                <w:color w:val="auto"/>
                <w:szCs w:val="21"/>
                <w:highlight w:val="none"/>
              </w:rPr>
              <w:t>5</w:t>
            </w:r>
            <w:r>
              <w:rPr>
                <w:color w:val="auto"/>
                <w:szCs w:val="21"/>
                <w:highlight w:val="none"/>
              </w:rPr>
              <w:t>）生态环境：</w:t>
            </w:r>
          </w:p>
          <w:p w14:paraId="0EA3EEE9">
            <w:pPr>
              <w:keepNext w:val="0"/>
              <w:keepLines w:val="0"/>
              <w:pageBreakBefore w:val="0"/>
              <w:widowControl w:val="0"/>
              <w:kinsoku/>
              <w:overflowPunct/>
              <w:topLinePunct w:val="0"/>
              <w:bidi w:val="0"/>
              <w:spacing w:line="360" w:lineRule="auto"/>
              <w:ind w:firstLine="420" w:firstLineChars="200"/>
              <w:rPr>
                <w:color w:val="auto"/>
                <w:szCs w:val="21"/>
                <w:highlight w:val="none"/>
              </w:rPr>
            </w:pPr>
            <w:r>
              <w:rPr>
                <w:color w:val="auto"/>
                <w:szCs w:val="21"/>
                <w:highlight w:val="none"/>
              </w:rPr>
              <w:fldChar w:fldCharType="begin"/>
            </w:r>
            <w:r>
              <w:rPr>
                <w:color w:val="auto"/>
                <w:szCs w:val="21"/>
                <w:highlight w:val="none"/>
              </w:rPr>
              <w:instrText xml:space="preserve"> = 1 \* GB3 </w:instrText>
            </w:r>
            <w:r>
              <w:rPr>
                <w:color w:val="auto"/>
                <w:szCs w:val="21"/>
                <w:highlight w:val="none"/>
              </w:rPr>
              <w:fldChar w:fldCharType="separate"/>
            </w:r>
            <w:r>
              <w:rPr>
                <w:rFonts w:hint="eastAsia" w:ascii="宋体" w:hAnsi="宋体" w:cs="宋体"/>
                <w:color w:val="auto"/>
                <w:szCs w:val="21"/>
                <w:highlight w:val="none"/>
              </w:rPr>
              <w:t>①</w:t>
            </w:r>
            <w:r>
              <w:rPr>
                <w:color w:val="auto"/>
                <w:szCs w:val="21"/>
                <w:highlight w:val="none"/>
              </w:rPr>
              <w:fldChar w:fldCharType="end"/>
            </w:r>
            <w:r>
              <w:rPr>
                <w:color w:val="auto"/>
                <w:szCs w:val="21"/>
                <w:highlight w:val="none"/>
              </w:rPr>
              <w:t>以不减少区域内濒危珍稀动植物种类和不破坏生态系统完整性为目标；</w:t>
            </w:r>
          </w:p>
          <w:p w14:paraId="74ED44AC">
            <w:pPr>
              <w:keepNext w:val="0"/>
              <w:keepLines w:val="0"/>
              <w:pageBreakBefore w:val="0"/>
              <w:widowControl w:val="0"/>
              <w:kinsoku/>
              <w:overflowPunct/>
              <w:topLinePunct w:val="0"/>
              <w:bidi w:val="0"/>
              <w:spacing w:line="360" w:lineRule="auto"/>
              <w:ind w:firstLine="420" w:firstLineChars="200"/>
              <w:rPr>
                <w:color w:val="auto"/>
                <w:szCs w:val="21"/>
                <w:highlight w:val="none"/>
              </w:rPr>
            </w:pPr>
            <w:r>
              <w:rPr>
                <w:rFonts w:hint="eastAsia" w:ascii="宋体" w:hAnsi="宋体" w:cs="宋体"/>
                <w:color w:val="auto"/>
                <w:szCs w:val="21"/>
                <w:highlight w:val="none"/>
              </w:rPr>
              <w:t>②</w:t>
            </w:r>
            <w:r>
              <w:rPr>
                <w:color w:val="auto"/>
                <w:szCs w:val="21"/>
                <w:highlight w:val="none"/>
              </w:rPr>
              <w:t>水土流失以不增加土壤侵蚀强度为标准。</w:t>
            </w:r>
          </w:p>
          <w:p w14:paraId="29DAD8BD">
            <w:pPr>
              <w:keepNext w:val="0"/>
              <w:keepLines w:val="0"/>
              <w:pageBreakBefore w:val="0"/>
              <w:widowControl w:val="0"/>
              <w:kinsoku/>
              <w:overflowPunct/>
              <w:topLinePunct w:val="0"/>
              <w:bidi w:val="0"/>
              <w:spacing w:line="360" w:lineRule="auto"/>
              <w:ind w:firstLine="420" w:firstLineChars="200"/>
              <w:rPr>
                <w:rFonts w:eastAsia="黑体"/>
                <w:color w:val="auto"/>
                <w:szCs w:val="21"/>
                <w:highlight w:val="none"/>
              </w:rPr>
            </w:pPr>
            <w:r>
              <w:rPr>
                <w:rFonts w:eastAsia="黑体"/>
                <w:color w:val="auto"/>
                <w:szCs w:val="21"/>
                <w:highlight w:val="none"/>
              </w:rPr>
              <w:t>二、污染物排放标准</w:t>
            </w:r>
          </w:p>
          <w:p w14:paraId="2340CA30">
            <w:pPr>
              <w:keepNext w:val="0"/>
              <w:keepLines w:val="0"/>
              <w:pageBreakBefore w:val="0"/>
              <w:widowControl w:val="0"/>
              <w:kinsoku/>
              <w:overflowPunct/>
              <w:topLinePunct w:val="0"/>
              <w:bidi w:val="0"/>
              <w:spacing w:line="360" w:lineRule="auto"/>
              <w:ind w:firstLine="420" w:firstLineChars="200"/>
              <w:rPr>
                <w:color w:val="auto"/>
                <w:szCs w:val="21"/>
                <w:highlight w:val="none"/>
              </w:rPr>
            </w:pPr>
            <w:r>
              <w:rPr>
                <w:rFonts w:hint="eastAsia"/>
                <w:color w:val="auto"/>
                <w:szCs w:val="21"/>
                <w:highlight w:val="none"/>
              </w:rPr>
              <w:t>（1）</w:t>
            </w:r>
            <w:r>
              <w:rPr>
                <w:bCs/>
                <w:color w:val="auto"/>
                <w:szCs w:val="21"/>
                <w:highlight w:val="none"/>
              </w:rPr>
              <w:t>废气：</w:t>
            </w:r>
            <w:r>
              <w:rPr>
                <w:rFonts w:hint="eastAsia" w:cs="Times New Roman"/>
                <w:bCs/>
                <w:color w:val="auto"/>
                <w:szCs w:val="21"/>
                <w:lang w:val="en-US" w:eastAsia="zh-CN"/>
              </w:rPr>
              <w:t>变电站</w:t>
            </w:r>
            <w:r>
              <w:rPr>
                <w:rFonts w:hint="default" w:ascii="Times New Roman" w:hAnsi="Times New Roman" w:cs="Times New Roman"/>
                <w:bCs/>
                <w:color w:val="auto"/>
                <w:szCs w:val="21"/>
              </w:rPr>
              <w:t>施工期场地扬尘执行《四川省施工场地扬尘排放标准》（DB51/2682-2020）中相关标准限值。</w:t>
            </w:r>
            <w:r>
              <w:rPr>
                <w:rFonts w:hint="eastAsia" w:cs="Times New Roman"/>
                <w:bCs/>
                <w:color w:val="auto"/>
                <w:szCs w:val="21"/>
                <w:lang w:val="en-US" w:eastAsia="zh-CN"/>
              </w:rPr>
              <w:t>输电线路</w:t>
            </w:r>
            <w:r>
              <w:rPr>
                <w:rFonts w:hint="default" w:ascii="Times New Roman" w:hAnsi="Times New Roman" w:cs="Times New Roman"/>
                <w:bCs/>
                <w:color w:val="auto"/>
                <w:szCs w:val="21"/>
              </w:rPr>
              <w:t>施工期场地扬尘</w:t>
            </w:r>
            <w:r>
              <w:rPr>
                <w:rFonts w:hint="default" w:ascii="Times New Roman" w:hAnsi="Times New Roman" w:cs="Times New Roman"/>
                <w:bCs/>
                <w:color w:val="auto"/>
                <w:szCs w:val="21"/>
                <w:highlight w:val="none"/>
                <w:lang w:eastAsia="zh-CN"/>
              </w:rPr>
              <w:t>执行《</w:t>
            </w:r>
            <w:r>
              <w:rPr>
                <w:rFonts w:hint="default" w:ascii="Times New Roman" w:hAnsi="Times New Roman" w:cs="Times New Roman"/>
                <w:bCs/>
                <w:color w:val="auto"/>
                <w:szCs w:val="21"/>
                <w:highlight w:val="none"/>
                <w:lang w:val="en-US" w:eastAsia="zh-CN"/>
              </w:rPr>
              <w:t>大气污染物综合排放标准</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GB16297-1996</w:t>
            </w:r>
            <w:r>
              <w:rPr>
                <w:rFonts w:hint="default" w:ascii="Times New Roman" w:hAnsi="Times New Roman" w:cs="Times New Roman"/>
                <w:bCs/>
                <w:color w:val="auto"/>
                <w:szCs w:val="21"/>
                <w:highlight w:val="none"/>
                <w:lang w:eastAsia="zh-CN"/>
              </w:rPr>
              <w:t>）</w:t>
            </w:r>
            <w:r>
              <w:rPr>
                <w:rFonts w:hint="eastAsia" w:cs="Times New Roman"/>
                <w:bCs/>
                <w:color w:val="auto"/>
                <w:szCs w:val="21"/>
                <w:highlight w:val="none"/>
                <w:lang w:val="en-US" w:eastAsia="zh-CN"/>
              </w:rPr>
              <w:t>中</w:t>
            </w:r>
            <w:r>
              <w:rPr>
                <w:rFonts w:hint="eastAsia"/>
                <w:bCs/>
                <w:color w:val="auto"/>
                <w:szCs w:val="21"/>
              </w:rPr>
              <w:t>相关标准限值</w:t>
            </w:r>
            <w:r>
              <w:rPr>
                <w:bCs/>
                <w:color w:val="auto"/>
                <w:szCs w:val="21"/>
                <w:highlight w:val="none"/>
              </w:rPr>
              <w:t>。</w:t>
            </w:r>
          </w:p>
          <w:p w14:paraId="6C01FC77">
            <w:pPr>
              <w:keepNext w:val="0"/>
              <w:keepLines w:val="0"/>
              <w:pageBreakBefore w:val="0"/>
              <w:widowControl w:val="0"/>
              <w:kinsoku/>
              <w:overflowPunct/>
              <w:topLinePunct w:val="0"/>
              <w:bidi w:val="0"/>
              <w:spacing w:line="360" w:lineRule="auto"/>
              <w:ind w:firstLine="420" w:firstLineChars="200"/>
              <w:rPr>
                <w:rFonts w:hint="default" w:ascii="Times New Roman" w:hAnsi="Times New Roman" w:eastAsia="宋体" w:cs="Times New Roman"/>
                <w:color w:val="auto"/>
                <w:szCs w:val="21"/>
                <w:highlight w:val="none"/>
                <w:lang w:val="en-US" w:eastAsia="zh-CN"/>
              </w:rPr>
            </w:pPr>
            <w:r>
              <w:rPr>
                <w:color w:val="auto"/>
                <w:szCs w:val="21"/>
                <w:highlight w:val="none"/>
              </w:rPr>
              <w:t>（</w:t>
            </w:r>
            <w:r>
              <w:rPr>
                <w:rFonts w:hint="eastAsia"/>
                <w:color w:val="auto"/>
                <w:szCs w:val="21"/>
                <w:highlight w:val="none"/>
              </w:rPr>
              <w:t>2</w:t>
            </w:r>
            <w:r>
              <w:rPr>
                <w:color w:val="auto"/>
                <w:szCs w:val="21"/>
                <w:highlight w:val="none"/>
              </w:rPr>
              <w:t>）废水</w:t>
            </w:r>
            <w:r>
              <w:rPr>
                <w:rFonts w:hint="eastAsia"/>
                <w:color w:val="auto"/>
                <w:szCs w:val="21"/>
                <w:highlight w:val="none"/>
              </w:rPr>
              <w:t>：施工期施工废水沉淀后循环使用，不外排；</w:t>
            </w:r>
            <w:r>
              <w:rPr>
                <w:rFonts w:hint="eastAsia" w:cs="Times New Roman"/>
                <w:color w:val="auto"/>
                <w:szCs w:val="21"/>
                <w:highlight w:val="none"/>
                <w:lang w:val="en-US" w:eastAsia="zh-CN"/>
              </w:rPr>
              <w:t>司城</w:t>
            </w:r>
            <w:r>
              <w:rPr>
                <w:rFonts w:hint="default" w:ascii="Times New Roman" w:hAnsi="Times New Roman" w:cs="Times New Roman"/>
                <w:color w:val="auto"/>
                <w:szCs w:val="21"/>
                <w:highlight w:val="none"/>
              </w:rPr>
              <w:t>110kV变电站新建工程施工人员产生的生活污水通过设置施工旱厕收集后用作农肥使用，不</w:t>
            </w:r>
            <w:r>
              <w:rPr>
                <w:rFonts w:hint="default" w:ascii="Times New Roman" w:hAnsi="Times New Roman" w:cs="Times New Roman"/>
                <w:color w:val="auto"/>
                <w:kern w:val="0"/>
                <w:highlight w:val="none"/>
              </w:rPr>
              <w:t>外排</w:t>
            </w:r>
            <w:r>
              <w:rPr>
                <w:rFonts w:hint="eastAsia" w:cs="Times New Roman"/>
                <w:color w:val="auto"/>
                <w:szCs w:val="21"/>
                <w:highlight w:val="none"/>
                <w:lang w:eastAsia="zh-CN"/>
              </w:rPr>
              <w:t>，</w:t>
            </w:r>
            <w:r>
              <w:rPr>
                <w:rFonts w:hint="default" w:ascii="Times New Roman" w:hAnsi="Times New Roman" w:cs="Times New Roman"/>
                <w:color w:val="auto"/>
                <w:highlight w:val="none"/>
              </w:rPr>
              <w:t>输电线路施工人员产生的生活污水相对较少且分散，依托租用民房已有污水处理设施处理，处理后用作农肥，不外排</w:t>
            </w:r>
            <w:r>
              <w:rPr>
                <w:rFonts w:hint="eastAsia" w:ascii="Times New Roman" w:hAnsi="Times New Roman" w:cs="Times New Roman"/>
                <w:color w:val="auto"/>
                <w:szCs w:val="21"/>
                <w:highlight w:val="none"/>
                <w:lang w:eastAsia="zh-CN"/>
              </w:rPr>
              <w:t>。</w:t>
            </w:r>
          </w:p>
          <w:p w14:paraId="78F5461C">
            <w:pPr>
              <w:keepNext w:val="0"/>
              <w:keepLines w:val="0"/>
              <w:pageBreakBefore w:val="0"/>
              <w:widowControl w:val="0"/>
              <w:kinsoku/>
              <w:overflowPunct/>
              <w:topLinePunct w:val="0"/>
              <w:bidi w:val="0"/>
              <w:spacing w:line="360" w:lineRule="auto"/>
              <w:ind w:firstLine="420" w:firstLineChars="200"/>
              <w:rPr>
                <w:color w:val="auto"/>
                <w:szCs w:val="21"/>
                <w:highlight w:val="none"/>
              </w:rPr>
            </w:pPr>
            <w:r>
              <w:rPr>
                <w:rFonts w:hint="default" w:ascii="Times New Roman" w:hAnsi="Times New Roman" w:cs="Times New Roman"/>
                <w:color w:val="auto"/>
                <w:szCs w:val="21"/>
                <w:highlight w:val="none"/>
              </w:rPr>
              <w:t>运营期，</w:t>
            </w:r>
            <w:r>
              <w:rPr>
                <w:rFonts w:hint="eastAsia" w:cs="Times New Roman"/>
                <w:color w:val="auto"/>
                <w:szCs w:val="21"/>
                <w:highlight w:val="none"/>
                <w:lang w:val="en-US" w:eastAsia="zh-CN"/>
              </w:rPr>
              <w:t>司城</w:t>
            </w:r>
            <w:r>
              <w:rPr>
                <w:rFonts w:hint="default" w:ascii="Times New Roman" w:hAnsi="Times New Roman" w:cs="Times New Roman"/>
                <w:color w:val="auto"/>
                <w:szCs w:val="21"/>
                <w:highlight w:val="none"/>
              </w:rPr>
              <w:t>110kV变电站在正常运行期</w:t>
            </w:r>
            <w:r>
              <w:rPr>
                <w:rFonts w:hint="default" w:ascii="Times New Roman" w:hAnsi="Times New Roman" w:cs="Times New Roman"/>
                <w:bCs/>
                <w:color w:val="auto"/>
                <w:highlight w:val="none"/>
              </w:rPr>
              <w:t>仅设置1名保安作为工作人员，</w:t>
            </w:r>
            <w:r>
              <w:rPr>
                <w:rFonts w:hint="default" w:ascii="Times New Roman" w:hAnsi="Times New Roman" w:cs="Times New Roman"/>
                <w:bCs/>
                <w:color w:val="auto"/>
                <w:szCs w:val="21"/>
                <w:highlight w:val="none"/>
              </w:rPr>
              <w:t>产生的生活污水经化粪池</w:t>
            </w:r>
            <w:r>
              <w:rPr>
                <w:rFonts w:hint="eastAsia" w:cs="Times New Roman"/>
                <w:bCs/>
                <w:color w:val="auto"/>
                <w:szCs w:val="21"/>
                <w:highlight w:val="none"/>
                <w:lang w:val="en-US" w:eastAsia="zh-CN"/>
              </w:rPr>
              <w:t>收集</w:t>
            </w:r>
            <w:r>
              <w:rPr>
                <w:rFonts w:hint="default" w:ascii="Times New Roman" w:hAnsi="Times New Roman" w:cs="Times New Roman"/>
                <w:bCs/>
                <w:color w:val="auto"/>
                <w:szCs w:val="21"/>
                <w:highlight w:val="none"/>
              </w:rPr>
              <w:t>后再经运维单位人工定时清掏，不外排</w:t>
            </w:r>
            <w:r>
              <w:rPr>
                <w:rFonts w:hint="eastAsia" w:cs="Times New Roman"/>
                <w:bCs/>
                <w:color w:val="auto"/>
                <w:szCs w:val="21"/>
                <w:highlight w:val="none"/>
                <w:lang w:eastAsia="zh-CN"/>
              </w:rPr>
              <w:t>。</w:t>
            </w:r>
          </w:p>
          <w:p w14:paraId="25C2BBB7">
            <w:pPr>
              <w:spacing w:line="360" w:lineRule="auto"/>
              <w:ind w:firstLine="420" w:firstLineChars="200"/>
              <w:rPr>
                <w:color w:val="auto"/>
                <w:szCs w:val="21"/>
                <w:highlight w:val="none"/>
              </w:rPr>
            </w:pPr>
            <w:r>
              <w:rPr>
                <w:color w:val="auto"/>
                <w:szCs w:val="21"/>
                <w:highlight w:val="none"/>
              </w:rPr>
              <w:t>（</w:t>
            </w:r>
            <w:r>
              <w:rPr>
                <w:rFonts w:hint="eastAsia"/>
                <w:color w:val="auto"/>
                <w:szCs w:val="21"/>
                <w:highlight w:val="none"/>
              </w:rPr>
              <w:t>3</w:t>
            </w:r>
            <w:r>
              <w:rPr>
                <w:color w:val="auto"/>
                <w:szCs w:val="21"/>
                <w:highlight w:val="none"/>
              </w:rPr>
              <w:t>）噪声</w:t>
            </w:r>
            <w:r>
              <w:rPr>
                <w:rFonts w:hint="eastAsia"/>
                <w:color w:val="auto"/>
                <w:szCs w:val="21"/>
                <w:highlight w:val="none"/>
              </w:rPr>
              <w:t>：</w:t>
            </w:r>
            <w:r>
              <w:rPr>
                <w:rFonts w:hint="default" w:ascii="Times New Roman" w:hAnsi="Times New Roman" w:cs="Times New Roman"/>
                <w:color w:val="000000" w:themeColor="text1"/>
                <w:szCs w:val="21"/>
                <w:highlight w:val="none"/>
                <w14:textFill>
                  <w14:solidFill>
                    <w14:schemeClr w14:val="tx1"/>
                  </w14:solidFill>
                </w14:textFill>
              </w:rPr>
              <w:t>施工期场界噪声排放不得超过《建筑施工噪声排放标准》（GB12523-20</w:t>
            </w:r>
            <w:r>
              <w:rPr>
                <w:rFonts w:hint="eastAsia" w:cs="Times New Roman"/>
                <w:color w:val="000000" w:themeColor="text1"/>
                <w:szCs w:val="21"/>
                <w:highlight w:val="none"/>
                <w:lang w:val="en-US" w:eastAsia="zh-CN"/>
                <w14:textFill>
                  <w14:solidFill>
                    <w14:schemeClr w14:val="tx1"/>
                  </w14:solidFill>
                </w14:textFill>
              </w:rPr>
              <w:t>25</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color w:val="000000" w:themeColor="text1"/>
                <w:szCs w:val="21"/>
                <w14:textFill>
                  <w14:solidFill>
                    <w14:schemeClr w14:val="tx1"/>
                  </w14:solidFill>
                </w14:textFill>
              </w:rPr>
              <w:t>中</w:t>
            </w:r>
            <w:r>
              <w:rPr>
                <w:rFonts w:hint="eastAsia"/>
                <w:color w:val="000000" w:themeColor="text1"/>
                <w:szCs w:val="21"/>
                <w:lang w:val="en-US" w:eastAsia="zh-CN"/>
                <w14:textFill>
                  <w14:solidFill>
                    <w14:schemeClr w14:val="tx1"/>
                  </w14:solidFill>
                </w14:textFill>
              </w:rPr>
              <w:t>表1排放限值</w:t>
            </w:r>
            <w:r>
              <w:rPr>
                <w:color w:val="auto"/>
                <w:szCs w:val="21"/>
                <w:highlight w:val="none"/>
              </w:rPr>
              <w:t>。</w:t>
            </w:r>
            <w:r>
              <w:rPr>
                <w:rFonts w:hint="eastAsia"/>
                <w:color w:val="000000" w:themeColor="text1"/>
                <w:szCs w:val="21"/>
                <w14:textFill>
                  <w14:solidFill>
                    <w14:schemeClr w14:val="tx1"/>
                  </w14:solidFill>
                </w14:textFill>
              </w:rPr>
              <w:t>运营期</w:t>
            </w:r>
            <w:r>
              <w:rPr>
                <w:rFonts w:hint="eastAsia" w:cs="Times New Roman"/>
                <w:color w:val="000000" w:themeColor="text1"/>
                <w:szCs w:val="21"/>
                <w:highlight w:val="none"/>
                <w:lang w:val="en-US" w:eastAsia="zh-CN"/>
                <w14:textFill>
                  <w14:solidFill>
                    <w14:schemeClr w14:val="tx1"/>
                  </w14:solidFill>
                </w14:textFill>
              </w:rPr>
              <w:t>司城</w:t>
            </w:r>
            <w:r>
              <w:rPr>
                <w:rFonts w:hint="eastAsia"/>
                <w:color w:val="000000" w:themeColor="text1"/>
                <w:szCs w:val="21"/>
                <w:lang w:eastAsia="zh-CN"/>
                <w14:textFill>
                  <w14:solidFill>
                    <w14:schemeClr w14:val="tx1"/>
                  </w14:solidFill>
                </w14:textFill>
              </w:rPr>
              <w:t>110kV变电站</w:t>
            </w:r>
            <w:r>
              <w:rPr>
                <w:rFonts w:hint="eastAsia"/>
                <w:color w:val="000000" w:themeColor="text1"/>
                <w:szCs w:val="21"/>
                <w:lang w:val="en-US" w:eastAsia="zh-CN"/>
                <w14:textFill>
                  <w14:solidFill>
                    <w14:schemeClr w14:val="tx1"/>
                  </w14:solidFill>
                </w14:textFill>
              </w:rPr>
              <w:t>东南</w:t>
            </w:r>
            <w:r>
              <w:rPr>
                <w:rFonts w:hint="eastAsia"/>
                <w:color w:val="000000" w:themeColor="text1"/>
                <w:szCs w:val="21"/>
                <w14:textFill>
                  <w14:solidFill>
                    <w14:schemeClr w14:val="tx1"/>
                  </w14:solidFill>
                </w14:textFill>
              </w:rPr>
              <w:t>侧</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西南侧</w:t>
            </w:r>
            <w:r>
              <w:rPr>
                <w:rFonts w:hint="eastAsia"/>
                <w:color w:val="000000" w:themeColor="text1"/>
                <w:szCs w:val="21"/>
                <w14:textFill>
                  <w14:solidFill>
                    <w14:schemeClr w14:val="tx1"/>
                  </w14:solidFill>
                </w14:textFill>
              </w:rPr>
              <w:t>站界处执行《工业企业厂界环境噪声排放标准》（GB12348-2008）</w:t>
            </w: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类标准（昼间：</w:t>
            </w:r>
            <w:r>
              <w:rPr>
                <w:rFonts w:hint="eastAsia"/>
                <w:color w:val="000000" w:themeColor="text1"/>
                <w:szCs w:val="21"/>
                <w:lang w:val="en-US" w:eastAsia="zh-CN"/>
                <w14:textFill>
                  <w14:solidFill>
                    <w14:schemeClr w14:val="tx1"/>
                  </w14:solidFill>
                </w14:textFill>
              </w:rPr>
              <w:t>70</w:t>
            </w:r>
            <w:r>
              <w:rPr>
                <w:rFonts w:hint="eastAsia"/>
                <w:color w:val="000000" w:themeColor="text1"/>
                <w:szCs w:val="21"/>
                <w14:textFill>
                  <w14:solidFill>
                    <w14:schemeClr w14:val="tx1"/>
                  </w14:solidFill>
                </w14:textFill>
              </w:rPr>
              <w:t>dB</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A</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，夜间：5</w:t>
            </w: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dB</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A</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），其余</w:t>
            </w:r>
            <w:r>
              <w:rPr>
                <w:rFonts w:hint="eastAsia"/>
                <w:color w:val="000000" w:themeColor="text1"/>
                <w:szCs w:val="21"/>
                <w:lang w:val="en-US" w:eastAsia="zh-CN"/>
                <w14:textFill>
                  <w14:solidFill>
                    <w14:schemeClr w14:val="tx1"/>
                  </w14:solidFill>
                </w14:textFill>
              </w:rPr>
              <w:t>两</w:t>
            </w:r>
            <w:r>
              <w:rPr>
                <w:rFonts w:hint="eastAsia"/>
                <w:color w:val="000000" w:themeColor="text1"/>
                <w:szCs w:val="21"/>
                <w14:textFill>
                  <w14:solidFill>
                    <w14:schemeClr w14:val="tx1"/>
                  </w14:solidFill>
                </w14:textFill>
              </w:rPr>
              <w:t>侧站界处执行《工业企业厂界环境噪声排放标准》（GB12348-2008）</w:t>
            </w:r>
            <w:r>
              <w:rPr>
                <w:rFonts w:hint="eastAsia"/>
                <w:color w:val="000000" w:themeColor="text1"/>
                <w:szCs w:val="21"/>
                <w:lang w:val="en-US" w:eastAsia="zh-CN"/>
                <w14:textFill>
                  <w14:solidFill>
                    <w14:schemeClr w14:val="tx1"/>
                  </w14:solidFill>
                </w14:textFill>
              </w:rPr>
              <w:t>2</w:t>
            </w:r>
            <w:r>
              <w:rPr>
                <w:rFonts w:hint="eastAsia"/>
                <w:color w:val="000000" w:themeColor="text1"/>
                <w:szCs w:val="21"/>
                <w14:textFill>
                  <w14:solidFill>
                    <w14:schemeClr w14:val="tx1"/>
                  </w14:solidFill>
                </w14:textFill>
              </w:rPr>
              <w:t>类标准（昼间：6</w:t>
            </w:r>
            <w:r>
              <w:rPr>
                <w:rFonts w:hint="eastAsia"/>
                <w:color w:val="000000" w:themeColor="text1"/>
                <w:szCs w:val="21"/>
                <w:lang w:val="en-US" w:eastAsia="zh-CN"/>
                <w14:textFill>
                  <w14:solidFill>
                    <w14:schemeClr w14:val="tx1"/>
                  </w14:solidFill>
                </w14:textFill>
              </w:rPr>
              <w:t>0</w:t>
            </w:r>
            <w:r>
              <w:rPr>
                <w:rFonts w:hint="eastAsia"/>
                <w:color w:val="000000" w:themeColor="text1"/>
                <w:szCs w:val="21"/>
                <w14:textFill>
                  <w14:solidFill>
                    <w14:schemeClr w14:val="tx1"/>
                  </w14:solidFill>
                </w14:textFill>
              </w:rPr>
              <w:t>dB</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A</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，夜间：5</w:t>
            </w:r>
            <w:r>
              <w:rPr>
                <w:rFonts w:hint="eastAsia"/>
                <w:color w:val="000000" w:themeColor="text1"/>
                <w:szCs w:val="21"/>
                <w:lang w:val="en-US" w:eastAsia="zh-CN"/>
                <w14:textFill>
                  <w14:solidFill>
                    <w14:schemeClr w14:val="tx1"/>
                  </w14:solidFill>
                </w14:textFill>
              </w:rPr>
              <w:t>0</w:t>
            </w:r>
            <w:r>
              <w:rPr>
                <w:rFonts w:hint="eastAsia"/>
                <w:color w:val="000000" w:themeColor="text1"/>
                <w:szCs w:val="21"/>
                <w14:textFill>
                  <w14:solidFill>
                    <w14:schemeClr w14:val="tx1"/>
                  </w14:solidFill>
                </w14:textFill>
              </w:rPr>
              <w:t>dB</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A</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w:t>
            </w:r>
          </w:p>
          <w:p w14:paraId="3285FE8B">
            <w:pPr>
              <w:keepNext w:val="0"/>
              <w:keepLines w:val="0"/>
              <w:pageBreakBefore w:val="0"/>
              <w:widowControl w:val="0"/>
              <w:kinsoku/>
              <w:overflowPunct/>
              <w:topLinePunct w:val="0"/>
              <w:bidi w:val="0"/>
              <w:spacing w:line="360" w:lineRule="auto"/>
              <w:ind w:firstLine="420" w:firstLineChars="200"/>
              <w:rPr>
                <w:color w:val="auto"/>
                <w:kern w:val="0"/>
                <w:szCs w:val="21"/>
                <w:highlight w:val="none"/>
              </w:rPr>
            </w:pPr>
            <w:r>
              <w:rPr>
                <w:color w:val="auto"/>
                <w:szCs w:val="21"/>
                <w:highlight w:val="none"/>
              </w:rPr>
              <w:t>（</w:t>
            </w:r>
            <w:r>
              <w:rPr>
                <w:rFonts w:hint="eastAsia"/>
                <w:color w:val="auto"/>
                <w:szCs w:val="21"/>
                <w:highlight w:val="none"/>
              </w:rPr>
              <w:t>4</w:t>
            </w:r>
            <w:r>
              <w:rPr>
                <w:color w:val="auto"/>
                <w:szCs w:val="21"/>
                <w:highlight w:val="none"/>
              </w:rPr>
              <w:t>）固废：</w:t>
            </w:r>
            <w:r>
              <w:rPr>
                <w:rFonts w:hint="eastAsia"/>
                <w:color w:val="000000" w:themeColor="text1"/>
                <w14:textFill>
                  <w14:solidFill>
                    <w14:schemeClr w14:val="tx1"/>
                  </w14:solidFill>
                </w14:textFill>
              </w:rPr>
              <w:t>一般固废执行《一般工业固体废物贮存和填埋污染控制标准》（GB18599-2020）中相关规定</w:t>
            </w:r>
            <w:r>
              <w:rPr>
                <w:rFonts w:hint="eastAsia"/>
                <w:color w:val="000000" w:themeColor="text1"/>
                <w:lang w:eastAsia="zh-CN"/>
                <w14:textFill>
                  <w14:solidFill>
                    <w14:schemeClr w14:val="tx1"/>
                  </w14:solidFill>
                </w14:textFill>
              </w:rPr>
              <w:t>；</w:t>
            </w:r>
            <w:r>
              <w:rPr>
                <w:rFonts w:hint="eastAsia"/>
                <w:color w:val="000000" w:themeColor="text1"/>
                <w:szCs w:val="21"/>
                <w14:textFill>
                  <w14:solidFill>
                    <w14:schemeClr w14:val="tx1"/>
                  </w14:solidFill>
                </w14:textFill>
              </w:rPr>
              <w:t>危险废物执行《危险废物贮存污染控制标准》（GB18597-2023）</w:t>
            </w:r>
            <w:r>
              <w:rPr>
                <w:rFonts w:hint="default"/>
                <w:color w:val="000000" w:themeColor="text1"/>
                <w:szCs w:val="21"/>
                <w14:textFill>
                  <w14:solidFill>
                    <w14:schemeClr w14:val="tx1"/>
                  </w14:solidFill>
                </w14:textFill>
              </w:rPr>
              <w:t>相关要求</w:t>
            </w:r>
            <w:r>
              <w:rPr>
                <w:rFonts w:hint="default" w:ascii="Times New Roman" w:hAnsi="Times New Roman" w:cs="Times New Roman"/>
                <w:color w:val="000000" w:themeColor="text1"/>
                <w:szCs w:val="21"/>
                <w:highlight w:val="none"/>
                <w14:textFill>
                  <w14:solidFill>
                    <w14:schemeClr w14:val="tx1"/>
                  </w14:solidFill>
                </w14:textFill>
              </w:rPr>
              <w:t>。</w:t>
            </w:r>
          </w:p>
        </w:tc>
      </w:tr>
      <w:tr w14:paraId="3651D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14:paraId="63285BC9">
            <w:pPr>
              <w:keepNext w:val="0"/>
              <w:keepLines w:val="0"/>
              <w:pageBreakBefore w:val="0"/>
              <w:widowControl w:val="0"/>
              <w:kinsoku/>
              <w:overflowPunct/>
              <w:topLinePunct w:val="0"/>
              <w:bidi w:val="0"/>
              <w:adjustRightInd w:val="0"/>
              <w:jc w:val="center"/>
              <w:rPr>
                <w:color w:val="FF0000"/>
                <w:kern w:val="0"/>
                <w:szCs w:val="21"/>
              </w:rPr>
            </w:pPr>
            <w:r>
              <w:rPr>
                <w:color w:val="auto"/>
                <w:kern w:val="0"/>
                <w:szCs w:val="21"/>
              </w:rPr>
              <w:t>其他</w:t>
            </w:r>
          </w:p>
        </w:tc>
        <w:tc>
          <w:tcPr>
            <w:tcW w:w="8808" w:type="dxa"/>
            <w:vAlign w:val="center"/>
          </w:tcPr>
          <w:p w14:paraId="3B9FE01D">
            <w:pPr>
              <w:keepNext w:val="0"/>
              <w:keepLines w:val="0"/>
              <w:pageBreakBefore w:val="0"/>
              <w:widowControl w:val="0"/>
              <w:kinsoku/>
              <w:overflowPunct/>
              <w:topLinePunct w:val="0"/>
              <w:bidi w:val="0"/>
              <w:spacing w:line="360" w:lineRule="auto"/>
              <w:ind w:firstLine="420" w:firstLineChars="200"/>
              <w:rPr>
                <w:rFonts w:hint="eastAsia"/>
                <w:color w:val="auto"/>
                <w:szCs w:val="21"/>
              </w:rPr>
            </w:pPr>
            <w:r>
              <w:rPr>
                <w:color w:val="auto"/>
                <w:szCs w:val="21"/>
              </w:rPr>
              <w:t>本工程为输变电项目，</w:t>
            </w:r>
            <w:r>
              <w:rPr>
                <w:bCs/>
                <w:color w:val="auto"/>
                <w:szCs w:val="21"/>
              </w:rPr>
              <w:t>工程</w:t>
            </w:r>
            <w:r>
              <w:rPr>
                <w:color w:val="auto"/>
                <w:szCs w:val="21"/>
              </w:rPr>
              <w:t>建成运行后其特征污染物</w:t>
            </w:r>
            <w:r>
              <w:rPr>
                <w:rFonts w:hint="eastAsia"/>
                <w:color w:val="auto"/>
                <w:szCs w:val="21"/>
              </w:rPr>
              <w:t>主要</w:t>
            </w:r>
            <w:r>
              <w:rPr>
                <w:color w:val="auto"/>
                <w:szCs w:val="21"/>
              </w:rPr>
              <w:t>为工频电场、工频磁场及噪声，均不属于总量控制指标，因此，无需设置总量控制指标</w:t>
            </w:r>
            <w:r>
              <w:rPr>
                <w:rFonts w:hint="eastAsia"/>
                <w:color w:val="auto"/>
                <w:szCs w:val="21"/>
              </w:rPr>
              <w:t>。</w:t>
            </w:r>
          </w:p>
        </w:tc>
      </w:tr>
    </w:tbl>
    <w:p w14:paraId="4AB1B264">
      <w:pPr>
        <w:rPr>
          <w:color w:val="FF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4BCC7A8">
      <w:pPr>
        <w:pStyle w:val="22"/>
        <w:spacing w:before="0" w:beforeAutospacing="0" w:after="0" w:afterAutospacing="0" w:line="360" w:lineRule="auto"/>
        <w:jc w:val="center"/>
        <w:outlineLvl w:val="0"/>
        <w:rPr>
          <w:rFonts w:ascii="Times New Roman" w:hAnsi="Times New Roman" w:eastAsia="黑体"/>
          <w:snapToGrid w:val="0"/>
          <w:color w:val="auto"/>
          <w:sz w:val="30"/>
          <w:szCs w:val="30"/>
        </w:rPr>
      </w:pPr>
      <w:bookmarkStart w:id="14" w:name="_Toc63026907"/>
      <w:r>
        <w:rPr>
          <w:rFonts w:ascii="Times New Roman" w:hAnsi="Times New Roman" w:eastAsia="黑体"/>
          <w:snapToGrid w:val="0"/>
          <w:color w:val="auto"/>
          <w:sz w:val="30"/>
          <w:szCs w:val="30"/>
        </w:rPr>
        <w:t>四、生态环境影响分析</w:t>
      </w:r>
      <w:bookmarkEnd w:id="14"/>
    </w:p>
    <w:tbl>
      <w:tblPr>
        <w:tblStyle w:val="25"/>
        <w:tblW w:w="950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827"/>
      </w:tblGrid>
      <w:tr w14:paraId="6FCA07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Mar>
              <w:left w:w="28" w:type="dxa"/>
              <w:right w:w="28" w:type="dxa"/>
            </w:tcMar>
            <w:vAlign w:val="center"/>
          </w:tcPr>
          <w:p w14:paraId="71EDE9B1">
            <w:pPr>
              <w:widowControl/>
              <w:adjustRightInd w:val="0"/>
              <w:jc w:val="center"/>
              <w:rPr>
                <w:bCs/>
                <w:color w:val="auto"/>
                <w:szCs w:val="21"/>
              </w:rPr>
            </w:pPr>
            <w:bookmarkStart w:id="15" w:name="_Hlk49796138"/>
            <w:r>
              <w:rPr>
                <w:bCs/>
                <w:color w:val="auto"/>
                <w:spacing w:val="10"/>
                <w:szCs w:val="21"/>
              </w:rPr>
              <w:t>施工期生态环境影响分析</w:t>
            </w:r>
            <w:bookmarkEnd w:id="15"/>
          </w:p>
        </w:tc>
        <w:tc>
          <w:tcPr>
            <w:tcW w:w="8827" w:type="dxa"/>
          </w:tcPr>
          <w:p w14:paraId="4C4C7D85">
            <w:pPr>
              <w:adjustRightInd w:val="0"/>
              <w:spacing w:line="360" w:lineRule="auto"/>
              <w:rPr>
                <w:rFonts w:eastAsia="黑体"/>
                <w:bCs/>
                <w:color w:val="auto"/>
                <w:szCs w:val="21"/>
              </w:rPr>
            </w:pPr>
            <w:r>
              <w:rPr>
                <w:rFonts w:hint="eastAsia" w:eastAsia="黑体"/>
                <w:bCs/>
                <w:color w:val="auto"/>
                <w:szCs w:val="21"/>
              </w:rPr>
              <w:t>一、</w:t>
            </w:r>
            <w:r>
              <w:rPr>
                <w:rFonts w:eastAsia="黑体"/>
                <w:bCs/>
                <w:color w:val="auto"/>
                <w:szCs w:val="21"/>
              </w:rPr>
              <w:t>施工期环境影响识别</w:t>
            </w:r>
          </w:p>
          <w:p w14:paraId="234EAAB5">
            <w:pPr>
              <w:spacing w:line="360" w:lineRule="auto"/>
              <w:ind w:firstLine="420" w:firstLineChars="200"/>
              <w:rPr>
                <w:rFonts w:eastAsia="黑体"/>
                <w:color w:val="auto"/>
                <w:szCs w:val="21"/>
              </w:rPr>
            </w:pPr>
            <w:r>
              <w:rPr>
                <w:color w:val="auto"/>
                <w:szCs w:val="21"/>
              </w:rPr>
              <w:t>本工程施工流程及产</w:t>
            </w:r>
            <w:r>
              <w:rPr>
                <w:rFonts w:hint="eastAsia"/>
                <w:color w:val="auto"/>
                <w:szCs w:val="21"/>
              </w:rPr>
              <w:t>污</w:t>
            </w:r>
            <w:r>
              <w:rPr>
                <w:color w:val="auto"/>
                <w:szCs w:val="21"/>
              </w:rPr>
              <w:t>环节</w:t>
            </w:r>
            <w:r>
              <w:rPr>
                <w:color w:val="auto"/>
                <w:szCs w:val="21"/>
                <w:highlight w:val="none"/>
              </w:rPr>
              <w:t>见</w:t>
            </w:r>
            <w:r>
              <w:rPr>
                <w:rFonts w:hint="eastAsia"/>
                <w:color w:val="auto"/>
                <w:szCs w:val="21"/>
                <w:highlight w:val="none"/>
                <w:lang w:val="en-US" w:eastAsia="zh-CN"/>
              </w:rPr>
              <w:t>图2-2</w:t>
            </w:r>
            <w:r>
              <w:rPr>
                <w:color w:val="auto"/>
                <w:szCs w:val="21"/>
                <w:highlight w:val="none"/>
              </w:rPr>
              <w:t>。</w:t>
            </w:r>
          </w:p>
          <w:p w14:paraId="0B8160AA">
            <w:pPr>
              <w:spacing w:line="360" w:lineRule="auto"/>
              <w:ind w:firstLine="420" w:firstLineChars="200"/>
              <w:rPr>
                <w:rFonts w:ascii="宋体" w:hAnsi="宋体"/>
                <w:color w:val="auto"/>
                <w:szCs w:val="21"/>
              </w:rPr>
            </w:pPr>
            <w:r>
              <w:rPr>
                <w:rFonts w:ascii="宋体" w:hAnsi="宋体"/>
                <w:color w:val="auto"/>
                <w:szCs w:val="21"/>
              </w:rPr>
              <w:t>根据输变电项目的性质及其所处地区环境特征分析，本</w:t>
            </w:r>
            <w:r>
              <w:rPr>
                <w:rFonts w:hint="eastAsia" w:ascii="宋体" w:hAnsi="宋体"/>
                <w:color w:val="auto"/>
                <w:szCs w:val="21"/>
              </w:rPr>
              <w:t>项目</w:t>
            </w:r>
            <w:r>
              <w:rPr>
                <w:rFonts w:ascii="宋体" w:hAnsi="宋体"/>
                <w:color w:val="auto"/>
                <w:szCs w:val="21"/>
              </w:rPr>
              <w:t>施工期产生的环境影响</w:t>
            </w:r>
            <w:r>
              <w:rPr>
                <w:rFonts w:hint="eastAsia" w:ascii="宋体" w:hAnsi="宋体"/>
                <w:color w:val="auto"/>
                <w:szCs w:val="21"/>
              </w:rPr>
              <w:t>见下表。</w:t>
            </w:r>
          </w:p>
          <w:p w14:paraId="20DAEA32">
            <w:pPr>
              <w:jc w:val="center"/>
              <w:rPr>
                <w:rFonts w:eastAsia="黑体"/>
                <w:color w:val="auto"/>
                <w:szCs w:val="21"/>
              </w:rPr>
            </w:pPr>
            <w:bookmarkStart w:id="16" w:name="_Ref124589843"/>
            <w:r>
              <w:rPr>
                <w:rFonts w:eastAsia="黑体"/>
                <w:color w:val="auto"/>
                <w:szCs w:val="21"/>
              </w:rPr>
              <w:t>表</w:t>
            </w:r>
            <w:bookmarkEnd w:id="16"/>
            <w:r>
              <w:rPr>
                <w:rFonts w:hint="eastAsia" w:eastAsia="黑体"/>
                <w:color w:val="auto"/>
                <w:szCs w:val="21"/>
              </w:rPr>
              <w:t>4-</w:t>
            </w:r>
            <w:r>
              <w:rPr>
                <w:rFonts w:eastAsia="黑体"/>
                <w:color w:val="auto"/>
                <w:szCs w:val="21"/>
              </w:rPr>
              <w:t>1  工程施工期主要环境影响识别</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3458"/>
              <w:gridCol w:w="4038"/>
            </w:tblGrid>
            <w:tr w14:paraId="74D07B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vAlign w:val="center"/>
                </w:tcPr>
                <w:p w14:paraId="699854B9">
                  <w:pPr>
                    <w:jc w:val="center"/>
                    <w:rPr>
                      <w:color w:val="auto"/>
                      <w:sz w:val="18"/>
                      <w:szCs w:val="18"/>
                    </w:rPr>
                  </w:pPr>
                  <w:r>
                    <w:rPr>
                      <w:color w:val="auto"/>
                      <w:sz w:val="18"/>
                      <w:szCs w:val="18"/>
                    </w:rPr>
                    <w:t>环境识别</w:t>
                  </w:r>
                </w:p>
              </w:tc>
              <w:tc>
                <w:tcPr>
                  <w:tcW w:w="3460" w:type="dxa"/>
                  <w:vAlign w:val="center"/>
                </w:tcPr>
                <w:p w14:paraId="6066135A">
                  <w:pPr>
                    <w:jc w:val="center"/>
                    <w:rPr>
                      <w:color w:val="auto"/>
                      <w:sz w:val="18"/>
                      <w:szCs w:val="18"/>
                    </w:rPr>
                  </w:pPr>
                  <w:r>
                    <w:rPr>
                      <w:rFonts w:hint="eastAsia"/>
                      <w:color w:val="auto"/>
                      <w:sz w:val="18"/>
                      <w:szCs w:val="18"/>
                    </w:rPr>
                    <w:t>新建变电站施工</w:t>
                  </w:r>
                </w:p>
              </w:tc>
              <w:tc>
                <w:tcPr>
                  <w:tcW w:w="4040" w:type="dxa"/>
                  <w:vAlign w:val="center"/>
                </w:tcPr>
                <w:p w14:paraId="76A6CC71">
                  <w:pPr>
                    <w:jc w:val="center"/>
                    <w:rPr>
                      <w:color w:val="auto"/>
                      <w:sz w:val="18"/>
                      <w:szCs w:val="18"/>
                    </w:rPr>
                  </w:pPr>
                  <w:r>
                    <w:rPr>
                      <w:rFonts w:hint="eastAsia"/>
                      <w:color w:val="auto"/>
                      <w:sz w:val="18"/>
                      <w:szCs w:val="18"/>
                    </w:rPr>
                    <w:t>输电</w:t>
                  </w:r>
                  <w:r>
                    <w:rPr>
                      <w:color w:val="auto"/>
                      <w:sz w:val="18"/>
                      <w:szCs w:val="18"/>
                    </w:rPr>
                    <w:t>线路</w:t>
                  </w:r>
                  <w:r>
                    <w:rPr>
                      <w:rFonts w:hint="eastAsia"/>
                      <w:color w:val="auto"/>
                      <w:sz w:val="18"/>
                      <w:szCs w:val="18"/>
                    </w:rPr>
                    <w:t>施工</w:t>
                  </w:r>
                </w:p>
              </w:tc>
            </w:tr>
            <w:tr w14:paraId="2EBFC1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5" w:type="dxa"/>
                  <w:vAlign w:val="center"/>
                </w:tcPr>
                <w:p w14:paraId="4664E9BC">
                  <w:pPr>
                    <w:jc w:val="center"/>
                    <w:rPr>
                      <w:color w:val="auto"/>
                      <w:sz w:val="18"/>
                      <w:szCs w:val="18"/>
                    </w:rPr>
                  </w:pPr>
                  <w:r>
                    <w:rPr>
                      <w:color w:val="auto"/>
                      <w:sz w:val="18"/>
                      <w:szCs w:val="18"/>
                    </w:rPr>
                    <w:t>声环境</w:t>
                  </w:r>
                </w:p>
              </w:tc>
              <w:tc>
                <w:tcPr>
                  <w:tcW w:w="7500" w:type="dxa"/>
                  <w:gridSpan w:val="2"/>
                  <w:vAlign w:val="center"/>
                </w:tcPr>
                <w:p w14:paraId="7AE4A69E">
                  <w:pPr>
                    <w:jc w:val="center"/>
                    <w:rPr>
                      <w:rFonts w:ascii="宋体" w:hAnsi="宋体"/>
                      <w:color w:val="auto"/>
                      <w:sz w:val="18"/>
                      <w:szCs w:val="18"/>
                    </w:rPr>
                  </w:pPr>
                  <w:r>
                    <w:rPr>
                      <w:rFonts w:ascii="宋体" w:hAnsi="宋体"/>
                      <w:color w:val="auto"/>
                      <w:sz w:val="18"/>
                      <w:szCs w:val="18"/>
                    </w:rPr>
                    <w:t>噪声</w:t>
                  </w:r>
                </w:p>
              </w:tc>
            </w:tr>
            <w:tr w14:paraId="7AE083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vAlign w:val="center"/>
                </w:tcPr>
                <w:p w14:paraId="42C68F58">
                  <w:pPr>
                    <w:jc w:val="center"/>
                    <w:rPr>
                      <w:color w:val="auto"/>
                      <w:sz w:val="18"/>
                      <w:szCs w:val="18"/>
                    </w:rPr>
                  </w:pPr>
                  <w:r>
                    <w:rPr>
                      <w:color w:val="auto"/>
                      <w:sz w:val="18"/>
                      <w:szCs w:val="18"/>
                    </w:rPr>
                    <w:t>气环境</w:t>
                  </w:r>
                </w:p>
              </w:tc>
              <w:tc>
                <w:tcPr>
                  <w:tcW w:w="7500" w:type="dxa"/>
                  <w:gridSpan w:val="2"/>
                  <w:vAlign w:val="center"/>
                </w:tcPr>
                <w:p w14:paraId="394AD6C7">
                  <w:pPr>
                    <w:jc w:val="center"/>
                    <w:rPr>
                      <w:rFonts w:ascii="宋体" w:hAnsi="宋体"/>
                      <w:color w:val="auto"/>
                      <w:sz w:val="18"/>
                      <w:szCs w:val="18"/>
                    </w:rPr>
                  </w:pPr>
                  <w:r>
                    <w:rPr>
                      <w:rFonts w:ascii="宋体" w:hAnsi="宋体"/>
                      <w:color w:val="auto"/>
                      <w:sz w:val="18"/>
                      <w:szCs w:val="18"/>
                    </w:rPr>
                    <w:t>施工扬尘</w:t>
                  </w:r>
                  <w:r>
                    <w:rPr>
                      <w:rFonts w:hint="eastAsia" w:ascii="宋体" w:hAnsi="宋体"/>
                      <w:color w:val="auto"/>
                      <w:sz w:val="18"/>
                      <w:szCs w:val="18"/>
                    </w:rPr>
                    <w:t>、机械和车辆产生的</w:t>
                  </w:r>
                  <w:r>
                    <w:rPr>
                      <w:rFonts w:ascii="宋体" w:hAnsi="宋体"/>
                      <w:color w:val="auto"/>
                      <w:sz w:val="18"/>
                      <w:szCs w:val="18"/>
                    </w:rPr>
                    <w:t>废气</w:t>
                  </w:r>
                </w:p>
              </w:tc>
            </w:tr>
            <w:tr w14:paraId="489239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vAlign w:val="center"/>
                </w:tcPr>
                <w:p w14:paraId="7E301EA2">
                  <w:pPr>
                    <w:jc w:val="center"/>
                    <w:rPr>
                      <w:color w:val="auto"/>
                      <w:sz w:val="18"/>
                      <w:szCs w:val="18"/>
                    </w:rPr>
                  </w:pPr>
                  <w:r>
                    <w:rPr>
                      <w:color w:val="auto"/>
                      <w:sz w:val="18"/>
                      <w:szCs w:val="18"/>
                    </w:rPr>
                    <w:t>水环境</w:t>
                  </w:r>
                </w:p>
              </w:tc>
              <w:tc>
                <w:tcPr>
                  <w:tcW w:w="7500" w:type="dxa"/>
                  <w:gridSpan w:val="2"/>
                  <w:vAlign w:val="center"/>
                </w:tcPr>
                <w:p w14:paraId="262FC60A">
                  <w:pPr>
                    <w:jc w:val="center"/>
                    <w:rPr>
                      <w:rFonts w:ascii="宋体" w:hAnsi="宋体"/>
                      <w:color w:val="auto"/>
                      <w:sz w:val="18"/>
                      <w:szCs w:val="18"/>
                    </w:rPr>
                  </w:pPr>
                  <w:r>
                    <w:rPr>
                      <w:rFonts w:ascii="宋体" w:hAnsi="宋体"/>
                      <w:color w:val="auto"/>
                      <w:sz w:val="18"/>
                      <w:szCs w:val="18"/>
                    </w:rPr>
                    <w:t>施工人员生活污水</w:t>
                  </w:r>
                  <w:r>
                    <w:rPr>
                      <w:rFonts w:hint="eastAsia" w:ascii="宋体" w:hAnsi="宋体"/>
                      <w:color w:val="auto"/>
                      <w:sz w:val="18"/>
                      <w:szCs w:val="18"/>
                    </w:rPr>
                    <w:t>、施工废水</w:t>
                  </w:r>
                </w:p>
              </w:tc>
            </w:tr>
            <w:tr w14:paraId="357BEC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vAlign w:val="center"/>
                </w:tcPr>
                <w:p w14:paraId="2E7C20BC">
                  <w:pPr>
                    <w:jc w:val="center"/>
                    <w:rPr>
                      <w:color w:val="auto"/>
                      <w:sz w:val="18"/>
                      <w:szCs w:val="18"/>
                    </w:rPr>
                  </w:pPr>
                  <w:r>
                    <w:rPr>
                      <w:color w:val="auto"/>
                      <w:sz w:val="18"/>
                      <w:szCs w:val="18"/>
                    </w:rPr>
                    <w:t>生态环境</w:t>
                  </w:r>
                </w:p>
              </w:tc>
              <w:tc>
                <w:tcPr>
                  <w:tcW w:w="7500" w:type="dxa"/>
                  <w:gridSpan w:val="2"/>
                  <w:vAlign w:val="center"/>
                </w:tcPr>
                <w:p w14:paraId="56BCE04D">
                  <w:pPr>
                    <w:jc w:val="center"/>
                    <w:rPr>
                      <w:rFonts w:ascii="宋体" w:hAnsi="宋体"/>
                      <w:color w:val="auto"/>
                      <w:sz w:val="18"/>
                      <w:szCs w:val="18"/>
                    </w:rPr>
                  </w:pPr>
                  <w:r>
                    <w:rPr>
                      <w:rFonts w:hint="eastAsia" w:ascii="宋体" w:hAnsi="宋体"/>
                      <w:color w:val="auto"/>
                      <w:sz w:val="18"/>
                      <w:szCs w:val="18"/>
                    </w:rPr>
                    <w:t>水土流失和植被破坏</w:t>
                  </w:r>
                </w:p>
              </w:tc>
            </w:tr>
            <w:tr w14:paraId="386C33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5" w:type="dxa"/>
                  <w:vAlign w:val="center"/>
                </w:tcPr>
                <w:p w14:paraId="69093558">
                  <w:pPr>
                    <w:jc w:val="center"/>
                    <w:rPr>
                      <w:color w:val="auto"/>
                      <w:sz w:val="18"/>
                      <w:szCs w:val="18"/>
                    </w:rPr>
                  </w:pPr>
                  <w:r>
                    <w:rPr>
                      <w:color w:val="auto"/>
                      <w:sz w:val="18"/>
                      <w:szCs w:val="18"/>
                    </w:rPr>
                    <w:t>固体废物</w:t>
                  </w:r>
                </w:p>
              </w:tc>
              <w:tc>
                <w:tcPr>
                  <w:tcW w:w="7500" w:type="dxa"/>
                  <w:gridSpan w:val="2"/>
                  <w:vAlign w:val="center"/>
                </w:tcPr>
                <w:p w14:paraId="1435445A">
                  <w:pPr>
                    <w:jc w:val="center"/>
                    <w:rPr>
                      <w:rFonts w:hint="default" w:eastAsia="宋体"/>
                      <w:color w:val="auto"/>
                      <w:sz w:val="18"/>
                      <w:szCs w:val="18"/>
                      <w:lang w:val="en-US" w:eastAsia="zh-CN"/>
                    </w:rPr>
                  </w:pPr>
                  <w:r>
                    <w:rPr>
                      <w:rFonts w:hint="eastAsia"/>
                      <w:color w:val="auto"/>
                      <w:sz w:val="18"/>
                      <w:szCs w:val="18"/>
                    </w:rPr>
                    <w:t>施工人员生活垃圾、</w:t>
                  </w:r>
                  <w:r>
                    <w:rPr>
                      <w:rStyle w:val="32"/>
                      <w:rFonts w:hint="eastAsia"/>
                      <w:color w:val="auto"/>
                      <w:sz w:val="18"/>
                      <w:szCs w:val="18"/>
                    </w:rPr>
                    <w:t>建筑垃圾</w:t>
                  </w:r>
                  <w:r>
                    <w:rPr>
                      <w:rStyle w:val="32"/>
                      <w:rFonts w:hint="eastAsia"/>
                      <w:color w:val="auto"/>
                      <w:sz w:val="18"/>
                      <w:szCs w:val="18"/>
                      <w:lang w:eastAsia="zh-CN"/>
                    </w:rPr>
                    <w:t>、</w:t>
                  </w:r>
                  <w:r>
                    <w:rPr>
                      <w:rStyle w:val="32"/>
                      <w:rFonts w:hint="eastAsia"/>
                      <w:color w:val="auto"/>
                      <w:sz w:val="18"/>
                      <w:szCs w:val="18"/>
                      <w:lang w:val="en-US" w:eastAsia="zh-CN"/>
                    </w:rPr>
                    <w:t>土石方</w:t>
                  </w:r>
                </w:p>
              </w:tc>
            </w:tr>
          </w:tbl>
          <w:p w14:paraId="6E1B2F0B">
            <w:pPr>
              <w:spacing w:line="360" w:lineRule="auto"/>
              <w:rPr>
                <w:rFonts w:eastAsia="黑体"/>
                <w:bCs/>
                <w:color w:val="auto"/>
                <w:szCs w:val="21"/>
              </w:rPr>
            </w:pPr>
            <w:r>
              <w:rPr>
                <w:rFonts w:hint="eastAsia" w:eastAsia="黑体"/>
                <w:bCs/>
                <w:color w:val="auto"/>
                <w:szCs w:val="21"/>
              </w:rPr>
              <w:t>二、</w:t>
            </w:r>
            <w:r>
              <w:rPr>
                <w:rFonts w:eastAsia="黑体"/>
                <w:bCs/>
                <w:color w:val="auto"/>
                <w:szCs w:val="21"/>
              </w:rPr>
              <w:t>施工期环境影响分析</w:t>
            </w:r>
          </w:p>
          <w:p w14:paraId="17F105D7">
            <w:pPr>
              <w:spacing w:line="360" w:lineRule="auto"/>
              <w:ind w:firstLine="420" w:firstLineChars="200"/>
              <w:rPr>
                <w:rFonts w:eastAsia="黑体"/>
                <w:color w:val="auto"/>
                <w:szCs w:val="21"/>
              </w:rPr>
            </w:pPr>
            <w:r>
              <w:rPr>
                <w:rFonts w:hint="eastAsia" w:eastAsia="黑体"/>
                <w:color w:val="auto"/>
                <w:szCs w:val="21"/>
              </w:rPr>
              <w:t>1、声环境影响分析</w:t>
            </w:r>
          </w:p>
          <w:p w14:paraId="6B5B5B77">
            <w:pPr>
              <w:spacing w:line="360" w:lineRule="auto"/>
              <w:ind w:firstLine="422" w:firstLineChars="200"/>
              <w:rPr>
                <w:rFonts w:hint="eastAsia" w:eastAsiaTheme="minorEastAsia"/>
                <w:b/>
                <w:bCs/>
                <w:color w:val="auto"/>
                <w:szCs w:val="21"/>
                <w:lang w:eastAsia="zh-CN"/>
              </w:rPr>
            </w:pPr>
            <w:r>
              <w:rPr>
                <w:rFonts w:hint="eastAsia" w:eastAsiaTheme="minorEastAsia"/>
                <w:b/>
                <w:bCs/>
                <w:color w:val="auto"/>
                <w:szCs w:val="21"/>
              </w:rPr>
              <w:t>（1）</w:t>
            </w:r>
            <w:r>
              <w:rPr>
                <w:rFonts w:hint="eastAsia" w:eastAsiaTheme="minorEastAsia"/>
                <w:b/>
                <w:color w:val="auto"/>
                <w:szCs w:val="21"/>
                <w:lang w:val="en-US" w:eastAsia="zh-CN"/>
              </w:rPr>
              <w:t>司城</w:t>
            </w:r>
            <w:r>
              <w:rPr>
                <w:rFonts w:hint="eastAsia" w:eastAsiaTheme="minorEastAsia"/>
                <w:b/>
                <w:color w:val="auto"/>
                <w:szCs w:val="21"/>
                <w:lang w:eastAsia="zh-CN"/>
              </w:rPr>
              <w:t>110kV变电站新建工程</w:t>
            </w:r>
          </w:p>
          <w:p w14:paraId="7E8B92E8">
            <w:pPr>
              <w:pStyle w:val="65"/>
              <w:spacing w:line="360" w:lineRule="auto"/>
              <w:ind w:firstLine="420" w:firstLineChars="200"/>
              <w:rPr>
                <w:color w:val="auto"/>
                <w:sz w:val="21"/>
                <w:szCs w:val="21"/>
              </w:rPr>
            </w:pPr>
            <w:r>
              <w:rPr>
                <w:color w:val="auto"/>
                <w:sz w:val="21"/>
                <w:szCs w:val="21"/>
              </w:rPr>
              <w:t>变电站施工噪声采用理论模式进行预测分析，预测模式采用《环境影响评价技术导则 声环境》（HJ2.4-2021）工业噪声中室外点声源预测模式。</w:t>
            </w:r>
            <w:r>
              <w:rPr>
                <w:rFonts w:hint="eastAsia"/>
                <w:color w:val="auto"/>
                <w:sz w:val="21"/>
                <w:szCs w:val="21"/>
              </w:rPr>
              <w:t>预测模式如下：</w:t>
            </w:r>
          </w:p>
          <w:p w14:paraId="78C377EB">
            <w:pPr>
              <w:spacing w:line="360" w:lineRule="auto"/>
              <w:ind w:firstLine="420" w:firstLineChars="200"/>
              <w:rPr>
                <w:color w:val="auto"/>
                <w:szCs w:val="21"/>
              </w:rPr>
            </w:pPr>
            <w:r>
              <w:rPr>
                <w:rFonts w:hint="eastAsia" w:ascii="宋体" w:hAnsi="宋体" w:cs="宋体"/>
                <w:color w:val="auto"/>
                <w:szCs w:val="21"/>
              </w:rPr>
              <w:t>①</w:t>
            </w:r>
            <w:r>
              <w:rPr>
                <w:color w:val="auto"/>
                <w:szCs w:val="21"/>
              </w:rPr>
              <w:t>噪声衰减公式：</w:t>
            </w:r>
          </w:p>
          <w:p w14:paraId="1C4D1F7A">
            <w:pPr>
              <w:spacing w:line="360" w:lineRule="auto"/>
              <w:jc w:val="center"/>
              <w:rPr>
                <w:color w:val="auto"/>
                <w:szCs w:val="21"/>
              </w:rPr>
            </w:pPr>
            <w:r>
              <w:rPr>
                <w:color w:val="auto"/>
                <w:position w:val="-12"/>
                <w:szCs w:val="21"/>
              </w:rPr>
              <w:object>
                <v:shape id="_x0000_i1026" o:spt="75" type="#_x0000_t75" style="height:20.05pt;width:155.9pt;" o:ole="t" filled="f" o:preferrelative="t" stroked="f" coordsize="21600,21600">
                  <v:path/>
                  <v:fill on="f" focussize="0,0"/>
                  <v:stroke on="f" joinstyle="miter"/>
                  <v:imagedata r:id="rId22" o:title=""/>
                  <o:lock v:ext="edit" aspectratio="t"/>
                  <w10:wrap type="none"/>
                  <w10:anchorlock/>
                </v:shape>
                <o:OLEObject Type="Embed" ProgID="Equation.DSMT4" ShapeID="_x0000_i1026" DrawAspect="Content" ObjectID="_1468075726" r:id="rId21">
                  <o:LockedField>false</o:LockedField>
                </o:OLEObject>
              </w:object>
            </w:r>
          </w:p>
          <w:p w14:paraId="656FF010">
            <w:pPr>
              <w:spacing w:line="360" w:lineRule="auto"/>
              <w:ind w:firstLine="420" w:firstLineChars="200"/>
              <w:rPr>
                <w:color w:val="auto"/>
                <w:szCs w:val="21"/>
              </w:rPr>
            </w:pPr>
            <w:r>
              <w:rPr>
                <w:color w:val="auto"/>
                <w:szCs w:val="21"/>
              </w:rPr>
              <w:t>式中：L</w:t>
            </w:r>
            <w:r>
              <w:rPr>
                <w:color w:val="auto"/>
                <w:szCs w:val="21"/>
                <w:vertAlign w:val="subscript"/>
              </w:rPr>
              <w:t>A</w:t>
            </w:r>
            <w:r>
              <w:rPr>
                <w:color w:val="auto"/>
                <w:szCs w:val="21"/>
              </w:rPr>
              <w:t>（r）——距声源r处的A声级；</w:t>
            </w:r>
          </w:p>
          <w:p w14:paraId="458C1AA4">
            <w:pPr>
              <w:spacing w:line="360" w:lineRule="auto"/>
              <w:ind w:firstLine="1050" w:firstLineChars="500"/>
              <w:rPr>
                <w:color w:val="auto"/>
                <w:szCs w:val="21"/>
              </w:rPr>
            </w:pPr>
            <w:r>
              <w:rPr>
                <w:color w:val="auto"/>
                <w:szCs w:val="21"/>
              </w:rPr>
              <w:t>L</w:t>
            </w:r>
            <w:r>
              <w:rPr>
                <w:color w:val="auto"/>
                <w:szCs w:val="21"/>
                <w:vertAlign w:val="subscript"/>
              </w:rPr>
              <w:t>A</w:t>
            </w:r>
            <w:r>
              <w:rPr>
                <w:color w:val="auto"/>
                <w:szCs w:val="21"/>
              </w:rPr>
              <w:t>（r</w:t>
            </w:r>
            <w:r>
              <w:rPr>
                <w:color w:val="auto"/>
                <w:szCs w:val="21"/>
                <w:vertAlign w:val="subscript"/>
              </w:rPr>
              <w:t>0</w:t>
            </w:r>
            <w:r>
              <w:rPr>
                <w:color w:val="auto"/>
                <w:szCs w:val="21"/>
              </w:rPr>
              <w:t>）——距声源r</w:t>
            </w:r>
            <w:r>
              <w:rPr>
                <w:color w:val="auto"/>
                <w:szCs w:val="21"/>
                <w:vertAlign w:val="subscript"/>
              </w:rPr>
              <w:t>0</w:t>
            </w:r>
            <w:r>
              <w:rPr>
                <w:color w:val="auto"/>
                <w:szCs w:val="21"/>
              </w:rPr>
              <w:t>处的A声级；</w:t>
            </w:r>
          </w:p>
          <w:p w14:paraId="4D72E7A0">
            <w:pPr>
              <w:spacing w:line="360" w:lineRule="auto"/>
              <w:ind w:firstLine="1050" w:firstLineChars="500"/>
              <w:rPr>
                <w:color w:val="auto"/>
                <w:szCs w:val="21"/>
              </w:rPr>
            </w:pPr>
            <w:r>
              <w:rPr>
                <w:color w:val="auto"/>
                <w:szCs w:val="21"/>
              </w:rPr>
              <w:t>r</w:t>
            </w:r>
            <w:r>
              <w:rPr>
                <w:color w:val="auto"/>
                <w:szCs w:val="21"/>
                <w:vertAlign w:val="subscript"/>
              </w:rPr>
              <w:t>0</w:t>
            </w:r>
            <w:r>
              <w:rPr>
                <w:color w:val="auto"/>
                <w:szCs w:val="21"/>
              </w:rPr>
              <w:t>、r——距声源的距离，m。</w:t>
            </w:r>
          </w:p>
          <w:p w14:paraId="5CCDA8FC">
            <w:pPr>
              <w:spacing w:line="360" w:lineRule="auto"/>
              <w:ind w:firstLine="420" w:firstLineChars="200"/>
              <w:rPr>
                <w:color w:val="auto"/>
                <w:szCs w:val="21"/>
              </w:rPr>
            </w:pPr>
            <w:r>
              <w:rPr>
                <w:rFonts w:hint="eastAsia" w:ascii="宋体" w:hAnsi="宋体" w:cs="宋体"/>
                <w:color w:val="auto"/>
                <w:szCs w:val="21"/>
              </w:rPr>
              <w:t>②</w:t>
            </w:r>
            <w:r>
              <w:rPr>
                <w:color w:val="auto"/>
                <w:szCs w:val="21"/>
              </w:rPr>
              <w:t>噪声叠加公式：</w:t>
            </w:r>
          </w:p>
          <w:p w14:paraId="329D9593">
            <w:pPr>
              <w:spacing w:line="360" w:lineRule="auto"/>
              <w:jc w:val="center"/>
              <w:rPr>
                <w:color w:val="auto"/>
                <w:szCs w:val="21"/>
              </w:rPr>
            </w:pPr>
            <w:r>
              <w:rPr>
                <w:color w:val="auto"/>
                <w:position w:val="-28"/>
                <w:szCs w:val="21"/>
              </w:rPr>
              <w:object>
                <v:shape id="_x0000_i1027" o:spt="75" type="#_x0000_t75" style="height:39.45pt;width:103.95pt;" o:ole="t" filled="f" o:preferrelative="t" stroked="f" coordsize="21600,21600">
                  <v:path/>
                  <v:fill on="f" focussize="0,0"/>
                  <v:stroke on="f" joinstyle="miter"/>
                  <v:imagedata r:id="rId24" o:title=""/>
                  <o:lock v:ext="edit" aspectratio="t"/>
                  <w10:wrap type="none"/>
                  <w10:anchorlock/>
                </v:shape>
                <o:OLEObject Type="Embed" ProgID="Equation.DSMT4" ShapeID="_x0000_i1027" DrawAspect="Content" ObjectID="_1468075727" r:id="rId23">
                  <o:LockedField>false</o:LockedField>
                </o:OLEObject>
              </w:object>
            </w:r>
          </w:p>
          <w:p w14:paraId="27F7F93A">
            <w:pPr>
              <w:spacing w:line="360" w:lineRule="auto"/>
              <w:ind w:firstLine="420" w:firstLineChars="200"/>
              <w:rPr>
                <w:color w:val="auto"/>
                <w:szCs w:val="21"/>
              </w:rPr>
            </w:pPr>
            <w:r>
              <w:rPr>
                <w:color w:val="auto"/>
                <w:szCs w:val="21"/>
              </w:rPr>
              <w:t>式中：L</w:t>
            </w:r>
            <w:r>
              <w:rPr>
                <w:color w:val="auto"/>
                <w:szCs w:val="21"/>
                <w:vertAlign w:val="subscript"/>
              </w:rPr>
              <w:t>i</w:t>
            </w:r>
            <w:r>
              <w:rPr>
                <w:color w:val="auto"/>
                <w:szCs w:val="21"/>
              </w:rPr>
              <w:t>——第i个声源的噪声值；</w:t>
            </w:r>
          </w:p>
          <w:p w14:paraId="41AC414F">
            <w:pPr>
              <w:spacing w:line="360" w:lineRule="auto"/>
              <w:ind w:firstLine="1050" w:firstLineChars="500"/>
              <w:rPr>
                <w:color w:val="auto"/>
                <w:szCs w:val="21"/>
              </w:rPr>
            </w:pPr>
            <w:r>
              <w:rPr>
                <w:color w:val="auto"/>
                <w:szCs w:val="21"/>
              </w:rPr>
              <w:t>L——某点噪声叠加值；</w:t>
            </w:r>
          </w:p>
          <w:p w14:paraId="2F1BE02F">
            <w:pPr>
              <w:spacing w:line="360" w:lineRule="auto"/>
              <w:ind w:firstLine="1050" w:firstLineChars="500"/>
              <w:jc w:val="both"/>
              <w:rPr>
                <w:bCs/>
                <w:color w:val="auto"/>
                <w:szCs w:val="21"/>
              </w:rPr>
            </w:pPr>
            <w:r>
              <w:rPr>
                <w:color w:val="auto"/>
                <w:szCs w:val="21"/>
              </w:rPr>
              <w:t>n——声源个数。</w:t>
            </w:r>
          </w:p>
          <w:p w14:paraId="26A96BA4">
            <w:pPr>
              <w:keepNext w:val="0"/>
              <w:keepLines w:val="0"/>
              <w:pageBreakBefore w:val="0"/>
              <w:widowControl w:val="0"/>
              <w:kinsoku/>
              <w:wordWrap/>
              <w:overflowPunct/>
              <w:topLinePunct w:val="0"/>
              <w:bidi w:val="0"/>
              <w:adjustRightInd/>
              <w:snapToGrid/>
              <w:spacing w:line="360" w:lineRule="auto"/>
              <w:ind w:firstLine="420" w:firstLineChars="200"/>
              <w:textAlignment w:val="auto"/>
              <w:rPr>
                <w:bCs/>
                <w:color w:val="auto"/>
                <w:szCs w:val="21"/>
              </w:rPr>
            </w:pPr>
            <w:r>
              <w:rPr>
                <w:rFonts w:hint="eastAsia" w:eastAsiaTheme="minorEastAsia"/>
                <w:bCs/>
                <w:color w:val="auto"/>
                <w:szCs w:val="21"/>
                <w:lang w:eastAsia="zh-CN"/>
              </w:rPr>
              <w:t>本项目</w:t>
            </w:r>
            <w:r>
              <w:rPr>
                <w:rFonts w:eastAsiaTheme="minorEastAsia"/>
                <w:bCs/>
                <w:color w:val="auto"/>
                <w:szCs w:val="21"/>
              </w:rPr>
              <w:t>变电站</w:t>
            </w:r>
            <w:r>
              <w:rPr>
                <w:bCs/>
                <w:color w:val="auto"/>
                <w:szCs w:val="21"/>
              </w:rPr>
              <w:t>施工噪声源主要有</w:t>
            </w:r>
            <w:r>
              <w:rPr>
                <w:rFonts w:hint="default" w:ascii="Times New Roman" w:hAnsi="Times New Roman" w:cs="Times New Roman"/>
                <w:color w:val="auto"/>
              </w:rPr>
              <w:t>挖掘机</w:t>
            </w:r>
            <w:r>
              <w:rPr>
                <w:bCs/>
                <w:color w:val="auto"/>
                <w:szCs w:val="21"/>
              </w:rPr>
              <w:t>、</w:t>
            </w:r>
            <w:r>
              <w:rPr>
                <w:rFonts w:hint="default" w:ascii="Times New Roman" w:hAnsi="Times New Roman" w:cs="Times New Roman"/>
                <w:color w:val="auto"/>
              </w:rPr>
              <w:t>混凝土</w:t>
            </w:r>
            <w:r>
              <w:rPr>
                <w:rFonts w:hint="eastAsia" w:cs="Times New Roman"/>
                <w:color w:val="auto"/>
                <w:lang w:eastAsia="zh-CN"/>
              </w:rPr>
              <w:t>振捣器</w:t>
            </w:r>
            <w:r>
              <w:rPr>
                <w:rFonts w:hint="eastAsia" w:ascii="Times New Roman" w:hAnsi="Times New Roman" w:cs="Times New Roman"/>
                <w:color w:val="auto"/>
                <w:lang w:eastAsia="zh-CN"/>
              </w:rPr>
              <w:t>、推土机</w:t>
            </w:r>
            <w:r>
              <w:rPr>
                <w:rFonts w:hint="eastAsia" w:ascii="Times New Roman" w:hAnsi="Times New Roman" w:cs="Times New Roman"/>
                <w:color w:val="auto"/>
                <w:lang w:val="en-US" w:eastAsia="zh-CN"/>
              </w:rPr>
              <w:t>、</w:t>
            </w:r>
            <w:r>
              <w:rPr>
                <w:rFonts w:hint="eastAsia"/>
                <w:bCs/>
                <w:color w:val="auto"/>
                <w:szCs w:val="21"/>
              </w:rPr>
              <w:t>碾压机械</w:t>
            </w:r>
            <w:r>
              <w:rPr>
                <w:bCs/>
                <w:color w:val="auto"/>
                <w:szCs w:val="21"/>
              </w:rPr>
              <w:t>、重型运输车等。根据</w:t>
            </w:r>
            <w:r>
              <w:rPr>
                <w:color w:val="auto"/>
                <w:szCs w:val="21"/>
              </w:rPr>
              <w:t>《环境噪声与振动控制工程技术导则》（HJ 2034-2013）</w:t>
            </w:r>
            <w:r>
              <w:rPr>
                <w:rFonts w:hint="eastAsia" w:ascii="Times New Roman" w:hAnsi="Times New Roman" w:cs="Times New Roman"/>
                <w:color w:val="000000" w:themeColor="text1"/>
                <w:szCs w:val="21"/>
                <w:highlight w:val="none"/>
                <w:lang w:val="en-US" w:eastAsia="zh-CN"/>
                <w14:textFill>
                  <w14:solidFill>
                    <w14:schemeClr w14:val="tx1"/>
                  </w14:solidFill>
                </w14:textFill>
              </w:rPr>
              <w:t>和</w:t>
            </w:r>
            <w:r>
              <w:rPr>
                <w:rFonts w:hint="eastAsia"/>
                <w:bCs/>
                <w:color w:val="000000" w:themeColor="text1"/>
                <w:szCs w:val="21"/>
                <w:lang w:val="en-US" w:eastAsia="zh-CN"/>
                <w14:textFill>
                  <w14:solidFill>
                    <w14:schemeClr w14:val="tx1"/>
                  </w14:solidFill>
                </w14:textFill>
              </w:rPr>
              <w:t>《低噪声施工设备指导名录》（2024年版）</w:t>
            </w:r>
            <w:r>
              <w:rPr>
                <w:bCs/>
                <w:color w:val="auto"/>
                <w:szCs w:val="21"/>
              </w:rPr>
              <w:t>，</w:t>
            </w:r>
            <w:r>
              <w:rPr>
                <w:rFonts w:hint="eastAsia"/>
                <w:bCs/>
                <w:color w:val="auto"/>
                <w:szCs w:val="21"/>
                <w:lang w:val="en-US" w:eastAsia="zh-CN"/>
              </w:rPr>
              <w:t>施工期</w:t>
            </w:r>
            <w:r>
              <w:rPr>
                <w:bCs/>
                <w:color w:val="auto"/>
                <w:szCs w:val="21"/>
              </w:rPr>
              <w:t>最大噪声源强</w:t>
            </w:r>
            <w:r>
              <w:rPr>
                <w:rFonts w:hint="eastAsia"/>
                <w:bCs/>
                <w:color w:val="auto"/>
                <w:szCs w:val="21"/>
                <w:lang w:eastAsia="zh-CN"/>
              </w:rPr>
              <w:t>约</w:t>
            </w:r>
            <w:r>
              <w:rPr>
                <w:bCs/>
                <w:color w:val="auto"/>
                <w:szCs w:val="21"/>
              </w:rPr>
              <w:t>为</w:t>
            </w:r>
            <w:r>
              <w:rPr>
                <w:rFonts w:hint="eastAsia"/>
                <w:bCs/>
                <w:color w:val="auto"/>
                <w:szCs w:val="21"/>
                <w:lang w:val="en-US" w:eastAsia="zh-CN"/>
              </w:rPr>
              <w:t>90</w:t>
            </w:r>
            <w:r>
              <w:rPr>
                <w:bCs/>
                <w:color w:val="auto"/>
                <w:szCs w:val="21"/>
              </w:rPr>
              <w:t>dB（A）</w:t>
            </w:r>
            <w:r>
              <w:rPr>
                <w:rFonts w:hint="eastAsia"/>
                <w:bCs/>
                <w:color w:val="auto"/>
                <w:szCs w:val="21"/>
              </w:rPr>
              <w:t>（距声源5</w:t>
            </w:r>
            <w:r>
              <w:rPr>
                <w:bCs/>
                <w:color w:val="auto"/>
                <w:szCs w:val="21"/>
              </w:rPr>
              <w:t>m</w:t>
            </w:r>
            <w:r>
              <w:rPr>
                <w:rFonts w:hint="eastAsia"/>
                <w:bCs/>
                <w:color w:val="auto"/>
                <w:szCs w:val="21"/>
              </w:rPr>
              <w:t>）</w:t>
            </w:r>
            <w:r>
              <w:rPr>
                <w:rFonts w:hint="eastAsia" w:cs="Times New Roman"/>
                <w:bCs/>
                <w:color w:val="auto"/>
                <w:szCs w:val="21"/>
                <w:lang w:val="en-US" w:eastAsia="zh-CN"/>
              </w:rPr>
              <w:t>，</w:t>
            </w:r>
            <w:r>
              <w:rPr>
                <w:bCs/>
                <w:color w:val="auto"/>
                <w:szCs w:val="21"/>
              </w:rPr>
              <w:t>参比同类项目施工总布置方案，施工机具主要集中在</w:t>
            </w:r>
            <w:r>
              <w:rPr>
                <w:rFonts w:hint="eastAsia"/>
                <w:bCs/>
                <w:color w:val="auto"/>
                <w:szCs w:val="21"/>
                <w:lang w:val="en-US" w:eastAsia="zh-CN"/>
              </w:rPr>
              <w:t>主变位置</w:t>
            </w:r>
            <w:r>
              <w:rPr>
                <w:bCs/>
                <w:color w:val="auto"/>
                <w:szCs w:val="21"/>
              </w:rPr>
              <w:t>，根据变电站平面布置图可知，本次不考虑地面效应</w:t>
            </w:r>
            <w:r>
              <w:rPr>
                <w:rFonts w:hint="default" w:ascii="Times New Roman" w:hAnsi="Times New Roman" w:cs="Times New Roman"/>
                <w:color w:val="000000" w:themeColor="text1"/>
                <w:szCs w:val="21"/>
                <w:highlight w:val="none"/>
                <w14:textFill>
                  <w14:solidFill>
                    <w14:schemeClr w14:val="tx1"/>
                  </w14:solidFill>
                </w14:textFill>
              </w:rPr>
              <w:t>引起的附加隔声量</w:t>
            </w:r>
            <w:r>
              <w:rPr>
                <w:rFonts w:hint="eastAsia"/>
                <w:bCs/>
                <w:color w:val="auto"/>
                <w:szCs w:val="21"/>
                <w:lang w:eastAsia="zh-CN"/>
              </w:rPr>
              <w:t>，</w:t>
            </w:r>
            <w:r>
              <w:rPr>
                <w:rFonts w:hint="default" w:ascii="Times New Roman" w:hAnsi="Times New Roman" w:cs="Times New Roman"/>
                <w:color w:val="000000" w:themeColor="text1"/>
                <w:szCs w:val="21"/>
                <w:highlight w:val="none"/>
                <w14:textFill>
                  <w14:solidFill>
                    <w14:schemeClr w14:val="tx1"/>
                  </w14:solidFill>
                </w14:textFill>
              </w:rPr>
              <w:t>仅考虑噪声的几何衰减</w:t>
            </w:r>
            <w:r>
              <w:rPr>
                <w:rFonts w:hint="eastAsia"/>
                <w:bCs/>
                <w:color w:val="auto"/>
                <w:szCs w:val="21"/>
                <w:lang w:eastAsia="zh-CN"/>
              </w:rPr>
              <w:t>，</w:t>
            </w:r>
            <w:r>
              <w:rPr>
                <w:rFonts w:hint="eastAsia"/>
                <w:bCs/>
                <w:color w:val="000000" w:themeColor="text1"/>
                <w:szCs w:val="21"/>
                <w14:textFill>
                  <w14:solidFill>
                    <w14:schemeClr w14:val="tx1"/>
                  </w14:solidFill>
                </w14:textFill>
              </w:rPr>
              <w:t>变电站</w:t>
            </w:r>
            <w:r>
              <w:rPr>
                <w:bCs/>
                <w:color w:val="000000" w:themeColor="text1"/>
                <w:szCs w:val="21"/>
                <w14:textFill>
                  <w14:solidFill>
                    <w14:schemeClr w14:val="tx1"/>
                  </w14:solidFill>
                </w14:textFill>
              </w:rPr>
              <w:t>施工噪声</w:t>
            </w:r>
            <w:r>
              <w:rPr>
                <w:rFonts w:hint="eastAsia"/>
                <w:bCs/>
                <w:color w:val="000000" w:themeColor="text1"/>
                <w:szCs w:val="21"/>
                <w14:textFill>
                  <w14:solidFill>
                    <w14:schemeClr w14:val="tx1"/>
                  </w14:solidFill>
                </w14:textFill>
              </w:rPr>
              <w:t>随噪声源距离变化</w:t>
            </w:r>
            <w:r>
              <w:rPr>
                <w:bCs/>
                <w:color w:val="000000" w:themeColor="text1"/>
                <w:szCs w:val="21"/>
                <w14:textFill>
                  <w14:solidFill>
                    <w14:schemeClr w14:val="tx1"/>
                  </w14:solidFill>
                </w14:textFill>
              </w:rPr>
              <w:t>的预测值见表4-2，对</w:t>
            </w:r>
            <w:r>
              <w:rPr>
                <w:rFonts w:hint="eastAsia"/>
                <w:bCs/>
                <w:color w:val="000000" w:themeColor="text1"/>
                <w:szCs w:val="21"/>
                <w14:textFill>
                  <w14:solidFill>
                    <w14:schemeClr w14:val="tx1"/>
                  </w14:solidFill>
                </w14:textFill>
              </w:rPr>
              <w:t>环境敏感目标</w:t>
            </w:r>
            <w:r>
              <w:rPr>
                <w:bCs/>
                <w:color w:val="000000" w:themeColor="text1"/>
                <w:szCs w:val="21"/>
                <w14:textFill>
                  <w14:solidFill>
                    <w14:schemeClr w14:val="tx1"/>
                  </w14:solidFill>
                </w14:textFill>
              </w:rPr>
              <w:t>的影响预测见表4-3</w:t>
            </w:r>
            <w:r>
              <w:rPr>
                <w:rFonts w:hint="eastAsia"/>
                <w:bCs/>
                <w:color w:val="auto"/>
                <w:szCs w:val="21"/>
              </w:rPr>
              <w:t>。</w:t>
            </w:r>
          </w:p>
          <w:p w14:paraId="1AC119EB">
            <w:pPr>
              <w:keepNext w:val="0"/>
              <w:keepLines w:val="0"/>
              <w:pageBreakBefore w:val="0"/>
              <w:widowControl w:val="0"/>
              <w:kinsoku/>
              <w:wordWrap/>
              <w:overflowPunct/>
              <w:topLinePunct w:val="0"/>
              <w:autoSpaceDE w:val="0"/>
              <w:autoSpaceDN w:val="0"/>
              <w:bidi w:val="0"/>
              <w:adjustRightInd/>
              <w:snapToGrid/>
              <w:jc w:val="center"/>
              <w:textAlignment w:val="auto"/>
              <w:rPr>
                <w:rFonts w:eastAsia="黑体"/>
                <w:color w:val="auto"/>
                <w:highlight w:val="none"/>
              </w:rPr>
            </w:pPr>
            <w:r>
              <w:rPr>
                <w:rFonts w:eastAsia="黑体"/>
                <w:bCs/>
                <w:color w:val="auto"/>
                <w:szCs w:val="21"/>
                <w:highlight w:val="none"/>
              </w:rPr>
              <w:t>表</w:t>
            </w:r>
            <w:r>
              <w:rPr>
                <w:rFonts w:hint="eastAsia" w:eastAsia="黑体"/>
                <w:bCs/>
                <w:color w:val="auto"/>
                <w:szCs w:val="21"/>
                <w:highlight w:val="none"/>
              </w:rPr>
              <w:t>4</w:t>
            </w:r>
            <w:r>
              <w:rPr>
                <w:rFonts w:eastAsia="黑体"/>
                <w:bCs/>
                <w:color w:val="auto"/>
                <w:szCs w:val="21"/>
                <w:highlight w:val="none"/>
              </w:rPr>
              <w:t>-</w:t>
            </w:r>
            <w:r>
              <w:rPr>
                <w:rFonts w:hint="eastAsia" w:eastAsia="黑体"/>
                <w:bCs/>
                <w:color w:val="auto"/>
                <w:szCs w:val="21"/>
                <w:highlight w:val="none"/>
              </w:rPr>
              <w:t>2</w:t>
            </w:r>
            <w:r>
              <w:rPr>
                <w:rFonts w:eastAsia="黑体"/>
                <w:bCs/>
                <w:color w:val="auto"/>
                <w:szCs w:val="21"/>
                <w:highlight w:val="none"/>
              </w:rPr>
              <w:t xml:space="preserve">  </w:t>
            </w:r>
            <w:r>
              <w:rPr>
                <w:rFonts w:hint="eastAsia" w:eastAsia="黑体"/>
                <w:bCs/>
                <w:color w:val="auto"/>
                <w:szCs w:val="21"/>
                <w:highlight w:val="none"/>
              </w:rPr>
              <w:t>变电站</w:t>
            </w:r>
            <w:r>
              <w:rPr>
                <w:rFonts w:eastAsia="黑体"/>
                <w:bCs/>
                <w:color w:val="auto"/>
                <w:szCs w:val="21"/>
                <w:highlight w:val="none"/>
              </w:rPr>
              <w:t>施工噪声</w:t>
            </w:r>
            <w:r>
              <w:rPr>
                <w:rFonts w:hint="eastAsia" w:eastAsia="黑体"/>
                <w:bCs/>
                <w:color w:val="auto"/>
                <w:szCs w:val="21"/>
                <w:highlight w:val="none"/>
              </w:rPr>
              <w:t>随噪声源距离变化</w:t>
            </w:r>
            <w:r>
              <w:rPr>
                <w:rFonts w:eastAsia="黑体"/>
                <w:bCs/>
                <w:color w:val="auto"/>
                <w:szCs w:val="21"/>
                <w:highlight w:val="none"/>
              </w:rPr>
              <w:t>的预测值  单位dB（A）</w:t>
            </w:r>
          </w:p>
          <w:tbl>
            <w:tblPr>
              <w:tblStyle w:val="25"/>
              <w:tblW w:w="4994"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1653"/>
              <w:gridCol w:w="390"/>
              <w:gridCol w:w="517"/>
              <w:gridCol w:w="489"/>
              <w:gridCol w:w="554"/>
              <w:gridCol w:w="585"/>
              <w:gridCol w:w="567"/>
              <w:gridCol w:w="559"/>
              <w:gridCol w:w="537"/>
              <w:gridCol w:w="554"/>
              <w:gridCol w:w="537"/>
              <w:gridCol w:w="538"/>
              <w:gridCol w:w="525"/>
              <w:gridCol w:w="566"/>
            </w:tblGrid>
            <w:tr w14:paraId="44C10B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1" w:type="dxa"/>
                  <w:bottom w:w="0" w:type="dxa"/>
                  <w:right w:w="51" w:type="dxa"/>
                </w:tblCellMar>
              </w:tblPrEx>
              <w:trPr>
                <w:trHeight w:val="361" w:hRule="atLeast"/>
                <w:jc w:val="center"/>
              </w:trPr>
              <w:tc>
                <w:tcPr>
                  <w:tcW w:w="1193" w:type="pct"/>
                  <w:gridSpan w:val="2"/>
                  <w:vAlign w:val="center"/>
                </w:tcPr>
                <w:p w14:paraId="78D8E0A5">
                  <w:pPr>
                    <w:pStyle w:val="9"/>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距变电站站界距离（m）</w:t>
                  </w:r>
                </w:p>
              </w:tc>
              <w:tc>
                <w:tcPr>
                  <w:tcW w:w="302" w:type="pct"/>
                  <w:vAlign w:val="center"/>
                </w:tcPr>
                <w:p w14:paraId="0BA096BB">
                  <w:pPr>
                    <w:pStyle w:val="9"/>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vertAlign w:val="baseline"/>
                      <w:lang w:val="en-US" w:eastAsia="zh-CN"/>
                    </w:rPr>
                    <w:t>0</w:t>
                  </w:r>
                </w:p>
              </w:tc>
              <w:tc>
                <w:tcPr>
                  <w:tcW w:w="285" w:type="pct"/>
                  <w:vAlign w:val="center"/>
                </w:tcPr>
                <w:p w14:paraId="00A93773">
                  <w:pPr>
                    <w:pStyle w:val="9"/>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vertAlign w:val="baseline"/>
                      <w:lang w:val="en-US" w:eastAsia="zh-CN"/>
                    </w:rPr>
                    <w:t>1</w:t>
                  </w:r>
                </w:p>
              </w:tc>
              <w:tc>
                <w:tcPr>
                  <w:tcW w:w="323" w:type="pct"/>
                  <w:vAlign w:val="center"/>
                </w:tcPr>
                <w:p w14:paraId="1B64675F">
                  <w:pPr>
                    <w:pStyle w:val="9"/>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vertAlign w:val="baseline"/>
                      <w:lang w:val="en-US" w:eastAsia="zh-CN"/>
                    </w:rPr>
                  </w:pPr>
                  <w:r>
                    <w:rPr>
                      <w:rFonts w:hint="eastAsia" w:ascii="Times New Roman" w:hAnsi="Times New Roman" w:eastAsia="宋体" w:cs="Times New Roman"/>
                      <w:color w:val="auto"/>
                      <w:sz w:val="18"/>
                      <w:szCs w:val="18"/>
                      <w:highlight w:val="none"/>
                      <w:vertAlign w:val="baseline"/>
                      <w:lang w:val="en-US" w:eastAsia="zh-CN"/>
                    </w:rPr>
                    <w:t>10</w:t>
                  </w:r>
                </w:p>
              </w:tc>
              <w:tc>
                <w:tcPr>
                  <w:tcW w:w="341" w:type="pct"/>
                  <w:vAlign w:val="center"/>
                </w:tcPr>
                <w:p w14:paraId="02225643">
                  <w:pPr>
                    <w:pStyle w:val="9"/>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vertAlign w:val="baseline"/>
                      <w:lang w:val="en-US" w:eastAsia="zh-CN"/>
                    </w:rPr>
                    <w:t>35</w:t>
                  </w:r>
                </w:p>
              </w:tc>
              <w:tc>
                <w:tcPr>
                  <w:tcW w:w="331" w:type="pct"/>
                  <w:vAlign w:val="center"/>
                </w:tcPr>
                <w:p w14:paraId="7ABB3FA6">
                  <w:pPr>
                    <w:pStyle w:val="9"/>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52</w:t>
                  </w:r>
                </w:p>
              </w:tc>
              <w:tc>
                <w:tcPr>
                  <w:tcW w:w="326" w:type="pct"/>
                  <w:vAlign w:val="center"/>
                </w:tcPr>
                <w:p w14:paraId="474F8747">
                  <w:pPr>
                    <w:pStyle w:val="9"/>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vertAlign w:val="baseline"/>
                      <w:lang w:val="en-US" w:eastAsia="zh-CN"/>
                    </w:rPr>
                  </w:pPr>
                  <w:r>
                    <w:rPr>
                      <w:rFonts w:hint="eastAsia" w:ascii="Times New Roman" w:hAnsi="Times New Roman" w:eastAsia="宋体" w:cs="Times New Roman"/>
                      <w:color w:val="auto"/>
                      <w:sz w:val="18"/>
                      <w:szCs w:val="18"/>
                      <w:highlight w:val="none"/>
                      <w:vertAlign w:val="baseline"/>
                      <w:lang w:val="en-US" w:eastAsia="zh-CN"/>
                    </w:rPr>
                    <w:t>80</w:t>
                  </w:r>
                </w:p>
              </w:tc>
              <w:tc>
                <w:tcPr>
                  <w:tcW w:w="313" w:type="pct"/>
                  <w:vAlign w:val="center"/>
                </w:tcPr>
                <w:p w14:paraId="3278F810">
                  <w:pPr>
                    <w:pStyle w:val="9"/>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100</w:t>
                  </w:r>
                </w:p>
              </w:tc>
              <w:tc>
                <w:tcPr>
                  <w:tcW w:w="323" w:type="pct"/>
                  <w:vAlign w:val="center"/>
                </w:tcPr>
                <w:p w14:paraId="4AF9D9D0">
                  <w:pPr>
                    <w:pStyle w:val="9"/>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vertAlign w:val="baseline"/>
                      <w:lang w:val="en-US" w:eastAsia="zh-CN"/>
                    </w:rPr>
                    <w:t>103</w:t>
                  </w:r>
                </w:p>
              </w:tc>
              <w:tc>
                <w:tcPr>
                  <w:tcW w:w="313" w:type="pct"/>
                  <w:vAlign w:val="center"/>
                </w:tcPr>
                <w:p w14:paraId="7E3E116D">
                  <w:pPr>
                    <w:pStyle w:val="9"/>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150</w:t>
                  </w:r>
                </w:p>
              </w:tc>
              <w:tc>
                <w:tcPr>
                  <w:tcW w:w="314" w:type="pct"/>
                  <w:vAlign w:val="center"/>
                </w:tcPr>
                <w:p w14:paraId="531D3834">
                  <w:pPr>
                    <w:pStyle w:val="9"/>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vertAlign w:val="baseline"/>
                      <w:lang w:val="en-US" w:eastAsia="zh-CN"/>
                    </w:rPr>
                    <w:t>174</w:t>
                  </w:r>
                </w:p>
              </w:tc>
              <w:tc>
                <w:tcPr>
                  <w:tcW w:w="306" w:type="pct"/>
                  <w:vAlign w:val="center"/>
                </w:tcPr>
                <w:p w14:paraId="06225390">
                  <w:pPr>
                    <w:pStyle w:val="9"/>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vertAlign w:val="baseline"/>
                      <w:lang w:val="en-US" w:eastAsia="zh-CN"/>
                    </w:rPr>
                    <w:t>177</w:t>
                  </w:r>
                </w:p>
              </w:tc>
              <w:tc>
                <w:tcPr>
                  <w:tcW w:w="324" w:type="pct"/>
                  <w:vAlign w:val="center"/>
                </w:tcPr>
                <w:p w14:paraId="03DF17A0">
                  <w:pPr>
                    <w:pStyle w:val="9"/>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vertAlign w:val="baseline"/>
                      <w:lang w:val="en-US" w:eastAsia="zh-CN"/>
                    </w:rPr>
                  </w:pPr>
                  <w:r>
                    <w:rPr>
                      <w:rFonts w:hint="eastAsia" w:ascii="Times New Roman" w:hAnsi="Times New Roman" w:eastAsia="宋体" w:cs="Times New Roman"/>
                      <w:color w:val="auto"/>
                      <w:sz w:val="18"/>
                      <w:szCs w:val="18"/>
                      <w:highlight w:val="none"/>
                      <w:vertAlign w:val="baseline"/>
                      <w:lang w:val="en-US" w:eastAsia="zh-CN"/>
                    </w:rPr>
                    <w:t>180</w:t>
                  </w:r>
                </w:p>
              </w:tc>
            </w:tr>
            <w:tr w14:paraId="2E2419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1" w:type="dxa"/>
                  <w:bottom w:w="0" w:type="dxa"/>
                  <w:right w:w="51" w:type="dxa"/>
                </w:tblCellMar>
              </w:tblPrEx>
              <w:trPr>
                <w:trHeight w:val="306" w:hRule="atLeast"/>
                <w:jc w:val="center"/>
              </w:trPr>
              <w:tc>
                <w:tcPr>
                  <w:tcW w:w="965" w:type="pct"/>
                  <w:vAlign w:val="center"/>
                </w:tcPr>
                <w:p w14:paraId="15BABAD6">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距声源的距离（m）</w:t>
                  </w:r>
                </w:p>
              </w:tc>
              <w:tc>
                <w:tcPr>
                  <w:tcW w:w="228" w:type="pct"/>
                  <w:vAlign w:val="center"/>
                </w:tcPr>
                <w:p w14:paraId="15D0964A">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5</w:t>
                  </w:r>
                </w:p>
              </w:tc>
              <w:tc>
                <w:tcPr>
                  <w:tcW w:w="302" w:type="pct"/>
                  <w:vAlign w:val="center"/>
                </w:tcPr>
                <w:p w14:paraId="2E6265F0">
                  <w:pPr>
                    <w:keepNext w:val="0"/>
                    <w:keepLines w:val="0"/>
                    <w:pageBreakBefore w:val="0"/>
                    <w:suppressLineNumbers w:val="0"/>
                    <w:kinsoku/>
                    <w:wordWrap/>
                    <w:topLinePunct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20</w:t>
                  </w:r>
                </w:p>
              </w:tc>
              <w:tc>
                <w:tcPr>
                  <w:tcW w:w="285" w:type="pct"/>
                  <w:vAlign w:val="center"/>
                </w:tcPr>
                <w:p w14:paraId="29F85B26">
                  <w:pPr>
                    <w:keepNext w:val="0"/>
                    <w:keepLines w:val="0"/>
                    <w:pageBreakBefore w:val="0"/>
                    <w:suppressLineNumbers w:val="0"/>
                    <w:kinsoku/>
                    <w:wordWrap/>
                    <w:topLinePunct w:val="0"/>
                    <w:bidi w:val="0"/>
                    <w:spacing w:before="0" w:beforeAutospacing="0" w:after="0" w:afterAutospacing="0"/>
                    <w:ind w:left="0" w:leftChars="0" w:right="0" w:rightChars="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21</w:t>
                  </w:r>
                </w:p>
              </w:tc>
              <w:tc>
                <w:tcPr>
                  <w:tcW w:w="323" w:type="pct"/>
                  <w:vAlign w:val="center"/>
                </w:tcPr>
                <w:p w14:paraId="7D147B25">
                  <w:pPr>
                    <w:keepNext w:val="0"/>
                    <w:keepLines w:val="0"/>
                    <w:pageBreakBefore w:val="0"/>
                    <w:suppressLineNumbers w:val="0"/>
                    <w:kinsoku/>
                    <w:wordWrap/>
                    <w:topLinePunct w:val="0"/>
                    <w:bidi w:val="0"/>
                    <w:spacing w:before="0" w:beforeAutospacing="0" w:after="0" w:afterAutospacing="0"/>
                    <w:ind w:left="0" w:leftChars="0" w:right="0" w:rightChars="0"/>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30</w:t>
                  </w:r>
                </w:p>
              </w:tc>
              <w:tc>
                <w:tcPr>
                  <w:tcW w:w="341" w:type="pct"/>
                  <w:vAlign w:val="center"/>
                </w:tcPr>
                <w:p w14:paraId="4553B7E3">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55</w:t>
                  </w:r>
                </w:p>
              </w:tc>
              <w:tc>
                <w:tcPr>
                  <w:tcW w:w="331" w:type="pct"/>
                  <w:vAlign w:val="center"/>
                </w:tcPr>
                <w:p w14:paraId="48C434DB">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72</w:t>
                  </w:r>
                </w:p>
              </w:tc>
              <w:tc>
                <w:tcPr>
                  <w:tcW w:w="326" w:type="pct"/>
                  <w:vAlign w:val="center"/>
                </w:tcPr>
                <w:p w14:paraId="009BE9F4">
                  <w:pPr>
                    <w:keepNext w:val="0"/>
                    <w:keepLines w:val="0"/>
                    <w:pageBreakBefore w:val="0"/>
                    <w:suppressLineNumbers w:val="0"/>
                    <w:kinsoku/>
                    <w:wordWrap/>
                    <w:topLinePunct w:val="0"/>
                    <w:bidi w:val="0"/>
                    <w:spacing w:before="0" w:beforeAutospacing="0" w:after="0" w:afterAutospacing="0"/>
                    <w:ind w:left="0" w:right="0"/>
                    <w:jc w:val="center"/>
                    <w:rPr>
                      <w:rFonts w:hint="default"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100</w:t>
                  </w:r>
                </w:p>
              </w:tc>
              <w:tc>
                <w:tcPr>
                  <w:tcW w:w="313" w:type="pct"/>
                  <w:vAlign w:val="center"/>
                </w:tcPr>
                <w:p w14:paraId="4242D344">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120</w:t>
                  </w:r>
                </w:p>
              </w:tc>
              <w:tc>
                <w:tcPr>
                  <w:tcW w:w="323" w:type="pct"/>
                  <w:vAlign w:val="center"/>
                </w:tcPr>
                <w:p w14:paraId="1B35933B">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lang w:val="en-US" w:eastAsia="zh-CN"/>
                    </w:rPr>
                  </w:pPr>
                  <w:r>
                    <w:rPr>
                      <w:rFonts w:hint="eastAsia" w:eastAsia="宋体" w:cs="Times New Roman"/>
                      <w:color w:val="auto"/>
                      <w:sz w:val="18"/>
                      <w:szCs w:val="18"/>
                      <w:highlight w:val="none"/>
                      <w:lang w:val="en-US" w:eastAsia="zh-CN"/>
                    </w:rPr>
                    <w:t>123</w:t>
                  </w:r>
                </w:p>
              </w:tc>
              <w:tc>
                <w:tcPr>
                  <w:tcW w:w="313" w:type="pct"/>
                  <w:vAlign w:val="center"/>
                </w:tcPr>
                <w:p w14:paraId="026124A8">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170</w:t>
                  </w:r>
                </w:p>
              </w:tc>
              <w:tc>
                <w:tcPr>
                  <w:tcW w:w="314" w:type="pct"/>
                  <w:vAlign w:val="center"/>
                </w:tcPr>
                <w:p w14:paraId="064BBFBF">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194</w:t>
                  </w:r>
                </w:p>
              </w:tc>
              <w:tc>
                <w:tcPr>
                  <w:tcW w:w="306" w:type="pct"/>
                  <w:vAlign w:val="center"/>
                </w:tcPr>
                <w:p w14:paraId="56251CFC">
                  <w:pPr>
                    <w:keepNext w:val="0"/>
                    <w:keepLines w:val="0"/>
                    <w:pageBreakBefore w:val="0"/>
                    <w:suppressLineNumbers w:val="0"/>
                    <w:kinsoku/>
                    <w:wordWrap/>
                    <w:topLinePunct w:val="0"/>
                    <w:bidi w:val="0"/>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eastAsia" w:cs="Times New Roman"/>
                      <w:color w:val="auto"/>
                      <w:sz w:val="18"/>
                      <w:szCs w:val="18"/>
                      <w:highlight w:val="none"/>
                      <w:lang w:val="en-US" w:eastAsia="zh-CN"/>
                    </w:rPr>
                    <w:t>197</w:t>
                  </w:r>
                </w:p>
              </w:tc>
              <w:tc>
                <w:tcPr>
                  <w:tcW w:w="324" w:type="pct"/>
                  <w:vAlign w:val="center"/>
                </w:tcPr>
                <w:p w14:paraId="3EE10EFC">
                  <w:pPr>
                    <w:keepNext w:val="0"/>
                    <w:keepLines w:val="0"/>
                    <w:pageBreakBefore w:val="0"/>
                    <w:suppressLineNumbers w:val="0"/>
                    <w:kinsoku/>
                    <w:wordWrap/>
                    <w:topLinePunct w:val="0"/>
                    <w:bidi w:val="0"/>
                    <w:spacing w:before="0" w:beforeAutospacing="0" w:after="0" w:afterAutospacing="0"/>
                    <w:ind w:left="0" w:right="0"/>
                    <w:jc w:val="center"/>
                    <w:rPr>
                      <w:rFonts w:hint="default" w:cs="Times New Roman"/>
                      <w:color w:val="auto"/>
                      <w:sz w:val="18"/>
                      <w:szCs w:val="18"/>
                      <w:highlight w:val="none"/>
                      <w:lang w:val="en-US" w:eastAsia="zh-CN"/>
                    </w:rPr>
                  </w:pPr>
                  <w:r>
                    <w:rPr>
                      <w:rFonts w:hint="eastAsia" w:cs="Times New Roman"/>
                      <w:color w:val="auto"/>
                      <w:sz w:val="18"/>
                      <w:szCs w:val="18"/>
                      <w:highlight w:val="none"/>
                      <w:lang w:val="en-US" w:eastAsia="zh-CN"/>
                    </w:rPr>
                    <w:t>200</w:t>
                  </w:r>
                </w:p>
              </w:tc>
            </w:tr>
            <w:tr w14:paraId="6E4D7F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1" w:type="dxa"/>
                  <w:bottom w:w="0" w:type="dxa"/>
                  <w:right w:w="51" w:type="dxa"/>
                </w:tblCellMar>
              </w:tblPrEx>
              <w:trPr>
                <w:trHeight w:val="279" w:hRule="atLeast"/>
                <w:jc w:val="center"/>
              </w:trPr>
              <w:tc>
                <w:tcPr>
                  <w:tcW w:w="965" w:type="pct"/>
                  <w:vAlign w:val="center"/>
                </w:tcPr>
                <w:p w14:paraId="1F8E9587">
                  <w:pPr>
                    <w:keepNext w:val="0"/>
                    <w:keepLines w:val="0"/>
                    <w:pageBreakBefore w:val="0"/>
                    <w:widowControl/>
                    <w:suppressLineNumbers w:val="0"/>
                    <w:kinsoku/>
                    <w:wordWrap/>
                    <w:topLinePunct w:val="0"/>
                    <w:bidi w:val="0"/>
                    <w:spacing w:before="0" w:beforeAutospacing="0" w:after="0" w:afterAutospacing="0"/>
                    <w:ind w:left="0" w:right="0"/>
                    <w:jc w:val="center"/>
                    <w:textAlignment w:val="auto"/>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噪声</w:t>
                  </w:r>
                  <w:r>
                    <w:rPr>
                      <w:rFonts w:hint="eastAsia" w:ascii="Times New Roman" w:hAnsi="Times New Roman" w:cs="Times New Roman"/>
                      <w:color w:val="auto"/>
                      <w:sz w:val="18"/>
                      <w:szCs w:val="18"/>
                      <w:highlight w:val="none"/>
                      <w:lang w:val="en-US" w:eastAsia="zh-CN"/>
                    </w:rPr>
                    <w:t>预测</w:t>
                  </w:r>
                  <w:r>
                    <w:rPr>
                      <w:rFonts w:hint="default" w:ascii="Times New Roman" w:hAnsi="Times New Roman" w:cs="Times New Roman"/>
                      <w:color w:val="auto"/>
                      <w:sz w:val="18"/>
                      <w:szCs w:val="18"/>
                      <w:highlight w:val="none"/>
                      <w:lang w:val="en-US" w:eastAsia="zh-CN"/>
                    </w:rPr>
                    <w:t>值</w:t>
                  </w:r>
                </w:p>
              </w:tc>
              <w:tc>
                <w:tcPr>
                  <w:tcW w:w="228" w:type="pct"/>
                  <w:vAlign w:val="center"/>
                </w:tcPr>
                <w:p w14:paraId="65F426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宋体" w:cs="Times New Roman"/>
                      <w:b w:val="0"/>
                      <w:bCs w:val="0"/>
                      <w:color w:val="auto"/>
                      <w:sz w:val="18"/>
                      <w:szCs w:val="18"/>
                      <w:highlight w:val="none"/>
                      <w:lang w:val="en-US" w:eastAsia="zh-CN"/>
                    </w:rPr>
                  </w:pPr>
                  <w:r>
                    <w:rPr>
                      <w:rFonts w:hint="eastAsia" w:cs="Times New Roman"/>
                      <w:b w:val="0"/>
                      <w:bCs w:val="0"/>
                      <w:color w:val="auto"/>
                      <w:sz w:val="18"/>
                      <w:szCs w:val="18"/>
                      <w:highlight w:val="none"/>
                      <w:lang w:val="en-US" w:eastAsia="zh-CN"/>
                    </w:rPr>
                    <w:t>90</w:t>
                  </w:r>
                </w:p>
              </w:tc>
              <w:tc>
                <w:tcPr>
                  <w:tcW w:w="302" w:type="pct"/>
                  <w:vAlign w:val="center"/>
                </w:tcPr>
                <w:p w14:paraId="673A6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bottom"/>
                    <w:rPr>
                      <w:rFonts w:hint="default" w:ascii="Times New Roman" w:hAnsi="Times New Roman" w:eastAsia="宋体" w:cs="Times New Roman"/>
                      <w:b w:val="0"/>
                      <w:bCs w:val="0"/>
                      <w:color w:val="auto"/>
                      <w:sz w:val="18"/>
                      <w:szCs w:val="18"/>
                      <w:highlight w:val="none"/>
                      <w:lang w:val="en-US" w:eastAsia="zh-CN"/>
                    </w:rPr>
                  </w:pPr>
                  <w:r>
                    <w:rPr>
                      <w:rFonts w:hint="eastAsia" w:ascii="Times New Roman" w:hAnsi="Times New Roman" w:eastAsia="宋体" w:cs="Times New Roman"/>
                      <w:b w:val="0"/>
                      <w:bCs w:val="0"/>
                      <w:color w:val="auto"/>
                      <w:sz w:val="18"/>
                      <w:szCs w:val="18"/>
                      <w:highlight w:val="none"/>
                      <w:lang w:val="en-US" w:eastAsia="zh-CN"/>
                    </w:rPr>
                    <w:t>78.0</w:t>
                  </w:r>
                </w:p>
              </w:tc>
              <w:tc>
                <w:tcPr>
                  <w:tcW w:w="285" w:type="pct"/>
                  <w:vAlign w:val="center"/>
                </w:tcPr>
                <w:p w14:paraId="0D8F03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i w:val="0"/>
                      <w:iCs w:val="0"/>
                      <w:color w:val="auto"/>
                      <w:kern w:val="0"/>
                      <w:sz w:val="18"/>
                      <w:szCs w:val="18"/>
                      <w:highlight w:val="none"/>
                      <w:u w:val="none"/>
                      <w:lang w:val="en-US" w:eastAsia="zh-CN" w:bidi="ar"/>
                    </w:rPr>
                    <w:t>67.6</w:t>
                  </w:r>
                </w:p>
              </w:tc>
              <w:tc>
                <w:tcPr>
                  <w:tcW w:w="323" w:type="pct"/>
                  <w:vAlign w:val="center"/>
                </w:tcPr>
                <w:p w14:paraId="44E78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i w:val="0"/>
                      <w:iCs w:val="0"/>
                      <w:color w:val="auto"/>
                      <w:kern w:val="0"/>
                      <w:sz w:val="18"/>
                      <w:szCs w:val="18"/>
                      <w:highlight w:val="none"/>
                      <w:u w:val="none"/>
                      <w:lang w:val="en-US" w:eastAsia="zh-CN" w:bidi="ar"/>
                    </w:rPr>
                    <w:t>64.5</w:t>
                  </w:r>
                </w:p>
              </w:tc>
              <w:tc>
                <w:tcPr>
                  <w:tcW w:w="341" w:type="pct"/>
                  <w:vAlign w:val="center"/>
                </w:tcPr>
                <w:p w14:paraId="018D61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i w:val="0"/>
                      <w:iCs w:val="0"/>
                      <w:color w:val="auto"/>
                      <w:kern w:val="0"/>
                      <w:sz w:val="18"/>
                      <w:szCs w:val="18"/>
                      <w:highlight w:val="none"/>
                      <w:u w:val="none"/>
                      <w:lang w:val="en-US" w:eastAsia="zh-CN" w:bidi="ar"/>
                    </w:rPr>
                    <w:t>59.2</w:t>
                  </w:r>
                </w:p>
              </w:tc>
              <w:tc>
                <w:tcPr>
                  <w:tcW w:w="331" w:type="pct"/>
                  <w:vAlign w:val="center"/>
                </w:tcPr>
                <w:p w14:paraId="6BD6EA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56.9</w:t>
                  </w:r>
                </w:p>
              </w:tc>
              <w:tc>
                <w:tcPr>
                  <w:tcW w:w="326" w:type="pct"/>
                  <w:vAlign w:val="center"/>
                </w:tcPr>
                <w:p w14:paraId="0AA84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54.0</w:t>
                  </w:r>
                </w:p>
              </w:tc>
              <w:tc>
                <w:tcPr>
                  <w:tcW w:w="313" w:type="pct"/>
                  <w:vAlign w:val="center"/>
                </w:tcPr>
                <w:p w14:paraId="1890E7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i w:val="0"/>
                      <w:iCs w:val="0"/>
                      <w:color w:val="auto"/>
                      <w:kern w:val="0"/>
                      <w:sz w:val="18"/>
                      <w:szCs w:val="18"/>
                      <w:highlight w:val="none"/>
                      <w:u w:val="none"/>
                      <w:lang w:val="en-US" w:eastAsia="zh-CN" w:bidi="ar"/>
                    </w:rPr>
                    <w:t>52.4</w:t>
                  </w:r>
                </w:p>
              </w:tc>
              <w:tc>
                <w:tcPr>
                  <w:tcW w:w="323" w:type="pct"/>
                  <w:vAlign w:val="center"/>
                </w:tcPr>
                <w:p w14:paraId="669A68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52.2</w:t>
                  </w:r>
                </w:p>
              </w:tc>
              <w:tc>
                <w:tcPr>
                  <w:tcW w:w="313" w:type="pct"/>
                  <w:vAlign w:val="center"/>
                </w:tcPr>
                <w:p w14:paraId="5CB966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b w:val="0"/>
                      <w:bCs w:val="0"/>
                      <w:i w:val="0"/>
                      <w:iCs w:val="0"/>
                      <w:color w:val="auto"/>
                      <w:kern w:val="0"/>
                      <w:sz w:val="18"/>
                      <w:szCs w:val="18"/>
                      <w:highlight w:val="none"/>
                      <w:u w:val="none"/>
                      <w:lang w:val="en-US" w:eastAsia="zh-CN" w:bidi="ar"/>
                    </w:rPr>
                    <w:t>49.4</w:t>
                  </w:r>
                </w:p>
              </w:tc>
              <w:tc>
                <w:tcPr>
                  <w:tcW w:w="314" w:type="pct"/>
                  <w:vAlign w:val="center"/>
                </w:tcPr>
                <w:p w14:paraId="45EFF3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i w:val="0"/>
                      <w:iCs w:val="0"/>
                      <w:color w:val="auto"/>
                      <w:kern w:val="0"/>
                      <w:sz w:val="18"/>
                      <w:szCs w:val="18"/>
                      <w:highlight w:val="none"/>
                      <w:u w:val="none"/>
                      <w:lang w:val="en-US" w:eastAsia="zh-CN" w:bidi="ar"/>
                    </w:rPr>
                    <w:t>48.2</w:t>
                  </w:r>
                </w:p>
              </w:tc>
              <w:tc>
                <w:tcPr>
                  <w:tcW w:w="306" w:type="pct"/>
                  <w:vAlign w:val="center"/>
                </w:tcPr>
                <w:p w14:paraId="37C29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i w:val="0"/>
                      <w:iCs w:val="0"/>
                      <w:color w:val="auto"/>
                      <w:kern w:val="0"/>
                      <w:sz w:val="18"/>
                      <w:szCs w:val="18"/>
                      <w:highlight w:val="none"/>
                      <w:u w:val="none"/>
                      <w:lang w:val="en-US" w:eastAsia="zh-CN" w:bidi="ar"/>
                    </w:rPr>
                    <w:t>48.1</w:t>
                  </w:r>
                </w:p>
              </w:tc>
              <w:tc>
                <w:tcPr>
                  <w:tcW w:w="324" w:type="pct"/>
                  <w:vAlign w:val="center"/>
                </w:tcPr>
                <w:p w14:paraId="139B48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default" w:ascii="Times New Roman" w:hAnsi="Times New Roman" w:eastAsia="等线" w:cs="Times New Roman"/>
                      <w:i w:val="0"/>
                      <w:iCs w:val="0"/>
                      <w:color w:val="auto"/>
                      <w:kern w:val="0"/>
                      <w:sz w:val="18"/>
                      <w:szCs w:val="18"/>
                      <w:highlight w:val="none"/>
                      <w:u w:val="none"/>
                      <w:lang w:val="en-US" w:eastAsia="zh-CN" w:bidi="ar"/>
                    </w:rPr>
                  </w:pPr>
                  <w:r>
                    <w:rPr>
                      <w:rFonts w:hint="eastAsia" w:ascii="Times New Roman" w:hAnsi="Times New Roman" w:eastAsia="等线" w:cs="Times New Roman"/>
                      <w:i w:val="0"/>
                      <w:iCs w:val="0"/>
                      <w:color w:val="auto"/>
                      <w:kern w:val="0"/>
                      <w:sz w:val="18"/>
                      <w:szCs w:val="18"/>
                      <w:highlight w:val="none"/>
                      <w:u w:val="none"/>
                      <w:lang w:val="en-US" w:eastAsia="zh-CN" w:bidi="ar"/>
                    </w:rPr>
                    <w:t>48.0</w:t>
                  </w:r>
                </w:p>
              </w:tc>
            </w:tr>
            <w:tr w14:paraId="2E9D27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1" w:type="dxa"/>
                  <w:bottom w:w="0" w:type="dxa"/>
                  <w:right w:w="51" w:type="dxa"/>
                </w:tblCellMar>
              </w:tblPrEx>
              <w:trPr>
                <w:trHeight w:val="279" w:hRule="atLeast"/>
                <w:jc w:val="center"/>
              </w:trPr>
              <w:tc>
                <w:tcPr>
                  <w:tcW w:w="5000" w:type="pct"/>
                  <w:gridSpan w:val="14"/>
                  <w:vAlign w:val="center"/>
                </w:tcPr>
                <w:p w14:paraId="1ADFC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bottom"/>
                    <w:rPr>
                      <w:rFonts w:hint="eastAsia" w:ascii="Times New Roman" w:hAnsi="Times New Roman" w:eastAsia="等线"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施工期最大噪声源强约为</w:t>
                  </w:r>
                  <w:r>
                    <w:rPr>
                      <w:rFonts w:hint="default" w:ascii="Times New Roman" w:hAnsi="Times New Roman" w:cs="Times New Roman"/>
                      <w:color w:val="auto"/>
                      <w:sz w:val="18"/>
                      <w:szCs w:val="18"/>
                      <w:highlight w:val="none"/>
                      <w:lang w:val="en-US" w:eastAsia="zh-CN"/>
                    </w:rPr>
                    <w:t>90dB（A）（距离声源5m处）</w:t>
                  </w:r>
                  <w:r>
                    <w:rPr>
                      <w:rFonts w:hint="default" w:ascii="Times New Roman" w:hAnsi="Times New Roman" w:eastAsia="宋体" w:cs="Times New Roman"/>
                      <w:i w:val="0"/>
                      <w:iCs w:val="0"/>
                      <w:color w:val="auto"/>
                      <w:kern w:val="0"/>
                      <w:sz w:val="18"/>
                      <w:szCs w:val="18"/>
                      <w:highlight w:val="none"/>
                      <w:u w:val="none"/>
                      <w:lang w:val="en-US" w:eastAsia="zh-CN" w:bidi="ar"/>
                    </w:rPr>
                    <w:t>；围墙隔声量为</w:t>
                  </w:r>
                  <w:r>
                    <w:rPr>
                      <w:rFonts w:hint="eastAsia" w:cs="Times New Roman"/>
                      <w:i w:val="0"/>
                      <w:iCs w:val="0"/>
                      <w:color w:val="auto"/>
                      <w:kern w:val="0"/>
                      <w:sz w:val="18"/>
                      <w:szCs w:val="18"/>
                      <w:highlight w:val="none"/>
                      <w:u w:val="none"/>
                      <w:lang w:val="en-US" w:eastAsia="zh-CN" w:bidi="ar"/>
                    </w:rPr>
                    <w:t>10</w:t>
                  </w:r>
                  <w:r>
                    <w:rPr>
                      <w:rFonts w:hint="default" w:ascii="Times New Roman" w:hAnsi="Times New Roman" w:eastAsia="宋体" w:cs="Times New Roman"/>
                      <w:i w:val="0"/>
                      <w:iCs w:val="0"/>
                      <w:color w:val="auto"/>
                      <w:kern w:val="0"/>
                      <w:sz w:val="18"/>
                      <w:szCs w:val="18"/>
                      <w:highlight w:val="none"/>
                      <w:u w:val="none"/>
                      <w:lang w:val="en-US" w:eastAsia="zh-CN" w:bidi="ar"/>
                    </w:rPr>
                    <w:t>dB（A）</w:t>
                  </w:r>
                </w:p>
              </w:tc>
            </w:tr>
          </w:tbl>
          <w:p w14:paraId="708BB22E">
            <w:pPr>
              <w:keepNext w:val="0"/>
              <w:keepLines w:val="0"/>
              <w:pageBreakBefore w:val="0"/>
              <w:widowControl w:val="0"/>
              <w:kinsoku/>
              <w:wordWrap/>
              <w:overflowPunct/>
              <w:topLinePunct w:val="0"/>
              <w:autoSpaceDE w:val="0"/>
              <w:autoSpaceDN w:val="0"/>
              <w:bidi w:val="0"/>
              <w:adjustRightInd/>
              <w:snapToGrid/>
              <w:jc w:val="center"/>
              <w:textAlignment w:val="auto"/>
              <w:rPr>
                <w:rFonts w:eastAsia="黑体"/>
                <w:bCs/>
                <w:color w:val="auto"/>
                <w:szCs w:val="21"/>
                <w:highlight w:val="none"/>
              </w:rPr>
            </w:pPr>
            <w:r>
              <w:rPr>
                <w:rFonts w:eastAsia="黑体"/>
                <w:bCs/>
                <w:color w:val="auto"/>
                <w:szCs w:val="21"/>
                <w:highlight w:val="none"/>
              </w:rPr>
              <w:t>表</w:t>
            </w:r>
            <w:r>
              <w:rPr>
                <w:rFonts w:hint="eastAsia" w:eastAsia="黑体"/>
                <w:bCs/>
                <w:color w:val="auto"/>
                <w:szCs w:val="21"/>
                <w:highlight w:val="none"/>
              </w:rPr>
              <w:t>4</w:t>
            </w:r>
            <w:r>
              <w:rPr>
                <w:rFonts w:eastAsia="黑体"/>
                <w:bCs/>
                <w:color w:val="auto"/>
                <w:szCs w:val="21"/>
                <w:highlight w:val="none"/>
              </w:rPr>
              <w:t>-</w:t>
            </w:r>
            <w:r>
              <w:rPr>
                <w:rFonts w:hint="eastAsia" w:eastAsia="黑体"/>
                <w:bCs/>
                <w:color w:val="auto"/>
                <w:szCs w:val="21"/>
                <w:highlight w:val="none"/>
              </w:rPr>
              <w:t>3</w:t>
            </w:r>
            <w:r>
              <w:rPr>
                <w:rFonts w:eastAsia="黑体"/>
                <w:bCs/>
                <w:color w:val="auto"/>
                <w:szCs w:val="21"/>
                <w:highlight w:val="none"/>
              </w:rPr>
              <w:t xml:space="preserve">  </w:t>
            </w:r>
            <w:r>
              <w:rPr>
                <w:rFonts w:hint="default" w:eastAsia="黑体"/>
                <w:bCs/>
                <w:color w:val="auto"/>
                <w:szCs w:val="21"/>
                <w:highlight w:val="none"/>
              </w:rPr>
              <w:t>变电站施工噪声对环境敏感目标的影响</w:t>
            </w:r>
            <w:r>
              <w:rPr>
                <w:rFonts w:hint="eastAsia" w:eastAsia="黑体"/>
                <w:bCs/>
                <w:color w:val="auto"/>
                <w:szCs w:val="21"/>
                <w:highlight w:val="none"/>
                <w:lang w:val="en-US" w:eastAsia="zh-CN"/>
              </w:rPr>
              <w:t>预测</w:t>
            </w:r>
            <w:r>
              <w:rPr>
                <w:rFonts w:eastAsia="黑体"/>
                <w:bCs/>
                <w:color w:val="auto"/>
                <w:szCs w:val="21"/>
                <w:highlight w:val="none"/>
              </w:rPr>
              <w:t xml:space="preserve">  单位dB（A）</w:t>
            </w:r>
          </w:p>
          <w:tbl>
            <w:tblPr>
              <w:tblStyle w:val="25"/>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340"/>
              <w:gridCol w:w="1332"/>
              <w:gridCol w:w="1018"/>
              <w:gridCol w:w="1035"/>
              <w:gridCol w:w="853"/>
            </w:tblGrid>
            <w:tr w14:paraId="66D1899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530" w:type="pct"/>
                  <w:vMerge w:val="restart"/>
                  <w:vAlign w:val="center"/>
                </w:tcPr>
                <w:p w14:paraId="00B4C316">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环境敏感目标</w:t>
                  </w:r>
                </w:p>
              </w:tc>
              <w:tc>
                <w:tcPr>
                  <w:tcW w:w="776" w:type="pct"/>
                  <w:vMerge w:val="restart"/>
                  <w:vAlign w:val="center"/>
                </w:tcPr>
                <w:p w14:paraId="706A14B8">
                  <w:pPr>
                    <w:jc w:val="center"/>
                    <w:rPr>
                      <w:color w:val="auto"/>
                      <w:sz w:val="18"/>
                      <w:szCs w:val="18"/>
                      <w:highlight w:val="none"/>
                    </w:rPr>
                  </w:pPr>
                  <w:r>
                    <w:rPr>
                      <w:rFonts w:hint="default" w:ascii="Times New Roman" w:hAnsi="Times New Roman" w:cs="Times New Roman"/>
                      <w:color w:val="auto"/>
                      <w:sz w:val="18"/>
                      <w:szCs w:val="18"/>
                      <w:lang w:val="en-US" w:eastAsia="zh-CN"/>
                    </w:rPr>
                    <w:t>方位</w:t>
                  </w:r>
                  <w:r>
                    <w:rPr>
                      <w:rFonts w:hint="default" w:ascii="Times New Roman" w:hAnsi="Times New Roman" w:cs="Times New Roman"/>
                      <w:color w:val="auto"/>
                      <w:sz w:val="18"/>
                      <w:szCs w:val="18"/>
                    </w:rPr>
                    <w:t>及</w:t>
                  </w:r>
                  <w:r>
                    <w:rPr>
                      <w:rFonts w:hint="default" w:ascii="Times New Roman" w:hAnsi="Times New Roman" w:cs="Times New Roman"/>
                      <w:color w:val="auto"/>
                      <w:kern w:val="0"/>
                      <w:sz w:val="18"/>
                      <w:szCs w:val="18"/>
                      <w:highlight w:val="none"/>
                      <w:lang w:val="en-US" w:eastAsia="zh-CN"/>
                    </w:rPr>
                    <w:t>距离施工机具</w:t>
                  </w:r>
                  <w:r>
                    <w:rPr>
                      <w:rFonts w:hint="default" w:ascii="Times New Roman" w:hAnsi="Times New Roman" w:cs="Times New Roman"/>
                      <w:color w:val="auto"/>
                      <w:sz w:val="18"/>
                      <w:szCs w:val="18"/>
                    </w:rPr>
                    <w:t>最近距离</w:t>
                  </w:r>
                </w:p>
              </w:tc>
              <w:tc>
                <w:tcPr>
                  <w:tcW w:w="593" w:type="pct"/>
                  <w:vAlign w:val="center"/>
                </w:tcPr>
                <w:p w14:paraId="33717914">
                  <w:pPr>
                    <w:jc w:val="center"/>
                    <w:rPr>
                      <w:color w:val="auto"/>
                      <w:sz w:val="18"/>
                      <w:szCs w:val="18"/>
                      <w:highlight w:val="none"/>
                    </w:rPr>
                  </w:pPr>
                  <w:r>
                    <w:rPr>
                      <w:rFonts w:hint="eastAsia"/>
                      <w:color w:val="auto"/>
                      <w:sz w:val="18"/>
                      <w:szCs w:val="18"/>
                      <w:highlight w:val="none"/>
                      <w:lang w:val="en-US" w:eastAsia="zh-CN"/>
                    </w:rPr>
                    <w:t>背景</w:t>
                  </w:r>
                  <w:r>
                    <w:rPr>
                      <w:color w:val="auto"/>
                      <w:sz w:val="18"/>
                      <w:szCs w:val="18"/>
                      <w:highlight w:val="none"/>
                    </w:rPr>
                    <w:t>值</w:t>
                  </w:r>
                </w:p>
              </w:tc>
              <w:tc>
                <w:tcPr>
                  <w:tcW w:w="603" w:type="pct"/>
                  <w:vAlign w:val="center"/>
                </w:tcPr>
                <w:p w14:paraId="3E157FB9">
                  <w:pPr>
                    <w:jc w:val="center"/>
                    <w:rPr>
                      <w:color w:val="auto"/>
                      <w:sz w:val="18"/>
                      <w:szCs w:val="18"/>
                      <w:highlight w:val="none"/>
                    </w:rPr>
                  </w:pPr>
                  <w:r>
                    <w:rPr>
                      <w:color w:val="auto"/>
                      <w:sz w:val="18"/>
                      <w:szCs w:val="18"/>
                      <w:highlight w:val="none"/>
                    </w:rPr>
                    <w:t>贡献值</w:t>
                  </w:r>
                </w:p>
              </w:tc>
              <w:tc>
                <w:tcPr>
                  <w:tcW w:w="497" w:type="pct"/>
                  <w:vAlign w:val="center"/>
                </w:tcPr>
                <w:p w14:paraId="69A7B028">
                  <w:pPr>
                    <w:jc w:val="center"/>
                    <w:rPr>
                      <w:color w:val="auto"/>
                      <w:sz w:val="18"/>
                      <w:szCs w:val="18"/>
                      <w:highlight w:val="none"/>
                    </w:rPr>
                  </w:pPr>
                  <w:r>
                    <w:rPr>
                      <w:rFonts w:hint="eastAsia"/>
                      <w:color w:val="auto"/>
                      <w:sz w:val="18"/>
                      <w:szCs w:val="18"/>
                      <w:highlight w:val="none"/>
                      <w:lang w:val="en-US" w:eastAsia="zh-CN"/>
                    </w:rPr>
                    <w:t>预测</w:t>
                  </w:r>
                  <w:r>
                    <w:rPr>
                      <w:color w:val="auto"/>
                      <w:sz w:val="18"/>
                      <w:szCs w:val="18"/>
                      <w:highlight w:val="none"/>
                    </w:rPr>
                    <w:t>值</w:t>
                  </w:r>
                </w:p>
              </w:tc>
            </w:tr>
            <w:tr w14:paraId="5B87B5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530" w:type="pct"/>
                  <w:vMerge w:val="continue"/>
                  <w:vAlign w:val="center"/>
                </w:tcPr>
                <w:p w14:paraId="0BD41B68">
                  <w:pPr>
                    <w:jc w:val="center"/>
                    <w:rPr>
                      <w:color w:val="auto"/>
                      <w:sz w:val="18"/>
                      <w:szCs w:val="18"/>
                      <w:highlight w:val="none"/>
                    </w:rPr>
                  </w:pPr>
                </w:p>
              </w:tc>
              <w:tc>
                <w:tcPr>
                  <w:tcW w:w="776" w:type="pct"/>
                  <w:vMerge w:val="continue"/>
                  <w:vAlign w:val="center"/>
                </w:tcPr>
                <w:p w14:paraId="28CFA6C6">
                  <w:pPr>
                    <w:jc w:val="center"/>
                    <w:rPr>
                      <w:color w:val="auto"/>
                      <w:sz w:val="18"/>
                      <w:szCs w:val="18"/>
                      <w:highlight w:val="none"/>
                    </w:rPr>
                  </w:pPr>
                </w:p>
              </w:tc>
              <w:tc>
                <w:tcPr>
                  <w:tcW w:w="1693" w:type="pct"/>
                  <w:gridSpan w:val="3"/>
                  <w:vAlign w:val="center"/>
                </w:tcPr>
                <w:p w14:paraId="192EDB96">
                  <w:pPr>
                    <w:jc w:val="center"/>
                    <w:rPr>
                      <w:color w:val="auto"/>
                      <w:sz w:val="18"/>
                      <w:szCs w:val="18"/>
                      <w:highlight w:val="none"/>
                    </w:rPr>
                  </w:pPr>
                  <w:r>
                    <w:rPr>
                      <w:color w:val="auto"/>
                      <w:sz w:val="18"/>
                      <w:szCs w:val="18"/>
                      <w:highlight w:val="none"/>
                    </w:rPr>
                    <w:t>昼间</w:t>
                  </w:r>
                </w:p>
              </w:tc>
            </w:tr>
            <w:tr w14:paraId="1B95DE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2530" w:type="pct"/>
                  <w:vAlign w:val="center"/>
                </w:tcPr>
                <w:p w14:paraId="2B042A0B">
                  <w:pPr>
                    <w:pStyle w:val="21"/>
                    <w:keepNext w:val="0"/>
                    <w:keepLines w:val="0"/>
                    <w:widowControl/>
                    <w:suppressLineNumbers w:val="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w:t>
                  </w:r>
                </w:p>
              </w:tc>
              <w:tc>
                <w:tcPr>
                  <w:tcW w:w="776" w:type="pct"/>
                  <w:vAlign w:val="center"/>
                </w:tcPr>
                <w:p w14:paraId="45B80A9C">
                  <w:pPr>
                    <w:keepNext w:val="0"/>
                    <w:keepLines w:val="0"/>
                    <w:pageBreakBefore w:val="0"/>
                    <w:widowControl w:val="0"/>
                    <w:kinsoku/>
                    <w:overflowPunct/>
                    <w:topLinePunct w:val="0"/>
                    <w:bidi w:val="0"/>
                    <w:ind w:left="-105" w:leftChars="-50" w:right="-105" w:rightChars="-50"/>
                    <w:jc w:val="center"/>
                    <w:rPr>
                      <w:rFonts w:hint="eastAsia"/>
                      <w:color w:val="auto"/>
                      <w:sz w:val="18"/>
                      <w:szCs w:val="18"/>
                      <w:highlight w:val="none"/>
                      <w:lang w:val="en-US" w:eastAsia="zh-CN"/>
                    </w:rPr>
                  </w:pPr>
                  <w:r>
                    <w:rPr>
                      <w:rFonts w:hint="eastAsia" w:ascii="Times New Roman" w:hAnsi="Times New Roman" w:cs="Times New Roman"/>
                      <w:color w:val="auto"/>
                      <w:kern w:val="2"/>
                      <w:sz w:val="18"/>
                      <w:szCs w:val="18"/>
                      <w:highlight w:val="none"/>
                      <w:lang w:val="en-US" w:eastAsia="zh-CN" w:bidi="ar-SA"/>
                    </w:rPr>
                    <w:t>****</w:t>
                  </w:r>
                </w:p>
              </w:tc>
              <w:tc>
                <w:tcPr>
                  <w:tcW w:w="593" w:type="pct"/>
                  <w:vAlign w:val="center"/>
                </w:tcPr>
                <w:p w14:paraId="199B3141">
                  <w:pPr>
                    <w:jc w:val="center"/>
                    <w:rPr>
                      <w:rFonts w:hint="default" w:eastAsia="宋体"/>
                      <w:bCs/>
                      <w:color w:val="auto"/>
                      <w:sz w:val="18"/>
                      <w:szCs w:val="18"/>
                      <w:highlight w:val="none"/>
                      <w:lang w:val="en-US" w:eastAsia="zh-CN"/>
                    </w:rPr>
                  </w:pPr>
                  <w:r>
                    <w:rPr>
                      <w:rFonts w:hint="default" w:ascii="Times New Roman" w:hAnsi="Times New Roman" w:eastAsia="宋体" w:cs="Times New Roman"/>
                      <w:color w:val="auto"/>
                      <w:kern w:val="0"/>
                      <w:sz w:val="18"/>
                      <w:szCs w:val="18"/>
                      <w:lang w:val="en-US" w:eastAsia="zh-CN" w:bidi="ar-SA"/>
                    </w:rPr>
                    <w:t>46</w:t>
                  </w:r>
                </w:p>
              </w:tc>
              <w:tc>
                <w:tcPr>
                  <w:tcW w:w="603" w:type="pct"/>
                  <w:vAlign w:val="center"/>
                </w:tcPr>
                <w:p w14:paraId="40FD2624">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48.1</w:t>
                  </w:r>
                </w:p>
              </w:tc>
              <w:tc>
                <w:tcPr>
                  <w:tcW w:w="497" w:type="pct"/>
                  <w:vAlign w:val="center"/>
                </w:tcPr>
                <w:p w14:paraId="5C0CC3E8">
                  <w:pPr>
                    <w:widowControl/>
                    <w:jc w:val="center"/>
                    <w:textAlignment w:val="bottom"/>
                    <w:rPr>
                      <w:rFonts w:hint="default" w:ascii="Times New Roman" w:hAnsi="Times New Roman" w:eastAsia="宋体" w:cs="Times New Roman"/>
                      <w:b/>
                      <w:bCs/>
                      <w:color w:val="auto"/>
                      <w:kern w:val="2"/>
                      <w:sz w:val="18"/>
                      <w:szCs w:val="18"/>
                      <w:highlight w:val="none"/>
                      <w:lang w:val="en-US" w:eastAsia="zh-CN" w:bidi="ar-SA"/>
                    </w:rPr>
                  </w:pPr>
                  <w:r>
                    <w:rPr>
                      <w:rFonts w:hint="eastAsia" w:cs="Times New Roman"/>
                      <w:b/>
                      <w:bCs/>
                      <w:color w:val="auto"/>
                      <w:kern w:val="2"/>
                      <w:sz w:val="18"/>
                      <w:szCs w:val="18"/>
                      <w:highlight w:val="none"/>
                      <w:lang w:val="en-US" w:eastAsia="zh-CN" w:bidi="ar-SA"/>
                    </w:rPr>
                    <w:t>50.19</w:t>
                  </w:r>
                </w:p>
              </w:tc>
            </w:tr>
            <w:tr w14:paraId="2CF92B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2530" w:type="pct"/>
                  <w:vAlign w:val="center"/>
                </w:tcPr>
                <w:p w14:paraId="10337729">
                  <w:pPr>
                    <w:jc w:val="center"/>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w:t>
                  </w:r>
                </w:p>
              </w:tc>
              <w:tc>
                <w:tcPr>
                  <w:tcW w:w="776" w:type="pct"/>
                  <w:vAlign w:val="center"/>
                </w:tcPr>
                <w:p w14:paraId="71CF1318">
                  <w:pPr>
                    <w:keepNext w:val="0"/>
                    <w:keepLines w:val="0"/>
                    <w:pageBreakBefore w:val="0"/>
                    <w:widowControl w:val="0"/>
                    <w:kinsoku/>
                    <w:overflowPunct/>
                    <w:topLinePunct w:val="0"/>
                    <w:bidi w:val="0"/>
                    <w:ind w:left="-105" w:leftChars="-50" w:right="-105" w:rightChars="-50"/>
                    <w:jc w:val="center"/>
                    <w:rPr>
                      <w:rFonts w:hint="eastAsia"/>
                      <w:color w:val="auto"/>
                      <w:sz w:val="18"/>
                      <w:szCs w:val="18"/>
                      <w:highlight w:val="none"/>
                      <w:lang w:val="en-US" w:eastAsia="zh-CN"/>
                    </w:rPr>
                  </w:pPr>
                  <w:r>
                    <w:rPr>
                      <w:rFonts w:hint="eastAsia" w:ascii="Times New Roman" w:hAnsi="Times New Roman" w:cs="Times New Roman"/>
                      <w:color w:val="auto"/>
                      <w:kern w:val="2"/>
                      <w:sz w:val="18"/>
                      <w:szCs w:val="18"/>
                      <w:highlight w:val="none"/>
                      <w:lang w:val="en-US" w:eastAsia="zh-CN" w:bidi="ar-SA"/>
                    </w:rPr>
                    <w:t>****</w:t>
                  </w:r>
                </w:p>
              </w:tc>
              <w:tc>
                <w:tcPr>
                  <w:tcW w:w="593" w:type="pct"/>
                  <w:vAlign w:val="center"/>
                </w:tcPr>
                <w:p w14:paraId="402AFEA1">
                  <w:pPr>
                    <w:jc w:val="center"/>
                    <w:rPr>
                      <w:rFonts w:hint="default"/>
                      <w:bCs/>
                      <w:color w:val="auto"/>
                      <w:sz w:val="18"/>
                      <w:szCs w:val="18"/>
                      <w:highlight w:val="none"/>
                      <w:lang w:val="en-US" w:eastAsia="zh-CN"/>
                    </w:rPr>
                  </w:pPr>
                  <w:r>
                    <w:rPr>
                      <w:rFonts w:hint="default" w:ascii="Times New Roman" w:hAnsi="Times New Roman" w:eastAsia="宋体" w:cs="Times New Roman"/>
                      <w:color w:val="auto"/>
                      <w:kern w:val="0"/>
                      <w:sz w:val="18"/>
                      <w:szCs w:val="18"/>
                      <w:lang w:val="en-US" w:eastAsia="zh-CN" w:bidi="ar-SA"/>
                    </w:rPr>
                    <w:t>41</w:t>
                  </w:r>
                </w:p>
              </w:tc>
              <w:tc>
                <w:tcPr>
                  <w:tcW w:w="603" w:type="pct"/>
                  <w:vAlign w:val="center"/>
                </w:tcPr>
                <w:p w14:paraId="268758DC">
                  <w:pPr>
                    <w:jc w:val="center"/>
                    <w:rPr>
                      <w:rFonts w:hint="default"/>
                      <w:color w:val="auto"/>
                      <w:sz w:val="18"/>
                      <w:szCs w:val="18"/>
                      <w:highlight w:val="none"/>
                      <w:lang w:val="en-US" w:eastAsia="zh-CN"/>
                    </w:rPr>
                  </w:pPr>
                  <w:r>
                    <w:rPr>
                      <w:rFonts w:hint="eastAsia"/>
                      <w:color w:val="auto"/>
                      <w:sz w:val="18"/>
                      <w:szCs w:val="18"/>
                      <w:highlight w:val="none"/>
                      <w:lang w:val="en-US" w:eastAsia="zh-CN"/>
                    </w:rPr>
                    <w:t>48.2</w:t>
                  </w:r>
                </w:p>
              </w:tc>
              <w:tc>
                <w:tcPr>
                  <w:tcW w:w="497" w:type="pct"/>
                  <w:vAlign w:val="center"/>
                </w:tcPr>
                <w:p w14:paraId="68223F7D">
                  <w:pPr>
                    <w:widowControl/>
                    <w:jc w:val="center"/>
                    <w:textAlignment w:val="bottom"/>
                    <w:rPr>
                      <w:rFonts w:hint="default" w:cs="Times New Roman"/>
                      <w:b/>
                      <w:bCs/>
                      <w:color w:val="auto"/>
                      <w:kern w:val="2"/>
                      <w:sz w:val="18"/>
                      <w:szCs w:val="18"/>
                      <w:highlight w:val="none"/>
                      <w:lang w:val="en-US" w:eastAsia="zh-CN" w:bidi="ar-SA"/>
                    </w:rPr>
                  </w:pPr>
                  <w:r>
                    <w:rPr>
                      <w:rFonts w:hint="eastAsia" w:cs="Times New Roman"/>
                      <w:b/>
                      <w:bCs/>
                      <w:color w:val="auto"/>
                      <w:kern w:val="2"/>
                      <w:sz w:val="18"/>
                      <w:szCs w:val="18"/>
                      <w:highlight w:val="none"/>
                      <w:lang w:val="en-US" w:eastAsia="zh-CN" w:bidi="ar-SA"/>
                    </w:rPr>
                    <w:t>48.96</w:t>
                  </w:r>
                </w:p>
              </w:tc>
            </w:tr>
            <w:tr w14:paraId="1ACBB1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2530" w:type="pct"/>
                  <w:vAlign w:val="center"/>
                </w:tcPr>
                <w:p w14:paraId="22C66387">
                  <w:pPr>
                    <w:jc w:val="center"/>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w:t>
                  </w:r>
                </w:p>
              </w:tc>
              <w:tc>
                <w:tcPr>
                  <w:tcW w:w="776" w:type="pct"/>
                  <w:vAlign w:val="center"/>
                </w:tcPr>
                <w:p w14:paraId="7A37643B">
                  <w:pPr>
                    <w:keepNext w:val="0"/>
                    <w:keepLines w:val="0"/>
                    <w:pageBreakBefore w:val="0"/>
                    <w:widowControl w:val="0"/>
                    <w:kinsoku/>
                    <w:overflowPunct/>
                    <w:topLinePunct w:val="0"/>
                    <w:bidi w:val="0"/>
                    <w:ind w:left="-105" w:leftChars="-50" w:right="-105" w:rightChars="-50"/>
                    <w:jc w:val="center"/>
                    <w:rPr>
                      <w:rFonts w:hint="eastAsia"/>
                      <w:color w:val="auto"/>
                      <w:sz w:val="18"/>
                      <w:szCs w:val="18"/>
                      <w:highlight w:val="none"/>
                      <w:lang w:val="en-US" w:eastAsia="zh-CN"/>
                    </w:rPr>
                  </w:pPr>
                  <w:r>
                    <w:rPr>
                      <w:rFonts w:hint="eastAsia" w:ascii="Times New Roman" w:hAnsi="Times New Roman" w:cs="Times New Roman"/>
                      <w:color w:val="auto"/>
                      <w:kern w:val="2"/>
                      <w:sz w:val="18"/>
                      <w:szCs w:val="18"/>
                      <w:highlight w:val="none"/>
                      <w:lang w:val="en-US" w:eastAsia="zh-CN" w:bidi="ar-SA"/>
                    </w:rPr>
                    <w:t>****</w:t>
                  </w:r>
                </w:p>
              </w:tc>
              <w:tc>
                <w:tcPr>
                  <w:tcW w:w="593" w:type="pct"/>
                  <w:vAlign w:val="center"/>
                </w:tcPr>
                <w:p w14:paraId="5F57BD41">
                  <w:pPr>
                    <w:jc w:val="center"/>
                    <w:rPr>
                      <w:rFonts w:hint="eastAsia"/>
                      <w:bCs/>
                      <w:color w:val="auto"/>
                      <w:sz w:val="18"/>
                      <w:szCs w:val="18"/>
                      <w:highlight w:val="none"/>
                      <w:lang w:val="en-US" w:eastAsia="zh-CN"/>
                    </w:rPr>
                  </w:pPr>
                  <w:r>
                    <w:rPr>
                      <w:rFonts w:hint="default" w:ascii="Times New Roman" w:hAnsi="Times New Roman" w:eastAsia="宋体" w:cs="Times New Roman"/>
                      <w:color w:val="auto"/>
                      <w:kern w:val="0"/>
                      <w:sz w:val="18"/>
                      <w:szCs w:val="18"/>
                      <w:lang w:val="en-US" w:eastAsia="zh-CN" w:bidi="ar-SA"/>
                    </w:rPr>
                    <w:t>43</w:t>
                  </w:r>
                </w:p>
              </w:tc>
              <w:tc>
                <w:tcPr>
                  <w:tcW w:w="603" w:type="pct"/>
                  <w:vAlign w:val="center"/>
                </w:tcPr>
                <w:p w14:paraId="6985C90A">
                  <w:pPr>
                    <w:jc w:val="center"/>
                    <w:rPr>
                      <w:rFonts w:hint="default"/>
                      <w:color w:val="auto"/>
                      <w:sz w:val="18"/>
                      <w:szCs w:val="18"/>
                      <w:highlight w:val="none"/>
                      <w:lang w:val="en-US" w:eastAsia="zh-CN"/>
                    </w:rPr>
                  </w:pPr>
                  <w:r>
                    <w:rPr>
                      <w:rFonts w:hint="eastAsia"/>
                      <w:color w:val="auto"/>
                      <w:sz w:val="18"/>
                      <w:szCs w:val="18"/>
                      <w:highlight w:val="none"/>
                      <w:lang w:val="en-US" w:eastAsia="zh-CN"/>
                    </w:rPr>
                    <w:t>56.9</w:t>
                  </w:r>
                </w:p>
              </w:tc>
              <w:tc>
                <w:tcPr>
                  <w:tcW w:w="497" w:type="pct"/>
                  <w:vAlign w:val="center"/>
                </w:tcPr>
                <w:p w14:paraId="2B39A1CA">
                  <w:pPr>
                    <w:widowControl/>
                    <w:jc w:val="center"/>
                    <w:textAlignment w:val="bottom"/>
                    <w:rPr>
                      <w:rFonts w:hint="default" w:cs="Times New Roman"/>
                      <w:b/>
                      <w:bCs/>
                      <w:color w:val="auto"/>
                      <w:kern w:val="2"/>
                      <w:sz w:val="18"/>
                      <w:szCs w:val="18"/>
                      <w:highlight w:val="none"/>
                      <w:lang w:val="en-US" w:eastAsia="zh-CN" w:bidi="ar-SA"/>
                    </w:rPr>
                  </w:pPr>
                  <w:r>
                    <w:rPr>
                      <w:rFonts w:hint="eastAsia" w:cs="Times New Roman"/>
                      <w:b/>
                      <w:bCs/>
                      <w:color w:val="auto"/>
                      <w:kern w:val="2"/>
                      <w:sz w:val="18"/>
                      <w:szCs w:val="18"/>
                      <w:highlight w:val="none"/>
                      <w:lang w:val="en-US" w:eastAsia="zh-CN" w:bidi="ar-SA"/>
                    </w:rPr>
                    <w:t>57.07</w:t>
                  </w:r>
                </w:p>
              </w:tc>
            </w:tr>
            <w:tr w14:paraId="3FF148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2530" w:type="pct"/>
                  <w:vAlign w:val="center"/>
                </w:tcPr>
                <w:p w14:paraId="7022E5C1">
                  <w:pPr>
                    <w:jc w:val="center"/>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w:t>
                  </w:r>
                </w:p>
              </w:tc>
              <w:tc>
                <w:tcPr>
                  <w:tcW w:w="776" w:type="pct"/>
                  <w:vAlign w:val="center"/>
                </w:tcPr>
                <w:p w14:paraId="327AEC1D">
                  <w:pPr>
                    <w:keepNext w:val="0"/>
                    <w:keepLines w:val="0"/>
                    <w:pageBreakBefore w:val="0"/>
                    <w:widowControl w:val="0"/>
                    <w:kinsoku/>
                    <w:overflowPunct/>
                    <w:topLinePunct w:val="0"/>
                    <w:bidi w:val="0"/>
                    <w:ind w:left="-105" w:leftChars="-50" w:right="-105" w:rightChars="-50"/>
                    <w:jc w:val="center"/>
                    <w:rPr>
                      <w:rFonts w:hint="eastAsia"/>
                      <w:color w:val="auto"/>
                      <w:sz w:val="18"/>
                      <w:szCs w:val="18"/>
                      <w:highlight w:val="none"/>
                      <w:lang w:val="en-US" w:eastAsia="zh-CN"/>
                    </w:rPr>
                  </w:pPr>
                  <w:r>
                    <w:rPr>
                      <w:rFonts w:hint="eastAsia" w:ascii="Times New Roman" w:hAnsi="Times New Roman" w:cs="Times New Roman"/>
                      <w:color w:val="auto"/>
                      <w:kern w:val="2"/>
                      <w:sz w:val="18"/>
                      <w:szCs w:val="18"/>
                      <w:highlight w:val="none"/>
                      <w:lang w:val="en-US" w:eastAsia="zh-CN" w:bidi="ar-SA"/>
                    </w:rPr>
                    <w:t>****</w:t>
                  </w:r>
                </w:p>
              </w:tc>
              <w:tc>
                <w:tcPr>
                  <w:tcW w:w="593" w:type="pct"/>
                  <w:vAlign w:val="center"/>
                </w:tcPr>
                <w:p w14:paraId="7EAFA62C">
                  <w:pPr>
                    <w:jc w:val="center"/>
                    <w:rPr>
                      <w:rFonts w:hint="eastAsia"/>
                      <w:bCs/>
                      <w:color w:val="auto"/>
                      <w:sz w:val="18"/>
                      <w:szCs w:val="18"/>
                      <w:highlight w:val="none"/>
                      <w:lang w:val="en-US" w:eastAsia="zh-CN"/>
                    </w:rPr>
                  </w:pPr>
                  <w:r>
                    <w:rPr>
                      <w:rFonts w:hint="default" w:ascii="Times New Roman" w:hAnsi="Times New Roman" w:eastAsia="宋体" w:cs="Times New Roman"/>
                      <w:color w:val="auto"/>
                      <w:kern w:val="0"/>
                      <w:sz w:val="18"/>
                      <w:szCs w:val="18"/>
                      <w:lang w:val="en-US" w:eastAsia="zh-CN" w:bidi="ar-SA"/>
                    </w:rPr>
                    <w:t>42</w:t>
                  </w:r>
                </w:p>
              </w:tc>
              <w:tc>
                <w:tcPr>
                  <w:tcW w:w="603" w:type="pct"/>
                  <w:vAlign w:val="center"/>
                </w:tcPr>
                <w:p w14:paraId="7FA50FB5">
                  <w:pPr>
                    <w:jc w:val="center"/>
                    <w:rPr>
                      <w:rFonts w:hint="default"/>
                      <w:color w:val="auto"/>
                      <w:sz w:val="18"/>
                      <w:szCs w:val="18"/>
                      <w:highlight w:val="none"/>
                      <w:lang w:val="en-US" w:eastAsia="zh-CN"/>
                    </w:rPr>
                  </w:pPr>
                  <w:r>
                    <w:rPr>
                      <w:rFonts w:hint="eastAsia"/>
                      <w:color w:val="auto"/>
                      <w:sz w:val="18"/>
                      <w:szCs w:val="18"/>
                      <w:highlight w:val="none"/>
                      <w:lang w:val="en-US" w:eastAsia="zh-CN"/>
                    </w:rPr>
                    <w:t>52.4</w:t>
                  </w:r>
                </w:p>
              </w:tc>
              <w:tc>
                <w:tcPr>
                  <w:tcW w:w="497" w:type="pct"/>
                  <w:vAlign w:val="center"/>
                </w:tcPr>
                <w:p w14:paraId="64CFB2AA">
                  <w:pPr>
                    <w:widowControl/>
                    <w:jc w:val="center"/>
                    <w:textAlignment w:val="bottom"/>
                    <w:rPr>
                      <w:rFonts w:hint="default" w:cs="Times New Roman"/>
                      <w:b/>
                      <w:bCs/>
                      <w:color w:val="auto"/>
                      <w:kern w:val="2"/>
                      <w:sz w:val="18"/>
                      <w:szCs w:val="18"/>
                      <w:highlight w:val="none"/>
                      <w:lang w:val="en-US" w:eastAsia="zh-CN" w:bidi="ar-SA"/>
                    </w:rPr>
                  </w:pPr>
                  <w:r>
                    <w:rPr>
                      <w:rFonts w:hint="eastAsia" w:cs="Times New Roman"/>
                      <w:b/>
                      <w:bCs/>
                      <w:color w:val="auto"/>
                      <w:kern w:val="2"/>
                      <w:sz w:val="18"/>
                      <w:szCs w:val="18"/>
                      <w:highlight w:val="none"/>
                      <w:lang w:val="en-US" w:eastAsia="zh-CN" w:bidi="ar-SA"/>
                    </w:rPr>
                    <w:t>52.78</w:t>
                  </w:r>
                </w:p>
              </w:tc>
            </w:tr>
            <w:tr w14:paraId="47F843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2530" w:type="pct"/>
                  <w:vAlign w:val="center"/>
                </w:tcPr>
                <w:p w14:paraId="09F16A5B">
                  <w:pPr>
                    <w:keepNext w:val="0"/>
                    <w:keepLines w:val="0"/>
                    <w:widowControl/>
                    <w:suppressLineNumbers w:val="0"/>
                    <w:jc w:val="center"/>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w:t>
                  </w:r>
                </w:p>
              </w:tc>
              <w:tc>
                <w:tcPr>
                  <w:tcW w:w="776" w:type="pct"/>
                  <w:vAlign w:val="center"/>
                </w:tcPr>
                <w:p w14:paraId="2154211E">
                  <w:pPr>
                    <w:keepNext w:val="0"/>
                    <w:keepLines w:val="0"/>
                    <w:pageBreakBefore w:val="0"/>
                    <w:widowControl w:val="0"/>
                    <w:kinsoku/>
                    <w:overflowPunct/>
                    <w:topLinePunct w:val="0"/>
                    <w:bidi w:val="0"/>
                    <w:ind w:left="-105" w:leftChars="-50" w:right="-105" w:rightChars="-50"/>
                    <w:jc w:val="center"/>
                    <w:rPr>
                      <w:rFonts w:hint="eastAsia"/>
                      <w:color w:val="auto"/>
                      <w:sz w:val="18"/>
                      <w:szCs w:val="18"/>
                      <w:highlight w:val="none"/>
                      <w:lang w:val="en-US" w:eastAsia="zh-CN"/>
                    </w:rPr>
                  </w:pPr>
                  <w:r>
                    <w:rPr>
                      <w:rFonts w:hint="eastAsia" w:ascii="Times New Roman" w:hAnsi="Times New Roman" w:cs="Times New Roman"/>
                      <w:color w:val="auto"/>
                      <w:kern w:val="2"/>
                      <w:sz w:val="18"/>
                      <w:szCs w:val="18"/>
                      <w:highlight w:val="none"/>
                      <w:lang w:val="en-US" w:eastAsia="zh-CN" w:bidi="ar-SA"/>
                    </w:rPr>
                    <w:t>****</w:t>
                  </w:r>
                </w:p>
              </w:tc>
              <w:tc>
                <w:tcPr>
                  <w:tcW w:w="593" w:type="pct"/>
                  <w:vAlign w:val="center"/>
                </w:tcPr>
                <w:p w14:paraId="588D7C55">
                  <w:pPr>
                    <w:jc w:val="center"/>
                    <w:rPr>
                      <w:rFonts w:hint="eastAsia"/>
                      <w:bCs/>
                      <w:color w:val="auto"/>
                      <w:sz w:val="18"/>
                      <w:szCs w:val="18"/>
                      <w:highlight w:val="none"/>
                      <w:lang w:val="en-US" w:eastAsia="zh-CN"/>
                    </w:rPr>
                  </w:pPr>
                  <w:r>
                    <w:rPr>
                      <w:rFonts w:hint="default" w:ascii="Times New Roman" w:hAnsi="Times New Roman" w:eastAsia="宋体" w:cs="Times New Roman"/>
                      <w:color w:val="auto"/>
                      <w:kern w:val="0"/>
                      <w:sz w:val="18"/>
                      <w:szCs w:val="18"/>
                      <w:lang w:val="en-US" w:eastAsia="zh-CN" w:bidi="ar-SA"/>
                    </w:rPr>
                    <w:t>44</w:t>
                  </w:r>
                </w:p>
              </w:tc>
              <w:tc>
                <w:tcPr>
                  <w:tcW w:w="603" w:type="pct"/>
                  <w:vAlign w:val="center"/>
                </w:tcPr>
                <w:p w14:paraId="16863E1C">
                  <w:pPr>
                    <w:jc w:val="center"/>
                    <w:rPr>
                      <w:rFonts w:hint="default"/>
                      <w:color w:val="auto"/>
                      <w:sz w:val="18"/>
                      <w:szCs w:val="18"/>
                      <w:highlight w:val="none"/>
                      <w:lang w:val="en-US" w:eastAsia="zh-CN"/>
                    </w:rPr>
                  </w:pPr>
                  <w:r>
                    <w:rPr>
                      <w:rFonts w:hint="eastAsia"/>
                      <w:color w:val="auto"/>
                      <w:sz w:val="18"/>
                      <w:szCs w:val="18"/>
                      <w:highlight w:val="none"/>
                      <w:lang w:val="en-US" w:eastAsia="zh-CN"/>
                    </w:rPr>
                    <w:t>52.2</w:t>
                  </w:r>
                </w:p>
              </w:tc>
              <w:tc>
                <w:tcPr>
                  <w:tcW w:w="497" w:type="pct"/>
                  <w:vAlign w:val="center"/>
                </w:tcPr>
                <w:p w14:paraId="0EEFA4CA">
                  <w:pPr>
                    <w:widowControl/>
                    <w:jc w:val="center"/>
                    <w:textAlignment w:val="bottom"/>
                    <w:rPr>
                      <w:rFonts w:hint="default" w:cs="Times New Roman"/>
                      <w:b/>
                      <w:bCs/>
                      <w:color w:val="auto"/>
                      <w:kern w:val="2"/>
                      <w:sz w:val="18"/>
                      <w:szCs w:val="18"/>
                      <w:highlight w:val="none"/>
                      <w:lang w:val="en-US" w:eastAsia="zh-CN" w:bidi="ar-SA"/>
                    </w:rPr>
                  </w:pPr>
                  <w:r>
                    <w:rPr>
                      <w:rFonts w:hint="eastAsia" w:cs="Times New Roman"/>
                      <w:b/>
                      <w:bCs/>
                      <w:color w:val="auto"/>
                      <w:kern w:val="2"/>
                      <w:sz w:val="18"/>
                      <w:szCs w:val="18"/>
                      <w:highlight w:val="none"/>
                      <w:lang w:val="en-US" w:eastAsia="zh-CN" w:bidi="ar-SA"/>
                    </w:rPr>
                    <w:t>52.81</w:t>
                  </w:r>
                </w:p>
              </w:tc>
            </w:tr>
            <w:tr w14:paraId="4066F5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2530" w:type="pct"/>
                  <w:vAlign w:val="center"/>
                </w:tcPr>
                <w:p w14:paraId="705FCF6C">
                  <w:pPr>
                    <w:keepNext w:val="0"/>
                    <w:keepLines w:val="0"/>
                    <w:widowControl/>
                    <w:suppressLineNumbers w:val="0"/>
                    <w:jc w:val="center"/>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cs="Times New Roman"/>
                      <w:color w:val="auto"/>
                      <w:kern w:val="2"/>
                      <w:sz w:val="18"/>
                      <w:szCs w:val="18"/>
                      <w:highlight w:val="none"/>
                      <w:lang w:val="en-US" w:eastAsia="zh-CN" w:bidi="ar-SA"/>
                    </w:rPr>
                    <w:t>****</w:t>
                  </w:r>
                </w:p>
              </w:tc>
              <w:tc>
                <w:tcPr>
                  <w:tcW w:w="776" w:type="pct"/>
                  <w:vAlign w:val="center"/>
                </w:tcPr>
                <w:p w14:paraId="2DEAADBB">
                  <w:pPr>
                    <w:keepNext w:val="0"/>
                    <w:keepLines w:val="0"/>
                    <w:pageBreakBefore w:val="0"/>
                    <w:widowControl w:val="0"/>
                    <w:kinsoku/>
                    <w:overflowPunct/>
                    <w:topLinePunct w:val="0"/>
                    <w:bidi w:val="0"/>
                    <w:ind w:left="-105" w:leftChars="-50" w:right="-105" w:rightChars="-50"/>
                    <w:jc w:val="center"/>
                    <w:rPr>
                      <w:rFonts w:hint="eastAsia"/>
                      <w:color w:val="auto"/>
                      <w:sz w:val="18"/>
                      <w:szCs w:val="18"/>
                      <w:highlight w:val="none"/>
                      <w:lang w:val="en-US" w:eastAsia="zh-CN"/>
                    </w:rPr>
                  </w:pPr>
                  <w:r>
                    <w:rPr>
                      <w:rFonts w:hint="eastAsia" w:ascii="Times New Roman" w:hAnsi="Times New Roman" w:cs="Times New Roman"/>
                      <w:color w:val="auto"/>
                      <w:kern w:val="2"/>
                      <w:sz w:val="18"/>
                      <w:szCs w:val="18"/>
                      <w:highlight w:val="none"/>
                      <w:lang w:val="en-US" w:eastAsia="zh-CN" w:bidi="ar-SA"/>
                    </w:rPr>
                    <w:t>****</w:t>
                  </w:r>
                </w:p>
              </w:tc>
              <w:tc>
                <w:tcPr>
                  <w:tcW w:w="593" w:type="pct"/>
                  <w:vAlign w:val="center"/>
                </w:tcPr>
                <w:p w14:paraId="16270C75">
                  <w:pPr>
                    <w:jc w:val="center"/>
                    <w:rPr>
                      <w:rFonts w:hint="eastAsia"/>
                      <w:bCs/>
                      <w:color w:val="auto"/>
                      <w:sz w:val="18"/>
                      <w:szCs w:val="18"/>
                      <w:highlight w:val="none"/>
                      <w:lang w:val="en-US" w:eastAsia="zh-CN"/>
                    </w:rPr>
                  </w:pPr>
                  <w:r>
                    <w:rPr>
                      <w:rFonts w:hint="default" w:ascii="Times New Roman" w:hAnsi="Times New Roman" w:eastAsia="宋体" w:cs="Times New Roman"/>
                      <w:color w:val="auto"/>
                      <w:kern w:val="0"/>
                      <w:sz w:val="18"/>
                      <w:szCs w:val="18"/>
                      <w:lang w:val="en-US" w:eastAsia="zh-CN" w:bidi="ar-SA"/>
                    </w:rPr>
                    <w:t>42</w:t>
                  </w:r>
                </w:p>
              </w:tc>
              <w:tc>
                <w:tcPr>
                  <w:tcW w:w="603" w:type="pct"/>
                  <w:vAlign w:val="center"/>
                </w:tcPr>
                <w:p w14:paraId="64086C1D">
                  <w:pPr>
                    <w:jc w:val="center"/>
                    <w:rPr>
                      <w:rFonts w:hint="default"/>
                      <w:color w:val="auto"/>
                      <w:sz w:val="18"/>
                      <w:szCs w:val="18"/>
                      <w:highlight w:val="none"/>
                      <w:lang w:val="en-US" w:eastAsia="zh-CN"/>
                    </w:rPr>
                  </w:pPr>
                  <w:r>
                    <w:rPr>
                      <w:rFonts w:hint="eastAsia"/>
                      <w:color w:val="auto"/>
                      <w:sz w:val="18"/>
                      <w:szCs w:val="18"/>
                      <w:highlight w:val="none"/>
                      <w:lang w:val="en-US" w:eastAsia="zh-CN"/>
                    </w:rPr>
                    <w:t>48.0</w:t>
                  </w:r>
                </w:p>
              </w:tc>
              <w:tc>
                <w:tcPr>
                  <w:tcW w:w="497" w:type="pct"/>
                  <w:vAlign w:val="center"/>
                </w:tcPr>
                <w:p w14:paraId="01896C48">
                  <w:pPr>
                    <w:widowControl/>
                    <w:jc w:val="center"/>
                    <w:textAlignment w:val="bottom"/>
                    <w:rPr>
                      <w:rFonts w:hint="default" w:cs="Times New Roman"/>
                      <w:b/>
                      <w:bCs/>
                      <w:color w:val="auto"/>
                      <w:kern w:val="2"/>
                      <w:sz w:val="18"/>
                      <w:szCs w:val="18"/>
                      <w:highlight w:val="none"/>
                      <w:lang w:val="en-US" w:eastAsia="zh-CN" w:bidi="ar-SA"/>
                    </w:rPr>
                  </w:pPr>
                  <w:r>
                    <w:rPr>
                      <w:rFonts w:hint="eastAsia" w:cs="Times New Roman"/>
                      <w:b/>
                      <w:bCs/>
                      <w:color w:val="auto"/>
                      <w:kern w:val="2"/>
                      <w:sz w:val="18"/>
                      <w:szCs w:val="18"/>
                      <w:highlight w:val="none"/>
                      <w:lang w:val="en-US" w:eastAsia="zh-CN" w:bidi="ar-SA"/>
                    </w:rPr>
                    <w:t>48.97</w:t>
                  </w:r>
                </w:p>
              </w:tc>
            </w:tr>
          </w:tbl>
          <w:p w14:paraId="292D6D0B">
            <w:pPr>
              <w:spacing w:line="360" w:lineRule="auto"/>
              <w:ind w:firstLine="420" w:firstLineChars="200"/>
              <w:rPr>
                <w:rFonts w:hint="eastAsia" w:eastAsia="宋体"/>
                <w:color w:val="auto"/>
                <w:szCs w:val="21"/>
                <w:highlight w:val="none"/>
                <w:lang w:eastAsia="zh-CN"/>
              </w:rPr>
            </w:pPr>
            <w:r>
              <w:rPr>
                <w:rFonts w:hint="eastAsia"/>
                <w:color w:val="auto"/>
                <w:szCs w:val="21"/>
                <w:highlight w:val="none"/>
              </w:rPr>
              <w:t>从表4-2可知，在</w:t>
            </w:r>
            <w:r>
              <w:rPr>
                <w:rFonts w:hint="eastAsia"/>
                <w:color w:val="auto"/>
                <w:szCs w:val="21"/>
                <w:highlight w:val="none"/>
                <w:lang w:val="en-US" w:eastAsia="zh-CN"/>
              </w:rPr>
              <w:t>施工</w:t>
            </w:r>
            <w:r>
              <w:rPr>
                <w:rFonts w:hint="eastAsia"/>
                <w:color w:val="auto"/>
                <w:szCs w:val="21"/>
                <w:highlight w:val="none"/>
              </w:rPr>
              <w:t>期，</w:t>
            </w:r>
            <w:r>
              <w:rPr>
                <w:rFonts w:hint="default" w:ascii="Times New Roman" w:hAnsi="Times New Roman" w:cs="Times New Roman"/>
                <w:color w:val="auto"/>
                <w:szCs w:val="21"/>
                <w:highlight w:val="none"/>
              </w:rPr>
              <w:t>施工机具距站界</w:t>
            </w:r>
            <w:r>
              <w:rPr>
                <w:rFonts w:hint="eastAsia" w:cs="Times New Roman"/>
                <w:color w:val="auto"/>
                <w:szCs w:val="21"/>
                <w:highlight w:val="none"/>
                <w:lang w:val="en-US" w:eastAsia="zh-CN"/>
              </w:rPr>
              <w:t>21</w:t>
            </w:r>
            <w:r>
              <w:rPr>
                <w:rFonts w:hint="default" w:ascii="Times New Roman" w:hAnsi="Times New Roman" w:cs="Times New Roman"/>
                <w:color w:val="auto"/>
                <w:szCs w:val="21"/>
                <w:highlight w:val="none"/>
              </w:rPr>
              <w:t>m的情况下</w:t>
            </w:r>
            <w:r>
              <w:rPr>
                <w:rFonts w:hint="eastAsia"/>
                <w:color w:val="auto"/>
                <w:szCs w:val="21"/>
                <w:highlight w:val="none"/>
              </w:rPr>
              <w:t>，站界外</w:t>
            </w:r>
            <w:r>
              <w:rPr>
                <w:rFonts w:hint="eastAsia"/>
                <w:color w:val="auto"/>
                <w:szCs w:val="21"/>
                <w:highlight w:val="none"/>
                <w:lang w:val="en-US" w:eastAsia="zh-CN"/>
              </w:rPr>
              <w:t>1m处</w:t>
            </w:r>
            <w:r>
              <w:rPr>
                <w:rFonts w:hint="eastAsia"/>
                <w:color w:val="auto"/>
                <w:szCs w:val="21"/>
                <w:highlight w:val="none"/>
              </w:rPr>
              <w:t>噪声贡献值</w:t>
            </w:r>
            <w:r>
              <w:rPr>
                <w:rFonts w:hint="eastAsia"/>
                <w:color w:val="auto"/>
                <w:szCs w:val="21"/>
                <w:highlight w:val="none"/>
                <w:lang w:val="en-US" w:eastAsia="zh-CN"/>
              </w:rPr>
              <w:t>约</w:t>
            </w:r>
            <w:r>
              <w:rPr>
                <w:rFonts w:hint="eastAsia"/>
                <w:color w:val="auto"/>
                <w:szCs w:val="21"/>
                <w:highlight w:val="none"/>
              </w:rPr>
              <w:t>为</w:t>
            </w:r>
            <w:r>
              <w:rPr>
                <w:rFonts w:hint="eastAsia"/>
                <w:color w:val="auto"/>
                <w:szCs w:val="21"/>
                <w:highlight w:val="none"/>
                <w:lang w:val="en-US" w:eastAsia="zh-CN"/>
              </w:rPr>
              <w:t>67.6</w:t>
            </w:r>
            <w:r>
              <w:rPr>
                <w:rFonts w:hint="eastAsia"/>
                <w:color w:val="auto"/>
                <w:szCs w:val="21"/>
                <w:highlight w:val="none"/>
              </w:rPr>
              <w:t>dB（A），</w:t>
            </w:r>
            <w:r>
              <w:rPr>
                <w:rFonts w:hint="default" w:ascii="Times New Roman" w:hAnsi="Times New Roman" w:cs="Times New Roman"/>
                <w:color w:val="auto"/>
                <w:sz w:val="21"/>
                <w:szCs w:val="21"/>
                <w:highlight w:val="none"/>
              </w:rPr>
              <w:t>站界昼间噪声满足《建筑施工噪声排放标准》（GB12523-20</w:t>
            </w:r>
            <w:r>
              <w:rPr>
                <w:rFonts w:hint="eastAsia" w:cs="Times New Roman"/>
                <w:color w:val="auto"/>
                <w:sz w:val="21"/>
                <w:szCs w:val="21"/>
                <w:highlight w:val="none"/>
                <w:lang w:val="en-US" w:eastAsia="zh-CN"/>
              </w:rPr>
              <w:t>25</w:t>
            </w:r>
            <w:r>
              <w:rPr>
                <w:rFonts w:hint="default" w:ascii="Times New Roman" w:hAnsi="Times New Roman" w:cs="Times New Roman"/>
                <w:color w:val="auto"/>
                <w:sz w:val="21"/>
                <w:szCs w:val="21"/>
                <w:highlight w:val="none"/>
              </w:rPr>
              <w:t>）（昼间70dB（A））要求</w:t>
            </w:r>
            <w:r>
              <w:rPr>
                <w:rFonts w:hint="default" w:ascii="Times New Roman" w:hAnsi="Times New Roman" w:cs="Times New Roman"/>
                <w:color w:val="auto"/>
                <w:sz w:val="21"/>
                <w:szCs w:val="21"/>
                <w:highlight w:val="none"/>
                <w:lang w:eastAsia="zh-CN"/>
              </w:rPr>
              <w:t>。</w:t>
            </w:r>
          </w:p>
          <w:p w14:paraId="14DC12D7">
            <w:pPr>
              <w:spacing w:line="360" w:lineRule="auto"/>
              <w:ind w:firstLine="420" w:firstLineChars="200"/>
              <w:rPr>
                <w:rFonts w:hint="default" w:eastAsia="宋体"/>
                <w:color w:val="auto"/>
                <w:szCs w:val="21"/>
                <w:lang w:val="en-US" w:eastAsia="zh-CN"/>
              </w:rPr>
            </w:pPr>
            <w:r>
              <w:rPr>
                <w:rFonts w:hint="eastAsia"/>
                <w:color w:val="auto"/>
                <w:szCs w:val="21"/>
              </w:rPr>
              <w:t>从表4-3中可知，在</w:t>
            </w:r>
            <w:r>
              <w:rPr>
                <w:rFonts w:hint="eastAsia"/>
                <w:color w:val="auto"/>
                <w:szCs w:val="21"/>
                <w:lang w:val="en-US" w:eastAsia="zh-CN"/>
              </w:rPr>
              <w:t>施工</w:t>
            </w:r>
            <w:r>
              <w:rPr>
                <w:rFonts w:hint="eastAsia"/>
                <w:color w:val="auto"/>
                <w:szCs w:val="21"/>
              </w:rPr>
              <w:t>期</w:t>
            </w:r>
            <w:r>
              <w:rPr>
                <w:rFonts w:hint="eastAsia"/>
                <w:color w:val="auto"/>
                <w:szCs w:val="21"/>
                <w:lang w:eastAsia="zh-CN"/>
              </w:rPr>
              <w:t>，</w:t>
            </w:r>
            <w:r>
              <w:rPr>
                <w:rFonts w:hint="eastAsia"/>
                <w:color w:val="auto"/>
                <w:szCs w:val="21"/>
                <w:lang w:val="en-US" w:eastAsia="zh-CN"/>
              </w:rPr>
              <w:t>27-1#和28-1#敏感目标</w:t>
            </w:r>
            <w:r>
              <w:rPr>
                <w:color w:val="auto"/>
                <w:sz w:val="21"/>
                <w:szCs w:val="21"/>
              </w:rPr>
              <w:t>处昼间噪声</w:t>
            </w:r>
            <w:r>
              <w:rPr>
                <w:rFonts w:hint="eastAsia"/>
                <w:color w:val="auto"/>
                <w:sz w:val="21"/>
                <w:szCs w:val="21"/>
                <w:lang w:val="en-US" w:eastAsia="zh-CN"/>
              </w:rPr>
              <w:t>可以</w:t>
            </w:r>
            <w:r>
              <w:rPr>
                <w:color w:val="auto"/>
                <w:sz w:val="21"/>
                <w:szCs w:val="21"/>
              </w:rPr>
              <w:t>满足《声环境质量标准》（GB3096-2008）</w:t>
            </w:r>
            <w:r>
              <w:rPr>
                <w:rFonts w:hint="eastAsia"/>
                <w:color w:val="auto"/>
                <w:sz w:val="21"/>
                <w:szCs w:val="21"/>
                <w:lang w:val="en-US" w:eastAsia="zh-CN"/>
              </w:rPr>
              <w:t>4a</w:t>
            </w:r>
            <w:r>
              <w:rPr>
                <w:color w:val="auto"/>
                <w:sz w:val="21"/>
                <w:szCs w:val="21"/>
              </w:rPr>
              <w:t>类标准（昼间</w:t>
            </w:r>
            <w:r>
              <w:rPr>
                <w:rFonts w:hint="eastAsia"/>
                <w:color w:val="auto"/>
                <w:sz w:val="21"/>
                <w:szCs w:val="21"/>
                <w:lang w:val="en-US" w:eastAsia="zh-CN"/>
              </w:rPr>
              <w:t>70</w:t>
            </w:r>
            <w:r>
              <w:rPr>
                <w:color w:val="auto"/>
                <w:sz w:val="21"/>
                <w:szCs w:val="21"/>
              </w:rPr>
              <w:t>dB（A））要求</w:t>
            </w:r>
            <w:r>
              <w:rPr>
                <w:rFonts w:hint="eastAsia"/>
                <w:color w:val="auto"/>
                <w:sz w:val="21"/>
                <w:szCs w:val="21"/>
                <w:lang w:eastAsia="zh-CN"/>
              </w:rPr>
              <w:t>；</w:t>
            </w:r>
            <w:r>
              <w:rPr>
                <w:rFonts w:hint="eastAsia"/>
                <w:color w:val="auto"/>
                <w:sz w:val="21"/>
                <w:szCs w:val="21"/>
                <w:lang w:val="en-US" w:eastAsia="zh-CN"/>
              </w:rPr>
              <w:t>其余</w:t>
            </w:r>
            <w:r>
              <w:rPr>
                <w:rFonts w:hint="eastAsia"/>
                <w:color w:val="auto"/>
                <w:szCs w:val="21"/>
                <w:lang w:val="en-US" w:eastAsia="zh-CN"/>
              </w:rPr>
              <w:t>敏感目标</w:t>
            </w:r>
            <w:r>
              <w:rPr>
                <w:color w:val="auto"/>
                <w:sz w:val="21"/>
                <w:szCs w:val="21"/>
              </w:rPr>
              <w:t>处昼间噪声</w:t>
            </w:r>
            <w:r>
              <w:rPr>
                <w:rFonts w:hint="eastAsia"/>
                <w:color w:val="auto"/>
                <w:sz w:val="21"/>
                <w:szCs w:val="21"/>
                <w:lang w:val="en-US" w:eastAsia="zh-CN"/>
              </w:rPr>
              <w:t>可以</w:t>
            </w:r>
            <w:r>
              <w:rPr>
                <w:color w:val="auto"/>
                <w:sz w:val="21"/>
                <w:szCs w:val="21"/>
              </w:rPr>
              <w:t>满足《声环境质量标准》（GB3096-2008）</w:t>
            </w:r>
            <w:r>
              <w:rPr>
                <w:rFonts w:hint="eastAsia"/>
                <w:color w:val="auto"/>
                <w:sz w:val="21"/>
                <w:szCs w:val="21"/>
                <w:lang w:val="en-US" w:eastAsia="zh-CN"/>
              </w:rPr>
              <w:t>2</w:t>
            </w:r>
            <w:r>
              <w:rPr>
                <w:color w:val="auto"/>
                <w:sz w:val="21"/>
                <w:szCs w:val="21"/>
              </w:rPr>
              <w:t>类标准（昼间</w:t>
            </w:r>
            <w:r>
              <w:rPr>
                <w:rFonts w:hint="eastAsia"/>
                <w:color w:val="auto"/>
                <w:sz w:val="21"/>
                <w:szCs w:val="21"/>
                <w:lang w:val="en-US" w:eastAsia="zh-CN"/>
              </w:rPr>
              <w:t>60</w:t>
            </w:r>
            <w:r>
              <w:rPr>
                <w:color w:val="auto"/>
                <w:sz w:val="21"/>
                <w:szCs w:val="21"/>
              </w:rPr>
              <w:t>dB（A））要求</w:t>
            </w:r>
            <w:r>
              <w:rPr>
                <w:rFonts w:hint="eastAsia"/>
                <w:color w:val="auto"/>
                <w:sz w:val="21"/>
                <w:szCs w:val="21"/>
                <w:lang w:eastAsia="zh-CN"/>
              </w:rPr>
              <w:t>。</w:t>
            </w:r>
          </w:p>
          <w:p w14:paraId="2F399D07">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为了尽可能减少变电站施工噪声影响，施工期应采取下列措施：</w:t>
            </w:r>
          </w:p>
          <w:p w14:paraId="2229059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①尽可能将高噪声源强施工机具布置在站址</w:t>
            </w:r>
            <w:r>
              <w:rPr>
                <w:rFonts w:hint="default" w:ascii="Times New Roman" w:hAnsi="Times New Roman" w:cs="Times New Roman"/>
                <w:color w:val="auto"/>
                <w:szCs w:val="21"/>
                <w:highlight w:val="none"/>
                <w:lang w:eastAsia="zh-CN"/>
              </w:rPr>
              <w:t>中部</w:t>
            </w:r>
            <w:r>
              <w:rPr>
                <w:rFonts w:hint="default" w:ascii="Times New Roman" w:hAnsi="Times New Roman" w:cs="Times New Roman"/>
                <w:color w:val="auto"/>
                <w:szCs w:val="21"/>
                <w:highlight w:val="none"/>
              </w:rPr>
              <w:t>，远离</w:t>
            </w:r>
            <w:r>
              <w:rPr>
                <w:rFonts w:hint="default" w:ascii="Times New Roman" w:hAnsi="Times New Roman" w:cs="Times New Roman"/>
                <w:color w:val="auto"/>
                <w:szCs w:val="21"/>
                <w:highlight w:val="none"/>
                <w:lang w:eastAsia="zh-CN"/>
              </w:rPr>
              <w:t>环境</w:t>
            </w:r>
            <w:r>
              <w:rPr>
                <w:rFonts w:hint="default" w:ascii="Times New Roman" w:hAnsi="Times New Roman" w:cs="Times New Roman"/>
                <w:color w:val="auto"/>
                <w:szCs w:val="21"/>
                <w:highlight w:val="none"/>
              </w:rPr>
              <w:t>敏感目标；</w:t>
            </w:r>
          </w:p>
          <w:p w14:paraId="5C1EAD5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②定期对施工设备进行维护，减小施工机具的施工噪声；</w:t>
            </w:r>
          </w:p>
          <w:p w14:paraId="57705AD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③避免碾压机械、挖土机等高噪声设备同时施工；</w:t>
            </w:r>
          </w:p>
          <w:p w14:paraId="707A1466">
            <w:pPr>
              <w:spacing w:line="360" w:lineRule="auto"/>
              <w:ind w:firstLine="420"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Cs w:val="21"/>
                <w:highlight w:val="none"/>
              </w:rPr>
              <w:t>④</w:t>
            </w:r>
            <w:r>
              <w:rPr>
                <w:rFonts w:hint="default" w:ascii="Times New Roman" w:hAnsi="Times New Roman" w:cs="Times New Roman"/>
                <w:color w:val="auto"/>
                <w:sz w:val="21"/>
                <w:szCs w:val="21"/>
                <w:highlight w:val="none"/>
              </w:rPr>
              <w:t>禁止夜间和中高考期间施工，严禁野蛮施工</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Cs w:val="21"/>
                <w:highlight w:val="none"/>
              </w:rPr>
              <w:t>因特殊需要必须连续施工作业的，应当取得地方人民政府住房和城乡建设、生态环境主管部门或者地方人民政府指定的部门的证明，并在施工现场显著位置公示或者以其他方式公告附近居民</w:t>
            </w:r>
            <w:r>
              <w:rPr>
                <w:rFonts w:hint="default" w:ascii="Times New Roman" w:hAnsi="Times New Roman" w:cs="Times New Roman"/>
                <w:i w:val="0"/>
                <w:iCs w:val="0"/>
                <w:caps w:val="0"/>
                <w:color w:val="auto"/>
                <w:spacing w:val="0"/>
                <w:sz w:val="21"/>
                <w:szCs w:val="21"/>
                <w:highlight w:val="none"/>
                <w:shd w:val="clear" w:fill="FFFFFF"/>
                <w:lang w:eastAsia="zh-CN"/>
              </w:rPr>
              <w:t>。</w:t>
            </w:r>
          </w:p>
          <w:p w14:paraId="5D6C4158">
            <w:pPr>
              <w:spacing w:line="360" w:lineRule="auto"/>
              <w:ind w:firstLine="420" w:firstLineChars="200"/>
              <w:rPr>
                <w:color w:val="auto"/>
                <w:szCs w:val="21"/>
              </w:rPr>
            </w:pPr>
            <w:r>
              <w:rPr>
                <w:rFonts w:hint="default" w:ascii="Times New Roman" w:hAnsi="Times New Roman" w:cs="Times New Roman"/>
                <w:color w:val="auto"/>
                <w:sz w:val="21"/>
                <w:szCs w:val="21"/>
                <w:highlight w:val="none"/>
              </w:rPr>
              <w:t>在采取相应的环保措施后，本项目施工场界的噪声排放的声环境质量，可以满足相应评价标准要求</w:t>
            </w:r>
            <w:r>
              <w:rPr>
                <w:rFonts w:hint="default" w:ascii="Times New Roman" w:hAnsi="Times New Roman" w:cs="Times New Roman"/>
                <w:color w:val="auto"/>
                <w:sz w:val="21"/>
                <w:szCs w:val="21"/>
                <w:highlight w:val="none"/>
                <w:lang w:eastAsia="zh-CN"/>
              </w:rPr>
              <w:t>。</w:t>
            </w:r>
          </w:p>
          <w:p w14:paraId="5C6E5D6F">
            <w:pPr>
              <w:spacing w:line="360" w:lineRule="auto"/>
              <w:ind w:firstLine="422" w:firstLineChars="200"/>
              <w:rPr>
                <w:rFonts w:eastAsiaTheme="minorEastAsia"/>
                <w:b/>
                <w:color w:val="auto"/>
                <w:szCs w:val="21"/>
              </w:rPr>
            </w:pPr>
            <w:bookmarkStart w:id="17" w:name="_Toc52097439"/>
            <w:bookmarkStart w:id="18" w:name="_Toc534482084"/>
            <w:bookmarkStart w:id="19" w:name="_Toc86718775"/>
            <w:bookmarkStart w:id="20" w:name="_Toc87408255"/>
            <w:bookmarkStart w:id="21" w:name="_Toc86127828"/>
            <w:bookmarkStart w:id="22" w:name="_Toc534503771"/>
            <w:bookmarkStart w:id="23" w:name="_Toc534493635"/>
            <w:bookmarkStart w:id="24" w:name="_Toc534492501"/>
            <w:bookmarkStart w:id="25" w:name="_Toc40164815"/>
            <w:bookmarkStart w:id="26" w:name="_Toc534485739"/>
            <w:bookmarkStart w:id="27" w:name="_Toc85965287"/>
            <w:r>
              <w:rPr>
                <w:rFonts w:hint="eastAsia" w:eastAsiaTheme="minorEastAsia"/>
                <w:b/>
                <w:color w:val="auto"/>
                <w:szCs w:val="21"/>
              </w:rPr>
              <w:t>（2）</w:t>
            </w:r>
            <w:r>
              <w:rPr>
                <w:rFonts w:eastAsiaTheme="minorEastAsia"/>
                <w:b/>
                <w:color w:val="auto"/>
                <w:szCs w:val="21"/>
              </w:rPr>
              <w:t>输电线路</w:t>
            </w:r>
          </w:p>
          <w:p w14:paraId="51FDAA66">
            <w:pPr>
              <w:spacing w:line="360" w:lineRule="auto"/>
              <w:ind w:firstLine="420" w:firstLineChars="200"/>
              <w:rPr>
                <w:color w:val="auto"/>
                <w:szCs w:val="21"/>
              </w:rPr>
            </w:pPr>
            <w:r>
              <w:rPr>
                <w:rFonts w:hint="default" w:ascii="Times New Roman" w:hAnsi="Times New Roman" w:cs="Times New Roman"/>
                <w:color w:val="auto"/>
                <w:szCs w:val="21"/>
                <w:highlight w:val="none"/>
              </w:rPr>
              <w:t>本项目杆塔基础开挖均使用小型挖掘机或人工开挖，其源强约为70～80dB（A）。本评价要求施工单位应合理安排施工时间，严格执行《建筑施工噪声排放标准》（GB12523-20</w:t>
            </w:r>
            <w:r>
              <w:rPr>
                <w:rFonts w:hint="eastAsia" w:cs="Times New Roman"/>
                <w:color w:val="auto"/>
                <w:szCs w:val="21"/>
                <w:highlight w:val="none"/>
                <w:lang w:val="en-US" w:eastAsia="zh-CN"/>
              </w:rPr>
              <w:t>25</w:t>
            </w:r>
            <w:r>
              <w:rPr>
                <w:rFonts w:hint="default" w:ascii="Times New Roman" w:hAnsi="Times New Roman" w:cs="Times New Roman"/>
                <w:color w:val="auto"/>
                <w:szCs w:val="21"/>
                <w:highlight w:val="none"/>
              </w:rPr>
              <w:t>）的规定，在夜间和中高考期间禁止施工作业，同时，施工车辆在作业时，应采取限时、限速行驶、不高音鸣号、合理安排运输路线等措施，确保施工点附近居民的正常生活不受影响。在架线施工过程中，各牵张场内的牵张机、绞磨机等设备产生一定的机械噪声，其声级一般小于70dB（A）。但牵张场一般距居民点较远，且各施工点施工量小，施工时间短。不会对周围环境敏感点产生明显影响</w:t>
            </w:r>
            <w:r>
              <w:rPr>
                <w:color w:val="auto"/>
                <w:szCs w:val="21"/>
              </w:rPr>
              <w:t>。</w:t>
            </w:r>
          </w:p>
          <w:p w14:paraId="1CBCB8C1">
            <w:pPr>
              <w:spacing w:line="360" w:lineRule="auto"/>
              <w:ind w:firstLine="422" w:firstLineChars="200"/>
              <w:rPr>
                <w:color w:val="auto"/>
                <w:szCs w:val="21"/>
              </w:rPr>
            </w:pPr>
            <w:r>
              <w:rPr>
                <w:b/>
                <w:bCs/>
                <w:color w:val="auto"/>
                <w:szCs w:val="21"/>
              </w:rPr>
              <w:t>因此，建设单位应要求施工单位</w:t>
            </w:r>
            <w:r>
              <w:rPr>
                <w:rFonts w:hint="eastAsia"/>
                <w:b/>
                <w:bCs/>
                <w:color w:val="auto"/>
                <w:szCs w:val="21"/>
              </w:rPr>
              <w:t>根据项目周边敏感目标分布情况</w:t>
            </w:r>
            <w:r>
              <w:rPr>
                <w:b/>
                <w:bCs/>
                <w:color w:val="auto"/>
                <w:szCs w:val="21"/>
              </w:rPr>
              <w:t>制定</w:t>
            </w:r>
            <w:r>
              <w:rPr>
                <w:rFonts w:hint="eastAsia"/>
                <w:b/>
                <w:bCs/>
                <w:color w:val="auto"/>
                <w:szCs w:val="21"/>
              </w:rPr>
              <w:t>对应的</w:t>
            </w:r>
            <w:r>
              <w:rPr>
                <w:b/>
                <w:bCs/>
                <w:color w:val="auto"/>
                <w:szCs w:val="21"/>
              </w:rPr>
              <w:t>施工期环境管理计划，加强管理，按进度、有计划地进行文明施工，</w:t>
            </w:r>
            <w:r>
              <w:rPr>
                <w:rFonts w:hint="eastAsia"/>
                <w:b/>
                <w:bCs/>
                <w:color w:val="auto"/>
                <w:szCs w:val="21"/>
              </w:rPr>
              <w:t>在采取表五和表六提出的环保措施后</w:t>
            </w:r>
            <w:r>
              <w:rPr>
                <w:b/>
                <w:bCs/>
                <w:color w:val="auto"/>
                <w:szCs w:val="21"/>
              </w:rPr>
              <w:t>对周围</w:t>
            </w:r>
            <w:r>
              <w:rPr>
                <w:rFonts w:hint="eastAsia"/>
                <w:b/>
                <w:bCs/>
                <w:color w:val="auto"/>
                <w:szCs w:val="21"/>
              </w:rPr>
              <w:t>声环境影响较小</w:t>
            </w:r>
            <w:r>
              <w:rPr>
                <w:color w:val="auto"/>
                <w:szCs w:val="21"/>
              </w:rPr>
              <w:t>。</w:t>
            </w:r>
          </w:p>
          <w:bookmarkEnd w:id="17"/>
          <w:bookmarkEnd w:id="18"/>
          <w:bookmarkEnd w:id="19"/>
          <w:bookmarkEnd w:id="20"/>
          <w:bookmarkEnd w:id="21"/>
          <w:bookmarkEnd w:id="22"/>
          <w:bookmarkEnd w:id="23"/>
          <w:bookmarkEnd w:id="24"/>
          <w:bookmarkEnd w:id="25"/>
          <w:bookmarkEnd w:id="26"/>
          <w:bookmarkEnd w:id="27"/>
          <w:p w14:paraId="662937B9">
            <w:pPr>
              <w:spacing w:line="360" w:lineRule="auto"/>
              <w:ind w:firstLine="420" w:firstLineChars="200"/>
              <w:rPr>
                <w:rFonts w:eastAsia="黑体"/>
                <w:color w:val="auto"/>
                <w:szCs w:val="21"/>
              </w:rPr>
            </w:pPr>
            <w:r>
              <w:rPr>
                <w:rFonts w:hint="eastAsia" w:eastAsia="黑体"/>
                <w:color w:val="auto"/>
                <w:szCs w:val="21"/>
              </w:rPr>
              <w:t>2</w:t>
            </w:r>
            <w:r>
              <w:rPr>
                <w:rFonts w:eastAsia="黑体"/>
                <w:color w:val="auto"/>
                <w:szCs w:val="21"/>
              </w:rPr>
              <w:t>、</w:t>
            </w:r>
            <w:r>
              <w:rPr>
                <w:rFonts w:hint="eastAsia" w:eastAsia="黑体"/>
                <w:color w:val="auto"/>
                <w:szCs w:val="21"/>
              </w:rPr>
              <w:t>大气环境</w:t>
            </w:r>
            <w:r>
              <w:rPr>
                <w:rFonts w:eastAsia="黑体"/>
                <w:color w:val="auto"/>
                <w:szCs w:val="21"/>
              </w:rPr>
              <w:t>影响</w:t>
            </w:r>
            <w:r>
              <w:rPr>
                <w:rFonts w:hint="eastAsia" w:eastAsia="黑体"/>
                <w:color w:val="auto"/>
                <w:szCs w:val="21"/>
              </w:rPr>
              <w:t>分析</w:t>
            </w:r>
          </w:p>
          <w:p w14:paraId="27E8168F">
            <w:pPr>
              <w:spacing w:line="360" w:lineRule="auto"/>
              <w:ind w:firstLine="420" w:firstLineChars="200"/>
              <w:rPr>
                <w:color w:val="auto"/>
                <w:szCs w:val="21"/>
              </w:rPr>
            </w:pPr>
            <w:r>
              <w:rPr>
                <w:color w:val="auto"/>
                <w:szCs w:val="21"/>
              </w:rPr>
              <w:t>对环境空气的影响主要为施工扬尘和施工机械尾气污染。基础开挖、车辆运输等产生的扬尘在短期内将使局部区域空气中的TSP增加；施工机械（如挖掘机、载重汽车等）产生的尾气也在一定程度上影响空气质量状况，主要污染物为C</w:t>
            </w:r>
            <w:r>
              <w:rPr>
                <w:color w:val="auto"/>
                <w:szCs w:val="21"/>
                <w:vertAlign w:val="subscript"/>
              </w:rPr>
              <w:t>X</w:t>
            </w:r>
            <w:r>
              <w:rPr>
                <w:color w:val="auto"/>
                <w:szCs w:val="21"/>
              </w:rPr>
              <w:t>H</w:t>
            </w:r>
            <w:r>
              <w:rPr>
                <w:color w:val="auto"/>
                <w:szCs w:val="21"/>
                <w:vertAlign w:val="subscript"/>
              </w:rPr>
              <w:t>Y</w:t>
            </w:r>
            <w:r>
              <w:rPr>
                <w:color w:val="auto"/>
                <w:szCs w:val="21"/>
              </w:rPr>
              <w:t>、CO、NO</w:t>
            </w:r>
            <w:r>
              <w:rPr>
                <w:color w:val="auto"/>
                <w:szCs w:val="21"/>
                <w:vertAlign w:val="subscript"/>
              </w:rPr>
              <w:t>X</w:t>
            </w:r>
            <w:r>
              <w:rPr>
                <w:color w:val="auto"/>
                <w:szCs w:val="21"/>
              </w:rPr>
              <w:t>等。施工扬尘影响主要是在线路施工区域内，因此施工现场地面和路面定期洒水，对周围环境影响不大。</w:t>
            </w:r>
          </w:p>
          <w:p w14:paraId="0EEB0A59">
            <w:pPr>
              <w:spacing w:line="360" w:lineRule="auto"/>
              <w:ind w:firstLine="420" w:firstLineChars="200"/>
              <w:rPr>
                <w:color w:val="auto"/>
                <w:kern w:val="0"/>
                <w:szCs w:val="21"/>
              </w:rPr>
            </w:pPr>
            <w:r>
              <w:rPr>
                <w:color w:val="auto"/>
                <w:kern w:val="0"/>
                <w:szCs w:val="21"/>
              </w:rPr>
              <w:t>（1）施工场地扬尘影响分析</w:t>
            </w:r>
          </w:p>
          <w:p w14:paraId="7F49B3E8">
            <w:pPr>
              <w:spacing w:line="360" w:lineRule="auto"/>
              <w:ind w:firstLine="420" w:firstLineChars="200"/>
              <w:rPr>
                <w:color w:val="auto"/>
                <w:kern w:val="0"/>
                <w:szCs w:val="21"/>
              </w:rPr>
            </w:pPr>
            <w:r>
              <w:rPr>
                <w:color w:val="auto"/>
                <w:kern w:val="0"/>
                <w:szCs w:val="21"/>
              </w:rPr>
              <w:t>影响施工扬尘产生量的因素主要有：</w:t>
            </w:r>
          </w:p>
          <w:p w14:paraId="3154E720">
            <w:pPr>
              <w:adjustRightInd w:val="0"/>
              <w:spacing w:line="360" w:lineRule="auto"/>
              <w:ind w:firstLine="420" w:firstLineChars="200"/>
              <w:textAlignment w:val="baseline"/>
              <w:rPr>
                <w:color w:val="auto"/>
                <w:kern w:val="0"/>
                <w:szCs w:val="21"/>
              </w:rPr>
            </w:pPr>
            <w:r>
              <w:rPr>
                <w:rFonts w:hint="eastAsia" w:ascii="宋体" w:hAnsi="宋体" w:cs="宋体"/>
                <w:color w:val="auto"/>
                <w:kern w:val="0"/>
                <w:szCs w:val="21"/>
              </w:rPr>
              <w:t>①</w:t>
            </w:r>
            <w:r>
              <w:rPr>
                <w:color w:val="auto"/>
                <w:kern w:val="0"/>
                <w:szCs w:val="21"/>
              </w:rPr>
              <w:t>土壤或建筑材料的含水量：含水量高的材料不易飞扬。</w:t>
            </w:r>
          </w:p>
          <w:p w14:paraId="67F4C2E6">
            <w:pPr>
              <w:adjustRightInd w:val="0"/>
              <w:spacing w:line="360" w:lineRule="auto"/>
              <w:ind w:firstLine="420" w:firstLineChars="200"/>
              <w:textAlignment w:val="baseline"/>
              <w:rPr>
                <w:color w:val="auto"/>
                <w:kern w:val="0"/>
                <w:szCs w:val="21"/>
              </w:rPr>
            </w:pPr>
            <w:r>
              <w:rPr>
                <w:rFonts w:hint="eastAsia" w:ascii="宋体" w:hAnsi="宋体" w:cs="宋体"/>
                <w:color w:val="auto"/>
                <w:kern w:val="0"/>
                <w:szCs w:val="21"/>
              </w:rPr>
              <w:t>②</w:t>
            </w:r>
            <w:r>
              <w:rPr>
                <w:color w:val="auto"/>
                <w:kern w:val="0"/>
                <w:szCs w:val="21"/>
              </w:rPr>
              <w:t>土壤或建筑材料的粒径大小：颗粒粒径越大，越不易飞扬。土壤颗粒物的粒径分布大致为：&gt;0.1mm的占76%，粒径在0.05～0.10mm的占15%，粒径在0.03～0.05mm的占5%，粒径&lt;0.03mm的占4%。在没有风力的作用下，粒径小于0.015mm的颗粒物能够飞扬，当风速为3～5m/s时，粒径为0.015～0.030mm的颗粒物会被风吹扬。</w:t>
            </w:r>
          </w:p>
          <w:p w14:paraId="0A7C94E9">
            <w:pPr>
              <w:spacing w:line="360" w:lineRule="auto"/>
              <w:ind w:firstLine="420" w:firstLineChars="200"/>
              <w:textAlignment w:val="baseline"/>
              <w:rPr>
                <w:color w:val="auto"/>
                <w:kern w:val="0"/>
                <w:szCs w:val="21"/>
              </w:rPr>
            </w:pPr>
            <w:r>
              <w:rPr>
                <w:rFonts w:hint="eastAsia" w:ascii="宋体" w:hAnsi="宋体" w:cs="宋体"/>
                <w:color w:val="auto"/>
                <w:kern w:val="0"/>
                <w:szCs w:val="21"/>
              </w:rPr>
              <w:t>③</w:t>
            </w:r>
            <w:r>
              <w:rPr>
                <w:color w:val="auto"/>
                <w:kern w:val="0"/>
                <w:szCs w:val="21"/>
              </w:rPr>
              <w:t>气候条件：风越大、湿度越小，越易产生扬尘，当风速大于3m/s时，就会有</w:t>
            </w:r>
            <w:r>
              <w:rPr>
                <w:rFonts w:hint="eastAsia"/>
                <w:color w:val="auto"/>
                <w:kern w:val="0"/>
                <w:szCs w:val="21"/>
                <w:lang w:eastAsia="zh-CN"/>
              </w:rPr>
              <w:t>扬</w:t>
            </w:r>
            <w:r>
              <w:rPr>
                <w:color w:val="auto"/>
                <w:kern w:val="0"/>
                <w:szCs w:val="21"/>
              </w:rPr>
              <w:t>尘产生。</w:t>
            </w:r>
          </w:p>
          <w:p w14:paraId="03B289AF">
            <w:pPr>
              <w:spacing w:line="360" w:lineRule="auto"/>
              <w:ind w:firstLine="420" w:firstLineChars="200"/>
              <w:textAlignment w:val="baseline"/>
              <w:rPr>
                <w:color w:val="auto"/>
                <w:kern w:val="0"/>
                <w:szCs w:val="21"/>
              </w:rPr>
            </w:pPr>
            <w:r>
              <w:rPr>
                <w:color w:val="auto"/>
                <w:kern w:val="0"/>
                <w:szCs w:val="21"/>
              </w:rPr>
              <w:t>（2）车辆运输扬尘影响分析</w:t>
            </w:r>
          </w:p>
          <w:p w14:paraId="73724E5B">
            <w:pPr>
              <w:spacing w:line="360" w:lineRule="auto"/>
              <w:ind w:firstLine="420" w:firstLineChars="200"/>
              <w:textAlignment w:val="baseline"/>
              <w:rPr>
                <w:color w:val="auto"/>
                <w:kern w:val="0"/>
                <w:szCs w:val="21"/>
              </w:rPr>
            </w:pPr>
            <w:r>
              <w:rPr>
                <w:color w:val="auto"/>
                <w:kern w:val="0"/>
                <w:szCs w:val="21"/>
              </w:rPr>
              <w:t>施工期运输车辆运行产生的扬尘量与车速、载重和路面清洁度有关，在同样路面清洁程度条件下，车速越快，载重越大，扬尘量就越大；而在同样车速情况下，路面越脏，载重越大，扬尘量越大。</w:t>
            </w:r>
          </w:p>
          <w:p w14:paraId="4F846C02">
            <w:pPr>
              <w:spacing w:line="360" w:lineRule="auto"/>
              <w:ind w:firstLine="420" w:firstLineChars="200"/>
              <w:textAlignment w:val="baseline"/>
              <w:rPr>
                <w:color w:val="auto"/>
                <w:kern w:val="0"/>
                <w:szCs w:val="21"/>
              </w:rPr>
            </w:pPr>
            <w:r>
              <w:rPr>
                <w:color w:val="auto"/>
                <w:kern w:val="0"/>
                <w:szCs w:val="21"/>
              </w:rPr>
              <w:t>但由于道路扬尘属于等效线源，扬尘污染在道路两边扩散，最大扬尘浓度出现在道路两边，随着离开路边的距离增加浓度逐渐递减而趋于背景值，一般条件下影响范围在路边两侧30m以内。因此，车辆扬尘对运输线路周围小范围大气造成一定程度的污染，但工程完工后其污染也随之消失。</w:t>
            </w:r>
          </w:p>
          <w:p w14:paraId="03C00C41">
            <w:pPr>
              <w:spacing w:line="360" w:lineRule="auto"/>
              <w:ind w:firstLine="420" w:firstLineChars="200"/>
              <w:textAlignment w:val="baseline"/>
              <w:rPr>
                <w:color w:val="auto"/>
                <w:kern w:val="0"/>
                <w:szCs w:val="21"/>
              </w:rPr>
            </w:pPr>
            <w:r>
              <w:rPr>
                <w:color w:val="auto"/>
                <w:kern w:val="0"/>
                <w:szCs w:val="21"/>
              </w:rPr>
              <w:t>（3）施工机械燃油废气</w:t>
            </w:r>
          </w:p>
          <w:p w14:paraId="15F04E04">
            <w:pPr>
              <w:spacing w:line="360" w:lineRule="auto"/>
              <w:ind w:firstLine="420" w:firstLineChars="200"/>
              <w:textAlignment w:val="baseline"/>
              <w:rPr>
                <w:color w:val="auto"/>
                <w:kern w:val="0"/>
                <w:szCs w:val="21"/>
              </w:rPr>
            </w:pPr>
            <w:r>
              <w:rPr>
                <w:color w:val="auto"/>
                <w:kern w:val="0"/>
                <w:szCs w:val="21"/>
              </w:rPr>
              <w:t>施工机械运行产生的燃油无组织排放废气，由于施工机械多为大型机械，单车排放系数较大，但施工机械数量少且较分散，其污染程度相对较轻。</w:t>
            </w:r>
          </w:p>
          <w:p w14:paraId="7D9DA752">
            <w:pPr>
              <w:spacing w:line="360" w:lineRule="auto"/>
              <w:ind w:firstLine="420" w:firstLineChars="200"/>
              <w:rPr>
                <w:b/>
                <w:color w:val="auto"/>
                <w:szCs w:val="21"/>
              </w:rPr>
            </w:pPr>
            <w:bookmarkStart w:id="28" w:name="_Toc534493639"/>
            <w:bookmarkStart w:id="29" w:name="_Toc86718779"/>
            <w:bookmarkStart w:id="30" w:name="_Toc52097443"/>
            <w:bookmarkStart w:id="31" w:name="_Toc534503775"/>
            <w:bookmarkStart w:id="32" w:name="_Toc534492505"/>
            <w:bookmarkStart w:id="33" w:name="_Toc40164819"/>
            <w:bookmarkStart w:id="34" w:name="_Toc85965291"/>
            <w:bookmarkStart w:id="35" w:name="_Toc86127832"/>
            <w:bookmarkStart w:id="36" w:name="_Toc534482088"/>
            <w:bookmarkStart w:id="37" w:name="_Toc534485743"/>
            <w:bookmarkStart w:id="38" w:name="_Toc87408259"/>
            <w:r>
              <w:rPr>
                <w:color w:val="auto"/>
                <w:szCs w:val="21"/>
              </w:rPr>
              <w:t>本项目施工期采取</w:t>
            </w:r>
            <w:r>
              <w:rPr>
                <w:rFonts w:hint="eastAsia"/>
                <w:color w:val="auto"/>
                <w:szCs w:val="21"/>
              </w:rPr>
              <w:t>本报告表五和表六提出的</w:t>
            </w:r>
            <w:r>
              <w:rPr>
                <w:color w:val="auto"/>
                <w:szCs w:val="21"/>
              </w:rPr>
              <w:t>环保措施后，可以有效地控制施工期扬尘影响的范围及程度</w:t>
            </w:r>
            <w:r>
              <w:rPr>
                <w:rFonts w:hint="eastAsia"/>
                <w:color w:val="auto"/>
                <w:szCs w:val="21"/>
              </w:rPr>
              <w:t>，施工期扬尘</w:t>
            </w:r>
            <w:r>
              <w:rPr>
                <w:rFonts w:hint="eastAsia"/>
                <w:color w:val="auto"/>
                <w:szCs w:val="21"/>
                <w:lang w:val="en-US" w:eastAsia="zh-CN"/>
              </w:rPr>
              <w:t>可以满足</w:t>
            </w:r>
            <w:r>
              <w:rPr>
                <w:rFonts w:hint="default" w:ascii="Times New Roman" w:hAnsi="Times New Roman" w:cs="Times New Roman"/>
                <w:bCs/>
                <w:color w:val="auto"/>
                <w:szCs w:val="21"/>
              </w:rPr>
              <w:t>《四川省施工场地扬尘排放标准》（DB51/2682-2020）</w:t>
            </w:r>
            <w:r>
              <w:rPr>
                <w:rFonts w:hint="eastAsia" w:cs="Times New Roman"/>
                <w:bCs/>
                <w:color w:val="auto"/>
                <w:szCs w:val="21"/>
                <w:lang w:val="en-US" w:eastAsia="zh-CN"/>
              </w:rPr>
              <w:t>以及</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大气污染物综合排放标准</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GB16297-1996</w:t>
            </w:r>
            <w:r>
              <w:rPr>
                <w:rFonts w:hint="default" w:ascii="Times New Roman" w:hAnsi="Times New Roman" w:cs="Times New Roman"/>
                <w:bCs/>
                <w:color w:val="auto"/>
                <w:szCs w:val="21"/>
                <w:highlight w:val="none"/>
                <w:lang w:eastAsia="zh-CN"/>
              </w:rPr>
              <w:t>）</w:t>
            </w:r>
            <w:r>
              <w:rPr>
                <w:rFonts w:hint="eastAsia" w:cs="Times New Roman"/>
                <w:bCs/>
                <w:color w:val="auto"/>
                <w:szCs w:val="21"/>
                <w:highlight w:val="none"/>
                <w:lang w:val="en-US" w:eastAsia="zh-CN"/>
              </w:rPr>
              <w:t>中</w:t>
            </w:r>
            <w:r>
              <w:rPr>
                <w:rFonts w:hint="eastAsia"/>
                <w:bCs/>
                <w:color w:val="auto"/>
                <w:szCs w:val="21"/>
              </w:rPr>
              <w:t>相关标准限值</w:t>
            </w:r>
            <w:r>
              <w:rPr>
                <w:color w:val="auto"/>
                <w:szCs w:val="21"/>
              </w:rPr>
              <w:t>。而且施工扬尘造成的污染是短期的、局部的，施工期结束后即消失，施工扬尘对周边环境影响较小</w:t>
            </w:r>
            <w:r>
              <w:rPr>
                <w:rFonts w:hint="eastAsia"/>
                <w:color w:val="auto"/>
                <w:szCs w:val="21"/>
              </w:rPr>
              <w:t>。</w:t>
            </w:r>
          </w:p>
          <w:bookmarkEnd w:id="28"/>
          <w:bookmarkEnd w:id="29"/>
          <w:bookmarkEnd w:id="30"/>
          <w:bookmarkEnd w:id="31"/>
          <w:bookmarkEnd w:id="32"/>
          <w:bookmarkEnd w:id="33"/>
          <w:bookmarkEnd w:id="34"/>
          <w:bookmarkEnd w:id="35"/>
          <w:bookmarkEnd w:id="36"/>
          <w:bookmarkEnd w:id="37"/>
          <w:bookmarkEnd w:id="38"/>
          <w:p w14:paraId="098026DF">
            <w:pPr>
              <w:spacing w:line="360" w:lineRule="auto"/>
              <w:ind w:firstLine="420" w:firstLineChars="200"/>
              <w:rPr>
                <w:rFonts w:eastAsia="黑体"/>
                <w:color w:val="auto"/>
                <w:szCs w:val="21"/>
              </w:rPr>
            </w:pPr>
            <w:r>
              <w:rPr>
                <w:rFonts w:hint="eastAsia" w:eastAsia="黑体"/>
                <w:color w:val="auto"/>
                <w:szCs w:val="21"/>
              </w:rPr>
              <w:t>3</w:t>
            </w:r>
            <w:r>
              <w:rPr>
                <w:rFonts w:eastAsia="黑体"/>
                <w:color w:val="auto"/>
                <w:szCs w:val="21"/>
              </w:rPr>
              <w:t>、</w:t>
            </w:r>
            <w:r>
              <w:rPr>
                <w:rFonts w:hint="eastAsia" w:eastAsia="黑体"/>
                <w:color w:val="auto"/>
                <w:szCs w:val="21"/>
              </w:rPr>
              <w:t>水环境</w:t>
            </w:r>
            <w:r>
              <w:rPr>
                <w:rFonts w:eastAsia="黑体"/>
                <w:color w:val="auto"/>
                <w:szCs w:val="21"/>
              </w:rPr>
              <w:t>影响</w:t>
            </w:r>
            <w:r>
              <w:rPr>
                <w:rFonts w:hint="eastAsia" w:eastAsia="黑体"/>
                <w:color w:val="auto"/>
                <w:szCs w:val="21"/>
              </w:rPr>
              <w:t>分析</w:t>
            </w:r>
          </w:p>
          <w:p w14:paraId="744A3898">
            <w:pPr>
              <w:tabs>
                <w:tab w:val="left" w:pos="3240"/>
              </w:tabs>
              <w:spacing w:line="360" w:lineRule="auto"/>
              <w:ind w:firstLine="420" w:firstLineChars="200"/>
              <w:rPr>
                <w:color w:val="auto"/>
                <w:szCs w:val="21"/>
              </w:rPr>
            </w:pPr>
            <w:r>
              <w:rPr>
                <w:rFonts w:hint="eastAsia"/>
                <w:color w:val="auto"/>
                <w:szCs w:val="21"/>
              </w:rPr>
              <w:t>本项目输电线路为一跨过河，不在河道内设立杆塔，无涉水施工，同时线路架线期间采用无人机架线，杆塔施工和线路架线均不占用河道，不涉及涉水施工。</w:t>
            </w:r>
          </w:p>
          <w:p w14:paraId="7CA9D5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rPr>
              <w:t>施工生产废水主要为</w:t>
            </w:r>
            <w:r>
              <w:rPr>
                <w:rFonts w:hint="default" w:ascii="Times New Roman" w:hAnsi="Times New Roman" w:cs="Times New Roman"/>
                <w:color w:val="auto"/>
                <w:szCs w:val="21"/>
                <w:lang w:val="en-US" w:eastAsia="zh-CN"/>
              </w:rPr>
              <w:t>施工设备冲洗废水、</w:t>
            </w:r>
            <w:r>
              <w:rPr>
                <w:rFonts w:hint="default" w:ascii="Times New Roman" w:hAnsi="Times New Roman" w:cs="Times New Roman"/>
                <w:color w:val="auto"/>
                <w:szCs w:val="21"/>
              </w:rPr>
              <w:t>混凝土养护废水。混凝土养护过程中只在表面进行洒水养护，养护水蒸发损耗，不外排。</w:t>
            </w:r>
            <w:r>
              <w:rPr>
                <w:rFonts w:hint="default" w:ascii="Times New Roman" w:hAnsi="Times New Roman" w:cs="Times New Roman"/>
                <w:color w:val="auto"/>
                <w:szCs w:val="21"/>
                <w:lang w:val="en-US" w:eastAsia="zh-CN"/>
              </w:rPr>
              <w:t>施工设备冲洗废水经沉淀池沉淀处理后</w:t>
            </w:r>
            <w:r>
              <w:rPr>
                <w:rFonts w:hint="default" w:ascii="Times New Roman" w:hAnsi="Times New Roman" w:cs="Times New Roman"/>
                <w:color w:val="auto"/>
                <w:szCs w:val="21"/>
              </w:rPr>
              <w:t>用于施工现场的洒水降尘</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lang w:val="en-US" w:eastAsia="zh-CN"/>
              </w:rPr>
              <w:t>不外排</w:t>
            </w:r>
            <w:r>
              <w:rPr>
                <w:rFonts w:hint="default" w:ascii="Times New Roman" w:hAnsi="Times New Roman" w:cs="Times New Roman"/>
                <w:color w:val="auto"/>
                <w:szCs w:val="21"/>
                <w:lang w:eastAsia="zh-CN"/>
              </w:rPr>
              <w:t>。</w:t>
            </w:r>
          </w:p>
          <w:p w14:paraId="0821AF82">
            <w:pPr>
              <w:spacing w:line="360" w:lineRule="auto"/>
              <w:ind w:firstLine="420" w:firstLineChars="200"/>
              <w:rPr>
                <w:rFonts w:hint="eastAsia"/>
                <w:color w:val="auto"/>
                <w:szCs w:val="21"/>
              </w:rPr>
            </w:pPr>
            <w:bookmarkStart w:id="39" w:name="OLE_LINK1"/>
            <w:r>
              <w:rPr>
                <w:rFonts w:hint="default" w:ascii="Times New Roman" w:hAnsi="Times New Roman" w:cs="Times New Roman"/>
                <w:color w:val="auto"/>
                <w:highlight w:val="none"/>
              </w:rPr>
              <w:t>本工程施工期间平均每天安排</w:t>
            </w:r>
            <w:r>
              <w:rPr>
                <w:rFonts w:hint="eastAsia" w:ascii="Times New Roman" w:hAnsi="Times New Roman" w:cs="Times New Roman"/>
                <w:color w:val="auto"/>
                <w:highlight w:val="none"/>
                <w:lang w:val="en-US" w:eastAsia="zh-CN"/>
              </w:rPr>
              <w:t>变电站</w:t>
            </w:r>
            <w:r>
              <w:rPr>
                <w:rFonts w:hint="default" w:ascii="Times New Roman" w:hAnsi="Times New Roman" w:cs="Times New Roman"/>
                <w:color w:val="auto"/>
                <w:highlight w:val="none"/>
              </w:rPr>
              <w:t>施工人员30人，</w:t>
            </w:r>
            <w:r>
              <w:rPr>
                <w:rFonts w:hint="eastAsia" w:ascii="Times New Roman" w:hAnsi="Times New Roman" w:cs="Times New Roman"/>
                <w:color w:val="auto"/>
                <w:highlight w:val="none"/>
                <w:lang w:val="en-US" w:eastAsia="zh-CN"/>
              </w:rPr>
              <w:t>输电</w:t>
            </w:r>
            <w:r>
              <w:rPr>
                <w:rFonts w:hint="eastAsia" w:cs="Times New Roman"/>
                <w:color w:val="auto"/>
                <w:highlight w:val="none"/>
                <w:lang w:val="en-US" w:eastAsia="zh-CN"/>
              </w:rPr>
              <w:t>线路</w:t>
            </w:r>
            <w:r>
              <w:rPr>
                <w:rFonts w:hint="default" w:ascii="Times New Roman" w:hAnsi="Times New Roman" w:cs="Times New Roman"/>
                <w:color w:val="auto"/>
                <w:highlight w:val="none"/>
              </w:rPr>
              <w:t>施工人员30人</w:t>
            </w:r>
            <w:r>
              <w:rPr>
                <w:rFonts w:hint="eastAsia" w:cs="Times New Roman"/>
                <w:color w:val="auto"/>
                <w:highlight w:val="none"/>
                <w:lang w:eastAsia="zh-CN"/>
              </w:rPr>
              <w:t>，平</w:t>
            </w:r>
            <w:r>
              <w:rPr>
                <w:rFonts w:hint="default" w:ascii="Times New Roman" w:hAnsi="Times New Roman" w:cs="Times New Roman"/>
                <w:color w:val="auto"/>
                <w:highlight w:val="none"/>
              </w:rPr>
              <w:t>均用水定额为130L/人·d</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来源于四川省人民政府关于印发《四川省用水定额》的通知（川府函〔2021〕8号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，排水量按照系数0.</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倍进行估算，项目施工期</w:t>
            </w:r>
            <w:r>
              <w:rPr>
                <w:rFonts w:hint="eastAsia" w:ascii="Times New Roman" w:hAnsi="Times New Roman" w:cs="Times New Roman"/>
                <w:color w:val="auto"/>
                <w:highlight w:val="none"/>
                <w:lang w:val="en-US" w:eastAsia="zh-CN"/>
              </w:rPr>
              <w:t>变电站和输电线路</w:t>
            </w:r>
            <w:r>
              <w:rPr>
                <w:rFonts w:hint="default" w:ascii="Times New Roman" w:hAnsi="Times New Roman" w:cs="Times New Roman"/>
                <w:color w:val="auto"/>
                <w:highlight w:val="none"/>
              </w:rPr>
              <w:t>生活污水产生量</w:t>
            </w:r>
            <w:r>
              <w:rPr>
                <w:rFonts w:hint="eastAsia" w:ascii="Times New Roman" w:hAnsi="Times New Roman" w:cs="Times New Roman"/>
                <w:color w:val="auto"/>
                <w:highlight w:val="none"/>
                <w:lang w:val="en-US" w:eastAsia="zh-CN"/>
              </w:rPr>
              <w:t>均</w:t>
            </w:r>
            <w:r>
              <w:rPr>
                <w:rFonts w:hint="default" w:ascii="Times New Roman" w:hAnsi="Times New Roman" w:cs="Times New Roman"/>
                <w:color w:val="auto"/>
                <w:highlight w:val="none"/>
              </w:rPr>
              <w:t>约</w:t>
            </w:r>
            <w:r>
              <w:rPr>
                <w:rFonts w:hint="default" w:ascii="Times New Roman" w:hAnsi="Times New Roman" w:cs="Times New Roman"/>
                <w:color w:val="auto"/>
                <w:highlight w:val="none"/>
                <w:lang w:val="en-US" w:eastAsia="zh-CN"/>
              </w:rPr>
              <w:t>3.12</w:t>
            </w:r>
            <w:r>
              <w:rPr>
                <w:rFonts w:hint="default" w:ascii="Times New Roman" w:hAnsi="Times New Roman" w:cs="Times New Roman"/>
                <w:color w:val="auto"/>
                <w:highlight w:val="none"/>
              </w:rPr>
              <w:t>t/d。本项目</w:t>
            </w:r>
            <w:r>
              <w:rPr>
                <w:rFonts w:hint="default" w:ascii="Times New Roman" w:hAnsi="Times New Roman" w:cs="Times New Roman"/>
                <w:color w:val="auto"/>
                <w:szCs w:val="21"/>
                <w:highlight w:val="none"/>
              </w:rPr>
              <w:t>变电站施工人员产生的生活污水通过设置施工旱厕收集后用作农肥使用，不</w:t>
            </w:r>
            <w:r>
              <w:rPr>
                <w:rFonts w:hint="default" w:ascii="Times New Roman" w:hAnsi="Times New Roman" w:cs="Times New Roman"/>
                <w:color w:val="auto"/>
                <w:kern w:val="0"/>
                <w:highlight w:val="none"/>
              </w:rPr>
              <w:t>外排；</w:t>
            </w:r>
            <w:bookmarkEnd w:id="39"/>
            <w:r>
              <w:rPr>
                <w:rFonts w:hint="default" w:ascii="Times New Roman" w:hAnsi="Times New Roman" w:cs="Times New Roman"/>
                <w:color w:val="auto"/>
                <w:highlight w:val="none"/>
              </w:rPr>
              <w:t>本项目输电线路施工人员产生的生活污水相对较少且分散，依托租用民房已有污水处理设施处理，处理后用作农肥，</w:t>
            </w:r>
            <w:r>
              <w:rPr>
                <w:rFonts w:hint="default" w:ascii="Times New Roman" w:hAnsi="Times New Roman" w:cs="Times New Roman"/>
                <w:color w:val="auto"/>
                <w:szCs w:val="21"/>
                <w:highlight w:val="none"/>
              </w:rPr>
              <w:t>不外排</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highlight w:val="none"/>
              </w:rPr>
              <w:t>对水环境不会产生明显影响</w:t>
            </w:r>
            <w:r>
              <w:rPr>
                <w:rFonts w:hint="default" w:ascii="Times New Roman" w:hAnsi="Times New Roman" w:cs="Times New Roman"/>
                <w:color w:val="auto"/>
                <w:szCs w:val="21"/>
                <w:highlight w:val="none"/>
              </w:rPr>
              <w:t>。</w:t>
            </w:r>
          </w:p>
          <w:p w14:paraId="297EE0FC">
            <w:pPr>
              <w:spacing w:line="360" w:lineRule="auto"/>
              <w:ind w:firstLine="420" w:firstLineChars="200"/>
              <w:rPr>
                <w:color w:val="auto"/>
                <w:szCs w:val="21"/>
              </w:rPr>
            </w:pPr>
            <w:r>
              <w:rPr>
                <w:color w:val="auto"/>
                <w:szCs w:val="21"/>
              </w:rPr>
              <w:t>生活污水产生及排放量见下表。</w:t>
            </w:r>
          </w:p>
          <w:p w14:paraId="33193A22">
            <w:pPr>
              <w:jc w:val="center"/>
              <w:rPr>
                <w:rFonts w:eastAsia="黑体"/>
                <w:color w:val="auto"/>
                <w:szCs w:val="21"/>
              </w:rPr>
            </w:pPr>
            <w:r>
              <w:rPr>
                <w:rFonts w:eastAsia="黑体"/>
                <w:color w:val="auto"/>
                <w:szCs w:val="21"/>
              </w:rPr>
              <w:t>表</w:t>
            </w:r>
            <w:r>
              <w:rPr>
                <w:rFonts w:hint="eastAsia" w:eastAsia="黑体"/>
                <w:color w:val="auto"/>
                <w:szCs w:val="21"/>
              </w:rPr>
              <w:t>4</w:t>
            </w:r>
            <w:r>
              <w:rPr>
                <w:rFonts w:eastAsia="黑体"/>
                <w:color w:val="auto"/>
                <w:szCs w:val="21"/>
              </w:rPr>
              <w:t>-</w:t>
            </w:r>
            <w:r>
              <w:rPr>
                <w:rFonts w:hint="eastAsia" w:eastAsia="黑体"/>
                <w:color w:val="auto"/>
                <w:szCs w:val="21"/>
              </w:rPr>
              <w:t xml:space="preserve">4  </w:t>
            </w:r>
            <w:r>
              <w:rPr>
                <w:rFonts w:eastAsia="黑体"/>
                <w:color w:val="auto"/>
                <w:szCs w:val="21"/>
              </w:rPr>
              <w:t>施工期间生活污水产生及排放量统计表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4"/>
              <w:gridCol w:w="880"/>
              <w:gridCol w:w="882"/>
              <w:gridCol w:w="664"/>
              <w:gridCol w:w="922"/>
              <w:gridCol w:w="955"/>
              <w:gridCol w:w="795"/>
              <w:gridCol w:w="810"/>
              <w:gridCol w:w="809"/>
            </w:tblGrid>
            <w:tr w14:paraId="20820C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4" w:type="dxa"/>
                  <w:vAlign w:val="center"/>
                </w:tcPr>
                <w:p w14:paraId="4401E13F">
                  <w:pPr>
                    <w:jc w:val="center"/>
                    <w:rPr>
                      <w:color w:val="auto"/>
                      <w:sz w:val="18"/>
                      <w:szCs w:val="18"/>
                    </w:rPr>
                  </w:pPr>
                  <w:r>
                    <w:rPr>
                      <w:color w:val="auto"/>
                      <w:sz w:val="18"/>
                      <w:szCs w:val="18"/>
                    </w:rPr>
                    <w:t>项目</w:t>
                  </w:r>
                </w:p>
              </w:tc>
              <w:tc>
                <w:tcPr>
                  <w:tcW w:w="880" w:type="dxa"/>
                  <w:vAlign w:val="center"/>
                </w:tcPr>
                <w:p w14:paraId="43B9ADF4">
                  <w:pPr>
                    <w:jc w:val="center"/>
                    <w:rPr>
                      <w:color w:val="auto"/>
                      <w:sz w:val="18"/>
                      <w:szCs w:val="18"/>
                    </w:rPr>
                  </w:pPr>
                  <w:r>
                    <w:rPr>
                      <w:color w:val="auto"/>
                      <w:sz w:val="18"/>
                      <w:szCs w:val="18"/>
                    </w:rPr>
                    <w:t>人数</w:t>
                  </w:r>
                  <w:r>
                    <w:rPr>
                      <w:rFonts w:hint="eastAsia"/>
                      <w:color w:val="auto"/>
                      <w:sz w:val="18"/>
                      <w:szCs w:val="18"/>
                      <w:lang w:eastAsia="zh-CN"/>
                    </w:rPr>
                    <w:t>（</w:t>
                  </w:r>
                  <w:r>
                    <w:rPr>
                      <w:color w:val="auto"/>
                      <w:sz w:val="18"/>
                      <w:szCs w:val="18"/>
                    </w:rPr>
                    <w:t>人/天</w:t>
                  </w:r>
                  <w:r>
                    <w:rPr>
                      <w:rFonts w:hint="eastAsia"/>
                      <w:color w:val="auto"/>
                      <w:sz w:val="18"/>
                      <w:szCs w:val="18"/>
                      <w:lang w:eastAsia="zh-CN"/>
                    </w:rPr>
                    <w:t>）</w:t>
                  </w:r>
                </w:p>
              </w:tc>
              <w:tc>
                <w:tcPr>
                  <w:tcW w:w="882" w:type="dxa"/>
                  <w:vAlign w:val="center"/>
                </w:tcPr>
                <w:p w14:paraId="0D167169">
                  <w:pPr>
                    <w:jc w:val="center"/>
                    <w:rPr>
                      <w:color w:val="auto"/>
                      <w:sz w:val="18"/>
                      <w:szCs w:val="18"/>
                    </w:rPr>
                  </w:pPr>
                  <w:r>
                    <w:rPr>
                      <w:color w:val="auto"/>
                      <w:sz w:val="18"/>
                      <w:szCs w:val="18"/>
                    </w:rPr>
                    <w:t>用水量</w:t>
                  </w:r>
                  <w:r>
                    <w:rPr>
                      <w:rFonts w:hint="eastAsia"/>
                      <w:color w:val="auto"/>
                      <w:sz w:val="18"/>
                      <w:szCs w:val="18"/>
                      <w:lang w:eastAsia="zh-CN"/>
                    </w:rPr>
                    <w:t>（</w:t>
                  </w:r>
                  <w:r>
                    <w:rPr>
                      <w:color w:val="auto"/>
                      <w:sz w:val="18"/>
                      <w:szCs w:val="18"/>
                    </w:rPr>
                    <w:t>t/d</w:t>
                  </w:r>
                  <w:r>
                    <w:rPr>
                      <w:rFonts w:hint="eastAsia"/>
                      <w:color w:val="auto"/>
                      <w:sz w:val="18"/>
                      <w:szCs w:val="18"/>
                      <w:lang w:eastAsia="zh-CN"/>
                    </w:rPr>
                    <w:t>）</w:t>
                  </w:r>
                </w:p>
              </w:tc>
              <w:tc>
                <w:tcPr>
                  <w:tcW w:w="664" w:type="dxa"/>
                  <w:vAlign w:val="center"/>
                </w:tcPr>
                <w:p w14:paraId="0A4CD793">
                  <w:pPr>
                    <w:jc w:val="center"/>
                    <w:rPr>
                      <w:color w:val="auto"/>
                      <w:sz w:val="18"/>
                      <w:szCs w:val="18"/>
                    </w:rPr>
                  </w:pPr>
                  <w:r>
                    <w:rPr>
                      <w:color w:val="auto"/>
                      <w:sz w:val="18"/>
                      <w:szCs w:val="18"/>
                    </w:rPr>
                    <w:t>排放</w:t>
                  </w:r>
                </w:p>
                <w:p w14:paraId="37BB564F">
                  <w:pPr>
                    <w:jc w:val="center"/>
                    <w:rPr>
                      <w:color w:val="auto"/>
                      <w:sz w:val="18"/>
                      <w:szCs w:val="18"/>
                    </w:rPr>
                  </w:pPr>
                  <w:r>
                    <w:rPr>
                      <w:color w:val="auto"/>
                      <w:sz w:val="18"/>
                      <w:szCs w:val="18"/>
                    </w:rPr>
                    <w:t>系数</w:t>
                  </w:r>
                </w:p>
              </w:tc>
              <w:tc>
                <w:tcPr>
                  <w:tcW w:w="922" w:type="dxa"/>
                  <w:vAlign w:val="center"/>
                </w:tcPr>
                <w:p w14:paraId="7438BD44">
                  <w:pPr>
                    <w:jc w:val="center"/>
                    <w:rPr>
                      <w:color w:val="auto"/>
                      <w:sz w:val="18"/>
                      <w:szCs w:val="18"/>
                    </w:rPr>
                  </w:pPr>
                  <w:r>
                    <w:rPr>
                      <w:color w:val="auto"/>
                      <w:sz w:val="18"/>
                      <w:szCs w:val="18"/>
                    </w:rPr>
                    <w:t>产生量</w:t>
                  </w:r>
                  <w:r>
                    <w:rPr>
                      <w:rFonts w:hint="eastAsia"/>
                      <w:color w:val="auto"/>
                      <w:sz w:val="18"/>
                      <w:szCs w:val="18"/>
                      <w:lang w:eastAsia="zh-CN"/>
                    </w:rPr>
                    <w:t>（</w:t>
                  </w:r>
                  <w:r>
                    <w:rPr>
                      <w:color w:val="auto"/>
                      <w:sz w:val="18"/>
                      <w:szCs w:val="18"/>
                    </w:rPr>
                    <w:t>t/d</w:t>
                  </w:r>
                  <w:r>
                    <w:rPr>
                      <w:rFonts w:hint="eastAsia"/>
                      <w:color w:val="auto"/>
                      <w:sz w:val="18"/>
                      <w:szCs w:val="18"/>
                      <w:lang w:eastAsia="zh-CN"/>
                    </w:rPr>
                    <w:t>）</w:t>
                  </w:r>
                </w:p>
              </w:tc>
              <w:tc>
                <w:tcPr>
                  <w:tcW w:w="955" w:type="dxa"/>
                  <w:vAlign w:val="center"/>
                </w:tcPr>
                <w:p w14:paraId="1E83DE5F">
                  <w:pPr>
                    <w:jc w:val="center"/>
                    <w:rPr>
                      <w:color w:val="auto"/>
                      <w:sz w:val="18"/>
                      <w:szCs w:val="18"/>
                    </w:rPr>
                  </w:pPr>
                  <w:r>
                    <w:rPr>
                      <w:color w:val="auto"/>
                      <w:sz w:val="18"/>
                      <w:szCs w:val="18"/>
                    </w:rPr>
                    <w:t>施工周期（天）</w:t>
                  </w:r>
                </w:p>
              </w:tc>
              <w:tc>
                <w:tcPr>
                  <w:tcW w:w="795" w:type="dxa"/>
                  <w:vAlign w:val="center"/>
                </w:tcPr>
                <w:p w14:paraId="188819BC">
                  <w:pPr>
                    <w:jc w:val="center"/>
                    <w:rPr>
                      <w:color w:val="auto"/>
                      <w:sz w:val="18"/>
                      <w:szCs w:val="18"/>
                    </w:rPr>
                  </w:pPr>
                  <w:r>
                    <w:rPr>
                      <w:color w:val="auto"/>
                      <w:sz w:val="18"/>
                      <w:szCs w:val="18"/>
                    </w:rPr>
                    <w:t>产生量</w:t>
                  </w:r>
                </w:p>
                <w:p w14:paraId="7DCD860A">
                  <w:pPr>
                    <w:jc w:val="center"/>
                    <w:rPr>
                      <w:color w:val="auto"/>
                      <w:sz w:val="18"/>
                      <w:szCs w:val="18"/>
                    </w:rPr>
                  </w:pPr>
                  <w:r>
                    <w:rPr>
                      <w:color w:val="auto"/>
                      <w:sz w:val="18"/>
                      <w:szCs w:val="18"/>
                    </w:rPr>
                    <w:t>(t)</w:t>
                  </w:r>
                </w:p>
              </w:tc>
              <w:tc>
                <w:tcPr>
                  <w:tcW w:w="810" w:type="dxa"/>
                  <w:vAlign w:val="center"/>
                </w:tcPr>
                <w:p w14:paraId="732E227F">
                  <w:pPr>
                    <w:jc w:val="center"/>
                    <w:rPr>
                      <w:color w:val="auto"/>
                      <w:sz w:val="18"/>
                      <w:szCs w:val="18"/>
                    </w:rPr>
                  </w:pPr>
                  <w:r>
                    <w:rPr>
                      <w:color w:val="auto"/>
                      <w:sz w:val="18"/>
                      <w:szCs w:val="18"/>
                    </w:rPr>
                    <w:t>产生总量</w:t>
                  </w:r>
                  <w:r>
                    <w:rPr>
                      <w:rFonts w:hint="eastAsia"/>
                      <w:color w:val="auto"/>
                      <w:sz w:val="18"/>
                      <w:szCs w:val="18"/>
                      <w:lang w:eastAsia="zh-CN"/>
                    </w:rPr>
                    <w:t>（</w:t>
                  </w:r>
                  <w:r>
                    <w:rPr>
                      <w:color w:val="auto"/>
                      <w:sz w:val="18"/>
                      <w:szCs w:val="18"/>
                    </w:rPr>
                    <w:t>t</w:t>
                  </w:r>
                  <w:r>
                    <w:rPr>
                      <w:rFonts w:hint="eastAsia"/>
                      <w:color w:val="auto"/>
                      <w:sz w:val="18"/>
                      <w:szCs w:val="18"/>
                      <w:lang w:eastAsia="zh-CN"/>
                    </w:rPr>
                    <w:t>）</w:t>
                  </w:r>
                </w:p>
              </w:tc>
              <w:tc>
                <w:tcPr>
                  <w:tcW w:w="809" w:type="dxa"/>
                  <w:vAlign w:val="center"/>
                </w:tcPr>
                <w:p w14:paraId="508E4CB1">
                  <w:pPr>
                    <w:jc w:val="center"/>
                    <w:rPr>
                      <w:color w:val="auto"/>
                      <w:sz w:val="18"/>
                      <w:szCs w:val="18"/>
                    </w:rPr>
                  </w:pPr>
                  <w:r>
                    <w:rPr>
                      <w:color w:val="auto"/>
                      <w:sz w:val="18"/>
                      <w:szCs w:val="18"/>
                    </w:rPr>
                    <w:t>排放量</w:t>
                  </w:r>
                  <w:r>
                    <w:rPr>
                      <w:rFonts w:hint="eastAsia"/>
                      <w:color w:val="auto"/>
                      <w:sz w:val="18"/>
                      <w:szCs w:val="18"/>
                      <w:lang w:eastAsia="zh-CN"/>
                    </w:rPr>
                    <w:t>（</w:t>
                  </w:r>
                  <w:r>
                    <w:rPr>
                      <w:rFonts w:hint="eastAsia"/>
                      <w:color w:val="auto"/>
                      <w:sz w:val="18"/>
                      <w:szCs w:val="18"/>
                    </w:rPr>
                    <w:t>t</w:t>
                  </w:r>
                  <w:r>
                    <w:rPr>
                      <w:rFonts w:hint="eastAsia"/>
                      <w:color w:val="auto"/>
                      <w:sz w:val="18"/>
                      <w:szCs w:val="18"/>
                      <w:lang w:eastAsia="zh-CN"/>
                    </w:rPr>
                    <w:t>）</w:t>
                  </w:r>
                </w:p>
              </w:tc>
            </w:tr>
            <w:tr w14:paraId="552051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4" w:type="dxa"/>
                </w:tcPr>
                <w:p w14:paraId="21E3FAD8">
                  <w:pPr>
                    <w:jc w:val="center"/>
                    <w:rPr>
                      <w:color w:val="auto"/>
                      <w:sz w:val="18"/>
                      <w:szCs w:val="18"/>
                    </w:rPr>
                  </w:pPr>
                  <w:r>
                    <w:rPr>
                      <w:rFonts w:hint="eastAsia"/>
                      <w:color w:val="auto"/>
                      <w:sz w:val="18"/>
                      <w:szCs w:val="18"/>
                      <w:lang w:val="en-US" w:eastAsia="zh-CN"/>
                    </w:rPr>
                    <w:t>司城11</w:t>
                  </w:r>
                  <w:r>
                    <w:rPr>
                      <w:rFonts w:hint="eastAsia"/>
                      <w:color w:val="auto"/>
                      <w:sz w:val="18"/>
                      <w:szCs w:val="18"/>
                      <w:lang w:eastAsia="zh-CN"/>
                    </w:rPr>
                    <w:t>0kV</w:t>
                  </w:r>
                  <w:r>
                    <w:rPr>
                      <w:rFonts w:hint="eastAsia"/>
                      <w:color w:val="auto"/>
                      <w:sz w:val="18"/>
                      <w:szCs w:val="18"/>
                    </w:rPr>
                    <w:t>变电站</w:t>
                  </w:r>
                </w:p>
              </w:tc>
              <w:tc>
                <w:tcPr>
                  <w:tcW w:w="880" w:type="dxa"/>
                  <w:vAlign w:val="center"/>
                </w:tcPr>
                <w:p w14:paraId="1971941D">
                  <w:pPr>
                    <w:jc w:val="center"/>
                    <w:rPr>
                      <w:color w:val="auto"/>
                      <w:sz w:val="18"/>
                      <w:szCs w:val="18"/>
                    </w:rPr>
                  </w:pPr>
                  <w:r>
                    <w:rPr>
                      <w:rFonts w:hint="eastAsia"/>
                      <w:color w:val="auto"/>
                      <w:sz w:val="18"/>
                      <w:szCs w:val="18"/>
                    </w:rPr>
                    <w:t>30</w:t>
                  </w:r>
                </w:p>
              </w:tc>
              <w:tc>
                <w:tcPr>
                  <w:tcW w:w="882" w:type="dxa"/>
                  <w:vAlign w:val="center"/>
                </w:tcPr>
                <w:p w14:paraId="2AB93FBC">
                  <w:pPr>
                    <w:jc w:val="center"/>
                    <w:rPr>
                      <w:rFonts w:hint="default" w:eastAsia="宋体"/>
                      <w:color w:val="auto"/>
                      <w:sz w:val="18"/>
                      <w:szCs w:val="18"/>
                      <w:lang w:val="en-US" w:eastAsia="zh-CN"/>
                    </w:rPr>
                  </w:pPr>
                  <w:r>
                    <w:rPr>
                      <w:rFonts w:hint="eastAsia" w:cs="Times New Roman"/>
                      <w:color w:val="auto"/>
                      <w:sz w:val="18"/>
                      <w:szCs w:val="18"/>
                      <w:highlight w:val="none"/>
                      <w:lang w:val="en-US" w:eastAsia="zh-CN"/>
                    </w:rPr>
                    <w:t>3.9</w:t>
                  </w:r>
                </w:p>
              </w:tc>
              <w:tc>
                <w:tcPr>
                  <w:tcW w:w="664" w:type="dxa"/>
                  <w:vMerge w:val="restart"/>
                  <w:vAlign w:val="center"/>
                </w:tcPr>
                <w:p w14:paraId="5C3295EC">
                  <w:pPr>
                    <w:jc w:val="center"/>
                    <w:rPr>
                      <w:color w:val="auto"/>
                      <w:sz w:val="18"/>
                      <w:szCs w:val="18"/>
                    </w:rPr>
                  </w:pPr>
                  <w:r>
                    <w:rPr>
                      <w:rFonts w:hint="eastAsia"/>
                      <w:color w:val="auto"/>
                      <w:sz w:val="18"/>
                      <w:szCs w:val="18"/>
                    </w:rPr>
                    <w:t>0.8</w:t>
                  </w:r>
                </w:p>
              </w:tc>
              <w:tc>
                <w:tcPr>
                  <w:tcW w:w="922" w:type="dxa"/>
                  <w:vAlign w:val="center"/>
                </w:tcPr>
                <w:p w14:paraId="69BA42E7">
                  <w:pPr>
                    <w:jc w:val="center"/>
                    <w:rPr>
                      <w:rFonts w:hint="default" w:eastAsia="宋体"/>
                      <w:color w:val="auto"/>
                      <w:sz w:val="18"/>
                      <w:szCs w:val="18"/>
                      <w:lang w:val="en-US" w:eastAsia="zh-CN"/>
                    </w:rPr>
                  </w:pPr>
                  <w:r>
                    <w:rPr>
                      <w:rFonts w:hint="eastAsia" w:cs="Times New Roman"/>
                      <w:color w:val="auto"/>
                      <w:sz w:val="18"/>
                      <w:szCs w:val="18"/>
                      <w:highlight w:val="none"/>
                      <w:lang w:val="en-US" w:eastAsia="zh-CN"/>
                    </w:rPr>
                    <w:t>3.12</w:t>
                  </w:r>
                </w:p>
              </w:tc>
              <w:tc>
                <w:tcPr>
                  <w:tcW w:w="955" w:type="dxa"/>
                  <w:vAlign w:val="center"/>
                </w:tcPr>
                <w:p w14:paraId="7B49BF33">
                  <w:pPr>
                    <w:jc w:val="center"/>
                    <w:rPr>
                      <w:rFonts w:hint="default"/>
                      <w:color w:val="auto"/>
                      <w:sz w:val="18"/>
                      <w:szCs w:val="18"/>
                      <w:lang w:val="en-US"/>
                    </w:rPr>
                  </w:pPr>
                  <w:r>
                    <w:rPr>
                      <w:rFonts w:hint="eastAsia"/>
                      <w:color w:val="auto"/>
                      <w:sz w:val="18"/>
                      <w:szCs w:val="18"/>
                      <w:lang w:val="en-US" w:eastAsia="zh-CN"/>
                    </w:rPr>
                    <w:t>450</w:t>
                  </w:r>
                </w:p>
              </w:tc>
              <w:tc>
                <w:tcPr>
                  <w:tcW w:w="795" w:type="dxa"/>
                  <w:vAlign w:val="center"/>
                </w:tcPr>
                <w:p w14:paraId="08C2D10B">
                  <w:pPr>
                    <w:jc w:val="center"/>
                    <w:rPr>
                      <w:rFonts w:hint="default" w:eastAsia="宋体"/>
                      <w:color w:val="auto"/>
                      <w:sz w:val="18"/>
                      <w:szCs w:val="18"/>
                      <w:lang w:val="en-US" w:eastAsia="zh-CN"/>
                    </w:rPr>
                  </w:pPr>
                  <w:r>
                    <w:rPr>
                      <w:rFonts w:hint="eastAsia" w:cs="Times New Roman"/>
                      <w:color w:val="auto"/>
                      <w:sz w:val="18"/>
                      <w:szCs w:val="18"/>
                      <w:highlight w:val="none"/>
                      <w:lang w:val="en-US" w:eastAsia="zh-CN"/>
                    </w:rPr>
                    <w:t>1404</w:t>
                  </w:r>
                </w:p>
              </w:tc>
              <w:tc>
                <w:tcPr>
                  <w:tcW w:w="810" w:type="dxa"/>
                  <w:vMerge w:val="restart"/>
                  <w:vAlign w:val="center"/>
                </w:tcPr>
                <w:p w14:paraId="248CA5BC">
                  <w:pPr>
                    <w:jc w:val="center"/>
                    <w:rPr>
                      <w:rFonts w:hint="default" w:eastAsia="宋体"/>
                      <w:color w:val="auto"/>
                      <w:sz w:val="18"/>
                      <w:szCs w:val="18"/>
                      <w:lang w:val="en-US" w:eastAsia="zh-CN"/>
                    </w:rPr>
                  </w:pPr>
                  <w:r>
                    <w:rPr>
                      <w:rFonts w:hint="eastAsia"/>
                      <w:color w:val="auto"/>
                      <w:sz w:val="18"/>
                      <w:szCs w:val="18"/>
                      <w:lang w:val="en-US" w:eastAsia="zh-CN"/>
                    </w:rPr>
                    <w:t>2542.8</w:t>
                  </w:r>
                </w:p>
              </w:tc>
              <w:tc>
                <w:tcPr>
                  <w:tcW w:w="809" w:type="dxa"/>
                  <w:vMerge w:val="restart"/>
                  <w:vAlign w:val="center"/>
                </w:tcPr>
                <w:p w14:paraId="664040F2">
                  <w:pPr>
                    <w:jc w:val="center"/>
                    <w:rPr>
                      <w:color w:val="auto"/>
                      <w:sz w:val="18"/>
                      <w:szCs w:val="18"/>
                    </w:rPr>
                  </w:pPr>
                  <w:r>
                    <w:rPr>
                      <w:rFonts w:hint="eastAsia"/>
                      <w:color w:val="auto"/>
                      <w:sz w:val="18"/>
                      <w:szCs w:val="18"/>
                    </w:rPr>
                    <w:t>0</w:t>
                  </w:r>
                </w:p>
              </w:tc>
            </w:tr>
            <w:tr w14:paraId="350896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4" w:type="dxa"/>
                  <w:vAlign w:val="center"/>
                </w:tcPr>
                <w:p w14:paraId="22A2A086">
                  <w:pPr>
                    <w:jc w:val="center"/>
                    <w:rPr>
                      <w:color w:val="auto"/>
                      <w:sz w:val="18"/>
                      <w:szCs w:val="18"/>
                    </w:rPr>
                  </w:pPr>
                  <w:r>
                    <w:rPr>
                      <w:color w:val="auto"/>
                      <w:sz w:val="18"/>
                      <w:szCs w:val="18"/>
                    </w:rPr>
                    <w:t>输电线路</w:t>
                  </w:r>
                </w:p>
              </w:tc>
              <w:tc>
                <w:tcPr>
                  <w:tcW w:w="880" w:type="dxa"/>
                  <w:vAlign w:val="center"/>
                </w:tcPr>
                <w:p w14:paraId="3AE02566">
                  <w:pPr>
                    <w:jc w:val="center"/>
                    <w:rPr>
                      <w:rFonts w:ascii="Times New Roman" w:hAnsi="Times New Roman" w:eastAsia="宋体" w:cs="Times New Roman"/>
                      <w:color w:val="auto"/>
                      <w:kern w:val="2"/>
                      <w:sz w:val="18"/>
                      <w:szCs w:val="18"/>
                      <w:lang w:val="en-US" w:eastAsia="zh-CN" w:bidi="ar-SA"/>
                    </w:rPr>
                  </w:pPr>
                  <w:r>
                    <w:rPr>
                      <w:rFonts w:hint="eastAsia"/>
                      <w:color w:val="auto"/>
                      <w:sz w:val="18"/>
                      <w:szCs w:val="18"/>
                    </w:rPr>
                    <w:t>30</w:t>
                  </w:r>
                </w:p>
              </w:tc>
              <w:tc>
                <w:tcPr>
                  <w:tcW w:w="882" w:type="dxa"/>
                  <w:vAlign w:val="center"/>
                </w:tcPr>
                <w:p w14:paraId="6FA5BBBC">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sz w:val="18"/>
                      <w:szCs w:val="18"/>
                      <w:highlight w:val="none"/>
                      <w:lang w:val="en-US" w:eastAsia="zh-CN"/>
                    </w:rPr>
                    <w:t>3.9</w:t>
                  </w:r>
                </w:p>
              </w:tc>
              <w:tc>
                <w:tcPr>
                  <w:tcW w:w="664" w:type="dxa"/>
                  <w:vMerge w:val="continue"/>
                  <w:vAlign w:val="center"/>
                </w:tcPr>
                <w:p w14:paraId="5F31C7D7">
                  <w:pPr>
                    <w:jc w:val="center"/>
                    <w:rPr>
                      <w:color w:val="auto"/>
                      <w:sz w:val="18"/>
                      <w:szCs w:val="18"/>
                    </w:rPr>
                  </w:pPr>
                </w:p>
              </w:tc>
              <w:tc>
                <w:tcPr>
                  <w:tcW w:w="922" w:type="dxa"/>
                  <w:vAlign w:val="center"/>
                </w:tcPr>
                <w:p w14:paraId="59CF1943">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sz w:val="18"/>
                      <w:szCs w:val="18"/>
                      <w:highlight w:val="none"/>
                      <w:lang w:val="en-US" w:eastAsia="zh-CN"/>
                    </w:rPr>
                    <w:t>3.12</w:t>
                  </w:r>
                </w:p>
              </w:tc>
              <w:tc>
                <w:tcPr>
                  <w:tcW w:w="955" w:type="dxa"/>
                  <w:vAlign w:val="center"/>
                </w:tcPr>
                <w:p w14:paraId="11D1F6D0">
                  <w:pPr>
                    <w:jc w:val="center"/>
                    <w:rPr>
                      <w:rFonts w:hint="default"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365</w:t>
                  </w:r>
                </w:p>
              </w:tc>
              <w:tc>
                <w:tcPr>
                  <w:tcW w:w="795" w:type="dxa"/>
                  <w:vAlign w:val="center"/>
                </w:tcPr>
                <w:p w14:paraId="6C80D338">
                  <w:pPr>
                    <w:jc w:val="center"/>
                    <w:rPr>
                      <w:rFonts w:hint="default" w:ascii="Times New Roman" w:hAnsi="Times New Roman" w:eastAsia="宋体" w:cs="Times New Roman"/>
                      <w:color w:val="auto"/>
                      <w:kern w:val="2"/>
                      <w:sz w:val="18"/>
                      <w:szCs w:val="18"/>
                      <w:lang w:val="en-US" w:eastAsia="zh-CN" w:bidi="ar-SA"/>
                    </w:rPr>
                  </w:pPr>
                  <w:r>
                    <w:rPr>
                      <w:rFonts w:hint="eastAsia" w:cs="Times New Roman"/>
                      <w:color w:val="auto"/>
                      <w:kern w:val="2"/>
                      <w:sz w:val="18"/>
                      <w:szCs w:val="18"/>
                      <w:lang w:val="en-US" w:eastAsia="zh-CN" w:bidi="ar-SA"/>
                    </w:rPr>
                    <w:t>1138.8</w:t>
                  </w:r>
                </w:p>
              </w:tc>
              <w:tc>
                <w:tcPr>
                  <w:tcW w:w="810" w:type="dxa"/>
                  <w:vMerge w:val="continue"/>
                  <w:vAlign w:val="center"/>
                </w:tcPr>
                <w:p w14:paraId="7A2ADEC5">
                  <w:pPr>
                    <w:jc w:val="center"/>
                    <w:rPr>
                      <w:color w:val="auto"/>
                      <w:sz w:val="18"/>
                      <w:szCs w:val="18"/>
                    </w:rPr>
                  </w:pPr>
                </w:p>
              </w:tc>
              <w:tc>
                <w:tcPr>
                  <w:tcW w:w="809" w:type="dxa"/>
                  <w:vMerge w:val="continue"/>
                  <w:vAlign w:val="center"/>
                </w:tcPr>
                <w:p w14:paraId="50931EDD">
                  <w:pPr>
                    <w:jc w:val="center"/>
                    <w:rPr>
                      <w:color w:val="auto"/>
                      <w:sz w:val="18"/>
                      <w:szCs w:val="18"/>
                    </w:rPr>
                  </w:pPr>
                </w:p>
              </w:tc>
            </w:tr>
            <w:tr w14:paraId="1C4679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81" w:type="dxa"/>
                  <w:gridSpan w:val="9"/>
                  <w:vAlign w:val="center"/>
                </w:tcPr>
                <w:p w14:paraId="41A39EF6">
                  <w:pPr>
                    <w:jc w:val="left"/>
                    <w:rPr>
                      <w:color w:val="auto"/>
                      <w:sz w:val="18"/>
                      <w:szCs w:val="18"/>
                    </w:rPr>
                  </w:pPr>
                  <w:r>
                    <w:rPr>
                      <w:rFonts w:hint="eastAsia" w:ascii="Times New Roman" w:hAnsi="Times New Roman" w:cs="Times New Roman"/>
                      <w:color w:val="auto"/>
                      <w:sz w:val="18"/>
                      <w:szCs w:val="18"/>
                      <w:highlight w:val="none"/>
                      <w:lang w:val="en-US" w:eastAsia="zh-CN"/>
                    </w:rPr>
                    <w:t>注：</w:t>
                  </w:r>
                  <w:r>
                    <w:rPr>
                      <w:rFonts w:hint="default" w:ascii="Times New Roman" w:hAnsi="Times New Roman" w:cs="Times New Roman"/>
                      <w:color w:val="auto"/>
                      <w:sz w:val="18"/>
                      <w:szCs w:val="18"/>
                      <w:highlight w:val="none"/>
                    </w:rPr>
                    <w:t>用水量</w:t>
                  </w:r>
                  <w:r>
                    <w:rPr>
                      <w:rFonts w:hint="eastAsia" w:ascii="Times New Roman" w:hAnsi="Times New Roman" w:cs="Times New Roman"/>
                      <w:color w:val="auto"/>
                      <w:sz w:val="18"/>
                      <w:szCs w:val="18"/>
                      <w:highlight w:val="none"/>
                      <w:lang w:val="en-US" w:eastAsia="zh-CN"/>
                    </w:rPr>
                    <w:t>为人均用水定额为130L/人·d（</w:t>
                  </w:r>
                  <w:r>
                    <w:rPr>
                      <w:rFonts w:hint="default" w:ascii="Times New Roman" w:hAnsi="Times New Roman" w:cs="Times New Roman"/>
                      <w:color w:val="auto"/>
                      <w:sz w:val="18"/>
                      <w:szCs w:val="18"/>
                      <w:highlight w:val="none"/>
                    </w:rPr>
                    <w:t>来源于四川省人民政府关于印发《四川省用水定额》的通知（川府函〔2021〕8号）</w:t>
                  </w:r>
                  <w:r>
                    <w:rPr>
                      <w:rFonts w:hint="eastAsia" w:ascii="Times New Roman" w:hAnsi="Times New Roman" w:cs="Times New Roman"/>
                      <w:color w:val="auto"/>
                      <w:sz w:val="18"/>
                      <w:szCs w:val="18"/>
                      <w:highlight w:val="none"/>
                      <w:lang w:val="en-US" w:eastAsia="zh-CN"/>
                    </w:rPr>
                    <w:t>）</w:t>
                  </w:r>
                </w:p>
              </w:tc>
            </w:tr>
          </w:tbl>
          <w:p w14:paraId="41054688">
            <w:pPr>
              <w:spacing w:line="360" w:lineRule="auto"/>
              <w:ind w:firstLine="420" w:firstLineChars="200"/>
              <w:rPr>
                <w:color w:val="auto"/>
                <w:szCs w:val="21"/>
              </w:rPr>
            </w:pPr>
            <w:r>
              <w:rPr>
                <w:color w:val="auto"/>
                <w:szCs w:val="21"/>
              </w:rPr>
              <w:t>本项目施工期采取</w:t>
            </w:r>
            <w:r>
              <w:rPr>
                <w:rFonts w:hint="eastAsia"/>
                <w:color w:val="auto"/>
                <w:szCs w:val="21"/>
              </w:rPr>
              <w:t>本报告表五和表六提出的环保措施后，施工过程中产生的废污水不会对周围水环境产生不良影响。</w:t>
            </w:r>
          </w:p>
          <w:p w14:paraId="070A144A">
            <w:pPr>
              <w:spacing w:line="360" w:lineRule="auto"/>
              <w:ind w:firstLine="420" w:firstLineChars="200"/>
              <w:rPr>
                <w:rFonts w:eastAsia="黑体"/>
                <w:color w:val="auto"/>
                <w:szCs w:val="21"/>
              </w:rPr>
            </w:pPr>
            <w:r>
              <w:rPr>
                <w:rFonts w:hint="eastAsia" w:eastAsia="黑体"/>
                <w:color w:val="auto"/>
                <w:szCs w:val="21"/>
              </w:rPr>
              <w:t>4</w:t>
            </w:r>
            <w:r>
              <w:rPr>
                <w:rFonts w:eastAsia="黑体"/>
                <w:color w:val="auto"/>
                <w:szCs w:val="21"/>
              </w:rPr>
              <w:t>、</w:t>
            </w:r>
            <w:r>
              <w:rPr>
                <w:rFonts w:hint="eastAsia" w:eastAsia="黑体"/>
                <w:color w:val="auto"/>
                <w:szCs w:val="21"/>
              </w:rPr>
              <w:t>固体废弃物</w:t>
            </w:r>
          </w:p>
          <w:p w14:paraId="4940A500">
            <w:pPr>
              <w:spacing w:line="360" w:lineRule="auto"/>
              <w:ind w:firstLine="420" w:firstLineChars="200"/>
              <w:rPr>
                <w:color w:val="auto"/>
                <w:szCs w:val="21"/>
              </w:rPr>
            </w:pPr>
            <w:r>
              <w:rPr>
                <w:rFonts w:hint="eastAsia"/>
                <w:color w:val="auto"/>
                <w:szCs w:val="21"/>
              </w:rPr>
              <w:t>本项目施工期产生固废主要为剩余土石方、施工人员的生活垃圾、建筑垃圾等。</w:t>
            </w:r>
          </w:p>
          <w:p w14:paraId="2CB51C9F">
            <w:pPr>
              <w:spacing w:line="360" w:lineRule="auto"/>
              <w:ind w:firstLine="411" w:firstLineChars="196"/>
              <w:rPr>
                <w:color w:val="auto"/>
                <w:szCs w:val="21"/>
              </w:rPr>
            </w:pPr>
            <w:r>
              <w:rPr>
                <w:rFonts w:hint="eastAsia"/>
                <w:color w:val="auto"/>
                <w:szCs w:val="21"/>
              </w:rPr>
              <w:t>（1）剩余土石方</w:t>
            </w:r>
          </w:p>
          <w:p w14:paraId="344080F8">
            <w:pPr>
              <w:spacing w:line="360" w:lineRule="auto"/>
              <w:ind w:firstLine="411" w:firstLineChars="196"/>
              <w:rPr>
                <w:rFonts w:hint="eastAsia"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根据</w:t>
            </w:r>
            <w:r>
              <w:rPr>
                <w:rFonts w:hint="default" w:ascii="Times New Roman" w:hAnsi="Times New Roman" w:cs="Times New Roman"/>
                <w:color w:val="auto"/>
                <w:szCs w:val="21"/>
                <w:highlight w:val="none"/>
              </w:rPr>
              <w:t>《</w:t>
            </w:r>
            <w:r>
              <w:rPr>
                <w:rFonts w:hint="eastAsia"/>
                <w:color w:val="auto"/>
                <w:szCs w:val="21"/>
                <w:lang w:val="en-US" w:eastAsia="zh-CN"/>
              </w:rPr>
              <w:t>巴中恩阳司城110千伏输变电工程初步设计说明书</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，本项目</w:t>
            </w:r>
            <w:r>
              <w:rPr>
                <w:rFonts w:hint="default" w:ascii="Times New Roman" w:hAnsi="Times New Roman" w:cs="Times New Roman"/>
                <w:color w:val="auto"/>
                <w:szCs w:val="21"/>
                <w:highlight w:val="none"/>
              </w:rPr>
              <w:t>总挖方</w:t>
            </w:r>
            <w:r>
              <w:rPr>
                <w:rFonts w:hint="default" w:ascii="Times New Roman" w:hAnsi="Times New Roman" w:cs="Times New Roman"/>
                <w:color w:val="auto"/>
                <w:szCs w:val="21"/>
                <w:highlight w:val="none"/>
                <w:lang w:eastAsia="zh-CN"/>
              </w:rPr>
              <w:t>量约为</w:t>
            </w:r>
            <w:r>
              <w:rPr>
                <w:rFonts w:hint="eastAsia" w:cs="Times New Roman"/>
                <w:color w:val="auto"/>
                <w:szCs w:val="21"/>
                <w:highlight w:val="none"/>
                <w:lang w:val="en-US" w:eastAsia="zh-CN"/>
              </w:rPr>
              <w:t>23741</w:t>
            </w:r>
            <w:r>
              <w:rPr>
                <w:rFonts w:hint="default" w:ascii="Times New Roman" w:hAnsi="Times New Roman" w:cs="Times New Roman"/>
                <w:color w:val="auto"/>
                <w:szCs w:val="21"/>
                <w:highlight w:val="none"/>
              </w:rPr>
              <w:t>m³</w:t>
            </w:r>
            <w:r>
              <w:rPr>
                <w:rFonts w:hint="eastAsia" w:cs="Times New Roman"/>
                <w:color w:val="auto"/>
                <w:szCs w:val="21"/>
                <w:highlight w:val="none"/>
                <w:lang w:eastAsia="zh-CN"/>
              </w:rPr>
              <w:t>（</w:t>
            </w:r>
            <w:r>
              <w:rPr>
                <w:rFonts w:hint="eastAsia" w:cs="Times New Roman"/>
                <w:color w:val="auto"/>
                <w:szCs w:val="21"/>
                <w:highlight w:val="none"/>
                <w:lang w:val="en-US" w:eastAsia="zh-CN"/>
              </w:rPr>
              <w:t>含表土7480m</w:t>
            </w:r>
            <w:r>
              <w:rPr>
                <w:rFonts w:hint="eastAsia" w:cs="Times New Roman"/>
                <w:color w:val="auto"/>
                <w:szCs w:val="21"/>
                <w:highlight w:val="none"/>
                <w:vertAlign w:val="superscript"/>
                <w:lang w:val="en-US" w:eastAsia="zh-CN"/>
              </w:rPr>
              <w:t>3</w:t>
            </w:r>
            <w:r>
              <w:rPr>
                <w:rFonts w:hint="eastAsia" w:cs="Times New Roman"/>
                <w:color w:val="auto"/>
                <w:szCs w:val="21"/>
                <w:highlight w:val="none"/>
                <w:lang w:eastAsia="zh-CN"/>
              </w:rPr>
              <w:t>）</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总填方</w:t>
            </w:r>
            <w:r>
              <w:rPr>
                <w:rFonts w:hint="default" w:ascii="Times New Roman" w:hAnsi="Times New Roman" w:cs="Times New Roman"/>
                <w:color w:val="auto"/>
                <w:szCs w:val="21"/>
                <w:highlight w:val="none"/>
                <w:lang w:eastAsia="zh-CN"/>
              </w:rPr>
              <w:t>量约为</w:t>
            </w:r>
            <w:r>
              <w:rPr>
                <w:rFonts w:hint="eastAsia" w:cs="Times New Roman"/>
                <w:color w:val="auto"/>
                <w:szCs w:val="21"/>
                <w:highlight w:val="none"/>
                <w:lang w:val="en-US" w:eastAsia="zh-CN"/>
              </w:rPr>
              <w:t>21966</w:t>
            </w:r>
            <w:r>
              <w:rPr>
                <w:rFonts w:hint="default" w:ascii="Times New Roman" w:hAnsi="Times New Roman" w:cs="Times New Roman"/>
                <w:color w:val="auto"/>
                <w:szCs w:val="21"/>
                <w:highlight w:val="none"/>
              </w:rPr>
              <w:t>m³</w:t>
            </w:r>
            <w:r>
              <w:rPr>
                <w:rFonts w:hint="eastAsia"/>
                <w:color w:val="auto"/>
                <w:szCs w:val="21"/>
                <w:vertAlign w:val="baseline"/>
              </w:rPr>
              <w:t>（含表土</w:t>
            </w:r>
            <w:r>
              <w:rPr>
                <w:rFonts w:hint="eastAsia"/>
                <w:color w:val="auto"/>
                <w:szCs w:val="21"/>
                <w:vertAlign w:val="baseline"/>
                <w:lang w:val="en-US" w:eastAsia="zh-CN"/>
              </w:rPr>
              <w:t>7480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余方</w:t>
            </w:r>
            <w:r>
              <w:rPr>
                <w:rFonts w:hint="default" w:ascii="Times New Roman" w:hAnsi="Times New Roman" w:cs="Times New Roman"/>
                <w:color w:val="auto"/>
                <w:szCs w:val="21"/>
                <w:highlight w:val="none"/>
                <w:lang w:eastAsia="zh-CN"/>
              </w:rPr>
              <w:t>量</w:t>
            </w:r>
            <w:r>
              <w:rPr>
                <w:rFonts w:hint="default" w:ascii="Times New Roman" w:hAnsi="Times New Roman" w:cs="Times New Roman"/>
                <w:color w:val="auto"/>
                <w:szCs w:val="21"/>
                <w:highlight w:val="none"/>
                <w:lang w:val="en-US" w:eastAsia="zh-CN"/>
              </w:rPr>
              <w:t>约</w:t>
            </w:r>
            <w:r>
              <w:rPr>
                <w:rFonts w:hint="default" w:ascii="Times New Roman" w:hAnsi="Times New Roman" w:cs="Times New Roman"/>
                <w:color w:val="auto"/>
                <w:szCs w:val="21"/>
                <w:highlight w:val="none"/>
                <w:lang w:eastAsia="zh-CN"/>
              </w:rPr>
              <w:t>为</w:t>
            </w:r>
            <w:r>
              <w:rPr>
                <w:rFonts w:hint="eastAsia" w:cs="Times New Roman"/>
                <w:color w:val="auto"/>
                <w:szCs w:val="21"/>
                <w:highlight w:val="none"/>
                <w:lang w:val="en-US" w:eastAsia="zh-CN"/>
              </w:rPr>
              <w:t>1775</w:t>
            </w:r>
            <w:r>
              <w:rPr>
                <w:rFonts w:hint="default" w:ascii="Times New Roman" w:hAnsi="Times New Roman" w:cs="Times New Roman"/>
                <w:color w:val="auto"/>
                <w:szCs w:val="21"/>
                <w:highlight w:val="none"/>
                <w:lang w:val="en-US" w:eastAsia="zh-CN"/>
              </w:rPr>
              <w:t>m</w:t>
            </w:r>
            <w:r>
              <w:rPr>
                <w:rFonts w:hint="default" w:ascii="Times New Roman" w:hAnsi="Times New Roman" w:cs="Times New Roman"/>
                <w:color w:val="auto"/>
                <w:szCs w:val="21"/>
                <w:highlight w:val="none"/>
                <w:vertAlign w:val="superscript"/>
                <w:lang w:val="en-US" w:eastAsia="zh-CN"/>
              </w:rPr>
              <w:t>3</w:t>
            </w:r>
            <w:r>
              <w:rPr>
                <w:rFonts w:hint="eastAsia" w:cs="Times New Roman"/>
                <w:color w:val="auto"/>
                <w:szCs w:val="21"/>
                <w:highlight w:val="none"/>
                <w:lang w:val="en-US" w:eastAsia="zh-CN"/>
              </w:rPr>
              <w:t>。</w:t>
            </w:r>
          </w:p>
          <w:p w14:paraId="1C2792C7">
            <w:pPr>
              <w:spacing w:line="360" w:lineRule="auto"/>
              <w:ind w:firstLine="411" w:firstLineChars="196"/>
              <w:rPr>
                <w:rFonts w:hint="eastAsia" w:cs="Times New Roman"/>
                <w:color w:val="auto"/>
                <w:szCs w:val="21"/>
                <w:highlight w:val="none"/>
                <w:lang w:val="en-US" w:eastAsia="zh-CN"/>
              </w:rPr>
            </w:pPr>
            <w:r>
              <w:rPr>
                <w:rFonts w:hint="eastAsia"/>
                <w:color w:val="auto"/>
                <w:szCs w:val="21"/>
              </w:rPr>
              <w:t>本次变电站新建工程施工土石方挖方总量约</w:t>
            </w:r>
            <w:r>
              <w:rPr>
                <w:rFonts w:hint="eastAsia"/>
                <w:color w:val="auto"/>
                <w:szCs w:val="21"/>
                <w:lang w:val="en-US" w:eastAsia="zh-CN"/>
              </w:rPr>
              <w:t>11786</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3340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，回填总量约</w:t>
            </w:r>
            <w:r>
              <w:rPr>
                <w:rFonts w:hint="eastAsia"/>
                <w:color w:val="auto"/>
                <w:szCs w:val="21"/>
                <w:lang w:val="en-US" w:eastAsia="zh-CN"/>
              </w:rPr>
              <w:t>11786</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3340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。变电站</w:t>
            </w:r>
            <w:r>
              <w:rPr>
                <w:rFonts w:hint="eastAsia"/>
                <w:color w:val="auto"/>
                <w:szCs w:val="21"/>
                <w:lang w:val="en-US" w:eastAsia="zh-CN"/>
              </w:rPr>
              <w:t>挖填方平衡</w:t>
            </w:r>
            <w:r>
              <w:rPr>
                <w:rFonts w:hint="eastAsia"/>
                <w:color w:val="auto"/>
                <w:szCs w:val="21"/>
              </w:rPr>
              <w:t>，无需</w:t>
            </w:r>
            <w:r>
              <w:rPr>
                <w:color w:val="auto"/>
                <w:szCs w:val="21"/>
              </w:rPr>
              <w:t>设置弃土场</w:t>
            </w:r>
            <w:r>
              <w:rPr>
                <w:rFonts w:hint="eastAsia"/>
                <w:color w:val="auto"/>
                <w:szCs w:val="21"/>
              </w:rPr>
              <w:t>。</w:t>
            </w:r>
          </w:p>
          <w:p w14:paraId="134B6067">
            <w:pPr>
              <w:pStyle w:val="7"/>
              <w:spacing w:line="360" w:lineRule="auto"/>
              <w:ind w:firstLine="420" w:firstLineChars="200"/>
              <w:rPr>
                <w:color w:val="auto"/>
                <w:szCs w:val="21"/>
              </w:rPr>
            </w:pPr>
            <w:r>
              <w:rPr>
                <w:rFonts w:hint="eastAsia"/>
                <w:color w:val="auto"/>
                <w:szCs w:val="21"/>
              </w:rPr>
              <w:t>本次输电线路施工土石方挖方总量约</w:t>
            </w:r>
            <w:r>
              <w:rPr>
                <w:rFonts w:hint="eastAsia"/>
                <w:color w:val="auto"/>
                <w:szCs w:val="21"/>
                <w:lang w:val="en-US" w:eastAsia="zh-CN"/>
              </w:rPr>
              <w:t>11955</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4140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，回填总量约</w:t>
            </w:r>
            <w:r>
              <w:rPr>
                <w:rFonts w:hint="eastAsia"/>
                <w:color w:val="auto"/>
                <w:szCs w:val="21"/>
                <w:lang w:val="en-US" w:eastAsia="zh-CN"/>
              </w:rPr>
              <w:t>10180</w:t>
            </w:r>
            <w:r>
              <w:rPr>
                <w:color w:val="auto"/>
                <w:szCs w:val="21"/>
              </w:rPr>
              <w:t>m</w:t>
            </w:r>
            <w:r>
              <w:rPr>
                <w:color w:val="auto"/>
                <w:szCs w:val="21"/>
                <w:vertAlign w:val="superscript"/>
              </w:rPr>
              <w:t>3</w:t>
            </w:r>
            <w:r>
              <w:rPr>
                <w:rFonts w:hint="eastAsia"/>
                <w:color w:val="auto"/>
                <w:szCs w:val="21"/>
                <w:vertAlign w:val="baseline"/>
              </w:rPr>
              <w:t>（含表土</w:t>
            </w:r>
            <w:r>
              <w:rPr>
                <w:rFonts w:hint="eastAsia"/>
                <w:color w:val="auto"/>
                <w:szCs w:val="21"/>
                <w:vertAlign w:val="baseline"/>
                <w:lang w:val="en-US" w:eastAsia="zh-CN"/>
              </w:rPr>
              <w:t>4140</w:t>
            </w:r>
            <w:r>
              <w:rPr>
                <w:rFonts w:hint="eastAsia"/>
                <w:color w:val="auto"/>
                <w:szCs w:val="21"/>
                <w:vertAlign w:val="baseline"/>
              </w:rPr>
              <w:t>m</w:t>
            </w:r>
            <w:r>
              <w:rPr>
                <w:rFonts w:hint="eastAsia"/>
                <w:color w:val="auto"/>
                <w:szCs w:val="21"/>
                <w:vertAlign w:val="superscript"/>
              </w:rPr>
              <w:t>3</w:t>
            </w:r>
            <w:r>
              <w:rPr>
                <w:rFonts w:hint="eastAsia"/>
                <w:color w:val="auto"/>
                <w:szCs w:val="21"/>
                <w:vertAlign w:val="baseline"/>
              </w:rPr>
              <w:t>）</w:t>
            </w:r>
            <w:r>
              <w:rPr>
                <w:rFonts w:hint="eastAsia"/>
                <w:color w:val="auto"/>
                <w:szCs w:val="21"/>
              </w:rPr>
              <w:t>，</w:t>
            </w:r>
            <w:r>
              <w:rPr>
                <w:rFonts w:hint="eastAsia"/>
                <w:color w:val="auto"/>
                <w:szCs w:val="21"/>
                <w:lang w:val="en-US" w:eastAsia="zh-CN"/>
              </w:rPr>
              <w:t>余方</w:t>
            </w:r>
            <w:r>
              <w:rPr>
                <w:rFonts w:hint="eastAsia"/>
                <w:color w:val="auto"/>
                <w:szCs w:val="21"/>
              </w:rPr>
              <w:t>量为</w:t>
            </w:r>
            <w:r>
              <w:rPr>
                <w:rFonts w:hint="eastAsia"/>
                <w:color w:val="auto"/>
                <w:szCs w:val="21"/>
                <w:lang w:val="en-US" w:eastAsia="zh-CN"/>
              </w:rPr>
              <w:t>1775</w:t>
            </w:r>
            <w:r>
              <w:rPr>
                <w:rFonts w:hint="eastAsia"/>
                <w:color w:val="auto"/>
                <w:szCs w:val="21"/>
              </w:rPr>
              <w:t>m</w:t>
            </w:r>
            <w:r>
              <w:rPr>
                <w:rFonts w:hint="eastAsia"/>
                <w:color w:val="auto"/>
                <w:szCs w:val="21"/>
                <w:vertAlign w:val="superscript"/>
              </w:rPr>
              <w:t>3</w:t>
            </w:r>
            <w:r>
              <w:rPr>
                <w:rFonts w:hint="eastAsia"/>
                <w:color w:val="auto"/>
                <w:szCs w:val="21"/>
                <w:vertAlign w:val="baseline"/>
                <w:lang w:eastAsia="zh-CN"/>
              </w:rPr>
              <w:t>。</w:t>
            </w:r>
            <w:r>
              <w:rPr>
                <w:rFonts w:hint="eastAsia"/>
                <w:color w:val="auto"/>
                <w:szCs w:val="21"/>
              </w:rPr>
              <w:t>本项目输电线路施工土石方来源于塔基开挖，由于施工位置分散，每个塔基挖方回填以后余方很少，位于坡地的塔基可以用于塔基区植被恢复或采用浆砌石挡土墙拦挡后进行植被恢复，位于平坦地形的塔基，回填后剩余弃土堆放在铁塔下方夯实，塔基余方可以用于塔基区植被恢复或采用浆砌石挡土墙拦挡后进行植被恢复，无需</w:t>
            </w:r>
            <w:r>
              <w:rPr>
                <w:color w:val="auto"/>
                <w:szCs w:val="21"/>
              </w:rPr>
              <w:t>设置弃土场</w:t>
            </w:r>
            <w:r>
              <w:rPr>
                <w:rFonts w:hint="eastAsia"/>
                <w:color w:val="auto"/>
                <w:szCs w:val="21"/>
                <w:lang w:eastAsia="zh-CN"/>
              </w:rPr>
              <w:t>。</w:t>
            </w:r>
          </w:p>
          <w:p w14:paraId="153351F7">
            <w:pPr>
              <w:adjustRightInd w:val="0"/>
              <w:spacing w:line="360" w:lineRule="auto"/>
              <w:ind w:firstLine="420" w:firstLineChars="200"/>
              <w:rPr>
                <w:color w:val="auto"/>
                <w:szCs w:val="21"/>
              </w:rPr>
            </w:pPr>
            <w:r>
              <w:rPr>
                <w:rFonts w:hint="eastAsia"/>
                <w:color w:val="auto"/>
                <w:szCs w:val="21"/>
              </w:rPr>
              <w:t>（2）生活垃圾</w:t>
            </w:r>
          </w:p>
          <w:p w14:paraId="6C7B5575">
            <w:pPr>
              <w:adjustRightInd w:val="0"/>
              <w:spacing w:line="360" w:lineRule="auto"/>
              <w:ind w:firstLine="420" w:firstLineChars="200"/>
              <w:rPr>
                <w:color w:val="auto"/>
                <w:szCs w:val="21"/>
              </w:rPr>
            </w:pPr>
            <w:r>
              <w:rPr>
                <w:rFonts w:hint="eastAsia"/>
                <w:color w:val="auto"/>
                <w:szCs w:val="21"/>
              </w:rPr>
              <w:t>施工期平均每天配置人员约</w:t>
            </w:r>
            <w:r>
              <w:rPr>
                <w:rFonts w:hint="eastAsia"/>
                <w:color w:val="auto"/>
                <w:szCs w:val="21"/>
                <w:lang w:val="en-US" w:eastAsia="zh-CN"/>
              </w:rPr>
              <w:t>60</w:t>
            </w:r>
            <w:r>
              <w:rPr>
                <w:rFonts w:hint="eastAsia"/>
                <w:color w:val="auto"/>
                <w:szCs w:val="21"/>
              </w:rPr>
              <w:t>人，</w:t>
            </w:r>
            <w:r>
              <w:rPr>
                <w:color w:val="auto"/>
                <w:szCs w:val="21"/>
              </w:rPr>
              <w:t>每人每天产生的生活垃圾按0.5kg计，产生的生活垃圾为</w:t>
            </w:r>
            <w:r>
              <w:rPr>
                <w:rFonts w:hint="eastAsia"/>
                <w:color w:val="auto"/>
                <w:szCs w:val="21"/>
                <w:lang w:val="en-US" w:eastAsia="zh-CN"/>
              </w:rPr>
              <w:t>30</w:t>
            </w:r>
            <w:r>
              <w:rPr>
                <w:color w:val="auto"/>
                <w:szCs w:val="21"/>
              </w:rPr>
              <w:t>kg/d</w:t>
            </w:r>
            <w:r>
              <w:rPr>
                <w:rFonts w:hint="eastAsia"/>
                <w:color w:val="auto"/>
                <w:szCs w:val="21"/>
              </w:rPr>
              <w:t>，产生的生活垃圾集中收集后交由市政环卫统一清运。</w:t>
            </w:r>
          </w:p>
          <w:p w14:paraId="2BE5326A">
            <w:pPr>
              <w:tabs>
                <w:tab w:val="left" w:pos="3240"/>
              </w:tabs>
              <w:adjustRightInd w:val="0"/>
              <w:spacing w:line="360" w:lineRule="auto"/>
              <w:ind w:firstLine="420" w:firstLineChars="200"/>
              <w:rPr>
                <w:color w:val="auto"/>
                <w:szCs w:val="21"/>
              </w:rPr>
            </w:pPr>
            <w:r>
              <w:rPr>
                <w:rFonts w:hint="eastAsia"/>
                <w:color w:val="auto"/>
                <w:szCs w:val="21"/>
              </w:rPr>
              <w:t>（3）建筑垃圾</w:t>
            </w:r>
          </w:p>
          <w:p w14:paraId="26C9A22C">
            <w:pPr>
              <w:adjustRightInd w:val="0"/>
              <w:spacing w:line="360" w:lineRule="auto"/>
              <w:ind w:firstLine="420" w:firstLineChars="200"/>
              <w:rPr>
                <w:color w:val="auto"/>
                <w:szCs w:val="21"/>
              </w:rPr>
            </w:pPr>
            <w:r>
              <w:rPr>
                <w:rFonts w:hint="eastAsia"/>
                <w:color w:val="auto"/>
                <w:szCs w:val="21"/>
              </w:rPr>
              <w:t>项目施工过程中会产生一部分的建筑垃圾，约为</w:t>
            </w:r>
            <w:r>
              <w:rPr>
                <w:rFonts w:hint="eastAsia"/>
                <w:color w:val="auto"/>
                <w:szCs w:val="21"/>
                <w:lang w:val="en-US" w:eastAsia="zh-CN"/>
              </w:rPr>
              <w:t>1.5</w:t>
            </w:r>
            <w:r>
              <w:rPr>
                <w:rFonts w:hint="eastAsia"/>
                <w:color w:val="auto"/>
                <w:szCs w:val="21"/>
              </w:rPr>
              <w:t>t。其中建筑垃圾可回收部分回收利用，</w:t>
            </w:r>
            <w:r>
              <w:rPr>
                <w:rFonts w:hint="eastAsia"/>
                <w:color w:val="auto"/>
              </w:rPr>
              <w:t>不能回收利用的部分运至指定的建筑垃圾处置场堆放。</w:t>
            </w:r>
          </w:p>
          <w:p w14:paraId="33D3BD6E">
            <w:pPr>
              <w:adjustRightInd w:val="0"/>
              <w:spacing w:line="360" w:lineRule="auto"/>
              <w:ind w:firstLine="420" w:firstLineChars="200"/>
              <w:rPr>
                <w:rFonts w:eastAsia="黑体"/>
                <w:color w:val="auto"/>
                <w:szCs w:val="21"/>
              </w:rPr>
            </w:pPr>
            <w:r>
              <w:rPr>
                <w:rFonts w:hint="eastAsia" w:eastAsia="黑体"/>
                <w:color w:val="auto"/>
                <w:szCs w:val="21"/>
              </w:rPr>
              <w:t>5</w:t>
            </w:r>
            <w:r>
              <w:rPr>
                <w:rFonts w:eastAsia="黑体"/>
                <w:color w:val="auto"/>
                <w:szCs w:val="21"/>
              </w:rPr>
              <w:t>、</w:t>
            </w:r>
            <w:r>
              <w:rPr>
                <w:rFonts w:hint="eastAsia" w:eastAsia="黑体"/>
                <w:color w:val="auto"/>
                <w:szCs w:val="21"/>
              </w:rPr>
              <w:t>主要生态环境影响分析</w:t>
            </w:r>
          </w:p>
          <w:p w14:paraId="4EE767C1">
            <w:pPr>
              <w:adjustRightInd w:val="0"/>
              <w:spacing w:line="360" w:lineRule="auto"/>
              <w:ind w:firstLine="422" w:firstLineChars="200"/>
              <w:jc w:val="left"/>
              <w:rPr>
                <w:rFonts w:eastAsiaTheme="minorEastAsia"/>
                <w:b/>
                <w:bCs w:val="0"/>
                <w:color w:val="auto"/>
                <w:szCs w:val="21"/>
              </w:rPr>
            </w:pPr>
            <w:r>
              <w:rPr>
                <w:rFonts w:hint="eastAsia" w:eastAsiaTheme="minorEastAsia"/>
                <w:b/>
                <w:bCs w:val="0"/>
                <w:color w:val="auto"/>
                <w:szCs w:val="21"/>
              </w:rPr>
              <w:t>（1）</w:t>
            </w:r>
            <w:r>
              <w:rPr>
                <w:rFonts w:eastAsiaTheme="minorEastAsia"/>
                <w:b/>
                <w:bCs w:val="0"/>
                <w:color w:val="auto"/>
                <w:szCs w:val="21"/>
              </w:rPr>
              <w:t>项目建设对植被的影响</w:t>
            </w:r>
          </w:p>
          <w:p w14:paraId="51336749">
            <w:pPr>
              <w:spacing w:line="360" w:lineRule="auto"/>
              <w:ind w:firstLine="420" w:firstLineChars="200"/>
              <w:rPr>
                <w:rFonts w:hint="eastAsia"/>
                <w:color w:val="auto"/>
                <w:szCs w:val="21"/>
              </w:rPr>
            </w:pPr>
            <w:r>
              <w:rPr>
                <w:rFonts w:hint="eastAsia"/>
                <w:color w:val="auto"/>
                <w:szCs w:val="21"/>
              </w:rPr>
              <w:t>由于工程建设将不可避免破坏工程区的植被，会导致工程区的植物总量的下降。工程建设区的植被都是当地常见的物种，不会引起工程建设区域</w:t>
            </w:r>
            <w:r>
              <w:rPr>
                <w:rFonts w:hint="eastAsia"/>
                <w:color w:val="auto"/>
                <w:szCs w:val="21"/>
                <w:lang w:eastAsia="zh-CN"/>
              </w:rPr>
              <w:t>植物</w:t>
            </w:r>
            <w:r>
              <w:rPr>
                <w:rFonts w:hint="eastAsia"/>
                <w:color w:val="auto"/>
                <w:szCs w:val="21"/>
              </w:rPr>
              <w:t>种群的灭绝。同时，在工程建设区内未发现评价区域内无珍稀、濒危及国家重点保护的野生植物分布，也无古树名木，因此，工程建设使用林地并不会对工程区域的植物多样性保护产生不利影响。</w:t>
            </w:r>
          </w:p>
          <w:p w14:paraId="39520095">
            <w:pPr>
              <w:spacing w:line="360" w:lineRule="auto"/>
              <w:ind w:firstLine="420" w:firstLineChars="200"/>
              <w:rPr>
                <w:rFonts w:hint="eastAsia"/>
                <w:color w:val="auto"/>
                <w:szCs w:val="21"/>
              </w:rPr>
            </w:pPr>
            <w:r>
              <w:rPr>
                <w:rFonts w:hint="default" w:ascii="Times New Roman" w:hAnsi="Times New Roman" w:eastAsia="宋体" w:cs="Times New Roman"/>
                <w:color w:val="auto"/>
                <w:szCs w:val="21"/>
                <w:highlight w:val="none"/>
                <w:lang w:val="en-US" w:eastAsia="zh-CN"/>
              </w:rPr>
              <w:t>项目区域主要分布有</w:t>
            </w:r>
            <w:r>
              <w:rPr>
                <w:rFonts w:hint="eastAsia" w:cs="Times New Roman"/>
                <w:color w:val="auto"/>
                <w:szCs w:val="21"/>
                <w:highlight w:val="none"/>
                <w:shd w:val="clear" w:color="auto" w:fill="FFFFFF"/>
                <w:lang w:val="en-US" w:eastAsia="zh-CN"/>
              </w:rPr>
              <w:t>自然植被代表性物种</w:t>
            </w:r>
            <w:r>
              <w:rPr>
                <w:rFonts w:hint="default" w:ascii="Times New Roman" w:hAnsi="Times New Roman" w:cs="Times New Roman"/>
                <w:color w:val="auto"/>
                <w:szCs w:val="21"/>
                <w:highlight w:val="none"/>
                <w:shd w:val="clear" w:color="auto" w:fill="FFFFFF"/>
              </w:rPr>
              <w:t>有杉树</w:t>
            </w:r>
            <w:r>
              <w:rPr>
                <w:rFonts w:hint="default" w:ascii="Times New Roman" w:hAnsi="Times New Roman" w:cs="Times New Roman"/>
                <w:i/>
                <w:iCs/>
                <w:color w:val="auto"/>
                <w:szCs w:val="21"/>
                <w:highlight w:val="none"/>
                <w:shd w:val="clear" w:color="auto" w:fill="FFFFFF"/>
              </w:rPr>
              <w:t>（Cunninghamia lanceolata (Lamb.) Hook）</w:t>
            </w:r>
            <w:r>
              <w:rPr>
                <w:rFonts w:hint="eastAsia" w:cs="Times New Roman"/>
                <w:color w:val="auto"/>
                <w:szCs w:val="21"/>
                <w:highlight w:val="none"/>
                <w:shd w:val="clear" w:color="auto" w:fill="FFFFFF"/>
                <w:lang w:eastAsia="zh-CN"/>
              </w:rPr>
              <w:t>、毛竹</w:t>
            </w:r>
            <w:r>
              <w:rPr>
                <w:rFonts w:hint="eastAsia" w:cs="Times New Roman"/>
                <w:i/>
                <w:iCs/>
                <w:color w:val="auto"/>
                <w:szCs w:val="21"/>
                <w:highlight w:val="none"/>
                <w:shd w:val="clear" w:color="auto" w:fill="FFFFFF"/>
                <w:lang w:eastAsia="zh-CN"/>
              </w:rPr>
              <w:t>（Phyllostachys edulis (Carrière) J. Houz.）</w:t>
            </w:r>
            <w:r>
              <w:rPr>
                <w:rFonts w:hint="eastAsia" w:cs="Times New Roman"/>
                <w:color w:val="auto"/>
                <w:szCs w:val="21"/>
                <w:highlight w:val="none"/>
                <w:shd w:val="clear" w:color="auto" w:fill="FFFFFF"/>
                <w:lang w:eastAsia="zh-CN"/>
              </w:rPr>
              <w:t>、</w:t>
            </w:r>
            <w:r>
              <w:rPr>
                <w:rFonts w:hint="default" w:ascii="Times New Roman" w:hAnsi="Times New Roman" w:cs="Times New Roman"/>
                <w:color w:val="auto"/>
                <w:szCs w:val="21"/>
                <w:highlight w:val="none"/>
                <w:shd w:val="clear" w:color="auto" w:fill="FFFFFF"/>
              </w:rPr>
              <w:t>茅草</w:t>
            </w:r>
            <w:r>
              <w:rPr>
                <w:rFonts w:hint="default" w:ascii="Times New Roman" w:hAnsi="Times New Roman" w:cs="Times New Roman"/>
                <w:i/>
                <w:iCs/>
                <w:color w:val="auto"/>
                <w:szCs w:val="21"/>
                <w:highlight w:val="none"/>
                <w:shd w:val="clear" w:color="auto" w:fill="FFFFFF"/>
              </w:rPr>
              <w:t>（Imperata cylindrica (L.) Beauv.）</w:t>
            </w:r>
            <w:r>
              <w:rPr>
                <w:rFonts w:hint="default" w:ascii="Times New Roman" w:hAnsi="Times New Roman" w:cs="Times New Roman"/>
                <w:color w:val="auto"/>
                <w:szCs w:val="21"/>
                <w:highlight w:val="none"/>
                <w:shd w:val="clear" w:color="auto" w:fill="FFFFFF"/>
              </w:rPr>
              <w:t>等；栽培植被</w:t>
            </w:r>
            <w:r>
              <w:rPr>
                <w:rFonts w:hint="eastAsia" w:cs="Times New Roman"/>
                <w:color w:val="auto"/>
                <w:szCs w:val="21"/>
                <w:highlight w:val="none"/>
                <w:shd w:val="clear" w:color="auto" w:fill="FFFFFF"/>
                <w:lang w:val="en-US" w:eastAsia="zh-CN"/>
              </w:rPr>
              <w:t>代表性物种</w:t>
            </w:r>
            <w:r>
              <w:rPr>
                <w:rFonts w:hint="default" w:ascii="Times New Roman" w:hAnsi="Times New Roman" w:cs="Times New Roman"/>
                <w:color w:val="auto"/>
                <w:szCs w:val="21"/>
                <w:highlight w:val="none"/>
                <w:shd w:val="clear" w:color="auto" w:fill="FFFFFF"/>
              </w:rPr>
              <w:t>为玉米</w:t>
            </w:r>
            <w:r>
              <w:rPr>
                <w:rFonts w:hint="default" w:ascii="Times New Roman" w:hAnsi="Times New Roman" w:cs="Times New Roman"/>
                <w:i/>
                <w:iCs/>
                <w:color w:val="auto"/>
                <w:szCs w:val="21"/>
                <w:highlight w:val="none"/>
                <w:shd w:val="clear" w:color="auto" w:fill="FFFFFF"/>
              </w:rPr>
              <w:t>（Zea mays L.）</w:t>
            </w:r>
            <w:r>
              <w:rPr>
                <w:rFonts w:hint="default" w:ascii="Times New Roman" w:hAnsi="Times New Roman" w:cs="Times New Roman"/>
                <w:color w:val="auto"/>
                <w:szCs w:val="21"/>
                <w:highlight w:val="none"/>
                <w:shd w:val="clear" w:color="auto" w:fill="FFFFFF"/>
              </w:rPr>
              <w:t>、南瓜</w:t>
            </w:r>
            <w:r>
              <w:rPr>
                <w:rFonts w:hint="default" w:ascii="Times New Roman" w:hAnsi="Times New Roman" w:cs="Times New Roman"/>
                <w:i/>
                <w:iCs/>
                <w:color w:val="auto"/>
                <w:szCs w:val="21"/>
                <w:highlight w:val="none"/>
                <w:shd w:val="clear" w:color="auto" w:fill="FFFFFF"/>
              </w:rPr>
              <w:t>（Cucurbita moschata）</w:t>
            </w:r>
            <w:r>
              <w:rPr>
                <w:rFonts w:hint="eastAsia" w:cs="Times New Roman"/>
                <w:color w:val="auto"/>
                <w:szCs w:val="21"/>
                <w:highlight w:val="none"/>
                <w:shd w:val="clear" w:color="auto" w:fill="FFFFFF"/>
                <w:lang w:eastAsia="zh-CN"/>
              </w:rPr>
              <w:t>、</w:t>
            </w:r>
            <w:r>
              <w:rPr>
                <w:rFonts w:hint="default" w:ascii="Times New Roman" w:hAnsi="Times New Roman" w:cs="Times New Roman"/>
                <w:color w:val="auto"/>
                <w:szCs w:val="21"/>
                <w:highlight w:val="none"/>
                <w:shd w:val="clear" w:color="auto" w:fill="FFFFFF"/>
              </w:rPr>
              <w:t>枇杷树</w:t>
            </w:r>
            <w:r>
              <w:rPr>
                <w:rFonts w:hint="default" w:ascii="Times New Roman" w:hAnsi="Times New Roman" w:cs="Times New Roman"/>
                <w:i/>
                <w:iCs/>
                <w:color w:val="auto"/>
                <w:szCs w:val="21"/>
                <w:highlight w:val="none"/>
                <w:shd w:val="clear" w:color="auto" w:fill="FFFFFF"/>
              </w:rPr>
              <w:t>（Eriobotrya japonica (Thunb.) Lindl.）</w:t>
            </w:r>
            <w:r>
              <w:rPr>
                <w:rFonts w:hint="default" w:ascii="Times New Roman" w:hAnsi="Times New Roman" w:cs="Times New Roman"/>
                <w:color w:val="auto"/>
                <w:szCs w:val="21"/>
                <w:highlight w:val="none"/>
                <w:shd w:val="clear" w:color="auto" w:fill="FFFFFF"/>
              </w:rPr>
              <w:t>等。</w:t>
            </w:r>
            <w:r>
              <w:rPr>
                <w:rFonts w:hint="eastAsia"/>
                <w:color w:val="auto"/>
                <w:szCs w:val="21"/>
              </w:rPr>
              <w:t>施工场地的植物因施工活动将大部分消失，本区域上绿地面积有一定的减少。绿地减少将导致该区域物种种群数量减少，因施工范围有限，不致使这些物种灭绝。仅只是某些居群数量减少。施工期大量裸地的增加，将可能导致杂草数量增加，使原有的群落结构遭受一定程度的破坏。</w:t>
            </w:r>
          </w:p>
          <w:p w14:paraId="7A87AD05">
            <w:pPr>
              <w:spacing w:line="360" w:lineRule="auto"/>
              <w:ind w:firstLine="420" w:firstLineChars="200"/>
              <w:rPr>
                <w:color w:val="auto"/>
                <w:szCs w:val="21"/>
              </w:rPr>
            </w:pPr>
            <w:r>
              <w:rPr>
                <w:rFonts w:hint="eastAsia"/>
                <w:color w:val="auto"/>
                <w:szCs w:val="21"/>
              </w:rPr>
              <w:t>总体来看，该建设工程的实施，将在一定程度上造成林木资源减少、森林防护功能减弱、景观风貌遭受破坏、环境质量下降等，将对地方生态环境造成一定的影响。但只要建设和施工单位加强管理，认真落实和执行各项环保对策措施以及水土保持措施，可减轻工程的建设和运营对地方生态环境的负面影响，将影响程度降低。因此，本工程建设对评价区自然植被的影响很小，由此造成的生态影响也很小。</w:t>
            </w:r>
          </w:p>
          <w:p w14:paraId="7132EB8F">
            <w:pPr>
              <w:spacing w:line="360" w:lineRule="auto"/>
              <w:ind w:firstLine="422" w:firstLineChars="200"/>
              <w:textAlignment w:val="baseline"/>
              <w:rPr>
                <w:rFonts w:eastAsiaTheme="minorEastAsia"/>
                <w:b/>
                <w:bCs w:val="0"/>
                <w:color w:val="auto"/>
                <w:szCs w:val="21"/>
              </w:rPr>
            </w:pPr>
            <w:r>
              <w:rPr>
                <w:rFonts w:hint="eastAsia" w:eastAsiaTheme="minorEastAsia"/>
                <w:b/>
                <w:bCs w:val="0"/>
                <w:color w:val="auto"/>
                <w:szCs w:val="21"/>
              </w:rPr>
              <w:t>（2）</w:t>
            </w:r>
            <w:r>
              <w:rPr>
                <w:rFonts w:eastAsiaTheme="minorEastAsia"/>
                <w:b/>
                <w:bCs w:val="0"/>
                <w:color w:val="auto"/>
                <w:szCs w:val="21"/>
              </w:rPr>
              <w:t>项目建设对野生动物的影响</w:t>
            </w:r>
          </w:p>
          <w:p w14:paraId="5367F699">
            <w:pPr>
              <w:spacing w:line="360" w:lineRule="auto"/>
              <w:ind w:firstLine="420" w:firstLineChars="200"/>
              <w:rPr>
                <w:rFonts w:hint="eastAsia"/>
                <w:color w:val="auto"/>
                <w:szCs w:val="21"/>
              </w:rPr>
            </w:pPr>
            <w:r>
              <w:rPr>
                <w:rFonts w:hint="eastAsia"/>
                <w:color w:val="auto"/>
                <w:szCs w:val="21"/>
              </w:rPr>
              <w:t>在工程建设过程中，由于工程永久性占地不大，整个工程建设后对陆生动物影响很小。但是，在施工期间，由于机械噪声和大量施工人员的涌入，对陆生动物是有影响的。这些影响主要是工程施工惊吓陆生动物，使其逃离工程噪声影响区。</w:t>
            </w:r>
          </w:p>
          <w:p w14:paraId="686922BE">
            <w:pPr>
              <w:spacing w:line="360" w:lineRule="auto"/>
              <w:ind w:firstLine="420" w:firstLineChars="200"/>
              <w:rPr>
                <w:color w:val="auto"/>
                <w:szCs w:val="21"/>
              </w:rPr>
            </w:pPr>
            <w:r>
              <w:rPr>
                <w:color w:val="auto"/>
                <w:szCs w:val="21"/>
              </w:rPr>
              <w:t>由于本项目输电线路沿线所经区域开发历史较长，所经路径大多已开垦，区域受人为干扰明显，输电线路建设区内基本没有大型兽类的活动。</w:t>
            </w:r>
          </w:p>
          <w:p w14:paraId="479C21AB">
            <w:pPr>
              <w:spacing w:line="360" w:lineRule="auto"/>
              <w:ind w:firstLine="420" w:firstLineChars="200"/>
              <w:rPr>
                <w:color w:val="auto"/>
                <w:szCs w:val="21"/>
              </w:rPr>
            </w:pPr>
            <w:r>
              <w:rPr>
                <w:color w:val="auto"/>
                <w:szCs w:val="21"/>
              </w:rPr>
              <w:t>间接影响主要是施工人员对动物的生活环境干扰，缩小兽类的栖居环境，使它们的生长、发育和繁育后代受到影响。由于本项目施工期较短，因此对动物的影响较小。</w:t>
            </w:r>
          </w:p>
          <w:p w14:paraId="39A199E3">
            <w:pPr>
              <w:spacing w:line="360" w:lineRule="auto"/>
              <w:ind w:firstLine="420" w:firstLineChars="200"/>
              <w:rPr>
                <w:rFonts w:eastAsia="黑体"/>
                <w:color w:val="auto"/>
                <w:szCs w:val="21"/>
              </w:rPr>
            </w:pPr>
            <w:r>
              <w:rPr>
                <w:rFonts w:hint="eastAsia" w:eastAsia="黑体"/>
                <w:color w:val="auto"/>
                <w:szCs w:val="21"/>
                <w:lang w:val="en-US" w:eastAsia="zh-CN"/>
              </w:rPr>
              <w:t>6</w:t>
            </w:r>
            <w:r>
              <w:rPr>
                <w:rFonts w:eastAsia="黑体"/>
                <w:color w:val="auto"/>
                <w:szCs w:val="21"/>
              </w:rPr>
              <w:t>、</w:t>
            </w:r>
            <w:r>
              <w:rPr>
                <w:rFonts w:hint="eastAsia" w:eastAsia="黑体"/>
                <w:color w:val="auto"/>
                <w:szCs w:val="21"/>
              </w:rPr>
              <w:t>施工期环境影响分析结论</w:t>
            </w:r>
          </w:p>
          <w:p w14:paraId="25B62AD4">
            <w:pPr>
              <w:spacing w:line="360" w:lineRule="auto"/>
              <w:ind w:firstLine="420" w:firstLineChars="200"/>
              <w:rPr>
                <w:color w:val="auto"/>
                <w:szCs w:val="21"/>
              </w:rPr>
            </w:pPr>
            <w:r>
              <w:rPr>
                <w:color w:val="auto"/>
                <w:szCs w:val="21"/>
              </w:rPr>
              <w:t>本项目施工期对环境最主要的影响因素是生态影响、噪声和</w:t>
            </w:r>
            <w:r>
              <w:rPr>
                <w:rFonts w:hint="eastAsia"/>
                <w:color w:val="auto"/>
                <w:szCs w:val="21"/>
              </w:rPr>
              <w:t>扬</w:t>
            </w:r>
            <w:r>
              <w:rPr>
                <w:color w:val="auto"/>
                <w:szCs w:val="21"/>
              </w:rPr>
              <w:t>尘，采取有效的防治措施后，对环境的影响较小。施工期对环境的影响是短期的、暂时的，施工结束，对环境的影响随之消失。</w:t>
            </w:r>
          </w:p>
        </w:tc>
      </w:tr>
      <w:tr w14:paraId="271110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675" w:type="dxa"/>
            <w:vAlign w:val="center"/>
          </w:tcPr>
          <w:p w14:paraId="1E86B749">
            <w:pPr>
              <w:widowControl/>
              <w:ind w:left="-105" w:leftChars="-50" w:right="-105" w:rightChars="-50"/>
              <w:jc w:val="center"/>
              <w:rPr>
                <w:bCs/>
                <w:color w:val="auto"/>
                <w:szCs w:val="21"/>
              </w:rPr>
            </w:pPr>
            <w:r>
              <w:rPr>
                <w:bCs/>
                <w:color w:val="auto"/>
                <w:spacing w:val="10"/>
                <w:szCs w:val="21"/>
              </w:rPr>
              <w:t>运营期生态环境影响分析</w:t>
            </w:r>
          </w:p>
        </w:tc>
        <w:tc>
          <w:tcPr>
            <w:tcW w:w="8827" w:type="dxa"/>
            <w:vAlign w:val="top"/>
          </w:tcPr>
          <w:p w14:paraId="61144E14">
            <w:pPr>
              <w:adjustRightInd w:val="0"/>
              <w:spacing w:line="360" w:lineRule="auto"/>
              <w:rPr>
                <w:rFonts w:eastAsia="黑体"/>
                <w:bCs/>
                <w:color w:val="auto"/>
                <w:szCs w:val="21"/>
              </w:rPr>
            </w:pPr>
            <w:r>
              <w:rPr>
                <w:rFonts w:hint="eastAsia" w:eastAsia="黑体"/>
                <w:bCs/>
                <w:color w:val="auto"/>
                <w:szCs w:val="21"/>
              </w:rPr>
              <w:t>一、</w:t>
            </w:r>
            <w:r>
              <w:rPr>
                <w:rFonts w:eastAsia="黑体"/>
                <w:bCs/>
                <w:color w:val="auto"/>
                <w:szCs w:val="21"/>
              </w:rPr>
              <w:t>运营期环境影响识别</w:t>
            </w:r>
          </w:p>
          <w:p w14:paraId="4B850D7E">
            <w:pPr>
              <w:spacing w:line="360" w:lineRule="auto"/>
              <w:ind w:firstLine="420" w:firstLineChars="200"/>
              <w:rPr>
                <w:color w:val="auto"/>
                <w:szCs w:val="21"/>
                <w:highlight w:val="none"/>
              </w:rPr>
            </w:pPr>
            <w:r>
              <w:rPr>
                <w:color w:val="auto"/>
                <w:szCs w:val="21"/>
                <w:highlight w:val="none"/>
              </w:rPr>
              <w:t>本工程</w:t>
            </w:r>
            <w:r>
              <w:rPr>
                <w:rFonts w:hint="eastAsia"/>
                <w:color w:val="auto"/>
                <w:szCs w:val="21"/>
                <w:highlight w:val="none"/>
              </w:rPr>
              <w:t>运营期工艺</w:t>
            </w:r>
            <w:r>
              <w:rPr>
                <w:color w:val="auto"/>
                <w:szCs w:val="21"/>
                <w:highlight w:val="none"/>
              </w:rPr>
              <w:t>流程及产</w:t>
            </w:r>
            <w:r>
              <w:rPr>
                <w:rFonts w:hint="eastAsia"/>
                <w:color w:val="auto"/>
                <w:szCs w:val="21"/>
                <w:highlight w:val="none"/>
              </w:rPr>
              <w:t>污</w:t>
            </w:r>
            <w:r>
              <w:rPr>
                <w:color w:val="auto"/>
                <w:szCs w:val="21"/>
                <w:highlight w:val="none"/>
              </w:rPr>
              <w:t>环节见</w:t>
            </w:r>
            <w:r>
              <w:rPr>
                <w:rFonts w:hint="eastAsia"/>
                <w:color w:val="auto"/>
                <w:szCs w:val="21"/>
                <w:highlight w:val="none"/>
              </w:rPr>
              <w:t>下</w:t>
            </w:r>
            <w:r>
              <w:rPr>
                <w:color w:val="auto"/>
                <w:szCs w:val="21"/>
                <w:highlight w:val="none"/>
              </w:rPr>
              <w:t>图</w:t>
            </w:r>
            <w:r>
              <w:rPr>
                <w:rFonts w:hint="eastAsia"/>
                <w:color w:val="auto"/>
                <w:szCs w:val="21"/>
                <w:highlight w:val="none"/>
              </w:rPr>
              <w:t>。</w:t>
            </w:r>
          </w:p>
          <w:p w14:paraId="7DFDC5E9">
            <w:pPr>
              <w:tabs>
                <w:tab w:val="left" w:pos="3240"/>
              </w:tabs>
              <w:jc w:val="center"/>
              <w:rPr>
                <w:rFonts w:eastAsia="黑体"/>
                <w:color w:val="auto"/>
                <w:szCs w:val="21"/>
                <w:highlight w:val="none"/>
              </w:rPr>
            </w:pPr>
            <w:r>
              <w:rPr>
                <w:color w:val="auto"/>
                <w:highlight w:val="none"/>
              </w:rPr>
              <w:object>
                <v:shape id="_x0000_i1028" o:spt="75" type="#_x0000_t75" style="height:232.5pt;width:330.9pt;" o:ole="t" filled="f" o:preferrelative="t" stroked="f" coordsize="21600,21600">
                  <v:path/>
                  <v:fill on="f" focussize="0,0"/>
                  <v:stroke on="f"/>
                  <v:imagedata r:id="rId26" o:title=""/>
                  <o:lock v:ext="edit" aspectratio="t"/>
                  <w10:wrap type="none"/>
                  <w10:anchorlock/>
                </v:shape>
                <o:OLEObject Type="Embed" ProgID="Visio.Drawing.11" ShapeID="_x0000_i1028" DrawAspect="Content" ObjectID="_1468075728" r:id="rId25">
                  <o:LockedField>false</o:LockedField>
                </o:OLEObject>
              </w:object>
            </w:r>
          </w:p>
          <w:p w14:paraId="0A40870A">
            <w:pPr>
              <w:tabs>
                <w:tab w:val="left" w:pos="3240"/>
              </w:tabs>
              <w:jc w:val="center"/>
              <w:rPr>
                <w:rFonts w:eastAsia="黑体"/>
                <w:color w:val="auto"/>
                <w:szCs w:val="21"/>
                <w:highlight w:val="none"/>
              </w:rPr>
            </w:pPr>
            <w:r>
              <w:rPr>
                <w:rFonts w:eastAsia="黑体"/>
                <w:color w:val="auto"/>
                <w:szCs w:val="21"/>
                <w:highlight w:val="none"/>
              </w:rPr>
              <w:t>图4-</w:t>
            </w:r>
            <w:r>
              <w:rPr>
                <w:rFonts w:hint="eastAsia" w:eastAsia="黑体"/>
                <w:color w:val="auto"/>
                <w:szCs w:val="21"/>
                <w:highlight w:val="none"/>
                <w:lang w:val="en-US" w:eastAsia="zh-CN"/>
              </w:rPr>
              <w:t>1</w:t>
            </w:r>
            <w:r>
              <w:rPr>
                <w:rFonts w:eastAsia="黑体"/>
                <w:color w:val="auto"/>
                <w:szCs w:val="21"/>
                <w:highlight w:val="none"/>
              </w:rPr>
              <w:t xml:space="preserve"> </w:t>
            </w:r>
            <w:r>
              <w:rPr>
                <w:rFonts w:hint="eastAsia" w:eastAsia="黑体"/>
                <w:color w:val="auto"/>
                <w:szCs w:val="21"/>
                <w:highlight w:val="none"/>
              </w:rPr>
              <w:t xml:space="preserve"> </w:t>
            </w:r>
            <w:r>
              <w:rPr>
                <w:rFonts w:eastAsia="黑体"/>
                <w:color w:val="auto"/>
                <w:szCs w:val="21"/>
                <w:highlight w:val="none"/>
              </w:rPr>
              <w:t>本项目运营期工艺流程及产污环节图</w:t>
            </w:r>
          </w:p>
          <w:p w14:paraId="6786E7F9">
            <w:pPr>
              <w:spacing w:line="360" w:lineRule="auto"/>
              <w:ind w:firstLine="420" w:firstLineChars="200"/>
              <w:rPr>
                <w:rFonts w:asciiTheme="minorEastAsia" w:hAnsiTheme="minorEastAsia" w:eastAsiaTheme="minorEastAsia" w:cstheme="minorEastAsia"/>
                <w:color w:val="auto"/>
                <w:szCs w:val="21"/>
              </w:rPr>
            </w:pPr>
            <w:bookmarkStart w:id="40" w:name="_Ref124646315"/>
            <w:r>
              <w:rPr>
                <w:rFonts w:hint="eastAsia" w:asciiTheme="minorEastAsia" w:hAnsiTheme="minorEastAsia" w:eastAsiaTheme="minorEastAsia" w:cstheme="minorEastAsia"/>
                <w:color w:val="auto"/>
                <w:szCs w:val="21"/>
              </w:rPr>
              <w:t>本工程运营期的主要环境影响见下表。</w:t>
            </w:r>
          </w:p>
          <w:p w14:paraId="35D3479B">
            <w:pPr>
              <w:jc w:val="center"/>
              <w:rPr>
                <w:rFonts w:eastAsia="黑体"/>
                <w:color w:val="auto"/>
                <w:szCs w:val="21"/>
              </w:rPr>
            </w:pPr>
            <w:r>
              <w:rPr>
                <w:rFonts w:eastAsia="黑体"/>
                <w:color w:val="auto"/>
                <w:szCs w:val="21"/>
              </w:rPr>
              <w:t>表</w:t>
            </w:r>
            <w:bookmarkEnd w:id="40"/>
            <w:r>
              <w:rPr>
                <w:rFonts w:hint="eastAsia" w:eastAsia="黑体"/>
                <w:color w:val="auto"/>
                <w:szCs w:val="21"/>
              </w:rPr>
              <w:t>4</w:t>
            </w:r>
            <w:r>
              <w:rPr>
                <w:rFonts w:eastAsia="黑体"/>
                <w:color w:val="auto"/>
                <w:szCs w:val="21"/>
              </w:rPr>
              <w:t>-</w:t>
            </w:r>
            <w:r>
              <w:rPr>
                <w:rFonts w:hint="eastAsia" w:eastAsia="黑体"/>
                <w:color w:val="auto"/>
                <w:szCs w:val="21"/>
                <w:lang w:val="en-US" w:eastAsia="zh-CN"/>
              </w:rPr>
              <w:t>5</w:t>
            </w:r>
            <w:r>
              <w:rPr>
                <w:rFonts w:hint="eastAsia" w:eastAsia="黑体"/>
                <w:color w:val="auto"/>
                <w:szCs w:val="21"/>
              </w:rPr>
              <w:t xml:space="preserve">  </w:t>
            </w:r>
            <w:r>
              <w:rPr>
                <w:rFonts w:eastAsia="黑体"/>
                <w:color w:val="auto"/>
                <w:szCs w:val="21"/>
              </w:rPr>
              <w:t>工程运</w:t>
            </w:r>
            <w:r>
              <w:rPr>
                <w:rFonts w:hint="eastAsia" w:eastAsia="黑体"/>
                <w:color w:val="auto"/>
                <w:szCs w:val="21"/>
              </w:rPr>
              <w:t>营</w:t>
            </w:r>
            <w:r>
              <w:rPr>
                <w:rFonts w:eastAsia="黑体"/>
                <w:color w:val="auto"/>
                <w:szCs w:val="21"/>
              </w:rPr>
              <w:t>期主要环境影响识别</w:t>
            </w:r>
          </w:p>
          <w:tbl>
            <w:tblPr>
              <w:tblStyle w:val="25"/>
              <w:tblW w:w="4999"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9"/>
              <w:gridCol w:w="3707"/>
              <w:gridCol w:w="2363"/>
            </w:tblGrid>
            <w:tr w14:paraId="1BDE84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62" w:type="pct"/>
                  <w:vAlign w:val="center"/>
                </w:tcPr>
                <w:p w14:paraId="54054C67">
                  <w:pPr>
                    <w:jc w:val="center"/>
                    <w:rPr>
                      <w:color w:val="auto"/>
                      <w:sz w:val="18"/>
                      <w:szCs w:val="18"/>
                    </w:rPr>
                  </w:pPr>
                  <w:r>
                    <w:rPr>
                      <w:rFonts w:hAnsi="宋体"/>
                      <w:color w:val="auto"/>
                      <w:sz w:val="18"/>
                      <w:szCs w:val="18"/>
                    </w:rPr>
                    <w:t>环境识别</w:t>
                  </w:r>
                </w:p>
              </w:tc>
              <w:tc>
                <w:tcPr>
                  <w:tcW w:w="2160" w:type="pct"/>
                  <w:vAlign w:val="center"/>
                </w:tcPr>
                <w:p w14:paraId="76A56A37">
                  <w:pPr>
                    <w:jc w:val="center"/>
                    <w:rPr>
                      <w:color w:val="auto"/>
                      <w:sz w:val="18"/>
                      <w:szCs w:val="18"/>
                    </w:rPr>
                  </w:pPr>
                  <w:r>
                    <w:rPr>
                      <w:rFonts w:hint="eastAsia"/>
                      <w:color w:val="auto"/>
                      <w:sz w:val="18"/>
                      <w:szCs w:val="18"/>
                    </w:rPr>
                    <w:t>变电站</w:t>
                  </w:r>
                </w:p>
              </w:tc>
              <w:tc>
                <w:tcPr>
                  <w:tcW w:w="1377" w:type="pct"/>
                  <w:vAlign w:val="center"/>
                </w:tcPr>
                <w:p w14:paraId="4D49A72D">
                  <w:pPr>
                    <w:jc w:val="center"/>
                    <w:rPr>
                      <w:color w:val="auto"/>
                      <w:sz w:val="18"/>
                      <w:szCs w:val="18"/>
                    </w:rPr>
                  </w:pPr>
                  <w:r>
                    <w:rPr>
                      <w:rFonts w:hint="eastAsia" w:hAnsi="宋体"/>
                      <w:color w:val="auto"/>
                      <w:sz w:val="18"/>
                      <w:szCs w:val="18"/>
                      <w:lang w:val="en-US" w:eastAsia="zh-CN"/>
                    </w:rPr>
                    <w:t>架空段</w:t>
                  </w:r>
                  <w:r>
                    <w:rPr>
                      <w:rFonts w:hAnsi="宋体"/>
                      <w:color w:val="auto"/>
                      <w:sz w:val="18"/>
                      <w:szCs w:val="18"/>
                    </w:rPr>
                    <w:t>输电线路</w:t>
                  </w:r>
                </w:p>
              </w:tc>
            </w:tr>
            <w:tr w14:paraId="6ED193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2" w:type="pct"/>
                  <w:vAlign w:val="center"/>
                </w:tcPr>
                <w:p w14:paraId="505F5E60">
                  <w:pPr>
                    <w:jc w:val="center"/>
                    <w:rPr>
                      <w:color w:val="auto"/>
                      <w:sz w:val="18"/>
                      <w:szCs w:val="18"/>
                    </w:rPr>
                  </w:pPr>
                  <w:r>
                    <w:rPr>
                      <w:rFonts w:hAnsi="宋体"/>
                      <w:color w:val="auto"/>
                      <w:sz w:val="18"/>
                      <w:szCs w:val="18"/>
                    </w:rPr>
                    <w:t>电磁环境</w:t>
                  </w:r>
                </w:p>
              </w:tc>
              <w:tc>
                <w:tcPr>
                  <w:tcW w:w="2160" w:type="pct"/>
                  <w:vAlign w:val="center"/>
                </w:tcPr>
                <w:p w14:paraId="22AFE755">
                  <w:pPr>
                    <w:jc w:val="center"/>
                    <w:rPr>
                      <w:rFonts w:ascii="宋体" w:hAnsi="宋体"/>
                      <w:color w:val="auto"/>
                      <w:sz w:val="18"/>
                      <w:szCs w:val="18"/>
                    </w:rPr>
                  </w:pPr>
                  <w:r>
                    <w:rPr>
                      <w:rFonts w:ascii="宋体" w:hAnsi="宋体"/>
                      <w:color w:val="auto"/>
                      <w:sz w:val="18"/>
                      <w:szCs w:val="18"/>
                    </w:rPr>
                    <w:t>工频电场</w:t>
                  </w:r>
                  <w:r>
                    <w:rPr>
                      <w:rFonts w:hint="eastAsia" w:ascii="宋体" w:hAnsi="宋体"/>
                      <w:color w:val="auto"/>
                      <w:sz w:val="18"/>
                      <w:szCs w:val="18"/>
                    </w:rPr>
                    <w:t>、工频磁场</w:t>
                  </w:r>
                </w:p>
              </w:tc>
              <w:tc>
                <w:tcPr>
                  <w:tcW w:w="1377" w:type="pct"/>
                  <w:vAlign w:val="center"/>
                </w:tcPr>
                <w:p w14:paraId="33E872E4">
                  <w:pPr>
                    <w:jc w:val="center"/>
                    <w:rPr>
                      <w:rFonts w:ascii="宋体" w:hAnsi="宋体"/>
                      <w:color w:val="auto"/>
                      <w:sz w:val="18"/>
                      <w:szCs w:val="18"/>
                    </w:rPr>
                  </w:pPr>
                  <w:r>
                    <w:rPr>
                      <w:rFonts w:ascii="宋体" w:hAnsi="宋体"/>
                      <w:color w:val="auto"/>
                      <w:sz w:val="18"/>
                      <w:szCs w:val="18"/>
                    </w:rPr>
                    <w:t>工频电场</w:t>
                  </w:r>
                  <w:r>
                    <w:rPr>
                      <w:rFonts w:hint="eastAsia" w:ascii="宋体" w:hAnsi="宋体"/>
                      <w:color w:val="auto"/>
                      <w:sz w:val="18"/>
                      <w:szCs w:val="18"/>
                    </w:rPr>
                    <w:t>、工频磁场</w:t>
                  </w:r>
                </w:p>
              </w:tc>
            </w:tr>
            <w:tr w14:paraId="4FF980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2" w:type="pct"/>
                  <w:vAlign w:val="center"/>
                </w:tcPr>
                <w:p w14:paraId="37BF4B96">
                  <w:pPr>
                    <w:jc w:val="center"/>
                    <w:rPr>
                      <w:color w:val="auto"/>
                      <w:sz w:val="18"/>
                      <w:szCs w:val="18"/>
                    </w:rPr>
                  </w:pPr>
                  <w:r>
                    <w:rPr>
                      <w:rFonts w:hAnsi="宋体"/>
                      <w:color w:val="auto"/>
                      <w:sz w:val="18"/>
                      <w:szCs w:val="18"/>
                    </w:rPr>
                    <w:t>声环境</w:t>
                  </w:r>
                </w:p>
              </w:tc>
              <w:tc>
                <w:tcPr>
                  <w:tcW w:w="2160" w:type="pct"/>
                  <w:vAlign w:val="center"/>
                </w:tcPr>
                <w:p w14:paraId="28588B63">
                  <w:pPr>
                    <w:jc w:val="center"/>
                    <w:rPr>
                      <w:rFonts w:hAnsi="宋体"/>
                      <w:color w:val="auto"/>
                      <w:sz w:val="18"/>
                      <w:szCs w:val="18"/>
                    </w:rPr>
                  </w:pPr>
                  <w:r>
                    <w:rPr>
                      <w:rFonts w:hAnsi="宋体"/>
                      <w:color w:val="auto"/>
                      <w:sz w:val="18"/>
                      <w:szCs w:val="18"/>
                    </w:rPr>
                    <w:t>噪声</w:t>
                  </w:r>
                </w:p>
              </w:tc>
              <w:tc>
                <w:tcPr>
                  <w:tcW w:w="1377" w:type="pct"/>
                  <w:vAlign w:val="center"/>
                </w:tcPr>
                <w:p w14:paraId="2E19BA13">
                  <w:pPr>
                    <w:jc w:val="center"/>
                    <w:rPr>
                      <w:rFonts w:hAnsi="宋体"/>
                      <w:color w:val="auto"/>
                      <w:sz w:val="18"/>
                      <w:szCs w:val="18"/>
                    </w:rPr>
                  </w:pPr>
                  <w:r>
                    <w:rPr>
                      <w:rFonts w:hAnsi="宋体"/>
                      <w:color w:val="auto"/>
                      <w:sz w:val="18"/>
                      <w:szCs w:val="18"/>
                    </w:rPr>
                    <w:t>噪声</w:t>
                  </w:r>
                </w:p>
              </w:tc>
            </w:tr>
            <w:tr w14:paraId="0FDEE9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2" w:type="pct"/>
                  <w:vAlign w:val="center"/>
                </w:tcPr>
                <w:p w14:paraId="29E79549">
                  <w:pPr>
                    <w:jc w:val="center"/>
                    <w:rPr>
                      <w:rFonts w:hAnsi="宋体"/>
                      <w:color w:val="auto"/>
                      <w:sz w:val="18"/>
                      <w:szCs w:val="18"/>
                    </w:rPr>
                  </w:pPr>
                  <w:r>
                    <w:rPr>
                      <w:rFonts w:hint="eastAsia" w:hAnsi="宋体"/>
                      <w:color w:val="auto"/>
                      <w:sz w:val="18"/>
                      <w:szCs w:val="18"/>
                    </w:rPr>
                    <w:t>水环境</w:t>
                  </w:r>
                </w:p>
              </w:tc>
              <w:tc>
                <w:tcPr>
                  <w:tcW w:w="2160" w:type="pct"/>
                  <w:vAlign w:val="center"/>
                </w:tcPr>
                <w:p w14:paraId="411F9A86">
                  <w:pPr>
                    <w:jc w:val="center"/>
                    <w:rPr>
                      <w:rFonts w:hAnsi="宋体"/>
                      <w:color w:val="auto"/>
                      <w:sz w:val="18"/>
                      <w:szCs w:val="18"/>
                    </w:rPr>
                  </w:pPr>
                  <w:r>
                    <w:rPr>
                      <w:rFonts w:hint="eastAsia" w:hAnsi="宋体"/>
                      <w:color w:val="auto"/>
                      <w:sz w:val="18"/>
                      <w:szCs w:val="18"/>
                    </w:rPr>
                    <w:t>生活污水</w:t>
                  </w:r>
                </w:p>
              </w:tc>
              <w:tc>
                <w:tcPr>
                  <w:tcW w:w="1377" w:type="pct"/>
                  <w:vAlign w:val="center"/>
                </w:tcPr>
                <w:p w14:paraId="59D43494">
                  <w:pPr>
                    <w:jc w:val="center"/>
                    <w:rPr>
                      <w:rFonts w:hAnsi="宋体"/>
                      <w:color w:val="auto"/>
                      <w:sz w:val="18"/>
                      <w:szCs w:val="18"/>
                    </w:rPr>
                  </w:pPr>
                  <w:r>
                    <w:rPr>
                      <w:rFonts w:hint="eastAsia" w:hAnsi="宋体"/>
                      <w:color w:val="auto"/>
                      <w:sz w:val="18"/>
                      <w:szCs w:val="18"/>
                    </w:rPr>
                    <w:t>/</w:t>
                  </w:r>
                </w:p>
              </w:tc>
            </w:tr>
            <w:tr w14:paraId="662953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2" w:type="pct"/>
                  <w:vAlign w:val="center"/>
                </w:tcPr>
                <w:p w14:paraId="7BD9CF1F">
                  <w:pPr>
                    <w:jc w:val="center"/>
                    <w:rPr>
                      <w:rFonts w:hAnsi="宋体"/>
                      <w:color w:val="auto"/>
                      <w:sz w:val="18"/>
                      <w:szCs w:val="18"/>
                    </w:rPr>
                  </w:pPr>
                  <w:r>
                    <w:rPr>
                      <w:rFonts w:hint="eastAsia" w:hAnsi="宋体"/>
                      <w:color w:val="auto"/>
                      <w:sz w:val="18"/>
                      <w:szCs w:val="18"/>
                    </w:rPr>
                    <w:t>固体废物</w:t>
                  </w:r>
                </w:p>
              </w:tc>
              <w:tc>
                <w:tcPr>
                  <w:tcW w:w="2160" w:type="pct"/>
                  <w:vAlign w:val="center"/>
                </w:tcPr>
                <w:p w14:paraId="408F6B4A">
                  <w:pPr>
                    <w:jc w:val="center"/>
                    <w:rPr>
                      <w:rFonts w:hAnsi="宋体"/>
                      <w:color w:val="auto"/>
                      <w:sz w:val="18"/>
                      <w:szCs w:val="18"/>
                    </w:rPr>
                  </w:pPr>
                  <w:r>
                    <w:rPr>
                      <w:rFonts w:hint="eastAsia" w:hAnsi="宋体"/>
                      <w:color w:val="auto"/>
                      <w:sz w:val="18"/>
                      <w:szCs w:val="18"/>
                    </w:rPr>
                    <w:t>废事故油、废铅蓄电池</w:t>
                  </w:r>
                  <w:r>
                    <w:rPr>
                      <w:rFonts w:hint="eastAsia" w:hAnsi="宋体"/>
                      <w:color w:val="auto"/>
                      <w:sz w:val="18"/>
                      <w:szCs w:val="18"/>
                      <w:lang w:eastAsia="zh-CN"/>
                    </w:rPr>
                    <w:t>、</w:t>
                  </w:r>
                  <w:r>
                    <w:rPr>
                      <w:rFonts w:hint="eastAsia" w:ascii="宋体" w:hAnsi="宋体" w:eastAsia="宋体" w:cs="宋体"/>
                      <w:color w:val="auto"/>
                      <w:sz w:val="18"/>
                      <w:szCs w:val="18"/>
                      <w:highlight w:val="none"/>
                      <w:lang w:val="en-US" w:eastAsia="zh-CN"/>
                    </w:rPr>
                    <w:t>生活垃圾</w:t>
                  </w:r>
                </w:p>
              </w:tc>
              <w:tc>
                <w:tcPr>
                  <w:tcW w:w="1377" w:type="pct"/>
                  <w:vAlign w:val="center"/>
                </w:tcPr>
                <w:p w14:paraId="5B54C1B8">
                  <w:pPr>
                    <w:jc w:val="center"/>
                    <w:rPr>
                      <w:rFonts w:hAnsi="宋体"/>
                      <w:color w:val="auto"/>
                      <w:sz w:val="18"/>
                      <w:szCs w:val="18"/>
                    </w:rPr>
                  </w:pPr>
                  <w:r>
                    <w:rPr>
                      <w:rFonts w:hint="eastAsia" w:hAnsi="宋体"/>
                      <w:color w:val="auto"/>
                      <w:sz w:val="18"/>
                      <w:szCs w:val="18"/>
                    </w:rPr>
                    <w:t>/</w:t>
                  </w:r>
                </w:p>
              </w:tc>
            </w:tr>
          </w:tbl>
          <w:p w14:paraId="39E7388E">
            <w:pPr>
              <w:pStyle w:val="6"/>
              <w:spacing w:line="360" w:lineRule="auto"/>
              <w:ind w:firstLine="422"/>
              <w:rPr>
                <w:rFonts w:ascii="Times New Roman" w:hAnsi="Times New Roman"/>
                <w:b/>
                <w:color w:val="auto"/>
                <w:szCs w:val="21"/>
              </w:rPr>
            </w:pPr>
            <w:r>
              <w:rPr>
                <w:rFonts w:hint="eastAsia" w:ascii="Times New Roman" w:hAnsi="Times New Roman"/>
                <w:b/>
                <w:color w:val="auto"/>
                <w:szCs w:val="21"/>
              </w:rPr>
              <w:t>1、变电站</w:t>
            </w:r>
          </w:p>
          <w:p w14:paraId="2E55D881">
            <w:pPr>
              <w:spacing w:line="360" w:lineRule="auto"/>
              <w:ind w:firstLine="420" w:firstLineChars="200"/>
              <w:rPr>
                <w:color w:val="auto"/>
              </w:rPr>
            </w:pPr>
            <w:r>
              <w:rPr>
                <w:color w:val="auto"/>
              </w:rPr>
              <w:t>（1）工频电场、工频磁场</w:t>
            </w:r>
          </w:p>
          <w:p w14:paraId="2CB3520F">
            <w:pPr>
              <w:spacing w:line="360" w:lineRule="auto"/>
              <w:ind w:firstLine="420" w:firstLineChars="200"/>
              <w:rPr>
                <w:color w:val="auto"/>
              </w:rPr>
            </w:pPr>
            <w:r>
              <w:rPr>
                <w:rFonts w:hint="eastAsia"/>
                <w:color w:val="auto"/>
              </w:rPr>
              <w:t>变电站</w:t>
            </w:r>
            <w:r>
              <w:rPr>
                <w:color w:val="auto"/>
              </w:rPr>
              <w:t>的工频电场、工频磁场主要来源于各种变电设备，包括变压器、高压断路器、隔离开关、电压互感器、合电容器以及母线、绝缘子等，因高电压、大电流以及开关操作而产生较强的工频电场、工频磁场。</w:t>
            </w:r>
          </w:p>
          <w:p w14:paraId="58186FC9">
            <w:pPr>
              <w:spacing w:line="360" w:lineRule="auto"/>
              <w:ind w:firstLine="420" w:firstLineChars="200"/>
              <w:rPr>
                <w:color w:val="auto"/>
              </w:rPr>
            </w:pPr>
            <w:r>
              <w:rPr>
                <w:color w:val="auto"/>
              </w:rPr>
              <w:t>（2）噪声</w:t>
            </w:r>
          </w:p>
          <w:p w14:paraId="0885C147">
            <w:pPr>
              <w:spacing w:line="360" w:lineRule="auto"/>
              <w:ind w:firstLine="420" w:firstLineChars="200"/>
              <w:rPr>
                <w:color w:val="auto"/>
              </w:rPr>
            </w:pPr>
            <w:r>
              <w:rPr>
                <w:rFonts w:hint="eastAsia"/>
                <w:color w:val="auto"/>
              </w:rPr>
              <w:t>变电站</w:t>
            </w:r>
            <w:r>
              <w:rPr>
                <w:color w:val="auto"/>
              </w:rPr>
              <w:t>的噪声主要体现在以下两个方面：</w:t>
            </w:r>
          </w:p>
          <w:p w14:paraId="70EE1D05">
            <w:pPr>
              <w:spacing w:line="360" w:lineRule="auto"/>
              <w:ind w:firstLine="420" w:firstLineChars="200"/>
              <w:rPr>
                <w:color w:val="auto"/>
              </w:rPr>
            </w:pPr>
            <w:r>
              <w:rPr>
                <w:rFonts w:asciiTheme="minorEastAsia" w:hAnsiTheme="minorEastAsia" w:eastAsiaTheme="minorEastAsia"/>
                <w:color w:val="auto"/>
              </w:rPr>
              <w:t>①</w:t>
            </w:r>
            <w:r>
              <w:rPr>
                <w:color w:val="auto"/>
              </w:rPr>
              <w:t>变压器本体噪声在通常情况下主要取决于铁芯的振动，而铁芯的振动又主要取决于硅钢片的磁致伸缩。当铁芯的固有频率和磁致伸缩振动的频率接近时，或油箱及其附件的固有频率与铁芯振动频率接近时，将产生共振，本体噪声将进一步增加。变压器噪声以铁芯噪声为主，铁芯噪声的频谱范围通常在100</w:t>
            </w:r>
            <w:r>
              <w:rPr>
                <w:rFonts w:hint="eastAsia"/>
                <w:color w:val="auto"/>
                <w:lang w:eastAsia="zh-CN"/>
              </w:rPr>
              <w:t>～</w:t>
            </w:r>
            <w:r>
              <w:rPr>
                <w:color w:val="auto"/>
              </w:rPr>
              <w:t>150Hz，以电源频率的两倍为基频，包含二次以上高次谐频。对于不同容量的电力变压器，铁芯噪声频谱不同。额定容量越大，基频所占的比例越大，谐频分量越小；而变压器的额定容量越小，铁芯噪声中的基频成分越小，谐频分量越大。</w:t>
            </w:r>
          </w:p>
          <w:p w14:paraId="52C7D412">
            <w:pPr>
              <w:spacing w:line="360" w:lineRule="auto"/>
              <w:ind w:firstLine="420" w:firstLineChars="200"/>
              <w:rPr>
                <w:color w:val="auto"/>
              </w:rPr>
            </w:pPr>
            <w:r>
              <w:rPr>
                <w:rFonts w:asciiTheme="minorEastAsia" w:hAnsiTheme="minorEastAsia" w:eastAsiaTheme="minorEastAsia"/>
                <w:color w:val="auto"/>
              </w:rPr>
              <w:t>②</w:t>
            </w:r>
            <w:r>
              <w:rPr>
                <w:color w:val="auto"/>
              </w:rPr>
              <w:t>变压器冷却装置包括冷却风扇、油泵等会产生噪声：冷却风扇和变压器油泵在运行时产生振动和噪声；变压器本体的振动通过绝缘油、管接头及装配零件等传递给冷却装置，使冷却装置的振动加剧，增大了噪声。</w:t>
            </w:r>
          </w:p>
          <w:p w14:paraId="156F180A">
            <w:pPr>
              <w:spacing w:line="360" w:lineRule="auto"/>
              <w:ind w:firstLine="420" w:firstLineChars="200"/>
              <w:rPr>
                <w:color w:val="auto"/>
              </w:rPr>
            </w:pPr>
            <w:r>
              <w:rPr>
                <w:rFonts w:hint="eastAsia"/>
                <w:color w:val="auto"/>
              </w:rPr>
              <w:t>变电站运营期</w:t>
            </w:r>
            <w:r>
              <w:rPr>
                <w:color w:val="auto"/>
              </w:rPr>
              <w:t>间噪声以中低频为主</w:t>
            </w:r>
            <w:r>
              <w:rPr>
                <w:rFonts w:hint="eastAsia"/>
                <w:color w:val="auto"/>
              </w:rPr>
              <w:t>，</w:t>
            </w:r>
            <w:r>
              <w:rPr>
                <w:rFonts w:hint="eastAsia"/>
                <w:color w:val="auto"/>
                <w:lang w:val="en-US" w:eastAsia="zh-CN"/>
              </w:rPr>
              <w:t>主要</w:t>
            </w:r>
            <w:r>
              <w:rPr>
                <w:rFonts w:hint="eastAsia"/>
                <w:color w:val="auto"/>
                <w:lang w:eastAsia="zh-CN"/>
              </w:rPr>
              <w:t>噪声源为主</w:t>
            </w:r>
            <w:r>
              <w:rPr>
                <w:rFonts w:hint="eastAsia"/>
                <w:color w:val="auto"/>
              </w:rPr>
              <w:t>变压器。根据</w:t>
            </w:r>
            <w:r>
              <w:rPr>
                <w:rFonts w:hint="eastAsia"/>
                <w:color w:val="auto"/>
                <w:lang w:val="en-US" w:eastAsia="zh-CN"/>
              </w:rPr>
              <w:t>司城</w:t>
            </w:r>
            <w:r>
              <w:rPr>
                <w:rFonts w:hint="eastAsia"/>
                <w:color w:val="auto"/>
              </w:rPr>
              <w:t>110kV变电站的主变压器设备厂家提供资料可知，其主变压器声压级6</w:t>
            </w:r>
            <w:r>
              <w:rPr>
                <w:rFonts w:hint="eastAsia"/>
                <w:color w:val="auto"/>
                <w:lang w:val="en-US" w:eastAsia="zh-CN"/>
              </w:rPr>
              <w:t>0</w:t>
            </w:r>
            <w:r>
              <w:rPr>
                <w:rFonts w:hint="eastAsia"/>
                <w:color w:val="auto"/>
              </w:rPr>
              <w:t>dB（A）。</w:t>
            </w:r>
          </w:p>
          <w:p w14:paraId="75DEEAB3">
            <w:pPr>
              <w:spacing w:line="360" w:lineRule="auto"/>
              <w:ind w:firstLine="420" w:firstLineChars="200"/>
              <w:rPr>
                <w:color w:val="auto"/>
              </w:rPr>
            </w:pPr>
            <w:r>
              <w:rPr>
                <w:color w:val="auto"/>
              </w:rPr>
              <w:t>（3）生活污水</w:t>
            </w:r>
          </w:p>
          <w:p w14:paraId="347B4EC6">
            <w:pPr>
              <w:spacing w:line="360" w:lineRule="auto"/>
              <w:ind w:firstLine="420" w:firstLineChars="200"/>
              <w:rPr>
                <w:color w:val="auto"/>
              </w:rPr>
            </w:pPr>
            <w:r>
              <w:rPr>
                <w:rFonts w:hint="eastAsia"/>
                <w:color w:val="auto"/>
                <w:szCs w:val="21"/>
              </w:rPr>
              <w:t>本项目</w:t>
            </w:r>
            <w:r>
              <w:rPr>
                <w:rFonts w:hint="eastAsia"/>
                <w:color w:val="auto"/>
                <w:lang w:val="en-US" w:eastAsia="zh-CN"/>
              </w:rPr>
              <w:t>司城</w:t>
            </w:r>
            <w:r>
              <w:rPr>
                <w:rFonts w:hint="eastAsia"/>
                <w:color w:val="auto"/>
                <w:szCs w:val="21"/>
              </w:rPr>
              <w:t>110kV变电站</w:t>
            </w:r>
            <w:r>
              <w:rPr>
                <w:color w:val="auto"/>
              </w:rPr>
              <w:t>按无人值班站进行设计</w:t>
            </w:r>
            <w:r>
              <w:rPr>
                <w:rFonts w:hint="eastAsia"/>
                <w:color w:val="auto"/>
              </w:rPr>
              <w:t>，</w:t>
            </w:r>
            <w:r>
              <w:rPr>
                <w:rFonts w:hint="eastAsia"/>
                <w:color w:val="auto"/>
                <w:szCs w:val="21"/>
              </w:rPr>
              <w:t>建成后</w:t>
            </w:r>
            <w:r>
              <w:rPr>
                <w:rFonts w:hint="eastAsia"/>
                <w:bCs/>
                <w:color w:val="auto"/>
              </w:rPr>
              <w:t>仅</w:t>
            </w:r>
            <w:r>
              <w:rPr>
                <w:bCs/>
                <w:color w:val="auto"/>
              </w:rPr>
              <w:t>设置</w:t>
            </w:r>
            <w:r>
              <w:rPr>
                <w:rFonts w:hint="eastAsia"/>
                <w:color w:val="auto"/>
              </w:rPr>
              <w:t>1</w:t>
            </w:r>
            <w:r>
              <w:rPr>
                <w:color w:val="auto"/>
              </w:rPr>
              <w:t>名</w:t>
            </w:r>
            <w:r>
              <w:rPr>
                <w:rFonts w:hint="eastAsia"/>
                <w:color w:val="auto"/>
              </w:rPr>
              <w:t>门卫</w:t>
            </w:r>
            <w:r>
              <w:rPr>
                <w:color w:val="auto"/>
              </w:rPr>
              <w:t>常驻站内，</w:t>
            </w:r>
            <w:r>
              <w:rPr>
                <w:rFonts w:hint="eastAsia"/>
                <w:color w:val="auto"/>
                <w:lang w:val="en-US" w:eastAsia="zh-CN"/>
              </w:rPr>
              <w:t>运营期</w:t>
            </w:r>
            <w:r>
              <w:rPr>
                <w:rFonts w:hint="default" w:ascii="Times New Roman" w:hAnsi="Times New Roman" w:cs="Times New Roman"/>
                <w:color w:val="000000" w:themeColor="text1"/>
                <w:szCs w:val="21"/>
                <w:highlight w:val="none"/>
                <w14:textFill>
                  <w14:solidFill>
                    <w14:schemeClr w14:val="tx1"/>
                  </w14:solidFill>
                </w14:textFill>
              </w:rPr>
              <w:t>产生的生活污水量</w:t>
            </w:r>
            <w:r>
              <w:rPr>
                <w:rFonts w:hint="default" w:ascii="Times New Roman" w:hAnsi="Times New Roman" w:cs="Times New Roman"/>
                <w:color w:val="000000" w:themeColor="text1"/>
                <w:szCs w:val="21"/>
                <w:highlight w:val="none"/>
                <w:lang w:val="en-US" w:eastAsia="zh-CN"/>
                <w14:textFill>
                  <w14:solidFill>
                    <w14:schemeClr w14:val="tx1"/>
                  </w14:solidFill>
                </w14:textFill>
              </w:rPr>
              <w:t>约</w:t>
            </w:r>
            <w:r>
              <w:rPr>
                <w:rFonts w:hint="default" w:ascii="Times New Roman" w:hAnsi="Times New Roman" w:cs="Times New Roman"/>
                <w:color w:val="000000" w:themeColor="text1"/>
                <w:szCs w:val="21"/>
                <w:highlight w:val="none"/>
                <w14:textFill>
                  <w14:solidFill>
                    <w14:schemeClr w14:val="tx1"/>
                  </w14:solidFill>
                </w14:textFill>
              </w:rPr>
              <w:t>为0.</w:t>
            </w:r>
            <w:r>
              <w:rPr>
                <w:rFonts w:hint="eastAsia"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m</w:t>
            </w:r>
            <w:r>
              <w:rPr>
                <w:rFonts w:hint="default" w:ascii="Times New Roman" w:hAnsi="Times New Roman" w:cs="Times New Roman"/>
                <w:color w:val="000000" w:themeColor="text1"/>
                <w:szCs w:val="21"/>
                <w:highlight w:val="none"/>
                <w:vertAlign w:val="superscript"/>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/d</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污水由化粪池收集后再经运维单位人工定时清掏</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eastAsia" w:ascii="Times New Roman" w:hAnsi="Times New Roman" w:cs="Times New Roman"/>
                <w:color w:val="000000" w:themeColor="text1"/>
                <w:szCs w:val="21"/>
                <w:highlight w:val="none"/>
                <w:lang w:val="en-US" w:eastAsia="zh-CN"/>
                <w14:textFill>
                  <w14:solidFill>
                    <w14:schemeClr w14:val="tx1"/>
                  </w14:solidFill>
                </w14:textFill>
              </w:rPr>
              <w:t>不外排</w:t>
            </w:r>
            <w:r>
              <w:rPr>
                <w:color w:val="auto"/>
              </w:rPr>
              <w:t>。</w:t>
            </w:r>
          </w:p>
          <w:p w14:paraId="1442A477">
            <w:pPr>
              <w:spacing w:line="360" w:lineRule="auto"/>
              <w:ind w:firstLine="420" w:firstLineChars="200"/>
              <w:rPr>
                <w:color w:val="auto"/>
              </w:rPr>
            </w:pPr>
            <w:r>
              <w:rPr>
                <w:rFonts w:hint="eastAsia"/>
                <w:color w:val="auto"/>
              </w:rPr>
              <w:t>（4）</w:t>
            </w:r>
            <w:r>
              <w:rPr>
                <w:color w:val="auto"/>
              </w:rPr>
              <w:t>固体废物</w:t>
            </w:r>
          </w:p>
          <w:p w14:paraId="7E3EBB0C">
            <w:pPr>
              <w:spacing w:line="360" w:lineRule="auto"/>
              <w:ind w:firstLine="420" w:firstLineChars="200"/>
              <w:rPr>
                <w:color w:val="auto"/>
              </w:rPr>
            </w:pPr>
            <w:r>
              <w:rPr>
                <w:rFonts w:hint="eastAsia"/>
                <w:color w:val="auto"/>
                <w:szCs w:val="21"/>
              </w:rPr>
              <w:t>本项目</w:t>
            </w:r>
            <w:r>
              <w:rPr>
                <w:rFonts w:hint="eastAsia"/>
                <w:color w:val="auto"/>
                <w:lang w:val="en-US" w:eastAsia="zh-CN"/>
              </w:rPr>
              <w:t>司城</w:t>
            </w:r>
            <w:r>
              <w:rPr>
                <w:rFonts w:hint="eastAsia"/>
                <w:color w:val="auto"/>
                <w:szCs w:val="21"/>
              </w:rPr>
              <w:t>110kV变电站</w:t>
            </w:r>
            <w:r>
              <w:rPr>
                <w:rFonts w:hint="eastAsia"/>
                <w:color w:val="auto"/>
              </w:rPr>
              <w:t>运营</w:t>
            </w:r>
            <w:r>
              <w:rPr>
                <w:color w:val="auto"/>
              </w:rPr>
              <w:t>期产生生活垃圾约0.5kg/d。</w:t>
            </w:r>
          </w:p>
          <w:p w14:paraId="61F11A0F">
            <w:pPr>
              <w:spacing w:line="360" w:lineRule="auto"/>
              <w:ind w:firstLine="420" w:firstLineChars="200"/>
              <w:rPr>
                <w:rFonts w:hint="eastAsia"/>
                <w:color w:val="auto"/>
              </w:rPr>
            </w:pPr>
            <w:r>
              <w:rPr>
                <w:rFonts w:hint="eastAsia"/>
                <w:color w:val="auto"/>
              </w:rPr>
              <w:t>变电站</w:t>
            </w:r>
            <w:r>
              <w:rPr>
                <w:color w:val="auto"/>
              </w:rPr>
              <w:t>主变压器事故工况时产生事故油，</w:t>
            </w:r>
            <w:r>
              <w:rPr>
                <w:rFonts w:hint="eastAsia"/>
                <w:color w:val="auto"/>
              </w:rPr>
              <w:t>其中不可回收部分（即废</w:t>
            </w:r>
            <w:r>
              <w:rPr>
                <w:color w:val="auto"/>
              </w:rPr>
              <w:t>事故油</w:t>
            </w:r>
            <w:r>
              <w:rPr>
                <w:rFonts w:hint="eastAsia"/>
                <w:color w:val="auto"/>
              </w:rPr>
              <w:t>）</w:t>
            </w:r>
            <w:r>
              <w:rPr>
                <w:color w:val="auto"/>
              </w:rPr>
              <w:t>属于危险废物。主变压器下设有</w:t>
            </w:r>
            <w:r>
              <w:rPr>
                <w:rFonts w:hint="eastAsia"/>
                <w:color w:val="auto"/>
              </w:rPr>
              <w:t>事故油坑</w:t>
            </w:r>
            <w:r>
              <w:rPr>
                <w:color w:val="auto"/>
              </w:rPr>
              <w:t>，</w:t>
            </w:r>
            <w:r>
              <w:rPr>
                <w:rFonts w:hint="eastAsia"/>
                <w:color w:val="auto"/>
              </w:rPr>
              <w:t>站内</w:t>
            </w:r>
            <w:r>
              <w:rPr>
                <w:color w:val="auto"/>
              </w:rPr>
              <w:t>设有事故油池</w:t>
            </w:r>
            <w:r>
              <w:rPr>
                <w:rFonts w:ascii="宋体"/>
                <w:color w:val="auto"/>
              </w:rPr>
              <w:t>（</w:t>
            </w:r>
            <w:r>
              <w:rPr>
                <w:rFonts w:hint="eastAsia" w:ascii="宋体"/>
                <w:color w:val="auto"/>
              </w:rPr>
              <w:t>具有油水分离功能</w:t>
            </w:r>
            <w:r>
              <w:rPr>
                <w:rFonts w:ascii="宋体"/>
                <w:color w:val="auto"/>
              </w:rPr>
              <w:t>）</w:t>
            </w:r>
            <w:r>
              <w:rPr>
                <w:color w:val="auto"/>
              </w:rPr>
              <w:t>。</w:t>
            </w:r>
            <w:r>
              <w:rPr>
                <w:bCs/>
                <w:color w:val="auto"/>
              </w:rPr>
              <w:t>当出现事故时主变压器事故油进入</w:t>
            </w:r>
            <w:r>
              <w:rPr>
                <w:rFonts w:hint="eastAsia"/>
                <w:bCs/>
                <w:color w:val="auto"/>
              </w:rPr>
              <w:t>事故油坑</w:t>
            </w:r>
            <w:r>
              <w:rPr>
                <w:bCs/>
                <w:color w:val="auto"/>
              </w:rPr>
              <w:t>后通过</w:t>
            </w:r>
            <w:r>
              <w:rPr>
                <w:rFonts w:hint="eastAsia"/>
                <w:bCs/>
                <w:color w:val="auto"/>
                <w:lang w:val="en-US" w:eastAsia="zh-CN"/>
              </w:rPr>
              <w:t>镀锌</w:t>
            </w:r>
            <w:r>
              <w:rPr>
                <w:bCs/>
                <w:color w:val="auto"/>
              </w:rPr>
              <w:t>钢管引入事故油池，</w:t>
            </w:r>
            <w:r>
              <w:rPr>
                <w:rFonts w:hint="eastAsia"/>
                <w:color w:val="auto"/>
              </w:rPr>
              <w:t>其中事故油中可回收部分由建设单位回收再利用，不可回收部分（即废事故油）采用专用密封容器盛装后运送至国网巴中供电公司枣林危废暂存间</w:t>
            </w:r>
            <w:r>
              <w:rPr>
                <w:rFonts w:hint="eastAsia"/>
                <w:color w:val="auto"/>
                <w:lang w:eastAsia="zh-CN"/>
              </w:rPr>
              <w:t>，</w:t>
            </w:r>
            <w:r>
              <w:rPr>
                <w:rFonts w:hint="eastAsia"/>
                <w:color w:val="auto"/>
              </w:rPr>
              <w:t>定期交由有危险废物处置资质的单位进行处置，不外排。</w:t>
            </w:r>
          </w:p>
          <w:p w14:paraId="25EF84BB">
            <w:pPr>
              <w:spacing w:line="360" w:lineRule="auto"/>
              <w:ind w:firstLine="420" w:firstLineChars="200"/>
              <w:rPr>
                <w:rFonts w:hint="eastAsia" w:eastAsia="宋体"/>
                <w:color w:val="auto"/>
                <w:szCs w:val="22"/>
                <w:lang w:eastAsia="zh-CN"/>
              </w:rPr>
            </w:pPr>
            <w:r>
              <w:rPr>
                <w:rFonts w:hint="eastAsia"/>
                <w:bCs/>
                <w:color w:val="auto"/>
              </w:rPr>
              <w:t>拟建</w:t>
            </w:r>
            <w:r>
              <w:rPr>
                <w:rFonts w:hint="eastAsia"/>
                <w:bCs/>
                <w:color w:val="auto"/>
                <w:lang w:val="en-US" w:eastAsia="zh-CN"/>
              </w:rPr>
              <w:t>司城</w:t>
            </w:r>
            <w:r>
              <w:rPr>
                <w:rFonts w:hint="eastAsia"/>
                <w:color w:val="auto"/>
                <w:szCs w:val="22"/>
              </w:rPr>
              <w:t>110</w:t>
            </w:r>
            <w:r>
              <w:rPr>
                <w:color w:val="auto"/>
                <w:szCs w:val="22"/>
              </w:rPr>
              <w:t>kV</w:t>
            </w:r>
            <w:r>
              <w:rPr>
                <w:rFonts w:hint="eastAsia"/>
                <w:color w:val="auto"/>
                <w:szCs w:val="22"/>
              </w:rPr>
              <w:t>变电站</w:t>
            </w:r>
            <w:r>
              <w:rPr>
                <w:color w:val="auto"/>
                <w:szCs w:val="22"/>
              </w:rPr>
              <w:t>内</w:t>
            </w:r>
            <w:r>
              <w:rPr>
                <w:rFonts w:hint="eastAsia"/>
                <w:color w:val="auto"/>
                <w:szCs w:val="22"/>
              </w:rPr>
              <w:t>设置</w:t>
            </w:r>
            <w:r>
              <w:rPr>
                <w:rFonts w:hint="eastAsia"/>
                <w:color w:val="auto"/>
                <w:szCs w:val="22"/>
                <w:lang w:val="en-US" w:eastAsia="zh-CN"/>
              </w:rPr>
              <w:t>2</w:t>
            </w:r>
            <w:r>
              <w:rPr>
                <w:rFonts w:hint="eastAsia"/>
                <w:color w:val="auto"/>
                <w:szCs w:val="22"/>
              </w:rPr>
              <w:t>组蓄电池</w:t>
            </w:r>
            <w:r>
              <w:rPr>
                <w:color w:val="auto"/>
                <w:szCs w:val="22"/>
              </w:rPr>
              <w:t>，采用组架方式集中布置于蓄电池室；</w:t>
            </w:r>
            <w:r>
              <w:rPr>
                <w:rFonts w:hint="eastAsia"/>
                <w:color w:val="auto"/>
                <w:szCs w:val="22"/>
              </w:rPr>
              <w:t>变电站</w:t>
            </w:r>
            <w:r>
              <w:rPr>
                <w:color w:val="auto"/>
                <w:szCs w:val="22"/>
              </w:rPr>
              <w:t>使用的蓄电池为阀控式密封铅酸蓄电池（</w:t>
            </w:r>
            <w:r>
              <w:rPr>
                <w:rFonts w:hint="eastAsia"/>
                <w:color w:val="auto"/>
                <w:szCs w:val="22"/>
              </w:rPr>
              <w:t>400</w:t>
            </w:r>
            <w:r>
              <w:rPr>
                <w:color w:val="auto"/>
                <w:szCs w:val="22"/>
              </w:rPr>
              <w:t>Ah，2V），</w:t>
            </w:r>
            <w:r>
              <w:rPr>
                <w:rFonts w:hint="eastAsia"/>
                <w:color w:val="auto"/>
                <w:szCs w:val="22"/>
                <w:lang w:val="en-US" w:eastAsia="zh-CN"/>
              </w:rPr>
              <w:t>每组</w:t>
            </w:r>
            <w:r>
              <w:rPr>
                <w:color w:val="auto"/>
                <w:szCs w:val="22"/>
              </w:rPr>
              <w:t>104只。</w:t>
            </w:r>
            <w:r>
              <w:rPr>
                <w:rFonts w:hint="eastAsia"/>
                <w:color w:val="auto"/>
                <w:szCs w:val="22"/>
              </w:rPr>
              <w:t>建设单位在日常检修中不定期检测蓄电池电压，若性能满足要求则继续使用，对性能不达标的蓄电池，则进行</w:t>
            </w:r>
            <w:r>
              <w:rPr>
                <w:rFonts w:hint="default" w:ascii="Times New Roman" w:hAnsi="Times New Roman" w:cs="Times New Roman"/>
                <w:color w:val="auto"/>
                <w:szCs w:val="22"/>
                <w:highlight w:val="none"/>
              </w:rPr>
              <w:t>报废，报废的</w:t>
            </w:r>
            <w:r>
              <w:rPr>
                <w:rFonts w:hint="eastAsia" w:cs="Times New Roman"/>
                <w:color w:val="auto"/>
                <w:szCs w:val="22"/>
                <w:highlight w:val="none"/>
                <w:lang w:eastAsia="zh-CN"/>
              </w:rPr>
              <w:t>废铅蓄电池</w:t>
            </w:r>
            <w:r>
              <w:rPr>
                <w:rFonts w:hint="default" w:ascii="Times New Roman" w:hAnsi="Times New Roman" w:cs="Times New Roman"/>
                <w:color w:val="auto"/>
                <w:szCs w:val="22"/>
                <w:highlight w:val="none"/>
              </w:rPr>
              <w:t>按危险废物管理，产生后</w:t>
            </w:r>
            <w:r>
              <w:rPr>
                <w:rFonts w:hint="default" w:ascii="Times New Roman" w:hAnsi="Times New Roman" w:cs="Times New Roman"/>
                <w:bCs/>
                <w:color w:val="auto"/>
                <w:highlight w:val="none"/>
              </w:rPr>
              <w:t>随即委托相关单位日产日清，不在变电站内暂存</w:t>
            </w:r>
            <w:r>
              <w:rPr>
                <w:rFonts w:hint="eastAsia"/>
                <w:color w:val="auto"/>
                <w:szCs w:val="22"/>
              </w:rPr>
              <w:t>。</w:t>
            </w:r>
            <w:r>
              <w:rPr>
                <w:color w:val="auto"/>
                <w:szCs w:val="22"/>
              </w:rPr>
              <w:t>按照《危险废物转移管理办法》</w:t>
            </w:r>
            <w:r>
              <w:rPr>
                <w:rFonts w:hint="eastAsia"/>
                <w:color w:val="auto"/>
                <w:szCs w:val="22"/>
              </w:rPr>
              <w:t>有关规定，禁止在转移过程中擅自拆解、破碎、丢弃</w:t>
            </w:r>
            <w:r>
              <w:rPr>
                <w:rFonts w:hint="eastAsia"/>
                <w:color w:val="auto"/>
                <w:szCs w:val="22"/>
                <w:lang w:eastAsia="zh-CN"/>
              </w:rPr>
              <w:t>废铅蓄电池</w:t>
            </w:r>
            <w:r>
              <w:rPr>
                <w:rFonts w:hint="eastAsia"/>
                <w:color w:val="auto"/>
                <w:szCs w:val="22"/>
              </w:rPr>
              <w:t>。</w:t>
            </w:r>
            <w:r>
              <w:rPr>
                <w:rFonts w:hint="eastAsia"/>
                <w:color w:val="auto"/>
                <w:szCs w:val="22"/>
                <w:lang w:val="en-US" w:eastAsia="zh-CN"/>
              </w:rPr>
              <w:t>产生的废铅蓄电池</w:t>
            </w:r>
            <w:r>
              <w:rPr>
                <w:rFonts w:hint="eastAsia"/>
                <w:color w:val="auto"/>
              </w:rPr>
              <w:t>运送至国网巴中供电公司枣林危废暂存间</w:t>
            </w:r>
            <w:r>
              <w:rPr>
                <w:rFonts w:hint="eastAsia"/>
                <w:color w:val="auto"/>
                <w:lang w:eastAsia="zh-CN"/>
              </w:rPr>
              <w:t>，</w:t>
            </w:r>
            <w:r>
              <w:rPr>
                <w:rFonts w:hint="eastAsia"/>
                <w:color w:val="auto"/>
              </w:rPr>
              <w:t>定期交由有危险废物处置资质的单位进行处置，不外排。</w:t>
            </w:r>
          </w:p>
          <w:p w14:paraId="12E6C8B7">
            <w:pPr>
              <w:pStyle w:val="6"/>
              <w:spacing w:line="360" w:lineRule="auto"/>
              <w:ind w:firstLine="422"/>
              <w:rPr>
                <w:rFonts w:ascii="Times New Roman" w:hAnsi="Times New Roman"/>
                <w:b/>
                <w:color w:val="auto"/>
                <w:szCs w:val="21"/>
              </w:rPr>
            </w:pPr>
            <w:r>
              <w:rPr>
                <w:rFonts w:hint="eastAsia" w:ascii="Times New Roman" w:hAnsi="Times New Roman"/>
                <w:b/>
                <w:color w:val="auto"/>
                <w:szCs w:val="21"/>
              </w:rPr>
              <w:t>2、输电线路</w:t>
            </w:r>
          </w:p>
          <w:p w14:paraId="32A69669">
            <w:pPr>
              <w:pStyle w:val="6"/>
              <w:spacing w:line="360" w:lineRule="auto"/>
              <w:rPr>
                <w:rFonts w:ascii="Times New Roman" w:hAnsi="Times New Roman"/>
                <w:color w:val="auto"/>
                <w:szCs w:val="21"/>
              </w:rPr>
            </w:pPr>
            <w:r>
              <w:rPr>
                <w:rFonts w:ascii="Times New Roman" w:hAnsi="Times New Roman"/>
                <w:color w:val="auto"/>
                <w:szCs w:val="21"/>
              </w:rPr>
              <w:t>输电线路</w:t>
            </w:r>
            <w:r>
              <w:rPr>
                <w:rFonts w:hint="eastAsia" w:ascii="Times New Roman" w:hAnsi="Times New Roman"/>
                <w:color w:val="auto"/>
                <w:szCs w:val="21"/>
              </w:rPr>
              <w:t>运营期</w:t>
            </w:r>
            <w:r>
              <w:rPr>
                <w:rFonts w:ascii="Times New Roman" w:hAnsi="Times New Roman"/>
                <w:color w:val="auto"/>
                <w:szCs w:val="21"/>
              </w:rPr>
              <w:t>间的主要环境影响有工频电磁场</w:t>
            </w:r>
            <w:r>
              <w:rPr>
                <w:rFonts w:hint="eastAsia" w:ascii="Times New Roman" w:hAnsi="Times New Roman"/>
                <w:color w:val="auto"/>
                <w:szCs w:val="21"/>
              </w:rPr>
              <w:t>和噪声</w:t>
            </w:r>
            <w:r>
              <w:rPr>
                <w:rFonts w:ascii="Times New Roman" w:hAnsi="Times New Roman"/>
                <w:color w:val="auto"/>
                <w:szCs w:val="21"/>
              </w:rPr>
              <w:t>。</w:t>
            </w:r>
          </w:p>
          <w:p w14:paraId="2D37D21F">
            <w:pPr>
              <w:pStyle w:val="6"/>
              <w:spacing w:line="360" w:lineRule="auto"/>
              <w:rPr>
                <w:rFonts w:ascii="Times New Roman" w:hAnsi="Times New Roman"/>
                <w:color w:val="auto"/>
                <w:szCs w:val="21"/>
              </w:rPr>
            </w:pPr>
            <w:r>
              <w:rPr>
                <w:rFonts w:ascii="Times New Roman" w:hAnsi="Times New Roman"/>
                <w:color w:val="auto"/>
                <w:szCs w:val="21"/>
              </w:rPr>
              <w:fldChar w:fldCharType="begin"/>
            </w:r>
            <w:r>
              <w:rPr>
                <w:rFonts w:ascii="Times New Roman" w:hAnsi="Times New Roman"/>
                <w:color w:val="auto"/>
                <w:szCs w:val="21"/>
              </w:rPr>
              <w:instrText xml:space="preserve"> = 1 \* GB3 </w:instrText>
            </w:r>
            <w:r>
              <w:rPr>
                <w:rFonts w:ascii="Times New Roman" w:hAnsi="Times New Roman"/>
                <w:color w:val="auto"/>
                <w:szCs w:val="21"/>
              </w:rPr>
              <w:fldChar w:fldCharType="separate"/>
            </w:r>
            <w:r>
              <w:rPr>
                <w:rFonts w:hint="eastAsia" w:ascii="Times New Roman" w:hAnsi="Times New Roman"/>
                <w:color w:val="auto"/>
                <w:szCs w:val="21"/>
              </w:rPr>
              <w:t>①</w:t>
            </w:r>
            <w:r>
              <w:rPr>
                <w:rFonts w:ascii="Times New Roman" w:hAnsi="Times New Roman"/>
                <w:color w:val="auto"/>
                <w:szCs w:val="21"/>
              </w:rPr>
              <w:fldChar w:fldCharType="end"/>
            </w:r>
            <w:r>
              <w:rPr>
                <w:rFonts w:ascii="Times New Roman" w:hAnsi="Times New Roman"/>
                <w:color w:val="auto"/>
                <w:szCs w:val="21"/>
              </w:rPr>
              <w:t>工频电磁场</w:t>
            </w:r>
          </w:p>
          <w:p w14:paraId="38D199A0">
            <w:pPr>
              <w:pStyle w:val="6"/>
              <w:spacing w:line="360" w:lineRule="auto"/>
              <w:rPr>
                <w:rFonts w:ascii="Times New Roman" w:hAnsi="Times New Roman"/>
                <w:color w:val="auto"/>
                <w:szCs w:val="21"/>
              </w:rPr>
            </w:pPr>
            <w:r>
              <w:rPr>
                <w:rFonts w:ascii="Times New Roman" w:hAnsi="Times New Roman"/>
                <w:color w:val="auto"/>
                <w:szCs w:val="21"/>
              </w:rPr>
              <w:t>输电线路运行时，高压送电线路（高电位）与大地（零电位）之间的位差，形成较强的工频（50Hz）电场；</w:t>
            </w:r>
            <w:r>
              <w:rPr>
                <w:rFonts w:hint="eastAsia" w:ascii="Times New Roman" w:hAnsi="Times New Roman"/>
                <w:color w:val="auto"/>
                <w:szCs w:val="21"/>
              </w:rPr>
              <w:t>当架空输电线路有电流通过时，在载流导体周围产生工频磁场。</w:t>
            </w:r>
          </w:p>
          <w:p w14:paraId="7721ADF6">
            <w:pPr>
              <w:pStyle w:val="6"/>
              <w:spacing w:line="360" w:lineRule="auto"/>
              <w:rPr>
                <w:rFonts w:ascii="Times New Roman" w:hAnsi="Times New Roman"/>
                <w:color w:val="auto"/>
                <w:szCs w:val="21"/>
              </w:rPr>
            </w:pPr>
            <w:r>
              <w:rPr>
                <w:rFonts w:ascii="Times New Roman" w:hAnsi="Times New Roman"/>
                <w:color w:val="auto"/>
                <w:szCs w:val="21"/>
              </w:rPr>
              <w:fldChar w:fldCharType="begin"/>
            </w:r>
            <w:r>
              <w:rPr>
                <w:rFonts w:ascii="Times New Roman" w:hAnsi="Times New Roman"/>
                <w:color w:val="auto"/>
                <w:szCs w:val="21"/>
              </w:rPr>
              <w:instrText xml:space="preserve"> = 2 \* GB3 </w:instrText>
            </w:r>
            <w:r>
              <w:rPr>
                <w:rFonts w:ascii="Times New Roman" w:hAnsi="Times New Roman"/>
                <w:color w:val="auto"/>
                <w:szCs w:val="21"/>
              </w:rPr>
              <w:fldChar w:fldCharType="separate"/>
            </w:r>
            <w:r>
              <w:rPr>
                <w:rFonts w:hint="eastAsia" w:ascii="Times New Roman" w:hAnsi="Times New Roman"/>
                <w:color w:val="auto"/>
                <w:szCs w:val="21"/>
              </w:rPr>
              <w:t>②</w:t>
            </w:r>
            <w:r>
              <w:rPr>
                <w:rFonts w:ascii="Times New Roman" w:hAnsi="Times New Roman"/>
                <w:color w:val="auto"/>
                <w:szCs w:val="21"/>
              </w:rPr>
              <w:fldChar w:fldCharType="end"/>
            </w:r>
            <w:r>
              <w:rPr>
                <w:rFonts w:ascii="Times New Roman" w:hAnsi="Times New Roman"/>
                <w:color w:val="auto"/>
                <w:szCs w:val="21"/>
              </w:rPr>
              <w:t>噪声</w:t>
            </w:r>
          </w:p>
          <w:p w14:paraId="4BA67F3B">
            <w:pPr>
              <w:pStyle w:val="6"/>
              <w:spacing w:line="360" w:lineRule="auto"/>
              <w:rPr>
                <w:rFonts w:ascii="Times New Roman" w:hAnsi="Times New Roman"/>
                <w:color w:val="auto"/>
                <w:szCs w:val="21"/>
              </w:rPr>
            </w:pPr>
            <w:r>
              <w:rPr>
                <w:rFonts w:hint="eastAsia"/>
                <w:color w:val="auto"/>
                <w:szCs w:val="21"/>
              </w:rPr>
              <w:t>输电线路运营期噪声主要来源于恶劣天气条件下，由于电晕放电产生一定的可听噪声</w:t>
            </w:r>
            <w:r>
              <w:rPr>
                <w:rFonts w:hint="eastAsia" w:ascii="Times New Roman" w:hAnsi="Times New Roman"/>
                <w:color w:val="auto"/>
                <w:szCs w:val="21"/>
              </w:rPr>
              <w:t>。</w:t>
            </w:r>
          </w:p>
          <w:p w14:paraId="0FBDACA1">
            <w:pPr>
              <w:adjustRightInd w:val="0"/>
              <w:spacing w:line="360" w:lineRule="auto"/>
              <w:rPr>
                <w:rFonts w:eastAsia="黑体"/>
                <w:bCs/>
                <w:color w:val="auto"/>
                <w:szCs w:val="21"/>
              </w:rPr>
            </w:pPr>
            <w:r>
              <w:rPr>
                <w:rFonts w:hint="eastAsia" w:eastAsia="黑体"/>
                <w:bCs/>
                <w:color w:val="auto"/>
                <w:szCs w:val="21"/>
              </w:rPr>
              <w:t>二、</w:t>
            </w:r>
            <w:r>
              <w:rPr>
                <w:rFonts w:eastAsia="黑体"/>
                <w:bCs/>
                <w:color w:val="auto"/>
                <w:szCs w:val="21"/>
              </w:rPr>
              <w:t>运营期环境影响分析</w:t>
            </w:r>
          </w:p>
          <w:p w14:paraId="476522CE">
            <w:pPr>
              <w:spacing w:line="360" w:lineRule="auto"/>
              <w:ind w:firstLine="420" w:firstLineChars="200"/>
              <w:rPr>
                <w:rFonts w:eastAsia="黑体"/>
                <w:color w:val="auto"/>
                <w:szCs w:val="21"/>
              </w:rPr>
            </w:pPr>
            <w:r>
              <w:rPr>
                <w:rFonts w:hint="eastAsia" w:eastAsia="黑体"/>
                <w:color w:val="auto"/>
                <w:szCs w:val="21"/>
              </w:rPr>
              <w:t>1、水环境影响分析</w:t>
            </w:r>
          </w:p>
          <w:p w14:paraId="3279E031">
            <w:pPr>
              <w:pStyle w:val="6"/>
              <w:spacing w:line="360" w:lineRule="auto"/>
              <w:rPr>
                <w:rFonts w:ascii="Times New Roman" w:hAnsi="Times New Roman"/>
                <w:color w:val="auto"/>
                <w:szCs w:val="21"/>
              </w:rPr>
            </w:pPr>
            <w:r>
              <w:rPr>
                <w:rFonts w:hint="eastAsia" w:ascii="Times New Roman" w:hAnsi="Times New Roman"/>
                <w:color w:val="auto"/>
                <w:szCs w:val="21"/>
              </w:rPr>
              <w:t>（1）地表水环境影响分析</w:t>
            </w:r>
          </w:p>
          <w:p w14:paraId="1EE1AB24">
            <w:pPr>
              <w:adjustRightInd w:val="0"/>
              <w:spacing w:line="360" w:lineRule="auto"/>
              <w:ind w:firstLine="420" w:firstLineChars="200"/>
              <w:jc w:val="left"/>
              <w:rPr>
                <w:rFonts w:ascii="宋体" w:hAnsi="宋体" w:cs="宋体"/>
                <w:color w:val="auto"/>
                <w:szCs w:val="21"/>
              </w:rPr>
            </w:pPr>
            <w:r>
              <w:rPr>
                <w:rFonts w:hint="eastAsia"/>
                <w:color w:val="auto"/>
                <w:szCs w:val="21"/>
              </w:rPr>
              <w:t>本项目</w:t>
            </w:r>
            <w:r>
              <w:rPr>
                <w:rFonts w:hint="eastAsia"/>
                <w:bCs/>
                <w:color w:val="auto"/>
              </w:rPr>
              <w:t>拟建</w:t>
            </w:r>
            <w:r>
              <w:rPr>
                <w:rFonts w:hint="eastAsia"/>
                <w:color w:val="auto"/>
                <w:szCs w:val="22"/>
                <w:lang w:val="en-US" w:eastAsia="zh-CN"/>
              </w:rPr>
              <w:t>司城</w:t>
            </w:r>
            <w:r>
              <w:rPr>
                <w:rFonts w:hint="eastAsia"/>
                <w:color w:val="auto"/>
                <w:szCs w:val="22"/>
              </w:rPr>
              <w:t>110</w:t>
            </w:r>
            <w:r>
              <w:rPr>
                <w:color w:val="auto"/>
                <w:szCs w:val="22"/>
              </w:rPr>
              <w:t>kV变电站</w:t>
            </w:r>
            <w:r>
              <w:rPr>
                <w:rFonts w:hint="eastAsia"/>
                <w:bCs/>
                <w:color w:val="auto"/>
              </w:rPr>
              <w:t>仅</w:t>
            </w:r>
            <w:r>
              <w:rPr>
                <w:bCs/>
                <w:color w:val="auto"/>
              </w:rPr>
              <w:t>设置</w:t>
            </w:r>
            <w:r>
              <w:rPr>
                <w:rFonts w:hint="eastAsia"/>
                <w:bCs/>
                <w:color w:val="auto"/>
              </w:rPr>
              <w:t>1名保安作为</w:t>
            </w:r>
            <w:r>
              <w:rPr>
                <w:bCs/>
                <w:color w:val="auto"/>
              </w:rPr>
              <w:t>工作人员</w:t>
            </w:r>
            <w:r>
              <w:rPr>
                <w:color w:val="auto"/>
              </w:rPr>
              <w:t>，</w:t>
            </w:r>
            <w:r>
              <w:rPr>
                <w:rFonts w:hint="eastAsia"/>
                <w:color w:val="auto"/>
              </w:rPr>
              <w:t>营运期</w:t>
            </w:r>
            <w:r>
              <w:rPr>
                <w:color w:val="auto"/>
              </w:rPr>
              <w:t>产生约0.</w:t>
            </w:r>
            <w:r>
              <w:rPr>
                <w:rFonts w:hint="eastAsia"/>
                <w:color w:val="auto"/>
                <w:lang w:val="en-US" w:eastAsia="zh-CN"/>
              </w:rPr>
              <w:t>04t</w:t>
            </w:r>
            <w:r>
              <w:rPr>
                <w:color w:val="auto"/>
              </w:rPr>
              <w:t>/d的生活污水</w:t>
            </w:r>
            <w:r>
              <w:rPr>
                <w:rFonts w:hint="eastAsia"/>
                <w:color w:val="auto"/>
                <w:lang w:eastAsia="zh-CN"/>
              </w:rPr>
              <w:t>，经化粪池处理后</w:t>
            </w:r>
            <w:r>
              <w:rPr>
                <w:rFonts w:hint="eastAsia"/>
                <w:color w:val="auto"/>
                <w:szCs w:val="21"/>
              </w:rPr>
              <w:t>再经运维单位人工定时清掏</w:t>
            </w:r>
            <w:r>
              <w:rPr>
                <w:rFonts w:hint="eastAsia"/>
                <w:color w:val="auto"/>
                <w:lang w:eastAsia="zh-CN"/>
              </w:rPr>
              <w:t>，不外排。</w:t>
            </w:r>
            <w:r>
              <w:rPr>
                <w:rFonts w:hint="eastAsia"/>
                <w:color w:val="auto"/>
              </w:rPr>
              <w:t>变电站运营期对地表水环境影响较小。输电线路投运后，无废污水产生，不会对</w:t>
            </w:r>
            <w:r>
              <w:rPr>
                <w:rFonts w:hint="eastAsia"/>
                <w:color w:val="auto"/>
                <w:lang w:val="en-US" w:eastAsia="zh-CN"/>
              </w:rPr>
              <w:t>水环境</w:t>
            </w:r>
            <w:r>
              <w:rPr>
                <w:rFonts w:hint="eastAsia"/>
                <w:color w:val="auto"/>
              </w:rPr>
              <w:t>产生影响。</w:t>
            </w:r>
          </w:p>
          <w:p w14:paraId="6E746F5E">
            <w:pPr>
              <w:spacing w:line="360" w:lineRule="auto"/>
              <w:ind w:firstLine="420" w:firstLineChars="200"/>
              <w:rPr>
                <w:color w:val="auto"/>
                <w:szCs w:val="21"/>
              </w:rPr>
            </w:pPr>
            <w:r>
              <w:rPr>
                <w:rFonts w:hint="eastAsia"/>
                <w:color w:val="auto"/>
                <w:szCs w:val="21"/>
              </w:rPr>
              <w:t>（2）地下水影响分析</w:t>
            </w:r>
          </w:p>
          <w:p w14:paraId="2721B407">
            <w:pPr>
              <w:spacing w:line="360" w:lineRule="auto"/>
              <w:ind w:firstLine="420" w:firstLineChars="200"/>
              <w:rPr>
                <w:color w:val="auto"/>
                <w:szCs w:val="21"/>
              </w:rPr>
            </w:pPr>
            <w:r>
              <w:rPr>
                <w:rFonts w:hAnsi="宋体"/>
                <w:color w:val="auto"/>
                <w:szCs w:val="21"/>
              </w:rPr>
              <w:t>本项目用水使用自来水，不开采地下水；</w:t>
            </w:r>
            <w:r>
              <w:rPr>
                <w:color w:val="auto"/>
                <w:szCs w:val="21"/>
              </w:rPr>
              <w:t>当主变压器事故时，其</w:t>
            </w:r>
            <w:r>
              <w:rPr>
                <w:rFonts w:hint="eastAsia"/>
                <w:color w:val="auto"/>
                <w:szCs w:val="21"/>
              </w:rPr>
              <w:t>事故油</w:t>
            </w:r>
            <w:r>
              <w:rPr>
                <w:color w:val="auto"/>
                <w:szCs w:val="21"/>
              </w:rPr>
              <w:t>可</w:t>
            </w:r>
            <w:r>
              <w:rPr>
                <w:rFonts w:hint="eastAsia"/>
                <w:bCs/>
                <w:color w:val="auto"/>
                <w:szCs w:val="21"/>
              </w:rPr>
              <w:t>由设置于各主变压器下的事故油坑收集，经排油管引入事故油池</w:t>
            </w:r>
            <w:r>
              <w:rPr>
                <w:rFonts w:hint="eastAsia"/>
                <w:bCs/>
                <w:color w:val="auto"/>
                <w:szCs w:val="21"/>
                <w:lang w:eastAsia="zh-CN"/>
              </w:rPr>
              <w:t>，</w:t>
            </w:r>
            <w:r>
              <w:rPr>
                <w:rFonts w:hint="eastAsia"/>
                <w:color w:val="auto"/>
              </w:rPr>
              <w:t>其中事故油中可回收部分由建设单位回收再利用，不可回收部分（即废事故油）采用专用密封容器盛装后运送至国网巴中供电公司枣林危废暂存间</w:t>
            </w:r>
            <w:r>
              <w:rPr>
                <w:rFonts w:hint="eastAsia"/>
                <w:color w:val="auto"/>
                <w:lang w:eastAsia="zh-CN"/>
              </w:rPr>
              <w:t>，</w:t>
            </w:r>
            <w:r>
              <w:rPr>
                <w:rFonts w:hint="eastAsia"/>
                <w:color w:val="auto"/>
              </w:rPr>
              <w:t>定期交由有危险废物处置资质的单位进行处置，不外排。</w:t>
            </w:r>
            <w:r>
              <w:rPr>
                <w:rFonts w:hint="eastAsia"/>
                <w:color w:val="auto"/>
                <w:szCs w:val="21"/>
              </w:rPr>
              <w:t>因此，</w:t>
            </w:r>
            <w:r>
              <w:rPr>
                <w:rFonts w:hint="eastAsia" w:hAnsi="宋体"/>
                <w:color w:val="auto"/>
                <w:szCs w:val="21"/>
              </w:rPr>
              <w:t>本项目</w:t>
            </w:r>
            <w:r>
              <w:rPr>
                <w:rFonts w:hAnsi="宋体"/>
                <w:color w:val="auto"/>
                <w:szCs w:val="21"/>
              </w:rPr>
              <w:t>对地下水影响较小。</w:t>
            </w:r>
          </w:p>
          <w:p w14:paraId="472F0418">
            <w:pPr>
              <w:spacing w:line="360" w:lineRule="auto"/>
              <w:ind w:firstLine="420" w:firstLineChars="200"/>
              <w:rPr>
                <w:color w:val="auto"/>
                <w:szCs w:val="21"/>
              </w:rPr>
            </w:pPr>
            <w:r>
              <w:rPr>
                <w:color w:val="auto"/>
                <w:szCs w:val="21"/>
              </w:rPr>
              <w:t>为了尽可能减小对地下水环境的影响，项目的地下水污染防治措施和对策应坚持</w:t>
            </w:r>
            <w:r>
              <w:rPr>
                <w:rFonts w:hint="eastAsia"/>
                <w:color w:val="auto"/>
                <w:szCs w:val="21"/>
              </w:rPr>
              <w:t>“</w:t>
            </w:r>
            <w:r>
              <w:rPr>
                <w:color w:val="auto"/>
                <w:szCs w:val="21"/>
              </w:rPr>
              <w:t>源头控制、分区防治、污染监控、应急响应</w:t>
            </w:r>
            <w:r>
              <w:rPr>
                <w:rFonts w:hint="eastAsia"/>
                <w:color w:val="auto"/>
                <w:szCs w:val="21"/>
              </w:rPr>
              <w:t>”</w:t>
            </w:r>
            <w:r>
              <w:rPr>
                <w:color w:val="auto"/>
                <w:szCs w:val="21"/>
              </w:rPr>
              <w:t>的原则。因此</w:t>
            </w:r>
            <w:r>
              <w:rPr>
                <w:rFonts w:hint="eastAsia"/>
                <w:color w:val="auto"/>
                <w:szCs w:val="21"/>
                <w:lang w:eastAsia="zh-CN"/>
              </w:rPr>
              <w:t>，</w:t>
            </w:r>
            <w:r>
              <w:rPr>
                <w:rFonts w:hint="eastAsia"/>
                <w:color w:val="auto"/>
                <w:szCs w:val="21"/>
              </w:rPr>
              <w:t>本项目</w:t>
            </w:r>
            <w:r>
              <w:rPr>
                <w:color w:val="auto"/>
                <w:szCs w:val="21"/>
              </w:rPr>
              <w:t>可从以下几方面来加强地下水影响防治措施：</w:t>
            </w:r>
          </w:p>
          <w:p w14:paraId="20A2DDF4">
            <w:pPr>
              <w:spacing w:line="360" w:lineRule="auto"/>
              <w:ind w:firstLine="420" w:firstLineChars="200"/>
              <w:rPr>
                <w:rFonts w:hAnsi="宋体"/>
                <w:color w:val="auto"/>
                <w:szCs w:val="21"/>
              </w:rPr>
            </w:pPr>
            <w:r>
              <w:rPr>
                <w:rFonts w:hAnsi="宋体"/>
                <w:color w:val="auto"/>
                <w:szCs w:val="21"/>
              </w:rPr>
              <w:t>源头控制措施</w:t>
            </w:r>
            <w:r>
              <w:rPr>
                <w:rFonts w:hint="eastAsia" w:hAnsi="宋体"/>
                <w:color w:val="auto"/>
                <w:szCs w:val="21"/>
              </w:rPr>
              <w:t>：</w:t>
            </w:r>
          </w:p>
          <w:p w14:paraId="0EA2102A">
            <w:pPr>
              <w:spacing w:line="360" w:lineRule="auto"/>
              <w:ind w:firstLine="420" w:firstLineChars="200"/>
              <w:rPr>
                <w:color w:val="auto"/>
                <w:szCs w:val="21"/>
              </w:rPr>
            </w:pPr>
            <w:r>
              <w:rPr>
                <w:rFonts w:hAnsi="宋体"/>
                <w:color w:val="auto"/>
                <w:szCs w:val="21"/>
              </w:rPr>
              <w:t>①积极推行实施清洁生产，减少污染物的排放量</w:t>
            </w:r>
            <w:r>
              <w:rPr>
                <w:rFonts w:hint="eastAsia" w:hAnsi="宋体"/>
                <w:color w:val="auto"/>
                <w:szCs w:val="21"/>
              </w:rPr>
              <w:t>。</w:t>
            </w:r>
          </w:p>
          <w:p w14:paraId="570808C1">
            <w:pPr>
              <w:spacing w:line="360" w:lineRule="auto"/>
              <w:ind w:firstLine="420" w:firstLineChars="200"/>
              <w:rPr>
                <w:rFonts w:hAnsi="宋体"/>
                <w:color w:val="auto"/>
                <w:szCs w:val="21"/>
              </w:rPr>
            </w:pPr>
            <w:r>
              <w:rPr>
                <w:rFonts w:hAnsi="宋体"/>
                <w:color w:val="auto"/>
                <w:szCs w:val="21"/>
              </w:rPr>
              <w:t>②项目应根据国家现行相关规范加强环境管理，采取防止和降低</w:t>
            </w:r>
            <w:r>
              <w:rPr>
                <w:rFonts w:hint="eastAsia" w:hAnsi="宋体"/>
                <w:color w:val="auto"/>
                <w:szCs w:val="21"/>
              </w:rPr>
              <w:t>主变压器油</w:t>
            </w:r>
            <w:r>
              <w:rPr>
                <w:rFonts w:hAnsi="宋体"/>
                <w:color w:val="auto"/>
                <w:szCs w:val="21"/>
              </w:rPr>
              <w:t>跑、冒、滴、漏的措施。正常生产过程中应加强巡检及时处理污染物跑、冒、滴、漏，同时应加强对防渗工程的检查，若发现防渗密封材料老化或损坏，应及时维修更换</w:t>
            </w:r>
            <w:r>
              <w:rPr>
                <w:rFonts w:hint="eastAsia" w:hAnsi="宋体"/>
                <w:color w:val="auto"/>
                <w:szCs w:val="21"/>
              </w:rPr>
              <w:t>。</w:t>
            </w:r>
          </w:p>
          <w:p w14:paraId="04601F44">
            <w:pPr>
              <w:spacing w:line="360" w:lineRule="auto"/>
              <w:ind w:firstLine="420" w:firstLineChars="200"/>
              <w:rPr>
                <w:color w:val="auto"/>
                <w:szCs w:val="21"/>
              </w:rPr>
            </w:pPr>
            <w:r>
              <w:rPr>
                <w:rFonts w:hAnsi="宋体"/>
                <w:color w:val="auto"/>
                <w:szCs w:val="21"/>
              </w:rPr>
              <w:t>将</w:t>
            </w:r>
            <w:r>
              <w:rPr>
                <w:rFonts w:hint="eastAsia" w:hAnsi="宋体"/>
                <w:color w:val="auto"/>
                <w:szCs w:val="21"/>
                <w:lang w:val="en-US" w:eastAsia="zh-CN"/>
              </w:rPr>
              <w:t>司城</w:t>
            </w:r>
            <w:r>
              <w:rPr>
                <w:rFonts w:hint="eastAsia"/>
                <w:color w:val="auto"/>
                <w:szCs w:val="21"/>
              </w:rPr>
              <w:t>110kV变电站</w:t>
            </w:r>
            <w:r>
              <w:rPr>
                <w:rFonts w:hint="eastAsia" w:hAnsi="宋体"/>
                <w:color w:val="auto"/>
                <w:szCs w:val="21"/>
              </w:rPr>
              <w:t>内</w:t>
            </w:r>
            <w:r>
              <w:rPr>
                <w:rFonts w:hAnsi="宋体"/>
                <w:color w:val="auto"/>
                <w:szCs w:val="21"/>
              </w:rPr>
              <w:t>生产功能单元所处的位置划分为重点防渗区、一般防渗区以及</w:t>
            </w:r>
            <w:r>
              <w:rPr>
                <w:rFonts w:hint="eastAsia" w:hAnsi="宋体"/>
                <w:color w:val="auto"/>
                <w:szCs w:val="21"/>
              </w:rPr>
              <w:t>简单</w:t>
            </w:r>
            <w:r>
              <w:rPr>
                <w:rFonts w:hAnsi="宋体"/>
                <w:color w:val="auto"/>
                <w:szCs w:val="21"/>
              </w:rPr>
              <w:t>防渗区三类地下水污染防治区域：</w:t>
            </w:r>
          </w:p>
          <w:p w14:paraId="05D0A9E9">
            <w:pPr>
              <w:spacing w:line="360" w:lineRule="auto"/>
              <w:ind w:firstLine="420" w:firstLineChars="200"/>
              <w:rPr>
                <w:color w:val="auto"/>
                <w:szCs w:val="21"/>
              </w:rPr>
            </w:pPr>
            <w:r>
              <w:rPr>
                <w:rFonts w:hAnsi="宋体"/>
                <w:color w:val="auto"/>
                <w:szCs w:val="21"/>
              </w:rPr>
              <w:t>重点防渗区：</w:t>
            </w:r>
            <w:r>
              <w:rPr>
                <w:rFonts w:hint="eastAsia" w:hAnsi="宋体"/>
                <w:color w:val="auto"/>
                <w:szCs w:val="21"/>
              </w:rPr>
              <w:t>事故油池、排油管、事故油坑；</w:t>
            </w:r>
          </w:p>
          <w:p w14:paraId="1D7F022C">
            <w:pPr>
              <w:spacing w:line="360" w:lineRule="auto"/>
              <w:ind w:firstLine="420" w:firstLineChars="200"/>
              <w:rPr>
                <w:color w:val="auto"/>
                <w:szCs w:val="21"/>
              </w:rPr>
            </w:pPr>
            <w:r>
              <w:rPr>
                <w:rFonts w:hAnsi="宋体"/>
                <w:color w:val="auto"/>
                <w:szCs w:val="21"/>
              </w:rPr>
              <w:t>一般防渗区：</w:t>
            </w:r>
            <w:r>
              <w:rPr>
                <w:rFonts w:hint="eastAsia" w:hAnsi="宋体"/>
                <w:color w:val="auto"/>
                <w:szCs w:val="21"/>
              </w:rPr>
              <w:t>配电</w:t>
            </w:r>
            <w:r>
              <w:rPr>
                <w:rFonts w:hint="eastAsia" w:hAnsi="宋体"/>
                <w:color w:val="auto"/>
                <w:szCs w:val="21"/>
                <w:lang w:val="en-US" w:eastAsia="zh-CN"/>
              </w:rPr>
              <w:t>装置室</w:t>
            </w:r>
            <w:r>
              <w:rPr>
                <w:rFonts w:hint="eastAsia" w:hAnsi="宋体"/>
                <w:color w:val="auto"/>
                <w:szCs w:val="21"/>
              </w:rPr>
              <w:t>、化粪池；</w:t>
            </w:r>
          </w:p>
          <w:p w14:paraId="524183D5">
            <w:pPr>
              <w:spacing w:line="360" w:lineRule="auto"/>
              <w:ind w:firstLine="420" w:firstLineChars="200"/>
              <w:rPr>
                <w:rFonts w:hAnsi="宋体"/>
                <w:color w:val="auto"/>
                <w:szCs w:val="21"/>
              </w:rPr>
            </w:pPr>
            <w:r>
              <w:rPr>
                <w:rFonts w:hint="eastAsia" w:hAnsi="宋体"/>
                <w:color w:val="auto"/>
                <w:szCs w:val="21"/>
              </w:rPr>
              <w:t>简单防渗区：除事故油池、排油管、化粪池和</w:t>
            </w:r>
            <w:r>
              <w:rPr>
                <w:rFonts w:hint="eastAsia" w:hAnsi="宋体"/>
                <w:color w:val="auto"/>
                <w:szCs w:val="21"/>
                <w:lang w:eastAsia="zh-CN"/>
              </w:rPr>
              <w:t>配电装置室</w:t>
            </w:r>
            <w:r>
              <w:rPr>
                <w:rFonts w:hint="eastAsia" w:hAnsi="宋体"/>
                <w:color w:val="auto"/>
                <w:szCs w:val="21"/>
              </w:rPr>
              <w:t>之外的区域。</w:t>
            </w:r>
          </w:p>
          <w:p w14:paraId="17C384D2">
            <w:pPr>
              <w:jc w:val="center"/>
              <w:outlineLvl w:val="0"/>
              <w:rPr>
                <w:rFonts w:hAnsi="黑体" w:eastAsia="黑体"/>
                <w:color w:val="auto"/>
                <w:szCs w:val="21"/>
              </w:rPr>
            </w:pPr>
            <w:r>
              <w:rPr>
                <w:rFonts w:hAnsi="黑体" w:eastAsia="黑体"/>
                <w:color w:val="auto"/>
                <w:szCs w:val="21"/>
              </w:rPr>
              <w:t>表</w:t>
            </w:r>
            <w:r>
              <w:rPr>
                <w:rFonts w:hint="eastAsia" w:eastAsia="黑体"/>
                <w:color w:val="auto"/>
                <w:szCs w:val="21"/>
              </w:rPr>
              <w:t>4-</w:t>
            </w:r>
            <w:r>
              <w:rPr>
                <w:rFonts w:hint="eastAsia" w:eastAsia="黑体"/>
                <w:color w:val="auto"/>
                <w:szCs w:val="21"/>
                <w:lang w:val="en-US" w:eastAsia="zh-CN"/>
              </w:rPr>
              <w:t>6</w:t>
            </w:r>
            <w:r>
              <w:rPr>
                <w:rFonts w:eastAsia="黑体"/>
                <w:color w:val="auto"/>
                <w:szCs w:val="21"/>
              </w:rPr>
              <w:t xml:space="preserve">  </w:t>
            </w:r>
            <w:r>
              <w:rPr>
                <w:rFonts w:hint="eastAsia" w:hAnsi="黑体" w:eastAsia="黑体"/>
                <w:color w:val="auto"/>
                <w:szCs w:val="21"/>
              </w:rPr>
              <w:t>本项目</w:t>
            </w:r>
            <w:r>
              <w:rPr>
                <w:rFonts w:hAnsi="黑体" w:eastAsia="黑体"/>
                <w:color w:val="auto"/>
                <w:szCs w:val="21"/>
              </w:rPr>
              <w:t>分区防渗情况一览表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891"/>
              <w:gridCol w:w="1017"/>
              <w:gridCol w:w="805"/>
              <w:gridCol w:w="671"/>
              <w:gridCol w:w="1611"/>
              <w:gridCol w:w="1782"/>
            </w:tblGrid>
            <w:tr w14:paraId="098AE1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97" w:type="dxa"/>
                  <w:gridSpan w:val="2"/>
                  <w:tcBorders>
                    <w:tl2br w:val="nil"/>
                    <w:tr2bl w:val="nil"/>
                  </w:tcBorders>
                  <w:vAlign w:val="center"/>
                </w:tcPr>
                <w:p w14:paraId="54F64AB6">
                  <w:pPr>
                    <w:ind w:left="-105" w:leftChars="-50" w:right="-105" w:rightChars="-50"/>
                    <w:jc w:val="center"/>
                    <w:outlineLvl w:val="1"/>
                    <w:rPr>
                      <w:color w:val="auto"/>
                      <w:sz w:val="18"/>
                      <w:szCs w:val="18"/>
                    </w:rPr>
                  </w:pPr>
                  <w:r>
                    <w:rPr>
                      <w:rFonts w:hAnsi="宋体"/>
                      <w:color w:val="auto"/>
                      <w:sz w:val="18"/>
                      <w:szCs w:val="18"/>
                    </w:rPr>
                    <w:t>防渗分区</w:t>
                  </w:r>
                </w:p>
              </w:tc>
              <w:tc>
                <w:tcPr>
                  <w:tcW w:w="1018" w:type="dxa"/>
                  <w:tcBorders>
                    <w:tl2br w:val="nil"/>
                    <w:tr2bl w:val="nil"/>
                  </w:tcBorders>
                  <w:vAlign w:val="center"/>
                </w:tcPr>
                <w:p w14:paraId="1F5D624B">
                  <w:pPr>
                    <w:ind w:left="-105" w:leftChars="-50" w:right="-105" w:rightChars="-50"/>
                    <w:jc w:val="center"/>
                    <w:outlineLvl w:val="1"/>
                    <w:rPr>
                      <w:color w:val="auto"/>
                      <w:sz w:val="18"/>
                      <w:szCs w:val="18"/>
                    </w:rPr>
                  </w:pPr>
                  <w:r>
                    <w:rPr>
                      <w:rFonts w:hAnsi="宋体"/>
                      <w:color w:val="auto"/>
                      <w:sz w:val="18"/>
                      <w:szCs w:val="18"/>
                    </w:rPr>
                    <w:t>天然包气带防污性能</w:t>
                  </w:r>
                </w:p>
              </w:tc>
              <w:tc>
                <w:tcPr>
                  <w:tcW w:w="805" w:type="dxa"/>
                  <w:tcBorders>
                    <w:tl2br w:val="nil"/>
                    <w:tr2bl w:val="nil"/>
                  </w:tcBorders>
                  <w:vAlign w:val="center"/>
                </w:tcPr>
                <w:p w14:paraId="35E97EFD">
                  <w:pPr>
                    <w:ind w:left="-105" w:leftChars="-50" w:right="-105" w:rightChars="-50"/>
                    <w:jc w:val="center"/>
                    <w:outlineLvl w:val="1"/>
                    <w:rPr>
                      <w:color w:val="auto"/>
                      <w:sz w:val="18"/>
                      <w:szCs w:val="18"/>
                    </w:rPr>
                  </w:pPr>
                  <w:r>
                    <w:rPr>
                      <w:rFonts w:hAnsi="宋体"/>
                      <w:color w:val="auto"/>
                      <w:sz w:val="18"/>
                      <w:szCs w:val="18"/>
                    </w:rPr>
                    <w:t>污染控制难易程度</w:t>
                  </w:r>
                </w:p>
              </w:tc>
              <w:tc>
                <w:tcPr>
                  <w:tcW w:w="671" w:type="dxa"/>
                  <w:tcBorders>
                    <w:tl2br w:val="nil"/>
                    <w:tr2bl w:val="nil"/>
                  </w:tcBorders>
                  <w:vAlign w:val="center"/>
                </w:tcPr>
                <w:p w14:paraId="7A480A59">
                  <w:pPr>
                    <w:ind w:left="-105" w:leftChars="-50" w:right="-105" w:rightChars="-50"/>
                    <w:jc w:val="center"/>
                    <w:outlineLvl w:val="1"/>
                    <w:rPr>
                      <w:color w:val="auto"/>
                      <w:sz w:val="18"/>
                      <w:szCs w:val="18"/>
                    </w:rPr>
                  </w:pPr>
                  <w:r>
                    <w:rPr>
                      <w:rFonts w:hAnsi="宋体"/>
                      <w:color w:val="auto"/>
                      <w:sz w:val="18"/>
                      <w:szCs w:val="18"/>
                    </w:rPr>
                    <w:t>污染物类型</w:t>
                  </w:r>
                </w:p>
              </w:tc>
              <w:tc>
                <w:tcPr>
                  <w:tcW w:w="1611" w:type="dxa"/>
                  <w:tcBorders>
                    <w:tl2br w:val="nil"/>
                    <w:tr2bl w:val="nil"/>
                  </w:tcBorders>
                  <w:vAlign w:val="center"/>
                </w:tcPr>
                <w:p w14:paraId="7F5997DC">
                  <w:pPr>
                    <w:ind w:left="-105" w:leftChars="-50" w:right="-105" w:rightChars="-50"/>
                    <w:jc w:val="center"/>
                    <w:outlineLvl w:val="1"/>
                    <w:rPr>
                      <w:color w:val="auto"/>
                      <w:sz w:val="18"/>
                      <w:szCs w:val="18"/>
                    </w:rPr>
                  </w:pPr>
                  <w:r>
                    <w:rPr>
                      <w:rFonts w:hAnsi="宋体"/>
                      <w:color w:val="auto"/>
                      <w:sz w:val="18"/>
                      <w:szCs w:val="18"/>
                    </w:rPr>
                    <w:t>防渗技术要求</w:t>
                  </w:r>
                </w:p>
              </w:tc>
              <w:tc>
                <w:tcPr>
                  <w:tcW w:w="1783" w:type="dxa"/>
                  <w:tcBorders>
                    <w:tl2br w:val="nil"/>
                    <w:tr2bl w:val="nil"/>
                  </w:tcBorders>
                  <w:vAlign w:val="center"/>
                </w:tcPr>
                <w:p w14:paraId="41A73AEA">
                  <w:pPr>
                    <w:ind w:left="-105" w:leftChars="-50" w:right="-105" w:rightChars="-50"/>
                    <w:jc w:val="center"/>
                    <w:outlineLvl w:val="1"/>
                    <w:rPr>
                      <w:color w:val="auto"/>
                      <w:sz w:val="18"/>
                      <w:szCs w:val="18"/>
                    </w:rPr>
                  </w:pPr>
                  <w:r>
                    <w:rPr>
                      <w:color w:val="auto"/>
                      <w:sz w:val="18"/>
                      <w:szCs w:val="18"/>
                    </w:rPr>
                    <w:t>防渗措施</w:t>
                  </w:r>
                </w:p>
              </w:tc>
            </w:tr>
            <w:tr w14:paraId="39C37A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5" w:type="dxa"/>
                  <w:vMerge w:val="restart"/>
                  <w:tcBorders>
                    <w:tl2br w:val="nil"/>
                    <w:tr2bl w:val="nil"/>
                  </w:tcBorders>
                  <w:vAlign w:val="center"/>
                </w:tcPr>
                <w:p w14:paraId="274E9664">
                  <w:pPr>
                    <w:ind w:left="-105" w:leftChars="-50" w:right="-105" w:rightChars="-50"/>
                    <w:jc w:val="center"/>
                    <w:outlineLvl w:val="1"/>
                    <w:rPr>
                      <w:color w:val="auto"/>
                      <w:sz w:val="18"/>
                      <w:szCs w:val="18"/>
                    </w:rPr>
                  </w:pPr>
                  <w:r>
                    <w:rPr>
                      <w:rFonts w:hAnsi="宋体"/>
                      <w:color w:val="auto"/>
                      <w:sz w:val="18"/>
                      <w:szCs w:val="18"/>
                    </w:rPr>
                    <w:t>重点防渗区</w:t>
                  </w:r>
                </w:p>
              </w:tc>
              <w:tc>
                <w:tcPr>
                  <w:tcW w:w="1892" w:type="dxa"/>
                  <w:tcBorders>
                    <w:tl2br w:val="nil"/>
                    <w:tr2bl w:val="nil"/>
                  </w:tcBorders>
                  <w:vAlign w:val="center"/>
                </w:tcPr>
                <w:p w14:paraId="5460ABF4">
                  <w:pPr>
                    <w:ind w:left="-105" w:leftChars="-50" w:right="-105" w:rightChars="-50"/>
                    <w:jc w:val="center"/>
                    <w:outlineLvl w:val="0"/>
                    <w:rPr>
                      <w:color w:val="auto"/>
                      <w:sz w:val="18"/>
                      <w:szCs w:val="18"/>
                    </w:rPr>
                  </w:pPr>
                  <w:r>
                    <w:rPr>
                      <w:rFonts w:hint="eastAsia"/>
                      <w:color w:val="auto"/>
                      <w:sz w:val="18"/>
                      <w:szCs w:val="18"/>
                    </w:rPr>
                    <w:t>事故油池、事故油坑</w:t>
                  </w:r>
                </w:p>
              </w:tc>
              <w:tc>
                <w:tcPr>
                  <w:tcW w:w="1018" w:type="dxa"/>
                  <w:vMerge w:val="restart"/>
                  <w:tcBorders>
                    <w:tl2br w:val="nil"/>
                    <w:tr2bl w:val="nil"/>
                  </w:tcBorders>
                  <w:vAlign w:val="center"/>
                </w:tcPr>
                <w:p w14:paraId="19216B98">
                  <w:pPr>
                    <w:ind w:left="-105" w:leftChars="-50" w:right="-105" w:rightChars="-50"/>
                    <w:jc w:val="center"/>
                    <w:outlineLvl w:val="1"/>
                    <w:rPr>
                      <w:color w:val="auto"/>
                      <w:sz w:val="18"/>
                      <w:szCs w:val="18"/>
                    </w:rPr>
                  </w:pPr>
                  <w:r>
                    <w:rPr>
                      <w:rFonts w:hAnsi="宋体"/>
                      <w:color w:val="auto"/>
                      <w:sz w:val="18"/>
                      <w:szCs w:val="18"/>
                    </w:rPr>
                    <w:t>中</w:t>
                  </w:r>
                </w:p>
              </w:tc>
              <w:tc>
                <w:tcPr>
                  <w:tcW w:w="805" w:type="dxa"/>
                  <w:vMerge w:val="restart"/>
                  <w:tcBorders>
                    <w:tl2br w:val="nil"/>
                    <w:tr2bl w:val="nil"/>
                  </w:tcBorders>
                  <w:vAlign w:val="center"/>
                </w:tcPr>
                <w:p w14:paraId="39A08968">
                  <w:pPr>
                    <w:ind w:left="-105" w:leftChars="-50" w:right="-105" w:rightChars="-50"/>
                    <w:jc w:val="center"/>
                    <w:outlineLvl w:val="1"/>
                    <w:rPr>
                      <w:color w:val="auto"/>
                      <w:sz w:val="18"/>
                      <w:szCs w:val="18"/>
                    </w:rPr>
                  </w:pPr>
                  <w:r>
                    <w:rPr>
                      <w:rFonts w:hAnsi="宋体"/>
                      <w:color w:val="auto"/>
                      <w:sz w:val="18"/>
                      <w:szCs w:val="18"/>
                    </w:rPr>
                    <w:t>易</w:t>
                  </w:r>
                </w:p>
              </w:tc>
              <w:tc>
                <w:tcPr>
                  <w:tcW w:w="671" w:type="dxa"/>
                  <w:vMerge w:val="restart"/>
                  <w:tcBorders>
                    <w:tl2br w:val="nil"/>
                    <w:tr2bl w:val="nil"/>
                  </w:tcBorders>
                  <w:vAlign w:val="center"/>
                </w:tcPr>
                <w:p w14:paraId="57A43363">
                  <w:pPr>
                    <w:ind w:left="-105" w:leftChars="-50" w:right="-105" w:rightChars="-50"/>
                    <w:jc w:val="center"/>
                    <w:outlineLvl w:val="1"/>
                    <w:rPr>
                      <w:color w:val="auto"/>
                      <w:sz w:val="18"/>
                      <w:szCs w:val="18"/>
                    </w:rPr>
                  </w:pPr>
                  <w:r>
                    <w:rPr>
                      <w:rFonts w:hAnsi="宋体"/>
                      <w:color w:val="auto"/>
                      <w:sz w:val="18"/>
                      <w:szCs w:val="18"/>
                    </w:rPr>
                    <w:t>其他类型</w:t>
                  </w:r>
                </w:p>
              </w:tc>
              <w:tc>
                <w:tcPr>
                  <w:tcW w:w="1611" w:type="dxa"/>
                  <w:vMerge w:val="restart"/>
                  <w:tcBorders>
                    <w:tl2br w:val="nil"/>
                    <w:tr2bl w:val="nil"/>
                  </w:tcBorders>
                  <w:vAlign w:val="center"/>
                </w:tcPr>
                <w:p w14:paraId="11A7C392">
                  <w:pPr>
                    <w:ind w:left="-105" w:leftChars="-50" w:right="-105" w:rightChars="-50"/>
                    <w:jc w:val="center"/>
                    <w:outlineLvl w:val="1"/>
                    <w:rPr>
                      <w:color w:val="auto"/>
                      <w:sz w:val="18"/>
                      <w:szCs w:val="18"/>
                    </w:rPr>
                  </w:pPr>
                  <w:r>
                    <w:rPr>
                      <w:rFonts w:hint="default" w:ascii="Times New Roman" w:hAnsi="Times New Roman" w:cs="Times New Roman"/>
                      <w:color w:val="auto"/>
                      <w:sz w:val="18"/>
                      <w:szCs w:val="18"/>
                      <w:highlight w:val="none"/>
                    </w:rPr>
                    <w:t>K≤1×10</w:t>
                  </w:r>
                  <w:r>
                    <w:rPr>
                      <w:rFonts w:hint="default" w:ascii="Times New Roman" w:hAnsi="Times New Roman" w:cs="Times New Roman"/>
                      <w:color w:val="auto"/>
                      <w:sz w:val="18"/>
                      <w:szCs w:val="18"/>
                      <w:highlight w:val="none"/>
                      <w:vertAlign w:val="superscript"/>
                    </w:rPr>
                    <w:t>-</w:t>
                  </w:r>
                  <w:r>
                    <w:rPr>
                      <w:rFonts w:hint="default" w:ascii="Times New Roman" w:hAnsi="Times New Roman" w:cs="Times New Roman"/>
                      <w:color w:val="auto"/>
                      <w:sz w:val="18"/>
                      <w:szCs w:val="18"/>
                      <w:highlight w:val="none"/>
                      <w:vertAlign w:val="superscript"/>
                      <w:lang w:val="en-US" w:eastAsia="zh-CN"/>
                    </w:rPr>
                    <w:t>10</w:t>
                  </w:r>
                  <w:r>
                    <w:rPr>
                      <w:rFonts w:hint="default" w:ascii="Times New Roman" w:hAnsi="Times New Roman" w:cs="Times New Roman"/>
                      <w:color w:val="auto"/>
                      <w:sz w:val="18"/>
                      <w:szCs w:val="18"/>
                      <w:highlight w:val="none"/>
                    </w:rPr>
                    <w:t>cm/s</w:t>
                  </w:r>
                </w:p>
              </w:tc>
              <w:tc>
                <w:tcPr>
                  <w:tcW w:w="1783" w:type="dxa"/>
                  <w:tcBorders>
                    <w:tl2br w:val="nil"/>
                    <w:tr2bl w:val="nil"/>
                  </w:tcBorders>
                  <w:vAlign w:val="center"/>
                </w:tcPr>
                <w:p w14:paraId="63568E4F">
                  <w:pPr>
                    <w:ind w:left="-105" w:leftChars="-50" w:right="-105" w:rightChars="-50"/>
                    <w:jc w:val="center"/>
                    <w:outlineLvl w:val="1"/>
                    <w:rPr>
                      <w:rFonts w:hint="default" w:eastAsia="宋体"/>
                      <w:color w:val="auto"/>
                      <w:sz w:val="18"/>
                      <w:szCs w:val="18"/>
                      <w:lang w:val="en-US" w:eastAsia="zh-CN"/>
                    </w:rPr>
                  </w:pPr>
                  <w:r>
                    <w:rPr>
                      <w:color w:val="auto"/>
                      <w:sz w:val="18"/>
                      <w:szCs w:val="18"/>
                    </w:rPr>
                    <w:t>防渗</w:t>
                  </w:r>
                  <w:r>
                    <w:rPr>
                      <w:rFonts w:hint="eastAsia"/>
                      <w:color w:val="auto"/>
                      <w:sz w:val="18"/>
                      <w:szCs w:val="18"/>
                    </w:rPr>
                    <w:t>混凝土</w:t>
                  </w:r>
                  <w:r>
                    <w:rPr>
                      <w:color w:val="auto"/>
                      <w:sz w:val="18"/>
                      <w:szCs w:val="18"/>
                    </w:rPr>
                    <w:t>抹平</w:t>
                  </w:r>
                  <w:r>
                    <w:rPr>
                      <w:rFonts w:hint="eastAsia"/>
                      <w:color w:val="auto"/>
                      <w:sz w:val="18"/>
                      <w:szCs w:val="18"/>
                    </w:rPr>
                    <w:t>，</w:t>
                  </w:r>
                  <w:r>
                    <w:rPr>
                      <w:color w:val="auto"/>
                      <w:sz w:val="18"/>
                      <w:szCs w:val="18"/>
                    </w:rPr>
                    <w:t>并</w:t>
                  </w:r>
                  <w:r>
                    <w:rPr>
                      <w:rFonts w:hint="eastAsia"/>
                      <w:color w:val="auto"/>
                      <w:sz w:val="18"/>
                      <w:szCs w:val="18"/>
                    </w:rPr>
                    <w:t>铺设2mmHDPE膜</w:t>
                  </w:r>
                  <w:r>
                    <w:rPr>
                      <w:rFonts w:hint="eastAsia"/>
                      <w:sz w:val="18"/>
                      <w:szCs w:val="18"/>
                      <w:lang w:val="en-US" w:eastAsia="zh-CN"/>
                    </w:rPr>
                    <w:t>或其他相同等效防渗效果的防渗措施</w:t>
                  </w:r>
                </w:p>
              </w:tc>
            </w:tr>
            <w:tr w14:paraId="1DACC3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5" w:type="dxa"/>
                  <w:vMerge w:val="continue"/>
                  <w:tcBorders>
                    <w:tl2br w:val="nil"/>
                    <w:tr2bl w:val="nil"/>
                  </w:tcBorders>
                  <w:vAlign w:val="center"/>
                </w:tcPr>
                <w:p w14:paraId="5F10829E">
                  <w:pPr>
                    <w:ind w:left="-105" w:leftChars="-50" w:right="-105" w:rightChars="-50"/>
                    <w:jc w:val="center"/>
                    <w:outlineLvl w:val="1"/>
                    <w:rPr>
                      <w:rFonts w:hAnsi="宋体"/>
                      <w:color w:val="auto"/>
                      <w:sz w:val="18"/>
                      <w:szCs w:val="18"/>
                    </w:rPr>
                  </w:pPr>
                </w:p>
              </w:tc>
              <w:tc>
                <w:tcPr>
                  <w:tcW w:w="1892" w:type="dxa"/>
                  <w:tcBorders>
                    <w:tl2br w:val="nil"/>
                    <w:tr2bl w:val="nil"/>
                  </w:tcBorders>
                  <w:vAlign w:val="center"/>
                </w:tcPr>
                <w:p w14:paraId="5C7BB436">
                  <w:pPr>
                    <w:ind w:left="-105" w:leftChars="-50" w:right="-105" w:rightChars="-50"/>
                    <w:jc w:val="center"/>
                    <w:outlineLvl w:val="0"/>
                    <w:rPr>
                      <w:color w:val="auto"/>
                      <w:sz w:val="18"/>
                      <w:szCs w:val="18"/>
                    </w:rPr>
                  </w:pPr>
                  <w:r>
                    <w:rPr>
                      <w:rFonts w:hint="eastAsia"/>
                      <w:color w:val="auto"/>
                      <w:sz w:val="18"/>
                      <w:szCs w:val="18"/>
                    </w:rPr>
                    <w:t>排油管</w:t>
                  </w:r>
                </w:p>
              </w:tc>
              <w:tc>
                <w:tcPr>
                  <w:tcW w:w="1018" w:type="dxa"/>
                  <w:vMerge w:val="continue"/>
                  <w:tcBorders>
                    <w:tl2br w:val="nil"/>
                    <w:tr2bl w:val="nil"/>
                  </w:tcBorders>
                  <w:vAlign w:val="center"/>
                </w:tcPr>
                <w:p w14:paraId="5E206F91">
                  <w:pPr>
                    <w:ind w:left="-105" w:leftChars="-50" w:right="-105" w:rightChars="-50"/>
                    <w:jc w:val="center"/>
                    <w:outlineLvl w:val="1"/>
                    <w:rPr>
                      <w:rFonts w:hAnsi="宋体"/>
                      <w:color w:val="auto"/>
                      <w:sz w:val="18"/>
                      <w:szCs w:val="18"/>
                    </w:rPr>
                  </w:pPr>
                </w:p>
              </w:tc>
              <w:tc>
                <w:tcPr>
                  <w:tcW w:w="805" w:type="dxa"/>
                  <w:vMerge w:val="continue"/>
                  <w:tcBorders>
                    <w:tl2br w:val="nil"/>
                    <w:tr2bl w:val="nil"/>
                  </w:tcBorders>
                  <w:vAlign w:val="center"/>
                </w:tcPr>
                <w:p w14:paraId="4931C90E">
                  <w:pPr>
                    <w:ind w:left="-105" w:leftChars="-50" w:right="-105" w:rightChars="-50"/>
                    <w:jc w:val="center"/>
                    <w:outlineLvl w:val="1"/>
                    <w:rPr>
                      <w:rFonts w:hAnsi="宋体"/>
                      <w:color w:val="auto"/>
                      <w:sz w:val="18"/>
                      <w:szCs w:val="18"/>
                    </w:rPr>
                  </w:pPr>
                </w:p>
              </w:tc>
              <w:tc>
                <w:tcPr>
                  <w:tcW w:w="671" w:type="dxa"/>
                  <w:vMerge w:val="continue"/>
                  <w:tcBorders>
                    <w:tl2br w:val="nil"/>
                    <w:tr2bl w:val="nil"/>
                  </w:tcBorders>
                  <w:vAlign w:val="center"/>
                </w:tcPr>
                <w:p w14:paraId="2B229B8B">
                  <w:pPr>
                    <w:ind w:left="-105" w:leftChars="-50" w:right="-105" w:rightChars="-50"/>
                    <w:jc w:val="center"/>
                    <w:outlineLvl w:val="1"/>
                    <w:rPr>
                      <w:rFonts w:hAnsi="宋体"/>
                      <w:color w:val="auto"/>
                      <w:sz w:val="18"/>
                      <w:szCs w:val="18"/>
                    </w:rPr>
                  </w:pPr>
                </w:p>
              </w:tc>
              <w:tc>
                <w:tcPr>
                  <w:tcW w:w="1611" w:type="dxa"/>
                  <w:vMerge w:val="continue"/>
                  <w:tcBorders>
                    <w:tl2br w:val="nil"/>
                    <w:tr2bl w:val="nil"/>
                  </w:tcBorders>
                  <w:vAlign w:val="center"/>
                </w:tcPr>
                <w:p w14:paraId="7C74DE2F">
                  <w:pPr>
                    <w:ind w:left="-105" w:leftChars="-50" w:right="-105" w:rightChars="-50"/>
                    <w:jc w:val="center"/>
                    <w:outlineLvl w:val="1"/>
                    <w:rPr>
                      <w:color w:val="auto"/>
                      <w:sz w:val="18"/>
                      <w:szCs w:val="18"/>
                    </w:rPr>
                  </w:pPr>
                </w:p>
              </w:tc>
              <w:tc>
                <w:tcPr>
                  <w:tcW w:w="1783" w:type="dxa"/>
                  <w:tcBorders>
                    <w:tl2br w:val="nil"/>
                    <w:tr2bl w:val="nil"/>
                  </w:tcBorders>
                  <w:vAlign w:val="center"/>
                </w:tcPr>
                <w:p w14:paraId="6F80A959">
                  <w:pPr>
                    <w:ind w:left="-105" w:leftChars="-50" w:right="-105" w:rightChars="-50"/>
                    <w:jc w:val="center"/>
                    <w:outlineLvl w:val="1"/>
                    <w:rPr>
                      <w:rFonts w:hint="eastAsia" w:eastAsia="宋体"/>
                      <w:color w:val="auto"/>
                      <w:sz w:val="18"/>
                      <w:szCs w:val="18"/>
                      <w:lang w:val="en-US" w:eastAsia="zh-CN"/>
                    </w:rPr>
                  </w:pPr>
                  <w:r>
                    <w:rPr>
                      <w:rFonts w:hint="eastAsia"/>
                      <w:color w:val="auto"/>
                      <w:sz w:val="18"/>
                      <w:szCs w:val="18"/>
                    </w:rPr>
                    <w:t>内壁涂抹环氧树脂的镀锌钢管，且预埋套管处使用沥青密封材料。</w:t>
                  </w:r>
                  <w:r>
                    <w:rPr>
                      <w:rFonts w:hint="eastAsia"/>
                      <w:color w:val="auto"/>
                      <w:sz w:val="18"/>
                      <w:szCs w:val="18"/>
                      <w:lang w:val="en-US" w:eastAsia="zh-CN"/>
                    </w:rPr>
                    <w:t>排油管下方区域采用</w:t>
                  </w:r>
                  <w:r>
                    <w:rPr>
                      <w:color w:val="auto"/>
                      <w:sz w:val="18"/>
                      <w:szCs w:val="18"/>
                    </w:rPr>
                    <w:t>防渗</w:t>
                  </w:r>
                  <w:r>
                    <w:rPr>
                      <w:rFonts w:hint="eastAsia"/>
                      <w:color w:val="auto"/>
                      <w:sz w:val="18"/>
                      <w:szCs w:val="18"/>
                    </w:rPr>
                    <w:t>混凝土</w:t>
                  </w:r>
                  <w:r>
                    <w:rPr>
                      <w:color w:val="auto"/>
                      <w:sz w:val="18"/>
                      <w:szCs w:val="18"/>
                    </w:rPr>
                    <w:t>抹平</w:t>
                  </w:r>
                  <w:r>
                    <w:rPr>
                      <w:rFonts w:hint="eastAsia"/>
                      <w:sz w:val="18"/>
                      <w:szCs w:val="18"/>
                      <w:lang w:val="en-US" w:eastAsia="zh-CN"/>
                    </w:rPr>
                    <w:t>或其他相同等效防渗效果的防渗措施</w:t>
                  </w:r>
                  <w:r>
                    <w:rPr>
                      <w:rFonts w:hint="eastAsia"/>
                      <w:color w:val="auto"/>
                      <w:sz w:val="18"/>
                      <w:szCs w:val="18"/>
                      <w:lang w:eastAsia="zh-CN"/>
                    </w:rPr>
                    <w:t>。</w:t>
                  </w:r>
                </w:p>
              </w:tc>
            </w:tr>
            <w:tr w14:paraId="20F3F3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805" w:type="dxa"/>
                  <w:tcBorders>
                    <w:tl2br w:val="nil"/>
                    <w:tr2bl w:val="nil"/>
                  </w:tcBorders>
                  <w:vAlign w:val="center"/>
                </w:tcPr>
                <w:p w14:paraId="71DF397F">
                  <w:pPr>
                    <w:ind w:left="-105" w:leftChars="-50" w:right="-105" w:rightChars="-50"/>
                    <w:jc w:val="center"/>
                    <w:rPr>
                      <w:color w:val="auto"/>
                      <w:sz w:val="18"/>
                      <w:szCs w:val="18"/>
                    </w:rPr>
                  </w:pPr>
                  <w:r>
                    <w:rPr>
                      <w:color w:val="auto"/>
                      <w:sz w:val="18"/>
                      <w:szCs w:val="18"/>
                    </w:rPr>
                    <w:t>一般防渗区</w:t>
                  </w:r>
                </w:p>
              </w:tc>
              <w:tc>
                <w:tcPr>
                  <w:tcW w:w="1892" w:type="dxa"/>
                  <w:tcBorders>
                    <w:tl2br w:val="nil"/>
                    <w:tr2bl w:val="nil"/>
                  </w:tcBorders>
                  <w:vAlign w:val="center"/>
                </w:tcPr>
                <w:p w14:paraId="313232D4">
                  <w:pPr>
                    <w:ind w:left="-105" w:leftChars="-50" w:right="-105" w:rightChars="-50"/>
                    <w:jc w:val="center"/>
                    <w:rPr>
                      <w:color w:val="auto"/>
                      <w:sz w:val="18"/>
                      <w:szCs w:val="18"/>
                    </w:rPr>
                  </w:pPr>
                  <w:r>
                    <w:rPr>
                      <w:rFonts w:hint="eastAsia"/>
                      <w:color w:val="auto"/>
                      <w:sz w:val="18"/>
                      <w:szCs w:val="18"/>
                      <w:lang w:eastAsia="zh-CN"/>
                    </w:rPr>
                    <w:t>配电装置室</w:t>
                  </w:r>
                  <w:r>
                    <w:rPr>
                      <w:rFonts w:hint="eastAsia"/>
                      <w:color w:val="auto"/>
                      <w:sz w:val="18"/>
                      <w:szCs w:val="18"/>
                    </w:rPr>
                    <w:t>、化粪池</w:t>
                  </w:r>
                </w:p>
              </w:tc>
              <w:tc>
                <w:tcPr>
                  <w:tcW w:w="1018" w:type="dxa"/>
                  <w:tcBorders>
                    <w:tl2br w:val="nil"/>
                    <w:tr2bl w:val="nil"/>
                  </w:tcBorders>
                  <w:vAlign w:val="center"/>
                </w:tcPr>
                <w:p w14:paraId="0B22F0B2">
                  <w:pPr>
                    <w:ind w:left="-105" w:leftChars="-50" w:right="-105" w:rightChars="-50"/>
                    <w:jc w:val="center"/>
                    <w:rPr>
                      <w:color w:val="auto"/>
                      <w:sz w:val="18"/>
                      <w:szCs w:val="18"/>
                    </w:rPr>
                  </w:pPr>
                  <w:r>
                    <w:rPr>
                      <w:color w:val="auto"/>
                      <w:sz w:val="18"/>
                      <w:szCs w:val="18"/>
                    </w:rPr>
                    <w:t>中</w:t>
                  </w:r>
                </w:p>
              </w:tc>
              <w:tc>
                <w:tcPr>
                  <w:tcW w:w="805" w:type="dxa"/>
                  <w:tcBorders>
                    <w:tl2br w:val="nil"/>
                    <w:tr2bl w:val="nil"/>
                  </w:tcBorders>
                  <w:vAlign w:val="center"/>
                </w:tcPr>
                <w:p w14:paraId="0C714672">
                  <w:pPr>
                    <w:ind w:left="-105" w:leftChars="-50" w:right="-105" w:rightChars="-50"/>
                    <w:jc w:val="center"/>
                    <w:rPr>
                      <w:color w:val="auto"/>
                      <w:sz w:val="18"/>
                      <w:szCs w:val="18"/>
                    </w:rPr>
                  </w:pPr>
                  <w:r>
                    <w:rPr>
                      <w:color w:val="auto"/>
                      <w:sz w:val="18"/>
                      <w:szCs w:val="18"/>
                    </w:rPr>
                    <w:t>易</w:t>
                  </w:r>
                </w:p>
              </w:tc>
              <w:tc>
                <w:tcPr>
                  <w:tcW w:w="671" w:type="dxa"/>
                  <w:tcBorders>
                    <w:tl2br w:val="nil"/>
                    <w:tr2bl w:val="nil"/>
                  </w:tcBorders>
                  <w:vAlign w:val="center"/>
                </w:tcPr>
                <w:p w14:paraId="55D12D27">
                  <w:pPr>
                    <w:ind w:left="-105" w:leftChars="-50" w:right="-105" w:rightChars="-50"/>
                    <w:jc w:val="center"/>
                    <w:rPr>
                      <w:color w:val="auto"/>
                      <w:sz w:val="18"/>
                      <w:szCs w:val="18"/>
                    </w:rPr>
                  </w:pPr>
                  <w:r>
                    <w:rPr>
                      <w:color w:val="auto"/>
                      <w:sz w:val="18"/>
                      <w:szCs w:val="18"/>
                    </w:rPr>
                    <w:t>其他类型</w:t>
                  </w:r>
                </w:p>
              </w:tc>
              <w:tc>
                <w:tcPr>
                  <w:tcW w:w="1611" w:type="dxa"/>
                  <w:tcBorders>
                    <w:tl2br w:val="nil"/>
                    <w:tr2bl w:val="nil"/>
                  </w:tcBorders>
                  <w:vAlign w:val="center"/>
                </w:tcPr>
                <w:p w14:paraId="7DAC1C44">
                  <w:pPr>
                    <w:ind w:left="-105" w:leftChars="-50" w:right="-105" w:rightChars="-50"/>
                    <w:jc w:val="center"/>
                    <w:rPr>
                      <w:color w:val="auto"/>
                      <w:sz w:val="18"/>
                      <w:szCs w:val="18"/>
                    </w:rPr>
                  </w:pPr>
                  <w:r>
                    <w:rPr>
                      <w:color w:val="auto"/>
                      <w:sz w:val="18"/>
                      <w:szCs w:val="18"/>
                    </w:rPr>
                    <w:t>等效黏土防渗层Mb≥</w:t>
                  </w:r>
                  <w:r>
                    <w:rPr>
                      <w:rFonts w:hint="eastAsia"/>
                      <w:color w:val="auto"/>
                      <w:sz w:val="18"/>
                      <w:szCs w:val="18"/>
                    </w:rPr>
                    <w:t>1.5</w:t>
                  </w:r>
                  <w:r>
                    <w:rPr>
                      <w:color w:val="auto"/>
                      <w:sz w:val="18"/>
                      <w:szCs w:val="18"/>
                    </w:rPr>
                    <w:t>m，</w:t>
                  </w:r>
                </w:p>
                <w:p w14:paraId="4E3D3249">
                  <w:pPr>
                    <w:ind w:left="-105" w:leftChars="-50" w:right="-105" w:rightChars="-50"/>
                    <w:jc w:val="center"/>
                    <w:rPr>
                      <w:color w:val="auto"/>
                      <w:sz w:val="18"/>
                      <w:szCs w:val="18"/>
                    </w:rPr>
                  </w:pPr>
                  <w:r>
                    <w:rPr>
                      <w:rFonts w:hint="eastAsia"/>
                      <w:color w:val="auto"/>
                      <w:sz w:val="18"/>
                      <w:szCs w:val="18"/>
                    </w:rPr>
                    <w:t>K≤1×10</w:t>
                  </w:r>
                  <w:r>
                    <w:rPr>
                      <w:rFonts w:hint="eastAsia"/>
                      <w:color w:val="auto"/>
                      <w:sz w:val="18"/>
                      <w:szCs w:val="18"/>
                      <w:vertAlign w:val="superscript"/>
                    </w:rPr>
                    <w:t>-7</w:t>
                  </w:r>
                  <w:r>
                    <w:rPr>
                      <w:rFonts w:hint="eastAsia"/>
                      <w:color w:val="auto"/>
                      <w:sz w:val="18"/>
                      <w:szCs w:val="18"/>
                    </w:rPr>
                    <w:t>cm/s</w:t>
                  </w:r>
                </w:p>
              </w:tc>
              <w:tc>
                <w:tcPr>
                  <w:tcW w:w="1783" w:type="dxa"/>
                  <w:tcBorders>
                    <w:tl2br w:val="nil"/>
                    <w:tr2bl w:val="nil"/>
                  </w:tcBorders>
                  <w:vAlign w:val="center"/>
                </w:tcPr>
                <w:p w14:paraId="3D0A68EA">
                  <w:pPr>
                    <w:ind w:left="-105" w:leftChars="-50" w:right="-105" w:rightChars="-50"/>
                    <w:jc w:val="center"/>
                    <w:rPr>
                      <w:color w:val="auto"/>
                      <w:sz w:val="18"/>
                      <w:szCs w:val="18"/>
                    </w:rPr>
                  </w:pPr>
                  <w:r>
                    <w:rPr>
                      <w:color w:val="auto"/>
                      <w:sz w:val="18"/>
                      <w:szCs w:val="18"/>
                    </w:rPr>
                    <w:t>防渗</w:t>
                  </w:r>
                  <w:r>
                    <w:rPr>
                      <w:rFonts w:hint="eastAsia"/>
                      <w:color w:val="auto"/>
                      <w:sz w:val="18"/>
                      <w:szCs w:val="18"/>
                    </w:rPr>
                    <w:t>混凝土</w:t>
                  </w:r>
                  <w:r>
                    <w:rPr>
                      <w:color w:val="auto"/>
                      <w:sz w:val="18"/>
                      <w:szCs w:val="18"/>
                    </w:rPr>
                    <w:t>抹平</w:t>
                  </w:r>
                  <w:r>
                    <w:rPr>
                      <w:rFonts w:hint="eastAsia"/>
                      <w:sz w:val="18"/>
                      <w:szCs w:val="18"/>
                      <w:lang w:val="en-US" w:eastAsia="zh-CN"/>
                    </w:rPr>
                    <w:t>或其他相同等效防渗效果的防渗措施</w:t>
                  </w:r>
                </w:p>
              </w:tc>
            </w:tr>
            <w:tr w14:paraId="22FA2B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5" w:type="dxa"/>
                  <w:tcBorders>
                    <w:tl2br w:val="nil"/>
                    <w:tr2bl w:val="nil"/>
                  </w:tcBorders>
                  <w:vAlign w:val="center"/>
                </w:tcPr>
                <w:p w14:paraId="7A4B5E3C">
                  <w:pPr>
                    <w:ind w:left="-105" w:leftChars="-50" w:right="-105" w:rightChars="-50"/>
                    <w:jc w:val="center"/>
                    <w:outlineLvl w:val="1"/>
                    <w:rPr>
                      <w:color w:val="auto"/>
                      <w:sz w:val="18"/>
                      <w:szCs w:val="18"/>
                    </w:rPr>
                  </w:pPr>
                  <w:r>
                    <w:rPr>
                      <w:rFonts w:hAnsi="宋体"/>
                      <w:color w:val="auto"/>
                      <w:sz w:val="18"/>
                      <w:szCs w:val="18"/>
                    </w:rPr>
                    <w:t>简单防渗区</w:t>
                  </w:r>
                </w:p>
              </w:tc>
              <w:tc>
                <w:tcPr>
                  <w:tcW w:w="1892" w:type="dxa"/>
                  <w:tcBorders>
                    <w:tl2br w:val="nil"/>
                    <w:tr2bl w:val="nil"/>
                  </w:tcBorders>
                  <w:vAlign w:val="center"/>
                </w:tcPr>
                <w:p w14:paraId="7C56FF40">
                  <w:pPr>
                    <w:ind w:left="-105" w:leftChars="-50" w:right="-105" w:rightChars="-50"/>
                    <w:jc w:val="center"/>
                    <w:outlineLvl w:val="1"/>
                    <w:rPr>
                      <w:color w:val="auto"/>
                      <w:sz w:val="18"/>
                      <w:szCs w:val="18"/>
                    </w:rPr>
                  </w:pPr>
                  <w:r>
                    <w:rPr>
                      <w:rFonts w:hint="eastAsia" w:hAnsi="宋体"/>
                      <w:color w:val="auto"/>
                      <w:sz w:val="18"/>
                      <w:szCs w:val="18"/>
                    </w:rPr>
                    <w:t>除事故油池、排油管、化粪池和</w:t>
                  </w:r>
                  <w:r>
                    <w:rPr>
                      <w:rFonts w:hint="eastAsia" w:hAnsi="宋体"/>
                      <w:color w:val="auto"/>
                      <w:sz w:val="18"/>
                      <w:szCs w:val="18"/>
                      <w:lang w:eastAsia="zh-CN"/>
                    </w:rPr>
                    <w:t>配电装置室</w:t>
                  </w:r>
                  <w:r>
                    <w:rPr>
                      <w:rFonts w:hint="eastAsia" w:hAnsi="宋体"/>
                      <w:color w:val="auto"/>
                      <w:sz w:val="18"/>
                      <w:szCs w:val="18"/>
                    </w:rPr>
                    <w:t>之外的区域</w:t>
                  </w:r>
                </w:p>
              </w:tc>
              <w:tc>
                <w:tcPr>
                  <w:tcW w:w="1018" w:type="dxa"/>
                  <w:tcBorders>
                    <w:tl2br w:val="nil"/>
                    <w:tr2bl w:val="nil"/>
                  </w:tcBorders>
                  <w:vAlign w:val="center"/>
                </w:tcPr>
                <w:p w14:paraId="2C8648EA">
                  <w:pPr>
                    <w:ind w:left="-105" w:leftChars="-50" w:right="-105" w:rightChars="-50"/>
                    <w:jc w:val="center"/>
                    <w:outlineLvl w:val="1"/>
                    <w:rPr>
                      <w:color w:val="auto"/>
                      <w:sz w:val="18"/>
                      <w:szCs w:val="18"/>
                    </w:rPr>
                  </w:pPr>
                  <w:r>
                    <w:rPr>
                      <w:rFonts w:hAnsi="宋体"/>
                      <w:color w:val="auto"/>
                      <w:sz w:val="18"/>
                      <w:szCs w:val="18"/>
                    </w:rPr>
                    <w:t>中</w:t>
                  </w:r>
                </w:p>
              </w:tc>
              <w:tc>
                <w:tcPr>
                  <w:tcW w:w="805" w:type="dxa"/>
                  <w:tcBorders>
                    <w:tl2br w:val="nil"/>
                    <w:tr2bl w:val="nil"/>
                  </w:tcBorders>
                  <w:vAlign w:val="center"/>
                </w:tcPr>
                <w:p w14:paraId="480C69DD">
                  <w:pPr>
                    <w:ind w:left="-105" w:leftChars="-50" w:right="-105" w:rightChars="-50"/>
                    <w:jc w:val="center"/>
                    <w:outlineLvl w:val="1"/>
                    <w:rPr>
                      <w:color w:val="auto"/>
                      <w:sz w:val="18"/>
                      <w:szCs w:val="18"/>
                    </w:rPr>
                  </w:pPr>
                  <w:r>
                    <w:rPr>
                      <w:rFonts w:hAnsi="宋体"/>
                      <w:color w:val="auto"/>
                      <w:sz w:val="18"/>
                      <w:szCs w:val="18"/>
                    </w:rPr>
                    <w:t>易</w:t>
                  </w:r>
                </w:p>
              </w:tc>
              <w:tc>
                <w:tcPr>
                  <w:tcW w:w="671" w:type="dxa"/>
                  <w:tcBorders>
                    <w:tl2br w:val="nil"/>
                    <w:tr2bl w:val="nil"/>
                  </w:tcBorders>
                  <w:vAlign w:val="center"/>
                </w:tcPr>
                <w:p w14:paraId="47D32BB2">
                  <w:pPr>
                    <w:ind w:left="-105" w:leftChars="-50" w:right="-105" w:rightChars="-50"/>
                    <w:jc w:val="center"/>
                    <w:outlineLvl w:val="1"/>
                    <w:rPr>
                      <w:color w:val="auto"/>
                      <w:sz w:val="18"/>
                      <w:szCs w:val="18"/>
                    </w:rPr>
                  </w:pPr>
                  <w:r>
                    <w:rPr>
                      <w:rFonts w:hAnsi="宋体"/>
                      <w:color w:val="auto"/>
                      <w:sz w:val="18"/>
                      <w:szCs w:val="18"/>
                    </w:rPr>
                    <w:t>其他类型</w:t>
                  </w:r>
                </w:p>
              </w:tc>
              <w:tc>
                <w:tcPr>
                  <w:tcW w:w="1611" w:type="dxa"/>
                  <w:tcBorders>
                    <w:tl2br w:val="nil"/>
                    <w:tr2bl w:val="nil"/>
                  </w:tcBorders>
                  <w:vAlign w:val="center"/>
                </w:tcPr>
                <w:p w14:paraId="15AA2679">
                  <w:pPr>
                    <w:ind w:left="-105" w:leftChars="-50" w:right="-105" w:rightChars="-50"/>
                    <w:jc w:val="center"/>
                    <w:outlineLvl w:val="1"/>
                    <w:rPr>
                      <w:color w:val="auto"/>
                      <w:sz w:val="18"/>
                      <w:szCs w:val="18"/>
                    </w:rPr>
                  </w:pPr>
                  <w:r>
                    <w:rPr>
                      <w:rFonts w:hAnsi="宋体"/>
                      <w:color w:val="auto"/>
                      <w:sz w:val="18"/>
                      <w:szCs w:val="18"/>
                    </w:rPr>
                    <w:t>一般地面</w:t>
                  </w:r>
                </w:p>
              </w:tc>
              <w:tc>
                <w:tcPr>
                  <w:tcW w:w="1783" w:type="dxa"/>
                  <w:tcBorders>
                    <w:tl2br w:val="nil"/>
                    <w:tr2bl w:val="nil"/>
                  </w:tcBorders>
                  <w:vAlign w:val="center"/>
                </w:tcPr>
                <w:p w14:paraId="3C91C32F">
                  <w:pPr>
                    <w:ind w:left="-105" w:leftChars="-50" w:right="-105" w:rightChars="-50"/>
                    <w:jc w:val="center"/>
                    <w:outlineLvl w:val="1"/>
                    <w:rPr>
                      <w:color w:val="auto"/>
                      <w:sz w:val="18"/>
                      <w:szCs w:val="18"/>
                    </w:rPr>
                  </w:pPr>
                  <w:r>
                    <w:rPr>
                      <w:rFonts w:hint="eastAsia"/>
                      <w:color w:val="auto"/>
                      <w:sz w:val="18"/>
                      <w:szCs w:val="18"/>
                    </w:rPr>
                    <w:t>混凝土硬化地面</w:t>
                  </w:r>
                </w:p>
              </w:tc>
            </w:tr>
          </w:tbl>
          <w:p w14:paraId="7565DA00">
            <w:pPr>
              <w:spacing w:line="360" w:lineRule="auto"/>
              <w:ind w:firstLine="420" w:firstLineChars="200"/>
              <w:rPr>
                <w:rFonts w:hint="eastAsia"/>
                <w:color w:val="auto"/>
                <w:szCs w:val="21"/>
              </w:rPr>
            </w:pPr>
            <w:r>
              <w:rPr>
                <w:rFonts w:hAnsi="宋体"/>
                <w:color w:val="auto"/>
                <w:szCs w:val="21"/>
              </w:rPr>
              <w:t>综上所述，在采取上述防渗处理措施后，</w:t>
            </w:r>
            <w:r>
              <w:rPr>
                <w:color w:val="auto"/>
                <w:szCs w:val="21"/>
              </w:rPr>
              <w:t>可有效防止项目污染物渗漏污染地下水</w:t>
            </w:r>
            <w:r>
              <w:rPr>
                <w:rFonts w:hint="eastAsia"/>
                <w:color w:val="auto"/>
                <w:szCs w:val="21"/>
              </w:rPr>
              <w:t>，项目对地下水的影响小，污染风险低。</w:t>
            </w:r>
          </w:p>
          <w:p w14:paraId="0470919E">
            <w:pPr>
              <w:spacing w:line="360" w:lineRule="auto"/>
              <w:ind w:firstLine="420" w:firstLineChars="200"/>
              <w:rPr>
                <w:rFonts w:hint="default" w:ascii="Times New Roman" w:hAnsi="Times New Roman" w:eastAsia="黑体" w:cs="Times New Roman"/>
                <w:color w:val="auto"/>
                <w:szCs w:val="21"/>
              </w:rPr>
            </w:pPr>
            <w:r>
              <w:rPr>
                <w:rFonts w:hint="default" w:ascii="Times New Roman" w:hAnsi="Times New Roman" w:eastAsia="黑体" w:cs="Times New Roman"/>
                <w:color w:val="auto"/>
                <w:szCs w:val="21"/>
              </w:rPr>
              <w:t>2、电磁环境影响分析</w:t>
            </w:r>
          </w:p>
          <w:p w14:paraId="6A3572E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本处仅列出预测结果，具体内容详见电磁环境影响专题评价。</w:t>
            </w:r>
          </w:p>
          <w:p w14:paraId="4B01A84B">
            <w:pPr>
              <w:spacing w:line="360" w:lineRule="auto"/>
              <w:ind w:firstLine="422"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（1）拟建</w:t>
            </w:r>
            <w:r>
              <w:rPr>
                <w:rFonts w:hint="eastAsia" w:cs="Times New Roman"/>
                <w:b/>
                <w:color w:val="auto"/>
                <w:szCs w:val="21"/>
                <w:highlight w:val="none"/>
                <w:lang w:val="en-US" w:eastAsia="zh-CN"/>
              </w:rPr>
              <w:t>司城</w:t>
            </w:r>
            <w:r>
              <w:rPr>
                <w:rFonts w:hint="default" w:ascii="Times New Roman" w:hAnsi="Times New Roman" w:cs="Times New Roman"/>
                <w:b/>
                <w:color w:val="auto"/>
                <w:szCs w:val="21"/>
                <w:highlight w:val="none"/>
              </w:rPr>
              <w:t>110kV变电站</w:t>
            </w:r>
          </w:p>
          <w:p w14:paraId="029E42B7">
            <w:pPr>
              <w:spacing w:line="360" w:lineRule="auto"/>
              <w:ind w:firstLine="420" w:firstLineChars="200"/>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拟建</w:t>
            </w:r>
            <w:r>
              <w:rPr>
                <w:rFonts w:hint="eastAsia" w:cs="Times New Roman"/>
                <w:color w:val="auto"/>
                <w:szCs w:val="21"/>
                <w:highlight w:val="none"/>
                <w:lang w:val="en-US" w:eastAsia="zh-CN"/>
              </w:rPr>
              <w:t>司城</w:t>
            </w:r>
            <w:r>
              <w:rPr>
                <w:rFonts w:hint="default" w:ascii="Times New Roman" w:hAnsi="Times New Roman" w:cs="Times New Roman"/>
                <w:color w:val="auto"/>
                <w:szCs w:val="21"/>
                <w:highlight w:val="none"/>
              </w:rPr>
              <w:t>110kV变电站</w:t>
            </w:r>
            <w:r>
              <w:rPr>
                <w:rFonts w:hint="default" w:ascii="Times New Roman" w:hAnsi="Times New Roman" w:cs="Times New Roman"/>
                <w:bCs/>
                <w:color w:val="auto"/>
                <w:szCs w:val="21"/>
                <w:highlight w:val="none"/>
              </w:rPr>
              <w:t>电磁环境影响采取类比分析法进行预测，类比站为</w:t>
            </w:r>
            <w:r>
              <w:rPr>
                <w:rFonts w:hint="eastAsia" w:cs="Times New Roman"/>
                <w:bCs/>
                <w:color w:val="auto"/>
                <w:szCs w:val="21"/>
                <w:highlight w:val="none"/>
                <w:lang w:val="en-US" w:eastAsia="zh-CN"/>
              </w:rPr>
              <w:t>桃花山</w:t>
            </w:r>
            <w:r>
              <w:rPr>
                <w:rFonts w:hint="default" w:ascii="Times New Roman" w:hAnsi="Times New Roman" w:cs="Times New Roman"/>
                <w:color w:val="auto"/>
                <w:szCs w:val="21"/>
                <w:highlight w:val="none"/>
              </w:rPr>
              <w:t>110kV变电站</w:t>
            </w:r>
            <w:r>
              <w:rPr>
                <w:rFonts w:hint="default" w:ascii="Times New Roman" w:hAnsi="Times New Roman" w:cs="Times New Roman"/>
                <w:bCs/>
                <w:color w:val="auto"/>
                <w:szCs w:val="21"/>
                <w:highlight w:val="none"/>
              </w:rPr>
              <w:t>。类比预测结论如下：</w:t>
            </w:r>
          </w:p>
          <w:p w14:paraId="3CE77921">
            <w:pPr>
              <w:adjustRightInd w:val="0"/>
              <w:spacing w:line="360" w:lineRule="auto"/>
              <w:ind w:firstLine="420" w:firstLineChars="200"/>
              <w:rPr>
                <w:rFonts w:hint="default" w:ascii="Times New Roman" w:hAnsi="Times New Roman" w:cs="Times New Roman"/>
                <w:color w:val="auto"/>
                <w:szCs w:val="21"/>
                <w:highlight w:val="yellow"/>
              </w:rPr>
            </w:pPr>
            <w:r>
              <w:rPr>
                <w:rFonts w:hint="eastAsia" w:ascii="Times New Roman" w:hAnsi="Times New Roman" w:eastAsia="宋体" w:cs="Times New Roman"/>
                <w:color w:val="auto"/>
                <w:szCs w:val="21"/>
                <w:highlight w:val="none"/>
                <w:lang w:val="en-US" w:eastAsia="zh-CN"/>
              </w:rPr>
              <w:t>司城</w:t>
            </w:r>
            <w:r>
              <w:rPr>
                <w:rFonts w:hint="default" w:ascii="Times New Roman" w:hAnsi="Times New Roman" w:eastAsia="宋体" w:cs="Times New Roman"/>
                <w:color w:val="auto"/>
                <w:szCs w:val="21"/>
                <w:highlight w:val="none"/>
                <w:lang w:val="en-US" w:eastAsia="zh-CN"/>
              </w:rPr>
              <w:t>110kV变电站围墙外电场强度预测最大值为</w:t>
            </w:r>
            <w:r>
              <w:rPr>
                <w:rFonts w:hint="eastAsia" w:ascii="Times New Roman" w:hAnsi="Times New Roman" w:eastAsia="宋体" w:cs="Times New Roman"/>
                <w:color w:val="auto"/>
                <w:szCs w:val="21"/>
                <w:highlight w:val="none"/>
                <w:lang w:val="en-US" w:eastAsia="zh-CN"/>
              </w:rPr>
              <w:t>791.981</w:t>
            </w:r>
            <w:r>
              <w:rPr>
                <w:rFonts w:hint="default" w:ascii="Times New Roman" w:hAnsi="Times New Roman" w:eastAsia="宋体" w:cs="Times New Roman"/>
                <w:color w:val="auto"/>
                <w:szCs w:val="21"/>
                <w:highlight w:val="none"/>
                <w:lang w:val="en-US" w:eastAsia="zh-CN"/>
              </w:rPr>
              <w:t>V/m，满足《电磁环境控制限值》（GB8702-2014）中公众曝露电场强度控制限值（4000V/m）的评价要求；磁感应强度预测最大值为</w:t>
            </w:r>
            <w:r>
              <w:rPr>
                <w:rFonts w:hint="eastAsia" w:ascii="Times New Roman" w:hAnsi="Times New Roman" w:eastAsia="宋体" w:cs="Times New Roman"/>
                <w:color w:val="auto"/>
                <w:szCs w:val="21"/>
                <w:highlight w:val="none"/>
                <w:lang w:val="en-US" w:eastAsia="zh-CN"/>
              </w:rPr>
              <w:t>18.8103</w:t>
            </w:r>
            <w:r>
              <w:rPr>
                <w:rFonts w:hint="default" w:ascii="Times New Roman" w:hAnsi="Times New Roman" w:eastAsia="宋体" w:cs="Times New Roman"/>
                <w:color w:val="auto"/>
                <w:szCs w:val="21"/>
                <w:highlight w:val="none"/>
                <w:lang w:val="en-US" w:eastAsia="zh-CN"/>
              </w:rPr>
              <w:t>μT，满足《电磁环境控制限值》（GB8702-2014）中公众曝露磁感应强度控制限值（100μT）的评价标准要求。</w:t>
            </w:r>
          </w:p>
          <w:p w14:paraId="54A6CD25">
            <w:pPr>
              <w:adjustRightInd w:val="0"/>
              <w:spacing w:line="360" w:lineRule="auto"/>
              <w:ind w:firstLine="422"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（2）</w:t>
            </w:r>
            <w:r>
              <w:rPr>
                <w:rFonts w:hint="default" w:ascii="Times New Roman" w:hAnsi="Times New Roman" w:cs="Times New Roman"/>
                <w:b/>
                <w:color w:val="auto"/>
                <w:szCs w:val="21"/>
                <w:highlight w:val="none"/>
                <w:lang w:val="en-US" w:eastAsia="zh-CN"/>
              </w:rPr>
              <w:t>110kV</w:t>
            </w:r>
            <w:r>
              <w:rPr>
                <w:rFonts w:hint="default" w:ascii="Times New Roman" w:hAnsi="Times New Roman" w:cs="Times New Roman"/>
                <w:b/>
                <w:color w:val="auto"/>
                <w:szCs w:val="21"/>
                <w:highlight w:val="none"/>
              </w:rPr>
              <w:t>输电线路</w:t>
            </w:r>
          </w:p>
          <w:p w14:paraId="7563B9F3">
            <w:pPr>
              <w:tabs>
                <w:tab w:val="left" w:pos="3240"/>
              </w:tabs>
              <w:adjustRightInd w:val="0"/>
              <w:spacing w:line="360" w:lineRule="auto"/>
              <w:ind w:firstLine="420" w:firstLineChars="200"/>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本项目输电线路的电磁环境影响采用理论计算法进行预测评价。</w:t>
            </w:r>
            <w:r>
              <w:rPr>
                <w:rFonts w:hint="default" w:ascii="Times New Roman" w:hAnsi="Times New Roman" w:cs="Times New Roman"/>
                <w:bCs/>
                <w:color w:val="auto"/>
                <w:szCs w:val="21"/>
                <w:highlight w:val="none"/>
              </w:rPr>
              <w:t>预测结论如下：</w:t>
            </w:r>
          </w:p>
          <w:p w14:paraId="2E2C3DC2">
            <w:pPr>
              <w:spacing w:line="360" w:lineRule="auto"/>
              <w:ind w:firstLine="422" w:firstLineChars="200"/>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lang w:val="en-US" w:eastAsia="zh-CN"/>
              </w:rPr>
              <w:t>1</w:t>
            </w:r>
            <w:r>
              <w:rPr>
                <w:rFonts w:hint="default" w:ascii="Times New Roman" w:hAnsi="Times New Roman" w:cs="Times New Roman" w:eastAsiaTheme="minorEastAsia"/>
                <w:b/>
                <w:bCs/>
                <w:color w:val="auto"/>
                <w:szCs w:val="21"/>
                <w:highlight w:val="none"/>
              </w:rPr>
              <w:t>）</w:t>
            </w:r>
            <w:r>
              <w:rPr>
                <w:rFonts w:hint="default" w:ascii="Times New Roman" w:hAnsi="Times New Roman" w:cs="Times New Roman" w:eastAsiaTheme="minorEastAsia"/>
                <w:b/>
                <w:bCs/>
                <w:color w:val="auto"/>
                <w:szCs w:val="21"/>
                <w:highlight w:val="none"/>
                <w:lang w:val="en-US" w:eastAsia="zh-CN"/>
              </w:rPr>
              <w:t>线路Ⅰ</w:t>
            </w:r>
            <w:r>
              <w:rPr>
                <w:rFonts w:hint="eastAsia" w:cs="Times New Roman" w:eastAsiaTheme="minorEastAsia"/>
                <w:b/>
                <w:bCs/>
                <w:color w:val="auto"/>
                <w:szCs w:val="21"/>
                <w:highlight w:val="none"/>
                <w:lang w:val="en-US" w:eastAsia="zh-CN"/>
              </w:rPr>
              <w:t>三角排列</w:t>
            </w:r>
            <w:r>
              <w:rPr>
                <w:rFonts w:hint="default" w:ascii="Times New Roman" w:hAnsi="Times New Roman" w:cs="Times New Roman" w:eastAsiaTheme="minorEastAsia"/>
                <w:b/>
                <w:bCs/>
                <w:color w:val="auto"/>
                <w:szCs w:val="21"/>
                <w:highlight w:val="none"/>
              </w:rPr>
              <w:t>段</w:t>
            </w:r>
          </w:p>
          <w:p w14:paraId="071A161D">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①工频电场强度</w:t>
            </w:r>
          </w:p>
          <w:p w14:paraId="48919C1D">
            <w:pPr>
              <w:spacing w:line="360" w:lineRule="auto"/>
              <w:ind w:firstLine="420" w:firstLineChars="200"/>
              <w:rPr>
                <w:rFonts w:hint="default" w:ascii="Times New Roman" w:hAnsi="Times New Roman" w:cs="Times New Roman"/>
                <w:color w:val="auto"/>
                <w:szCs w:val="21"/>
                <w:highlight w:val="yellow"/>
              </w:rPr>
            </w:pPr>
            <w:r>
              <w:rPr>
                <w:rFonts w:hint="eastAsia"/>
                <w:color w:val="000000"/>
                <w:szCs w:val="21"/>
                <w:highlight w:val="none"/>
                <w:lang w:val="en-US" w:eastAsia="zh-CN"/>
              </w:rPr>
              <w:t>线路</w:t>
            </w:r>
            <w:r>
              <w:rPr>
                <w:rFonts w:hint="default" w:ascii="Times New Roman" w:hAnsi="Times New Roman" w:cs="Times New Roman"/>
                <w:color w:val="000000"/>
                <w:szCs w:val="21"/>
                <w:highlight w:val="none"/>
                <w:lang w:val="en-US" w:eastAsia="zh-CN"/>
              </w:rPr>
              <w:t>Ⅰ</w:t>
            </w:r>
            <w:r>
              <w:rPr>
                <w:rFonts w:hint="eastAsia"/>
                <w:color w:val="000000"/>
                <w:szCs w:val="21"/>
                <w:highlight w:val="none"/>
                <w:lang w:val="en-US" w:eastAsia="zh-CN"/>
              </w:rPr>
              <w:t>三角排列段</w:t>
            </w:r>
            <w:r>
              <w:rPr>
                <w:rFonts w:hint="eastAsia"/>
                <w:bCs/>
                <w:color w:val="000000"/>
                <w:szCs w:val="21"/>
                <w:highlight w:val="none"/>
              </w:rPr>
              <w:t>输电</w:t>
            </w:r>
            <w:r>
              <w:rPr>
                <w:color w:val="000000"/>
                <w:szCs w:val="21"/>
                <w:highlight w:val="none"/>
              </w:rPr>
              <w:t>线路在最不利塔型（</w:t>
            </w:r>
            <w:r>
              <w:rPr>
                <w:rFonts w:hint="eastAsia" w:hAnsi="黑体" w:eastAsia="黑体"/>
                <w:b w:val="0"/>
                <w:color w:val="000000"/>
                <w:sz w:val="21"/>
                <w:szCs w:val="21"/>
                <w:highlight w:val="none"/>
                <w:lang w:val="en-US" w:eastAsia="zh-CN"/>
              </w:rPr>
              <w:t>110-EC21D-DJ</w:t>
            </w:r>
            <w:r>
              <w:rPr>
                <w:color w:val="000000"/>
                <w:szCs w:val="21"/>
                <w:highlight w:val="none"/>
              </w:rPr>
              <w:t>型）</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经过非居民区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6</w:t>
            </w:r>
            <w:r>
              <w:rPr>
                <w:color w:val="000000"/>
                <w:szCs w:val="21"/>
                <w:highlight w:val="none"/>
              </w:rPr>
              <w:t>.0m时，线下距地面1.5m高处工频电场强度最大值为</w:t>
            </w:r>
            <w:r>
              <w:rPr>
                <w:rFonts w:hint="eastAsia"/>
                <w:color w:val="000000"/>
                <w:szCs w:val="21"/>
                <w:highlight w:val="none"/>
                <w:lang w:val="en-US" w:eastAsia="zh-CN"/>
              </w:rPr>
              <w:t>3.3411</w:t>
            </w:r>
            <w:r>
              <w:rPr>
                <w:rFonts w:hint="eastAsia"/>
                <w:color w:val="000000"/>
                <w:szCs w:val="21"/>
                <w:highlight w:val="none"/>
              </w:rPr>
              <w:t>k</w:t>
            </w:r>
            <w:r>
              <w:rPr>
                <w:color w:val="000000"/>
                <w:szCs w:val="21"/>
                <w:highlight w:val="none"/>
              </w:rPr>
              <w:t>V/m，</w:t>
            </w:r>
            <w:r>
              <w:rPr>
                <w:rFonts w:hint="eastAsia"/>
                <w:color w:val="000000"/>
                <w:szCs w:val="21"/>
                <w:highlight w:val="none"/>
              </w:rPr>
              <w:t>满足评价标准10kV/m的要求</w:t>
            </w:r>
            <w:r>
              <w:rPr>
                <w:rFonts w:hint="eastAsia"/>
                <w:color w:val="000000"/>
                <w:szCs w:val="21"/>
                <w:highlight w:val="none"/>
                <w:lang w:eastAsia="zh-CN"/>
              </w:rPr>
              <w:t>；</w:t>
            </w:r>
            <w:r>
              <w:rPr>
                <w:rFonts w:hint="eastAsia"/>
                <w:color w:val="000000"/>
                <w:szCs w:val="21"/>
                <w:highlight w:val="none"/>
              </w:rPr>
              <w:t>经过居民区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7</w:t>
            </w:r>
            <w:r>
              <w:rPr>
                <w:color w:val="000000"/>
                <w:szCs w:val="21"/>
                <w:highlight w:val="none"/>
              </w:rPr>
              <w:t>.0m时，线下距地面1.5m高处工频电场强度最大值为</w:t>
            </w:r>
            <w:r>
              <w:rPr>
                <w:rFonts w:hint="eastAsia"/>
                <w:color w:val="000000"/>
                <w:szCs w:val="21"/>
                <w:highlight w:val="none"/>
                <w:lang w:val="en-US" w:eastAsia="zh-CN"/>
              </w:rPr>
              <w:t>2535.6</w:t>
            </w:r>
            <w:r>
              <w:rPr>
                <w:color w:val="000000"/>
                <w:szCs w:val="21"/>
                <w:highlight w:val="none"/>
              </w:rPr>
              <w:t>V/m，满足评价标准4</w:t>
            </w:r>
            <w:r>
              <w:rPr>
                <w:rFonts w:hint="eastAsia"/>
                <w:color w:val="000000"/>
                <w:szCs w:val="21"/>
                <w:highlight w:val="none"/>
                <w:lang w:val="en-US" w:eastAsia="zh-CN"/>
              </w:rPr>
              <w:t>000</w:t>
            </w:r>
            <w:r>
              <w:rPr>
                <w:color w:val="000000"/>
                <w:szCs w:val="21"/>
                <w:highlight w:val="none"/>
              </w:rPr>
              <w:t>V/m的要求</w:t>
            </w:r>
            <w:r>
              <w:rPr>
                <w:rFonts w:hint="default" w:ascii="Times New Roman" w:hAnsi="Times New Roman" w:cs="Times New Roman"/>
                <w:color w:val="auto"/>
                <w:szCs w:val="21"/>
                <w:highlight w:val="none"/>
              </w:rPr>
              <w:t>。</w:t>
            </w:r>
          </w:p>
          <w:p w14:paraId="7D8C607C">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②工频磁感应强度</w:t>
            </w:r>
          </w:p>
          <w:p w14:paraId="6CFF7FC8">
            <w:pPr>
              <w:spacing w:line="360" w:lineRule="auto"/>
              <w:ind w:firstLine="420" w:firstLineChars="200"/>
              <w:rPr>
                <w:rFonts w:hint="default" w:ascii="Times New Roman" w:hAnsi="Times New Roman" w:cs="Times New Roman"/>
                <w:color w:val="auto"/>
                <w:highlight w:val="none"/>
              </w:rPr>
            </w:pPr>
            <w:r>
              <w:rPr>
                <w:rFonts w:hint="eastAsia"/>
                <w:color w:val="000000"/>
                <w:szCs w:val="21"/>
                <w:highlight w:val="none"/>
                <w:lang w:val="en-US" w:eastAsia="zh-CN"/>
              </w:rPr>
              <w:t>线路Ⅰ三角排列段”</w:t>
            </w:r>
            <w:r>
              <w:rPr>
                <w:rFonts w:hint="eastAsia"/>
                <w:bCs/>
                <w:color w:val="000000"/>
                <w:szCs w:val="21"/>
                <w:highlight w:val="none"/>
              </w:rPr>
              <w:t>输电</w:t>
            </w:r>
            <w:r>
              <w:rPr>
                <w:color w:val="000000"/>
                <w:szCs w:val="21"/>
                <w:highlight w:val="none"/>
              </w:rPr>
              <w:t>线路在最不利塔型（</w:t>
            </w:r>
            <w:r>
              <w:rPr>
                <w:rFonts w:hint="default"/>
                <w:color w:val="000000"/>
                <w:szCs w:val="21"/>
                <w:highlight w:val="none"/>
                <w:lang w:val="en-US" w:eastAsia="zh-CN"/>
              </w:rPr>
              <w:t>110-EC21D-DJ</w:t>
            </w:r>
            <w:r>
              <w:rPr>
                <w:color w:val="000000"/>
                <w:szCs w:val="21"/>
                <w:highlight w:val="none"/>
              </w:rPr>
              <w:t>型）</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经过非居民区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6</w:t>
            </w:r>
            <w:r>
              <w:rPr>
                <w:color w:val="000000"/>
                <w:szCs w:val="21"/>
                <w:highlight w:val="none"/>
              </w:rPr>
              <w:t>.0m时，线下距地面1.5m高处工频</w:t>
            </w:r>
            <w:r>
              <w:rPr>
                <w:rFonts w:hint="eastAsia"/>
                <w:color w:val="000000"/>
                <w:szCs w:val="21"/>
                <w:highlight w:val="none"/>
              </w:rPr>
              <w:t>磁感应</w:t>
            </w:r>
            <w:r>
              <w:rPr>
                <w:color w:val="000000"/>
                <w:szCs w:val="21"/>
                <w:highlight w:val="none"/>
              </w:rPr>
              <w:t>强度最大值为</w:t>
            </w:r>
            <w:r>
              <w:rPr>
                <w:rFonts w:hint="eastAsia"/>
                <w:color w:val="000000"/>
                <w:szCs w:val="21"/>
                <w:highlight w:val="none"/>
                <w:lang w:val="en-US" w:eastAsia="zh-CN"/>
              </w:rPr>
              <w:t>44.1418</w:t>
            </w:r>
            <w:r>
              <w:rPr>
                <w:color w:val="000000"/>
                <w:szCs w:val="21"/>
                <w:highlight w:val="none"/>
              </w:rPr>
              <w:t>μT，</w:t>
            </w:r>
            <w:r>
              <w:rPr>
                <w:rFonts w:hint="eastAsia"/>
                <w:color w:val="000000"/>
                <w:szCs w:val="21"/>
                <w:highlight w:val="none"/>
              </w:rPr>
              <w:t>经过居民区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7</w:t>
            </w:r>
            <w:r>
              <w:rPr>
                <w:color w:val="000000"/>
                <w:szCs w:val="21"/>
                <w:highlight w:val="none"/>
              </w:rPr>
              <w:t>.0m时，线下距地面1.5m高处工频</w:t>
            </w:r>
            <w:r>
              <w:rPr>
                <w:rFonts w:hint="eastAsia"/>
                <w:color w:val="000000"/>
                <w:szCs w:val="21"/>
                <w:highlight w:val="none"/>
              </w:rPr>
              <w:t>磁感应</w:t>
            </w:r>
            <w:r>
              <w:rPr>
                <w:color w:val="000000"/>
                <w:szCs w:val="21"/>
                <w:highlight w:val="none"/>
              </w:rPr>
              <w:t>强度最大值为</w:t>
            </w:r>
            <w:r>
              <w:rPr>
                <w:rFonts w:hint="eastAsia"/>
                <w:color w:val="000000"/>
                <w:szCs w:val="21"/>
                <w:highlight w:val="none"/>
                <w:lang w:val="en-US" w:eastAsia="zh-CN"/>
              </w:rPr>
              <w:t>34.3927</w:t>
            </w:r>
            <w:r>
              <w:rPr>
                <w:color w:val="000000"/>
                <w:szCs w:val="21"/>
                <w:highlight w:val="none"/>
              </w:rPr>
              <w:t>μT，</w:t>
            </w:r>
            <w:r>
              <w:rPr>
                <w:rFonts w:hint="eastAsia"/>
                <w:color w:val="000000"/>
                <w:szCs w:val="21"/>
                <w:highlight w:val="none"/>
              </w:rPr>
              <w:t>均</w:t>
            </w:r>
            <w:r>
              <w:rPr>
                <w:color w:val="000000"/>
                <w:szCs w:val="21"/>
                <w:highlight w:val="none"/>
              </w:rPr>
              <w:t>满足100μT的评价标准要求</w:t>
            </w:r>
            <w:r>
              <w:rPr>
                <w:rFonts w:hint="default" w:ascii="Times New Roman" w:hAnsi="Times New Roman" w:cs="Times New Roman"/>
                <w:color w:val="auto"/>
                <w:szCs w:val="21"/>
                <w:highlight w:val="none"/>
              </w:rPr>
              <w:t>。</w:t>
            </w:r>
          </w:p>
          <w:p w14:paraId="4E8AADD4">
            <w:pPr>
              <w:numPr>
                <w:ilvl w:val="0"/>
                <w:numId w:val="0"/>
              </w:numPr>
              <w:adjustRightInd w:val="0"/>
              <w:spacing w:line="360" w:lineRule="auto"/>
              <w:ind w:firstLine="422" w:firstLineChars="200"/>
              <w:rPr>
                <w:rFonts w:hint="default" w:ascii="Times New Roman" w:hAnsi="Times New Roman" w:cs="Times New Roman" w:eastAsiaTheme="minorEastAsia"/>
                <w:b/>
                <w:bCs/>
                <w:color w:val="auto"/>
                <w:szCs w:val="21"/>
                <w:highlight w:val="none"/>
                <w:lang w:val="en-US" w:eastAsia="zh-CN"/>
              </w:rPr>
            </w:pPr>
            <w:r>
              <w:rPr>
                <w:rFonts w:hint="default" w:ascii="Times New Roman" w:hAnsi="Times New Roman" w:cs="Times New Roman" w:eastAsiaTheme="minorEastAsia"/>
                <w:b/>
                <w:bCs/>
                <w:color w:val="auto"/>
                <w:kern w:val="2"/>
                <w:sz w:val="21"/>
                <w:szCs w:val="21"/>
                <w:highlight w:val="none"/>
                <w:lang w:val="en-US" w:eastAsia="zh-CN" w:bidi="ar-SA"/>
              </w:rPr>
              <w:t>2）</w:t>
            </w:r>
            <w:r>
              <w:rPr>
                <w:rFonts w:hint="default" w:ascii="Times New Roman" w:hAnsi="Times New Roman" w:cs="Times New Roman" w:eastAsiaTheme="minorEastAsia"/>
                <w:b/>
                <w:bCs/>
                <w:color w:val="auto"/>
                <w:szCs w:val="21"/>
                <w:highlight w:val="none"/>
                <w:lang w:val="en-US" w:eastAsia="zh-CN"/>
              </w:rPr>
              <w:t>线路Ⅰ</w:t>
            </w:r>
            <w:r>
              <w:rPr>
                <w:rFonts w:hint="eastAsia" w:cs="Times New Roman" w:eastAsiaTheme="minorEastAsia"/>
                <w:b/>
                <w:bCs/>
                <w:color w:val="auto"/>
                <w:szCs w:val="21"/>
                <w:highlight w:val="none"/>
                <w:lang w:val="en-US" w:eastAsia="zh-CN"/>
              </w:rPr>
              <w:t>双回塔单边挂线段</w:t>
            </w:r>
          </w:p>
          <w:p w14:paraId="1B721F0A">
            <w:pPr>
              <w:adjustRightIn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①工频电场强度</w:t>
            </w:r>
          </w:p>
          <w:p w14:paraId="50EF5E81">
            <w:pPr>
              <w:adjustRightInd w:val="0"/>
              <w:spacing w:line="360" w:lineRule="auto"/>
              <w:ind w:firstLine="420" w:firstLineChars="200"/>
              <w:rPr>
                <w:rFonts w:hint="default" w:ascii="Times New Roman" w:hAnsi="Times New Roman" w:cs="Times New Roman"/>
                <w:color w:val="auto"/>
                <w:szCs w:val="21"/>
                <w:highlight w:val="none"/>
              </w:rPr>
            </w:pPr>
            <w:r>
              <w:rPr>
                <w:rFonts w:hint="eastAsia"/>
                <w:color w:val="000000"/>
                <w:szCs w:val="21"/>
                <w:highlight w:val="none"/>
                <w:lang w:val="en-US" w:eastAsia="zh-CN"/>
              </w:rPr>
              <w:t>线路Ⅰ</w:t>
            </w:r>
            <w:r>
              <w:rPr>
                <w:rFonts w:hint="default" w:ascii="Times New Roman" w:hAnsi="Times New Roman" w:cs="Times New Roman"/>
                <w:color w:val="000000"/>
                <w:szCs w:val="21"/>
                <w:highlight w:val="none"/>
                <w:lang w:val="en-US" w:eastAsia="zh-CN"/>
              </w:rPr>
              <w:t>双回塔单</w:t>
            </w:r>
            <w:r>
              <w:rPr>
                <w:rFonts w:hint="eastAsia"/>
                <w:color w:val="000000"/>
                <w:szCs w:val="21"/>
                <w:highlight w:val="none"/>
                <w:lang w:val="en-US" w:eastAsia="zh-CN"/>
              </w:rPr>
              <w:t>边挂线段</w:t>
            </w:r>
            <w:r>
              <w:rPr>
                <w:rFonts w:hint="eastAsia"/>
                <w:bCs/>
                <w:color w:val="000000"/>
                <w:szCs w:val="21"/>
                <w:highlight w:val="none"/>
              </w:rPr>
              <w:t>输电</w:t>
            </w:r>
            <w:r>
              <w:rPr>
                <w:color w:val="000000"/>
                <w:szCs w:val="21"/>
                <w:highlight w:val="none"/>
              </w:rPr>
              <w:t>线路在最不利塔型（</w:t>
            </w:r>
            <w:r>
              <w:rPr>
                <w:rFonts w:hint="default"/>
                <w:color w:val="000000"/>
                <w:szCs w:val="21"/>
                <w:highlight w:val="none"/>
                <w:lang w:val="en-US" w:eastAsia="zh-CN"/>
              </w:rPr>
              <w:t>110-E</w:t>
            </w:r>
            <w:r>
              <w:rPr>
                <w:rFonts w:hint="eastAsia"/>
                <w:color w:val="000000"/>
                <w:szCs w:val="21"/>
                <w:highlight w:val="none"/>
                <w:lang w:val="en-US" w:eastAsia="zh-CN"/>
              </w:rPr>
              <w:t>D</w:t>
            </w:r>
            <w:r>
              <w:rPr>
                <w:rFonts w:hint="default"/>
                <w:color w:val="000000"/>
                <w:szCs w:val="21"/>
                <w:highlight w:val="none"/>
                <w:lang w:val="en-US" w:eastAsia="zh-CN"/>
              </w:rPr>
              <w:t>21S-DJ</w:t>
            </w:r>
            <w:r>
              <w:rPr>
                <w:color w:val="000000"/>
                <w:szCs w:val="21"/>
                <w:highlight w:val="none"/>
              </w:rPr>
              <w:t>型）</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经过非居民区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6</w:t>
            </w:r>
            <w:r>
              <w:rPr>
                <w:color w:val="000000"/>
                <w:szCs w:val="21"/>
                <w:highlight w:val="none"/>
              </w:rPr>
              <w:t>.0m时，线下距地面1.5m高处工频电场强度最大值为</w:t>
            </w:r>
            <w:r>
              <w:rPr>
                <w:rFonts w:hint="eastAsia"/>
                <w:color w:val="000000"/>
                <w:szCs w:val="21"/>
                <w:highlight w:val="none"/>
                <w:lang w:val="en-US" w:eastAsia="zh-CN"/>
              </w:rPr>
              <w:t>2.3276</w:t>
            </w:r>
            <w:r>
              <w:rPr>
                <w:rFonts w:hint="eastAsia"/>
                <w:color w:val="000000"/>
                <w:szCs w:val="21"/>
                <w:highlight w:val="none"/>
              </w:rPr>
              <w:t>k</w:t>
            </w:r>
            <w:r>
              <w:rPr>
                <w:color w:val="000000"/>
                <w:szCs w:val="21"/>
                <w:highlight w:val="none"/>
              </w:rPr>
              <w:t>V/m，</w:t>
            </w:r>
            <w:r>
              <w:rPr>
                <w:rFonts w:hint="default" w:ascii="Times New Roman" w:hAnsi="Times New Roman" w:cs="Times New Roman"/>
                <w:color w:val="auto"/>
                <w:szCs w:val="21"/>
              </w:rPr>
              <w:t>满足评价标准</w:t>
            </w:r>
            <w:r>
              <w:rPr>
                <w:rFonts w:hint="default" w:ascii="Times New Roman" w:hAnsi="Times New Roman" w:cs="Times New Roman"/>
                <w:color w:val="auto"/>
                <w:szCs w:val="21"/>
                <w:lang w:val="en-US" w:eastAsia="zh-CN"/>
              </w:rPr>
              <w:t>10</w:t>
            </w:r>
            <w:r>
              <w:rPr>
                <w:rFonts w:hint="default" w:ascii="Times New Roman" w:hAnsi="Times New Roman" w:cs="Times New Roman"/>
                <w:color w:val="auto"/>
                <w:szCs w:val="21"/>
              </w:rPr>
              <w:t>kV/m的要求</w:t>
            </w:r>
            <w:r>
              <w:rPr>
                <w:rFonts w:hint="default" w:ascii="Times New Roman" w:hAnsi="Times New Roman" w:cs="Times New Roman"/>
                <w:color w:val="auto"/>
                <w:szCs w:val="21"/>
                <w:highlight w:val="none"/>
              </w:rPr>
              <w:t>。</w:t>
            </w:r>
          </w:p>
          <w:p w14:paraId="60E39300">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②工频磁感应强度</w:t>
            </w:r>
          </w:p>
          <w:p w14:paraId="46133A50">
            <w:pPr>
              <w:numPr>
                <w:ilvl w:val="0"/>
                <w:numId w:val="0"/>
              </w:numPr>
              <w:spacing w:line="360" w:lineRule="auto"/>
              <w:ind w:firstLine="420" w:firstLineChars="200"/>
              <w:rPr>
                <w:rFonts w:hint="default" w:ascii="Times New Roman" w:hAnsi="Times New Roman" w:cs="Times New Roman"/>
                <w:color w:val="auto"/>
                <w:szCs w:val="21"/>
                <w:highlight w:val="none"/>
              </w:rPr>
            </w:pPr>
            <w:r>
              <w:rPr>
                <w:rFonts w:hint="eastAsia"/>
                <w:color w:val="000000"/>
                <w:szCs w:val="21"/>
                <w:highlight w:val="none"/>
                <w:lang w:val="en-US" w:eastAsia="zh-CN"/>
              </w:rPr>
              <w:t>线路Ⅰ双回塔单边挂线段</w:t>
            </w:r>
            <w:r>
              <w:rPr>
                <w:rFonts w:hint="eastAsia"/>
                <w:bCs/>
                <w:color w:val="000000"/>
                <w:szCs w:val="21"/>
                <w:highlight w:val="none"/>
              </w:rPr>
              <w:t>输电</w:t>
            </w:r>
            <w:r>
              <w:rPr>
                <w:color w:val="000000"/>
                <w:szCs w:val="21"/>
                <w:highlight w:val="none"/>
              </w:rPr>
              <w:t>线路在最不利塔型（</w:t>
            </w:r>
            <w:r>
              <w:rPr>
                <w:rFonts w:hint="default"/>
                <w:color w:val="000000"/>
                <w:szCs w:val="21"/>
                <w:highlight w:val="none"/>
                <w:lang w:val="en-US" w:eastAsia="zh-CN"/>
              </w:rPr>
              <w:t>110-E</w:t>
            </w:r>
            <w:r>
              <w:rPr>
                <w:rFonts w:hint="eastAsia"/>
                <w:color w:val="000000"/>
                <w:szCs w:val="21"/>
                <w:highlight w:val="none"/>
                <w:lang w:val="en-US" w:eastAsia="zh-CN"/>
              </w:rPr>
              <w:t>D</w:t>
            </w:r>
            <w:r>
              <w:rPr>
                <w:rFonts w:hint="default"/>
                <w:color w:val="000000"/>
                <w:szCs w:val="21"/>
                <w:highlight w:val="none"/>
                <w:lang w:val="en-US" w:eastAsia="zh-CN"/>
              </w:rPr>
              <w:t>21S-DJ</w:t>
            </w:r>
            <w:r>
              <w:rPr>
                <w:color w:val="000000"/>
                <w:szCs w:val="21"/>
                <w:highlight w:val="none"/>
              </w:rPr>
              <w:t>型）</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经过非居民区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6</w:t>
            </w:r>
            <w:r>
              <w:rPr>
                <w:color w:val="000000"/>
                <w:szCs w:val="21"/>
                <w:highlight w:val="none"/>
              </w:rPr>
              <w:t>.0m时，线下距地面1.5m高处工频</w:t>
            </w:r>
            <w:r>
              <w:rPr>
                <w:rFonts w:hint="eastAsia"/>
                <w:color w:val="000000"/>
                <w:szCs w:val="21"/>
                <w:highlight w:val="none"/>
              </w:rPr>
              <w:t>磁感应</w:t>
            </w:r>
            <w:r>
              <w:rPr>
                <w:color w:val="000000"/>
                <w:szCs w:val="21"/>
                <w:highlight w:val="none"/>
              </w:rPr>
              <w:t>强度最大值为</w:t>
            </w:r>
            <w:r>
              <w:rPr>
                <w:rFonts w:hint="eastAsia"/>
                <w:color w:val="000000"/>
                <w:szCs w:val="21"/>
                <w:highlight w:val="none"/>
                <w:lang w:val="en-US" w:eastAsia="zh-CN"/>
              </w:rPr>
              <w:t>29.7072</w:t>
            </w:r>
            <w:r>
              <w:rPr>
                <w:color w:val="000000"/>
                <w:szCs w:val="21"/>
                <w:highlight w:val="none"/>
              </w:rPr>
              <w:t>μT</w:t>
            </w:r>
            <w:r>
              <w:rPr>
                <w:rFonts w:hint="eastAsia"/>
                <w:color w:val="000000"/>
                <w:szCs w:val="21"/>
                <w:highlight w:val="none"/>
                <w:lang w:eastAsia="zh-CN"/>
              </w:rPr>
              <w:t>，</w:t>
            </w:r>
            <w:r>
              <w:rPr>
                <w:color w:val="000000"/>
                <w:szCs w:val="21"/>
                <w:highlight w:val="none"/>
              </w:rPr>
              <w:t>满足100μT的评价标准要求</w:t>
            </w:r>
            <w:r>
              <w:rPr>
                <w:rFonts w:hint="default" w:ascii="Times New Roman" w:hAnsi="Times New Roman" w:cs="Times New Roman"/>
                <w:color w:val="auto"/>
                <w:szCs w:val="21"/>
                <w:highlight w:val="none"/>
              </w:rPr>
              <w:t>。</w:t>
            </w:r>
          </w:p>
          <w:p w14:paraId="4D4FE331">
            <w:pPr>
              <w:numPr>
                <w:ilvl w:val="0"/>
                <w:numId w:val="0"/>
              </w:numPr>
              <w:spacing w:line="360" w:lineRule="auto"/>
              <w:ind w:left="0" w:leftChars="0" w:firstLine="422" w:firstLineChars="200"/>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kern w:val="2"/>
                <w:sz w:val="21"/>
                <w:szCs w:val="21"/>
                <w:highlight w:val="none"/>
                <w:lang w:val="en-US" w:eastAsia="zh-CN" w:bidi="ar-SA"/>
              </w:rPr>
              <w:t>3）</w:t>
            </w:r>
            <w:r>
              <w:rPr>
                <w:rFonts w:hint="default" w:ascii="Times New Roman" w:hAnsi="Times New Roman" w:cs="Times New Roman" w:eastAsiaTheme="minorEastAsia"/>
                <w:b/>
                <w:bCs/>
                <w:color w:val="auto"/>
                <w:szCs w:val="21"/>
                <w:highlight w:val="none"/>
                <w:lang w:val="en-US" w:eastAsia="zh-CN"/>
              </w:rPr>
              <w:t>线路</w:t>
            </w:r>
            <w:r>
              <w:rPr>
                <w:rFonts w:hint="eastAsia" w:cs="Times New Roman" w:eastAsiaTheme="minorEastAsia"/>
                <w:b/>
                <w:bCs/>
                <w:color w:val="auto"/>
                <w:szCs w:val="21"/>
                <w:highlight w:val="none"/>
                <w:lang w:val="en-US" w:eastAsia="zh-CN"/>
              </w:rPr>
              <w:t>Ⅰ利旧段</w:t>
            </w:r>
          </w:p>
          <w:p w14:paraId="695171B2">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①工频电场强度</w:t>
            </w:r>
          </w:p>
          <w:p w14:paraId="54EB503A">
            <w:pPr>
              <w:spacing w:line="360" w:lineRule="auto"/>
              <w:ind w:firstLine="420" w:firstLineChars="200"/>
              <w:rPr>
                <w:rFonts w:hint="default" w:ascii="Times New Roman" w:hAnsi="Times New Roman" w:cs="Times New Roman"/>
                <w:color w:val="auto"/>
                <w:szCs w:val="21"/>
                <w:highlight w:val="none"/>
              </w:rPr>
            </w:pPr>
            <w:r>
              <w:rPr>
                <w:rFonts w:hint="eastAsia"/>
                <w:color w:val="000000"/>
                <w:szCs w:val="21"/>
                <w:highlight w:val="none"/>
                <w:lang w:val="en-US" w:eastAsia="zh-CN"/>
              </w:rPr>
              <w:t>线路Ⅰ利旧段110kV</w:t>
            </w:r>
            <w:r>
              <w:rPr>
                <w:rFonts w:hint="eastAsia"/>
                <w:bCs/>
                <w:color w:val="000000"/>
                <w:szCs w:val="21"/>
                <w:highlight w:val="none"/>
              </w:rPr>
              <w:t>输电</w:t>
            </w:r>
            <w:r>
              <w:rPr>
                <w:color w:val="000000"/>
                <w:szCs w:val="21"/>
                <w:highlight w:val="none"/>
              </w:rPr>
              <w:t>线路</w:t>
            </w:r>
            <w:r>
              <w:rPr>
                <w:rFonts w:hint="default" w:ascii="Times New Roman" w:hAnsi="Times New Roman" w:eastAsia="宋体" w:cs="Times New Roman"/>
                <w:color w:val="000000"/>
                <w:szCs w:val="21"/>
                <w:highlight w:val="none"/>
              </w:rPr>
              <w:t>在最不利塔型（</w:t>
            </w:r>
            <w:r>
              <w:rPr>
                <w:rFonts w:hint="eastAsia" w:ascii="Times New Roman" w:hAnsi="Times New Roman" w:eastAsia="宋体" w:cs="Times New Roman"/>
                <w:b w:val="0"/>
                <w:color w:val="000000"/>
                <w:sz w:val="21"/>
                <w:szCs w:val="21"/>
                <w:highlight w:val="none"/>
                <w:lang w:val="en-US" w:eastAsia="zh-CN"/>
              </w:rPr>
              <w:t>110-ED21S-J1G</w:t>
            </w:r>
            <w:r>
              <w:rPr>
                <w:rFonts w:hint="default" w:ascii="Times New Roman" w:hAnsi="Times New Roman" w:eastAsia="宋体" w:cs="Times New Roman"/>
                <w:b w:val="0"/>
                <w:color w:val="000000"/>
                <w:sz w:val="21"/>
                <w:szCs w:val="21"/>
                <w:highlight w:val="none"/>
                <w:lang w:val="en-US" w:eastAsia="zh-CN"/>
              </w:rPr>
              <w:t>型</w:t>
            </w:r>
            <w:r>
              <w:rPr>
                <w:rFonts w:hint="default" w:ascii="Times New Roman" w:hAnsi="Times New Roman" w:eastAsia="宋体" w:cs="Times New Roman"/>
                <w:color w:val="000000"/>
                <w:szCs w:val="21"/>
                <w:highlight w:val="none"/>
              </w:rPr>
              <w:t>）</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w:t>
            </w:r>
            <w:r>
              <w:rPr>
                <w:rFonts w:hint="default" w:ascii="Times New Roman" w:hAnsi="Times New Roman" w:cs="Times New Roman"/>
                <w:color w:val="auto"/>
                <w:szCs w:val="21"/>
                <w:highlight w:val="none"/>
              </w:rPr>
              <w:t>导线架设最低对地高度</w:t>
            </w:r>
            <w:r>
              <w:rPr>
                <w:rFonts w:hint="eastAsia"/>
                <w:color w:val="000000"/>
                <w:szCs w:val="21"/>
                <w:highlight w:val="none"/>
                <w:lang w:val="en-US" w:eastAsia="zh-CN"/>
              </w:rPr>
              <w:t>9</w:t>
            </w:r>
            <w:r>
              <w:rPr>
                <w:rFonts w:hint="eastAsia"/>
                <w:color w:val="000000"/>
                <w:szCs w:val="21"/>
                <w:highlight w:val="none"/>
              </w:rPr>
              <w:t>m</w:t>
            </w:r>
            <w:r>
              <w:rPr>
                <w:rFonts w:hint="eastAsia"/>
                <w:color w:val="000000"/>
                <w:szCs w:val="21"/>
                <w:highlight w:val="none"/>
                <w:lang w:val="en-US" w:eastAsia="zh-CN"/>
              </w:rPr>
              <w:t>时</w:t>
            </w:r>
            <w:r>
              <w:rPr>
                <w:color w:val="000000"/>
                <w:szCs w:val="21"/>
                <w:highlight w:val="none"/>
              </w:rPr>
              <w:t>，线下距地面1.5m高处工频电场强度最大值为</w:t>
            </w:r>
            <w:r>
              <w:rPr>
                <w:rFonts w:hint="eastAsia"/>
                <w:color w:val="000000"/>
                <w:szCs w:val="21"/>
                <w:highlight w:val="none"/>
                <w:lang w:val="en-US" w:eastAsia="zh-CN"/>
              </w:rPr>
              <w:t>1766.6</w:t>
            </w:r>
            <w:r>
              <w:rPr>
                <w:color w:val="000000"/>
                <w:szCs w:val="21"/>
                <w:highlight w:val="none"/>
              </w:rPr>
              <w:t>V/m，满足评价标准4</w:t>
            </w:r>
            <w:r>
              <w:rPr>
                <w:rFonts w:hint="eastAsia"/>
                <w:color w:val="000000"/>
                <w:szCs w:val="21"/>
                <w:highlight w:val="none"/>
                <w:lang w:val="en-US" w:eastAsia="zh-CN"/>
              </w:rPr>
              <w:t>000</w:t>
            </w:r>
            <w:r>
              <w:rPr>
                <w:color w:val="000000"/>
                <w:szCs w:val="21"/>
                <w:highlight w:val="none"/>
              </w:rPr>
              <w:t>V/m的要求</w:t>
            </w:r>
            <w:r>
              <w:rPr>
                <w:rFonts w:hint="default" w:ascii="Times New Roman" w:hAnsi="Times New Roman" w:cs="Times New Roman"/>
                <w:color w:val="auto"/>
                <w:szCs w:val="21"/>
                <w:highlight w:val="none"/>
              </w:rPr>
              <w:t>。</w:t>
            </w:r>
          </w:p>
          <w:p w14:paraId="5367B551">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②工频磁感应强度</w:t>
            </w:r>
          </w:p>
          <w:p w14:paraId="654F1BD4">
            <w:pPr>
              <w:spacing w:line="360" w:lineRule="auto"/>
              <w:ind w:firstLine="420" w:firstLineChars="200"/>
              <w:rPr>
                <w:rFonts w:hint="default" w:ascii="Times New Roman" w:hAnsi="Times New Roman" w:cs="Times New Roman"/>
                <w:color w:val="auto"/>
                <w:szCs w:val="21"/>
                <w:highlight w:val="none"/>
              </w:rPr>
            </w:pPr>
            <w:r>
              <w:rPr>
                <w:rFonts w:hint="eastAsia"/>
                <w:color w:val="000000"/>
                <w:szCs w:val="21"/>
                <w:highlight w:val="none"/>
                <w:lang w:val="en-US" w:eastAsia="zh-CN"/>
              </w:rPr>
              <w:t>线路Ⅰ利旧段110kV</w:t>
            </w:r>
            <w:r>
              <w:rPr>
                <w:rFonts w:hint="eastAsia"/>
                <w:bCs/>
                <w:color w:val="000000"/>
                <w:szCs w:val="21"/>
                <w:highlight w:val="none"/>
              </w:rPr>
              <w:t>输电</w:t>
            </w:r>
            <w:r>
              <w:rPr>
                <w:color w:val="000000"/>
                <w:szCs w:val="21"/>
                <w:highlight w:val="none"/>
              </w:rPr>
              <w:t>线路在最不利塔型（</w:t>
            </w:r>
            <w:r>
              <w:rPr>
                <w:rFonts w:hint="eastAsia"/>
                <w:color w:val="000000"/>
                <w:szCs w:val="21"/>
                <w:highlight w:val="none"/>
                <w:lang w:val="en-US" w:eastAsia="zh-CN"/>
              </w:rPr>
              <w:t>110-ED21S-J1G</w:t>
            </w:r>
            <w:r>
              <w:rPr>
                <w:rFonts w:hint="default"/>
                <w:color w:val="000000"/>
                <w:szCs w:val="21"/>
                <w:highlight w:val="none"/>
                <w:lang w:val="en-US" w:eastAsia="zh-CN"/>
              </w:rPr>
              <w:t>型</w:t>
            </w:r>
            <w:r>
              <w:rPr>
                <w:color w:val="000000"/>
                <w:szCs w:val="21"/>
                <w:highlight w:val="none"/>
              </w:rPr>
              <w:t>）</w:t>
            </w:r>
            <w:r>
              <w:rPr>
                <w:rFonts w:hint="eastAsia"/>
                <w:color w:val="000000"/>
                <w:szCs w:val="21"/>
                <w:highlight w:val="none"/>
                <w:lang w:eastAsia="zh-CN"/>
              </w:rPr>
              <w:t>，</w:t>
            </w:r>
            <w:r>
              <w:rPr>
                <w:rFonts w:hint="eastAsia" w:ascii="宋体" w:hAnsi="宋体"/>
                <w:color w:val="000000"/>
                <w:szCs w:val="21"/>
                <w:highlight w:val="none"/>
              </w:rPr>
              <w:t>导线架设最低对地高度</w:t>
            </w:r>
            <w:r>
              <w:rPr>
                <w:rFonts w:hint="eastAsia"/>
                <w:color w:val="000000"/>
                <w:szCs w:val="21"/>
                <w:highlight w:val="none"/>
                <w:lang w:val="en-US" w:eastAsia="zh-CN"/>
              </w:rPr>
              <w:t>9</w:t>
            </w:r>
            <w:r>
              <w:rPr>
                <w:color w:val="000000"/>
                <w:szCs w:val="21"/>
                <w:highlight w:val="none"/>
              </w:rPr>
              <w:t>.0m时，线下距地面1.5m高处工频</w:t>
            </w:r>
            <w:r>
              <w:rPr>
                <w:rFonts w:hint="eastAsia"/>
                <w:color w:val="000000"/>
                <w:szCs w:val="21"/>
                <w:highlight w:val="none"/>
              </w:rPr>
              <w:t>磁感应</w:t>
            </w:r>
            <w:r>
              <w:rPr>
                <w:color w:val="000000"/>
                <w:szCs w:val="21"/>
                <w:highlight w:val="none"/>
              </w:rPr>
              <w:t>强度最大值为</w:t>
            </w:r>
            <w:r>
              <w:rPr>
                <w:rFonts w:hint="eastAsia"/>
                <w:color w:val="000000"/>
                <w:szCs w:val="21"/>
                <w:highlight w:val="none"/>
                <w:lang w:val="en-US" w:eastAsia="zh-CN"/>
              </w:rPr>
              <w:t>17.8765</w:t>
            </w:r>
            <w:r>
              <w:rPr>
                <w:color w:val="000000"/>
                <w:szCs w:val="21"/>
                <w:highlight w:val="none"/>
              </w:rPr>
              <w:t>μT，满足100μT的评价标准要求</w:t>
            </w:r>
            <w:r>
              <w:rPr>
                <w:rFonts w:hint="default" w:ascii="Times New Roman" w:hAnsi="Times New Roman" w:cs="Times New Roman"/>
                <w:color w:val="auto"/>
                <w:szCs w:val="21"/>
                <w:highlight w:val="none"/>
              </w:rPr>
              <w:t>。</w:t>
            </w:r>
          </w:p>
          <w:p w14:paraId="28B7B78F">
            <w:pPr>
              <w:numPr>
                <w:ilvl w:val="0"/>
                <w:numId w:val="24"/>
              </w:numPr>
              <w:adjustRightInd w:val="0"/>
              <w:spacing w:line="360" w:lineRule="auto"/>
              <w:ind w:firstLine="422" w:firstLineChars="200"/>
              <w:rPr>
                <w:rFonts w:hint="default" w:ascii="Times New Roman" w:hAnsi="Times New Roman" w:cs="Times New Roman" w:eastAsiaTheme="minorEastAsia"/>
                <w:b/>
                <w:bCs/>
                <w:color w:val="auto"/>
                <w:szCs w:val="21"/>
                <w:highlight w:val="none"/>
                <w:lang w:val="en-US" w:eastAsia="zh-CN"/>
              </w:rPr>
            </w:pPr>
            <w:r>
              <w:rPr>
                <w:rFonts w:hint="default" w:ascii="Times New Roman" w:hAnsi="Times New Roman" w:cs="Times New Roman" w:eastAsiaTheme="minorEastAsia"/>
                <w:b/>
                <w:bCs/>
                <w:color w:val="auto"/>
                <w:szCs w:val="21"/>
                <w:highlight w:val="none"/>
                <w:lang w:val="en-US" w:eastAsia="zh-CN"/>
              </w:rPr>
              <w:t>线路</w:t>
            </w:r>
            <w:r>
              <w:rPr>
                <w:rFonts w:hint="eastAsia" w:cs="Times New Roman" w:eastAsiaTheme="minorEastAsia"/>
                <w:b/>
                <w:bCs/>
                <w:color w:val="auto"/>
                <w:szCs w:val="21"/>
                <w:highlight w:val="none"/>
                <w:lang w:val="en-US" w:eastAsia="zh-CN"/>
              </w:rPr>
              <w:t>Ⅱ三角排列</w:t>
            </w:r>
            <w:r>
              <w:rPr>
                <w:rFonts w:hint="default" w:ascii="Times New Roman" w:hAnsi="Times New Roman" w:cs="Times New Roman" w:eastAsiaTheme="minorEastAsia"/>
                <w:b/>
                <w:bCs/>
                <w:color w:val="auto"/>
                <w:szCs w:val="21"/>
                <w:highlight w:val="none"/>
                <w:lang w:val="en-US" w:eastAsia="zh-CN"/>
              </w:rPr>
              <w:t>段</w:t>
            </w:r>
          </w:p>
          <w:p w14:paraId="583003CF">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①工频电场强度</w:t>
            </w:r>
          </w:p>
          <w:p w14:paraId="7D78B679">
            <w:pPr>
              <w:spacing w:line="360" w:lineRule="auto"/>
              <w:ind w:firstLine="420" w:firstLineChars="200"/>
              <w:rPr>
                <w:rFonts w:hint="default" w:ascii="Times New Roman" w:hAnsi="Times New Roman" w:cs="Times New Roman"/>
                <w:color w:val="auto"/>
                <w:szCs w:val="21"/>
                <w:highlight w:val="none"/>
              </w:rPr>
            </w:pPr>
            <w:r>
              <w:rPr>
                <w:rFonts w:hint="eastAsia" w:ascii="Times New Roman" w:hAnsi="Times New Roman" w:cs="Times New Roman"/>
                <w:color w:val="000000"/>
                <w:szCs w:val="21"/>
                <w:highlight w:val="none"/>
                <w:lang w:val="en-US" w:eastAsia="zh-CN"/>
              </w:rPr>
              <w:t>线路Ⅱ三角排列段</w:t>
            </w:r>
            <w:r>
              <w:rPr>
                <w:rFonts w:hint="eastAsia"/>
                <w:bCs/>
                <w:color w:val="000000"/>
                <w:szCs w:val="21"/>
                <w:highlight w:val="none"/>
              </w:rPr>
              <w:t>输电</w:t>
            </w:r>
            <w:r>
              <w:rPr>
                <w:color w:val="000000"/>
                <w:szCs w:val="21"/>
                <w:highlight w:val="none"/>
              </w:rPr>
              <w:t>线路在最不利塔型（</w:t>
            </w:r>
            <w:r>
              <w:rPr>
                <w:rFonts w:hint="eastAsia"/>
                <w:color w:val="000000"/>
                <w:szCs w:val="21"/>
                <w:highlight w:val="none"/>
                <w:lang w:val="en-US" w:eastAsia="zh-CN"/>
              </w:rPr>
              <w:t>110-DC21D-DJC</w:t>
            </w:r>
            <w:r>
              <w:rPr>
                <w:color w:val="000000"/>
                <w:szCs w:val="21"/>
                <w:highlight w:val="none"/>
              </w:rPr>
              <w:t>型）</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经过非居民区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6</w:t>
            </w:r>
            <w:r>
              <w:rPr>
                <w:color w:val="000000"/>
                <w:szCs w:val="21"/>
                <w:highlight w:val="none"/>
              </w:rPr>
              <w:t>.0m时，线下距地面1.5m高处工频电场强度最大值为</w:t>
            </w:r>
            <w:r>
              <w:rPr>
                <w:rFonts w:hint="eastAsia"/>
                <w:color w:val="000000"/>
                <w:szCs w:val="21"/>
                <w:highlight w:val="none"/>
                <w:lang w:val="en-US" w:eastAsia="zh-CN"/>
              </w:rPr>
              <w:t>2.4038</w:t>
            </w:r>
            <w:r>
              <w:rPr>
                <w:rFonts w:hint="eastAsia"/>
                <w:color w:val="000000"/>
                <w:szCs w:val="21"/>
                <w:highlight w:val="none"/>
              </w:rPr>
              <w:t>k</w:t>
            </w:r>
            <w:r>
              <w:rPr>
                <w:color w:val="000000"/>
                <w:szCs w:val="21"/>
                <w:highlight w:val="none"/>
              </w:rPr>
              <w:t>V/m，</w:t>
            </w:r>
            <w:r>
              <w:rPr>
                <w:rFonts w:hint="default" w:ascii="Times New Roman" w:hAnsi="Times New Roman" w:cs="Times New Roman"/>
                <w:color w:val="auto"/>
                <w:szCs w:val="21"/>
              </w:rPr>
              <w:t>满足评价标准</w:t>
            </w:r>
            <w:r>
              <w:rPr>
                <w:rFonts w:hint="default" w:ascii="Times New Roman" w:hAnsi="Times New Roman" w:cs="Times New Roman"/>
                <w:color w:val="auto"/>
                <w:szCs w:val="21"/>
                <w:lang w:val="en-US" w:eastAsia="zh-CN"/>
              </w:rPr>
              <w:t>10</w:t>
            </w:r>
            <w:r>
              <w:rPr>
                <w:rFonts w:hint="default" w:ascii="Times New Roman" w:hAnsi="Times New Roman" w:cs="Times New Roman"/>
                <w:color w:val="auto"/>
                <w:szCs w:val="21"/>
              </w:rPr>
              <w:t>kV/m的要求</w:t>
            </w:r>
            <w:r>
              <w:rPr>
                <w:rFonts w:hint="eastAsia" w:cs="Times New Roman"/>
                <w:color w:val="auto"/>
                <w:szCs w:val="21"/>
                <w:lang w:eastAsia="zh-CN"/>
              </w:rPr>
              <w:t>；</w:t>
            </w:r>
            <w:r>
              <w:rPr>
                <w:rFonts w:hint="eastAsia"/>
                <w:color w:val="000000"/>
                <w:szCs w:val="21"/>
                <w:highlight w:val="none"/>
              </w:rPr>
              <w:t>经过居民区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7</w:t>
            </w:r>
            <w:r>
              <w:rPr>
                <w:color w:val="000000"/>
                <w:szCs w:val="21"/>
                <w:highlight w:val="none"/>
              </w:rPr>
              <w:t>.0m时，线下距地面1.5m高处工频电场强度最大值为</w:t>
            </w:r>
            <w:r>
              <w:rPr>
                <w:rFonts w:hint="eastAsia"/>
                <w:color w:val="000000"/>
                <w:szCs w:val="21"/>
                <w:highlight w:val="none"/>
                <w:lang w:val="en-US" w:eastAsia="zh-CN"/>
              </w:rPr>
              <w:t>1826.3</w:t>
            </w:r>
            <w:r>
              <w:rPr>
                <w:color w:val="000000"/>
                <w:szCs w:val="21"/>
                <w:highlight w:val="none"/>
              </w:rPr>
              <w:t>V/m，满足评价标准4</w:t>
            </w:r>
            <w:r>
              <w:rPr>
                <w:rFonts w:hint="eastAsia"/>
                <w:color w:val="000000"/>
                <w:szCs w:val="21"/>
                <w:highlight w:val="none"/>
                <w:lang w:val="en-US" w:eastAsia="zh-CN"/>
              </w:rPr>
              <w:t>000</w:t>
            </w:r>
            <w:r>
              <w:rPr>
                <w:color w:val="000000"/>
                <w:szCs w:val="21"/>
                <w:highlight w:val="none"/>
              </w:rPr>
              <w:t>V/m的要求</w:t>
            </w:r>
            <w:r>
              <w:rPr>
                <w:rFonts w:hint="default" w:ascii="Times New Roman" w:hAnsi="Times New Roman" w:cs="Times New Roman"/>
                <w:color w:val="auto"/>
                <w:szCs w:val="21"/>
                <w:highlight w:val="none"/>
                <w:lang w:eastAsia="zh-CN"/>
              </w:rPr>
              <w:t>。</w:t>
            </w:r>
          </w:p>
          <w:p w14:paraId="33EFED8B">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②工频磁感应强度</w:t>
            </w:r>
          </w:p>
          <w:p w14:paraId="5D9C69E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auto"/>
              <w:rPr>
                <w:rFonts w:hint="default" w:ascii="Times New Roman" w:hAnsi="Times New Roman" w:cs="Times New Roman"/>
                <w:color w:val="auto"/>
                <w:szCs w:val="21"/>
                <w:highlight w:val="none"/>
              </w:rPr>
            </w:pPr>
            <w:r>
              <w:rPr>
                <w:rFonts w:hint="eastAsia"/>
                <w:color w:val="000000"/>
                <w:szCs w:val="21"/>
                <w:highlight w:val="none"/>
                <w:lang w:val="en-US" w:eastAsia="zh-CN"/>
              </w:rPr>
              <w:t>线路Ⅱ三角排列段</w:t>
            </w:r>
            <w:r>
              <w:rPr>
                <w:rFonts w:hint="eastAsia"/>
                <w:bCs/>
                <w:color w:val="000000"/>
                <w:szCs w:val="21"/>
                <w:highlight w:val="none"/>
              </w:rPr>
              <w:t>输电</w:t>
            </w:r>
            <w:r>
              <w:rPr>
                <w:color w:val="000000"/>
                <w:szCs w:val="21"/>
                <w:highlight w:val="none"/>
              </w:rPr>
              <w:t>线路在最不利塔型（</w:t>
            </w:r>
            <w:r>
              <w:rPr>
                <w:rFonts w:hint="eastAsia"/>
                <w:color w:val="000000"/>
                <w:szCs w:val="21"/>
                <w:highlight w:val="none"/>
                <w:lang w:val="en-US" w:eastAsia="zh-CN"/>
              </w:rPr>
              <w:t>110-DC21D-DJC</w:t>
            </w:r>
            <w:r>
              <w:rPr>
                <w:color w:val="000000"/>
                <w:szCs w:val="21"/>
                <w:highlight w:val="none"/>
              </w:rPr>
              <w:t>型）</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经过非居民区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6</w:t>
            </w:r>
            <w:r>
              <w:rPr>
                <w:color w:val="000000"/>
                <w:szCs w:val="21"/>
                <w:highlight w:val="none"/>
              </w:rPr>
              <w:t>.0m时，线下距地面1.5m高处工频</w:t>
            </w:r>
            <w:r>
              <w:rPr>
                <w:rFonts w:hint="eastAsia"/>
                <w:color w:val="000000"/>
                <w:szCs w:val="21"/>
                <w:highlight w:val="none"/>
              </w:rPr>
              <w:t>磁感应</w:t>
            </w:r>
            <w:r>
              <w:rPr>
                <w:color w:val="000000"/>
                <w:szCs w:val="21"/>
                <w:highlight w:val="none"/>
              </w:rPr>
              <w:t>强度最大值为</w:t>
            </w:r>
            <w:r>
              <w:rPr>
                <w:rFonts w:hint="eastAsia"/>
                <w:color w:val="000000"/>
                <w:szCs w:val="21"/>
                <w:highlight w:val="none"/>
                <w:lang w:val="en-US" w:eastAsia="zh-CN"/>
              </w:rPr>
              <w:t>24.20199</w:t>
            </w:r>
            <w:r>
              <w:rPr>
                <w:color w:val="000000"/>
                <w:szCs w:val="21"/>
                <w:highlight w:val="none"/>
              </w:rPr>
              <w:t>μT，</w:t>
            </w:r>
            <w:r>
              <w:rPr>
                <w:rFonts w:hint="eastAsia"/>
                <w:color w:val="000000"/>
                <w:szCs w:val="21"/>
                <w:highlight w:val="none"/>
              </w:rPr>
              <w:t>经过居民区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7</w:t>
            </w:r>
            <w:r>
              <w:rPr>
                <w:color w:val="000000"/>
                <w:szCs w:val="21"/>
                <w:highlight w:val="none"/>
              </w:rPr>
              <w:t>.0m时，线下距地面1.5m高处工频</w:t>
            </w:r>
            <w:r>
              <w:rPr>
                <w:rFonts w:hint="eastAsia"/>
                <w:color w:val="000000"/>
                <w:szCs w:val="21"/>
                <w:highlight w:val="none"/>
              </w:rPr>
              <w:t>磁感应</w:t>
            </w:r>
            <w:r>
              <w:rPr>
                <w:color w:val="000000"/>
                <w:szCs w:val="21"/>
                <w:highlight w:val="none"/>
              </w:rPr>
              <w:t>强度最大值为</w:t>
            </w:r>
            <w:r>
              <w:rPr>
                <w:rFonts w:hint="eastAsia"/>
                <w:color w:val="000000"/>
                <w:szCs w:val="21"/>
                <w:highlight w:val="none"/>
                <w:lang w:val="en-US" w:eastAsia="zh-CN"/>
              </w:rPr>
              <w:t>18.8567</w:t>
            </w:r>
            <w:r>
              <w:rPr>
                <w:color w:val="000000"/>
                <w:szCs w:val="21"/>
                <w:highlight w:val="none"/>
              </w:rPr>
              <w:t>μT，</w:t>
            </w:r>
            <w:r>
              <w:rPr>
                <w:rFonts w:hint="eastAsia"/>
                <w:color w:val="000000"/>
                <w:szCs w:val="21"/>
                <w:highlight w:val="none"/>
              </w:rPr>
              <w:t>均</w:t>
            </w:r>
            <w:r>
              <w:rPr>
                <w:color w:val="000000"/>
                <w:szCs w:val="21"/>
                <w:highlight w:val="none"/>
              </w:rPr>
              <w:t>满足100μT的评价标准要求</w:t>
            </w:r>
            <w:r>
              <w:rPr>
                <w:rFonts w:hint="default" w:ascii="Times New Roman" w:hAnsi="Times New Roman" w:cs="Times New Roman"/>
                <w:color w:val="auto"/>
                <w:szCs w:val="21"/>
                <w:highlight w:val="none"/>
              </w:rPr>
              <w:t>。</w:t>
            </w:r>
          </w:p>
          <w:p w14:paraId="157AD70B">
            <w:pPr>
              <w:numPr>
                <w:ilvl w:val="0"/>
                <w:numId w:val="0"/>
              </w:numPr>
              <w:adjustRightInd w:val="0"/>
              <w:spacing w:line="360" w:lineRule="auto"/>
              <w:ind w:firstLine="422" w:firstLineChars="200"/>
              <w:rPr>
                <w:rFonts w:hint="default" w:ascii="Times New Roman" w:hAnsi="Times New Roman" w:cs="Times New Roman" w:eastAsiaTheme="minorEastAsia"/>
                <w:b/>
                <w:bCs/>
                <w:color w:val="auto"/>
                <w:szCs w:val="21"/>
                <w:highlight w:val="none"/>
                <w:lang w:val="en-US" w:eastAsia="zh-CN"/>
              </w:rPr>
            </w:pPr>
            <w:r>
              <w:rPr>
                <w:rFonts w:hint="eastAsia" w:cs="Times New Roman" w:eastAsiaTheme="minorEastAsia"/>
                <w:b/>
                <w:bCs/>
                <w:color w:val="auto"/>
                <w:kern w:val="2"/>
                <w:sz w:val="21"/>
                <w:szCs w:val="21"/>
                <w:highlight w:val="none"/>
                <w:lang w:val="en-US" w:eastAsia="zh-CN" w:bidi="ar-SA"/>
              </w:rPr>
              <w:t>5</w:t>
            </w:r>
            <w:r>
              <w:rPr>
                <w:rFonts w:hint="default" w:ascii="Times New Roman" w:hAnsi="Times New Roman" w:cs="Times New Roman" w:eastAsiaTheme="minorEastAsia"/>
                <w:b/>
                <w:bCs/>
                <w:color w:val="auto"/>
                <w:kern w:val="2"/>
                <w:sz w:val="21"/>
                <w:szCs w:val="21"/>
                <w:highlight w:val="none"/>
                <w:lang w:val="en-US" w:eastAsia="zh-CN" w:bidi="ar-SA"/>
              </w:rPr>
              <w:t>）</w:t>
            </w:r>
            <w:r>
              <w:rPr>
                <w:rFonts w:hint="default" w:ascii="Times New Roman" w:hAnsi="Times New Roman" w:cs="Times New Roman" w:eastAsiaTheme="minorEastAsia"/>
                <w:b/>
                <w:bCs/>
                <w:color w:val="auto"/>
                <w:szCs w:val="21"/>
                <w:highlight w:val="none"/>
                <w:lang w:val="en-US" w:eastAsia="zh-CN"/>
              </w:rPr>
              <w:t>线路Ⅱ</w:t>
            </w:r>
            <w:r>
              <w:rPr>
                <w:rFonts w:hint="eastAsia" w:cs="Times New Roman" w:eastAsiaTheme="minorEastAsia"/>
                <w:b/>
                <w:bCs/>
                <w:color w:val="auto"/>
                <w:szCs w:val="21"/>
                <w:highlight w:val="none"/>
                <w:lang w:val="en-US" w:eastAsia="zh-CN"/>
              </w:rPr>
              <w:t>双回塔单边挂线段</w:t>
            </w:r>
          </w:p>
          <w:p w14:paraId="3C0AC460">
            <w:pPr>
              <w:adjustRightInd w:val="0"/>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①工频电场强度</w:t>
            </w:r>
          </w:p>
          <w:p w14:paraId="6B359C35">
            <w:pPr>
              <w:adjustRightInd w:val="0"/>
              <w:spacing w:line="360" w:lineRule="auto"/>
              <w:ind w:firstLine="420" w:firstLineChars="200"/>
              <w:rPr>
                <w:rFonts w:hint="default" w:ascii="Times New Roman" w:hAnsi="Times New Roman" w:cs="Times New Roman"/>
                <w:color w:val="auto"/>
                <w:szCs w:val="21"/>
                <w:highlight w:val="none"/>
              </w:rPr>
            </w:pPr>
            <w:r>
              <w:rPr>
                <w:rFonts w:hint="eastAsia"/>
                <w:color w:val="000000"/>
                <w:szCs w:val="21"/>
                <w:highlight w:val="none"/>
                <w:lang w:val="en-US" w:eastAsia="zh-CN"/>
              </w:rPr>
              <w:t>线路Ⅱ双回塔单边挂线段110kV</w:t>
            </w:r>
            <w:r>
              <w:rPr>
                <w:rFonts w:hint="eastAsia"/>
                <w:bCs/>
                <w:color w:val="000000"/>
                <w:szCs w:val="21"/>
                <w:highlight w:val="none"/>
              </w:rPr>
              <w:t>输电</w:t>
            </w:r>
            <w:r>
              <w:rPr>
                <w:color w:val="000000"/>
                <w:szCs w:val="21"/>
                <w:highlight w:val="none"/>
              </w:rPr>
              <w:t>线路在最不利塔型（</w:t>
            </w:r>
            <w:r>
              <w:rPr>
                <w:rFonts w:hint="default"/>
                <w:color w:val="000000"/>
                <w:szCs w:val="21"/>
                <w:highlight w:val="none"/>
                <w:lang w:val="en-US" w:eastAsia="zh-CN"/>
              </w:rPr>
              <w:t>110-DD21S-</w:t>
            </w:r>
            <w:r>
              <w:rPr>
                <w:rFonts w:hint="eastAsia"/>
                <w:lang w:val="en-US" w:eastAsia="zh-CN"/>
              </w:rPr>
              <w:t>J4</w:t>
            </w:r>
            <w:r>
              <w:rPr>
                <w:color w:val="000000"/>
                <w:szCs w:val="21"/>
                <w:highlight w:val="none"/>
              </w:rPr>
              <w:t>型）</w:t>
            </w:r>
            <w:r>
              <w:rPr>
                <w:rFonts w:hint="eastAsia"/>
                <w:color w:val="000000"/>
                <w:szCs w:val="21"/>
                <w:highlight w:val="none"/>
              </w:rPr>
              <w:t>段</w:t>
            </w:r>
            <w:r>
              <w:rPr>
                <w:rFonts w:hint="eastAsia"/>
                <w:color w:val="000000"/>
                <w:szCs w:val="21"/>
                <w:highlight w:val="none"/>
                <w:lang w:eastAsia="zh-CN"/>
              </w:rPr>
              <w:t>，</w:t>
            </w:r>
            <w:r>
              <w:rPr>
                <w:rFonts w:hint="eastAsia"/>
                <w:color w:val="000000"/>
                <w:szCs w:val="21"/>
                <w:highlight w:val="none"/>
              </w:rPr>
              <w:t>经过非居民区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6</w:t>
            </w:r>
            <w:r>
              <w:rPr>
                <w:color w:val="000000"/>
                <w:szCs w:val="21"/>
                <w:highlight w:val="none"/>
              </w:rPr>
              <w:t>.0m时，线下距地面1.5m高处工频电场强度最大值为</w:t>
            </w:r>
            <w:r>
              <w:rPr>
                <w:rFonts w:hint="eastAsia"/>
                <w:color w:val="000000"/>
                <w:szCs w:val="21"/>
                <w:highlight w:val="none"/>
                <w:lang w:val="en-US" w:eastAsia="zh-CN"/>
              </w:rPr>
              <w:t>2.2588</w:t>
            </w:r>
            <w:r>
              <w:rPr>
                <w:rFonts w:hint="eastAsia"/>
                <w:color w:val="000000"/>
                <w:szCs w:val="21"/>
                <w:highlight w:val="none"/>
              </w:rPr>
              <w:t>k</w:t>
            </w:r>
            <w:r>
              <w:rPr>
                <w:color w:val="000000"/>
                <w:szCs w:val="21"/>
                <w:highlight w:val="none"/>
              </w:rPr>
              <w:t>V/m，</w:t>
            </w:r>
            <w:r>
              <w:rPr>
                <w:rFonts w:hint="eastAsia"/>
                <w:color w:val="000000"/>
                <w:szCs w:val="21"/>
                <w:highlight w:val="none"/>
              </w:rPr>
              <w:t>满足评价标准10kV/m的要求</w:t>
            </w:r>
            <w:r>
              <w:rPr>
                <w:rFonts w:hint="eastAsia"/>
                <w:color w:val="000000"/>
                <w:szCs w:val="21"/>
                <w:highlight w:val="none"/>
                <w:lang w:eastAsia="zh-CN"/>
              </w:rPr>
              <w:t>；</w:t>
            </w:r>
            <w:r>
              <w:rPr>
                <w:rFonts w:hint="eastAsia"/>
                <w:color w:val="000000"/>
                <w:szCs w:val="21"/>
                <w:highlight w:val="none"/>
              </w:rPr>
              <w:t>经过居民区</w:t>
            </w:r>
            <w:r>
              <w:rPr>
                <w:rFonts w:hint="eastAsia" w:ascii="宋体" w:hAnsi="宋体"/>
                <w:color w:val="000000"/>
                <w:szCs w:val="21"/>
                <w:highlight w:val="none"/>
              </w:rPr>
              <w:t>导线允许架设</w:t>
            </w:r>
            <w:r>
              <w:rPr>
                <w:color w:val="000000"/>
                <w:szCs w:val="21"/>
                <w:highlight w:val="none"/>
              </w:rPr>
              <w:t>最低对地高度</w:t>
            </w:r>
            <w:r>
              <w:rPr>
                <w:rFonts w:hint="eastAsia"/>
                <w:color w:val="000000"/>
                <w:szCs w:val="21"/>
                <w:highlight w:val="none"/>
              </w:rPr>
              <w:t>7</w:t>
            </w:r>
            <w:r>
              <w:rPr>
                <w:color w:val="000000"/>
                <w:szCs w:val="21"/>
                <w:highlight w:val="none"/>
              </w:rPr>
              <w:t>.0m时，线下距地面1.5m高处工频电场强度最大值为</w:t>
            </w:r>
            <w:r>
              <w:rPr>
                <w:rFonts w:hint="eastAsia"/>
                <w:color w:val="000000"/>
                <w:szCs w:val="21"/>
                <w:highlight w:val="none"/>
                <w:lang w:val="en-US" w:eastAsia="zh-CN"/>
              </w:rPr>
              <w:t>1.7402k</w:t>
            </w:r>
            <w:r>
              <w:rPr>
                <w:color w:val="000000"/>
                <w:szCs w:val="21"/>
                <w:highlight w:val="none"/>
              </w:rPr>
              <w:t>V/m，满足评价标准4</w:t>
            </w:r>
            <w:r>
              <w:rPr>
                <w:rFonts w:hint="eastAsia"/>
                <w:color w:val="000000"/>
                <w:szCs w:val="21"/>
                <w:highlight w:val="none"/>
                <w:lang w:val="en-US" w:eastAsia="zh-CN"/>
              </w:rPr>
              <w:t>000</w:t>
            </w:r>
            <w:r>
              <w:rPr>
                <w:color w:val="000000"/>
                <w:szCs w:val="21"/>
                <w:highlight w:val="none"/>
              </w:rPr>
              <w:t>V/m的要求</w:t>
            </w:r>
            <w:r>
              <w:rPr>
                <w:rFonts w:hint="default" w:ascii="Times New Roman" w:hAnsi="Times New Roman" w:cs="Times New Roman"/>
                <w:color w:val="auto"/>
                <w:szCs w:val="21"/>
                <w:highlight w:val="none"/>
              </w:rPr>
              <w:t>。</w:t>
            </w:r>
          </w:p>
          <w:p w14:paraId="76A88CB2">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②工频磁感应强度</w:t>
            </w:r>
          </w:p>
          <w:p w14:paraId="50B3D6F9">
            <w:pPr>
              <w:spacing w:line="360" w:lineRule="auto"/>
              <w:ind w:firstLine="420" w:firstLineChars="200"/>
              <w:rPr>
                <w:rFonts w:hint="default" w:ascii="Times New Roman" w:hAnsi="Times New Roman" w:cs="Times New Roman"/>
                <w:color w:val="auto"/>
                <w:szCs w:val="21"/>
                <w:highlight w:val="none"/>
              </w:rPr>
            </w:pPr>
            <w:r>
              <w:rPr>
                <w:rFonts w:hint="eastAsia" w:ascii="Times New Roman" w:hAnsi="Times New Roman" w:eastAsia="宋体" w:cs="Times New Roman"/>
                <w:b w:val="0"/>
                <w:color w:val="000000"/>
                <w:kern w:val="2"/>
                <w:sz w:val="21"/>
                <w:szCs w:val="21"/>
                <w:highlight w:val="none"/>
                <w:lang w:val="en-US" w:eastAsia="zh-CN" w:bidi="ar-SA"/>
              </w:rPr>
              <w:t>线路Ⅱ双回塔单边挂线段输电线路在最不利塔型（110-DD21S-</w:t>
            </w:r>
            <w:r>
              <w:rPr>
                <w:rFonts w:hint="eastAsia"/>
                <w:lang w:val="en-US" w:eastAsia="zh-CN"/>
              </w:rPr>
              <w:t>J4</w:t>
            </w:r>
            <w:r>
              <w:rPr>
                <w:rFonts w:hint="eastAsia" w:ascii="Times New Roman" w:hAnsi="Times New Roman" w:eastAsia="宋体" w:cs="Times New Roman"/>
                <w:b w:val="0"/>
                <w:color w:val="000000"/>
                <w:kern w:val="2"/>
                <w:sz w:val="21"/>
                <w:szCs w:val="21"/>
                <w:highlight w:val="none"/>
                <w:lang w:val="en-US" w:eastAsia="zh-CN" w:bidi="ar-SA"/>
              </w:rPr>
              <w:t>型）段，经过非居民区导线允许架设最低对地高度6.0m时，线下距地面1.5m高处工频磁感应强度最大值为</w:t>
            </w:r>
            <w:r>
              <w:rPr>
                <w:rFonts w:hint="eastAsia" w:cs="Times New Roman"/>
                <w:b w:val="0"/>
                <w:color w:val="000000"/>
                <w:kern w:val="2"/>
                <w:sz w:val="21"/>
                <w:szCs w:val="21"/>
                <w:highlight w:val="none"/>
                <w:lang w:val="en-US" w:eastAsia="zh-CN" w:bidi="ar-SA"/>
              </w:rPr>
              <w:t>15.964</w:t>
            </w:r>
            <w:r>
              <w:rPr>
                <w:rFonts w:hint="eastAsia" w:ascii="Times New Roman" w:hAnsi="Times New Roman" w:eastAsia="宋体" w:cs="Times New Roman"/>
                <w:b w:val="0"/>
                <w:color w:val="000000"/>
                <w:kern w:val="2"/>
                <w:sz w:val="21"/>
                <w:szCs w:val="21"/>
                <w:highlight w:val="none"/>
                <w:lang w:val="en-US" w:eastAsia="zh-CN" w:bidi="ar-SA"/>
              </w:rPr>
              <w:t>μT，经过居民区导线允许架设最低对地高度7.0m时，线下距地面1.5m高处工频磁感应强度最大值为</w:t>
            </w:r>
            <w:r>
              <w:rPr>
                <w:rFonts w:hint="eastAsia" w:cs="Times New Roman"/>
                <w:b w:val="0"/>
                <w:color w:val="000000"/>
                <w:kern w:val="2"/>
                <w:sz w:val="21"/>
                <w:szCs w:val="21"/>
                <w:highlight w:val="none"/>
                <w:lang w:val="en-US" w:eastAsia="zh-CN" w:bidi="ar-SA"/>
              </w:rPr>
              <w:t>11.9948</w:t>
            </w:r>
            <w:r>
              <w:rPr>
                <w:rFonts w:hint="eastAsia" w:ascii="Times New Roman" w:hAnsi="Times New Roman" w:eastAsia="宋体" w:cs="Times New Roman"/>
                <w:b w:val="0"/>
                <w:color w:val="000000"/>
                <w:kern w:val="2"/>
                <w:sz w:val="21"/>
                <w:szCs w:val="21"/>
                <w:highlight w:val="none"/>
                <w:lang w:val="en-US" w:eastAsia="zh-CN" w:bidi="ar-SA"/>
              </w:rPr>
              <w:t>μT，均满足100μT的评价标准要求</w:t>
            </w:r>
            <w:r>
              <w:rPr>
                <w:rFonts w:hint="default" w:ascii="Times New Roman" w:hAnsi="Times New Roman" w:cs="Times New Roman"/>
                <w:color w:val="auto"/>
                <w:szCs w:val="21"/>
                <w:highlight w:val="none"/>
              </w:rPr>
              <w:t>。</w:t>
            </w:r>
          </w:p>
          <w:p w14:paraId="02069D01">
            <w:pPr>
              <w:spacing w:line="360" w:lineRule="auto"/>
              <w:ind w:firstLine="420" w:firstLineChars="200"/>
              <w:rPr>
                <w:rFonts w:eastAsia="黑体"/>
                <w:color w:val="auto"/>
                <w:szCs w:val="21"/>
              </w:rPr>
            </w:pPr>
            <w:r>
              <w:rPr>
                <w:rFonts w:hint="eastAsia" w:eastAsia="黑体"/>
                <w:color w:val="auto"/>
                <w:szCs w:val="21"/>
              </w:rPr>
              <w:t>3</w:t>
            </w:r>
            <w:r>
              <w:rPr>
                <w:rFonts w:eastAsia="黑体"/>
                <w:color w:val="auto"/>
                <w:szCs w:val="21"/>
              </w:rPr>
              <w:t>、</w:t>
            </w:r>
            <w:r>
              <w:rPr>
                <w:rFonts w:hint="eastAsia" w:eastAsia="黑体"/>
                <w:color w:val="auto"/>
                <w:szCs w:val="21"/>
              </w:rPr>
              <w:t>声环境影响分析</w:t>
            </w:r>
          </w:p>
          <w:p w14:paraId="371F7A15">
            <w:pPr>
              <w:spacing w:line="360" w:lineRule="auto"/>
              <w:ind w:firstLine="422" w:firstLineChars="200"/>
              <w:rPr>
                <w:b/>
                <w:color w:val="auto"/>
                <w:szCs w:val="21"/>
              </w:rPr>
            </w:pPr>
            <w:r>
              <w:rPr>
                <w:rFonts w:hint="eastAsia"/>
                <w:b/>
                <w:color w:val="auto"/>
                <w:szCs w:val="21"/>
              </w:rPr>
              <w:t>（1）变电站声环境影响分析</w:t>
            </w:r>
          </w:p>
          <w:p w14:paraId="28272AF8">
            <w:pPr>
              <w:spacing w:line="360" w:lineRule="auto"/>
              <w:ind w:firstLine="420" w:firstLineChars="200"/>
              <w:rPr>
                <w:color w:val="auto"/>
                <w:szCs w:val="21"/>
              </w:rPr>
            </w:pPr>
            <w:r>
              <w:rPr>
                <w:rFonts w:hint="eastAsia"/>
                <w:color w:val="auto"/>
                <w:szCs w:val="21"/>
              </w:rPr>
              <w:t>1）</w:t>
            </w:r>
            <w:r>
              <w:rPr>
                <w:rFonts w:eastAsiaTheme="minorEastAsia"/>
                <w:color w:val="auto"/>
                <w:szCs w:val="21"/>
              </w:rPr>
              <w:t>声源情况</w:t>
            </w:r>
          </w:p>
          <w:p w14:paraId="6159A225">
            <w:pPr>
              <w:spacing w:line="360" w:lineRule="auto"/>
              <w:ind w:firstLine="420" w:firstLineChars="200"/>
              <w:rPr>
                <w:color w:val="auto"/>
                <w:szCs w:val="21"/>
              </w:rPr>
            </w:pPr>
            <w:r>
              <w:rPr>
                <w:rFonts w:hint="eastAsia"/>
                <w:color w:val="auto"/>
                <w:szCs w:val="21"/>
              </w:rPr>
              <w:t>本项目主要噪声源来自</w:t>
            </w:r>
            <w:r>
              <w:rPr>
                <w:rFonts w:hint="eastAsia"/>
                <w:color w:val="auto"/>
                <w:szCs w:val="21"/>
                <w:lang w:val="en-US" w:eastAsia="zh-CN"/>
              </w:rPr>
              <w:t>司城</w:t>
            </w:r>
            <w:r>
              <w:rPr>
                <w:rFonts w:hint="eastAsia"/>
                <w:color w:val="auto"/>
                <w:szCs w:val="21"/>
              </w:rPr>
              <w:t>110kV变电站，变电站的主变压器等设备在运营期间将产生噪声，冷却系统产生空气动力噪声。本项目变电站采用户外布置，变电站</w:t>
            </w:r>
            <w:r>
              <w:rPr>
                <w:rFonts w:hint="eastAsia"/>
                <w:color w:val="auto"/>
                <w:szCs w:val="21"/>
                <w:lang w:eastAsia="zh-CN"/>
              </w:rPr>
              <w:t>噪声源为主</w:t>
            </w:r>
            <w:r>
              <w:rPr>
                <w:rFonts w:hint="eastAsia"/>
                <w:color w:val="auto"/>
                <w:szCs w:val="21"/>
              </w:rPr>
              <w:t>变压器，其中主变压器噪声以中低频为主。根据建设单位对于主变的采购要求，本项目新建</w:t>
            </w:r>
            <w:r>
              <w:rPr>
                <w:rFonts w:hint="eastAsia"/>
                <w:color w:val="auto"/>
                <w:szCs w:val="21"/>
                <w:lang w:val="en-US" w:eastAsia="zh-CN"/>
              </w:rPr>
              <w:t>司城</w:t>
            </w:r>
            <w:r>
              <w:rPr>
                <w:rFonts w:hint="eastAsia"/>
                <w:color w:val="auto"/>
                <w:szCs w:val="21"/>
              </w:rPr>
              <w:t>110kV变电站主变压器噪声声压级不超过60dB（A）（距离主变压器2m处）。</w:t>
            </w:r>
            <w:r>
              <w:rPr>
                <w:color w:val="auto"/>
                <w:szCs w:val="21"/>
              </w:rPr>
              <w:t>主变终期3台，</w:t>
            </w:r>
            <w:r>
              <w:rPr>
                <w:rFonts w:hint="eastAsia"/>
                <w:color w:val="auto"/>
                <w:szCs w:val="21"/>
              </w:rPr>
              <w:t>本期</w:t>
            </w:r>
            <w:r>
              <w:rPr>
                <w:rFonts w:hint="eastAsia"/>
                <w:color w:val="auto"/>
                <w:szCs w:val="21"/>
                <w:lang w:val="en-US" w:eastAsia="zh-CN"/>
              </w:rPr>
              <w:t>2</w:t>
            </w:r>
            <w:r>
              <w:rPr>
                <w:color w:val="auto"/>
                <w:szCs w:val="21"/>
              </w:rPr>
              <w:t>台，</w:t>
            </w:r>
            <w:r>
              <w:rPr>
                <w:rFonts w:hint="eastAsia"/>
                <w:color w:val="auto"/>
                <w:szCs w:val="21"/>
              </w:rPr>
              <w:t>11</w:t>
            </w:r>
            <w:r>
              <w:rPr>
                <w:color w:val="auto"/>
                <w:szCs w:val="21"/>
              </w:rPr>
              <w:t>0kV主变压器为大型设备，视作面声源。</w:t>
            </w:r>
          </w:p>
          <w:p w14:paraId="6CD689DD">
            <w:pPr>
              <w:spacing w:line="360" w:lineRule="auto"/>
              <w:ind w:firstLine="420" w:firstLineChars="200"/>
              <w:rPr>
                <w:color w:val="auto"/>
                <w:szCs w:val="21"/>
              </w:rPr>
            </w:pPr>
            <w:r>
              <w:rPr>
                <w:rFonts w:hint="eastAsia"/>
                <w:color w:val="auto"/>
                <w:szCs w:val="21"/>
              </w:rPr>
              <w:t>2</w:t>
            </w:r>
            <w:r>
              <w:rPr>
                <w:color w:val="auto"/>
                <w:szCs w:val="21"/>
              </w:rPr>
              <w:t>）评价方法</w:t>
            </w:r>
          </w:p>
          <w:p w14:paraId="2B76A7A8">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运营期本项目变电站主变为户</w:t>
            </w:r>
            <w:r>
              <w:rPr>
                <w:rFonts w:hint="default" w:ascii="Times New Roman" w:hAnsi="Times New Roman" w:cs="Times New Roman"/>
                <w:color w:val="auto"/>
                <w:szCs w:val="21"/>
                <w:highlight w:val="none"/>
                <w:lang w:val="en-US" w:eastAsia="zh-CN"/>
              </w:rPr>
              <w:t>外</w:t>
            </w:r>
            <w:r>
              <w:rPr>
                <w:rFonts w:hint="default" w:ascii="Times New Roman" w:hAnsi="Times New Roman" w:cs="Times New Roman"/>
                <w:color w:val="auto"/>
                <w:szCs w:val="21"/>
                <w:highlight w:val="none"/>
              </w:rPr>
              <w:t>布置，视为户</w:t>
            </w:r>
            <w:r>
              <w:rPr>
                <w:rFonts w:hint="default" w:ascii="Times New Roman" w:hAnsi="Times New Roman" w:cs="Times New Roman"/>
                <w:color w:val="auto"/>
                <w:szCs w:val="21"/>
                <w:highlight w:val="none"/>
                <w:lang w:val="en-US" w:eastAsia="zh-CN"/>
              </w:rPr>
              <w:t>外</w:t>
            </w:r>
            <w:r>
              <w:rPr>
                <w:rFonts w:hint="default" w:ascii="Times New Roman" w:hAnsi="Times New Roman" w:cs="Times New Roman"/>
                <w:color w:val="auto"/>
                <w:szCs w:val="21"/>
                <w:highlight w:val="none"/>
              </w:rPr>
              <w:t>面声源</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本项目变电站噪声环境影响分析采用理论计算进行预测评价。预测模式采用《环境影响评价技术导则 声环境》（HJ2.4-2021）工业噪声面声源预测计算模式，采用</w:t>
            </w:r>
            <w:r>
              <w:rPr>
                <w:rFonts w:hint="eastAsia" w:cs="Times New Roman"/>
                <w:color w:val="auto"/>
                <w:szCs w:val="21"/>
                <w:highlight w:val="none"/>
                <w:lang w:val="en-US" w:eastAsia="zh-CN"/>
              </w:rPr>
              <w:t>****</w:t>
            </w:r>
            <w:r>
              <w:rPr>
                <w:rFonts w:hint="eastAsia" w:cs="Times New Roman"/>
                <w:color w:val="auto"/>
                <w:szCs w:val="21"/>
                <w:highlight w:val="none"/>
                <w:lang w:eastAsia="zh-CN"/>
              </w:rPr>
              <w:t>软件</w:t>
            </w:r>
            <w:r>
              <w:rPr>
                <w:rFonts w:hint="default" w:ascii="Times New Roman" w:hAnsi="Times New Roman" w:cs="Times New Roman"/>
                <w:color w:val="auto"/>
                <w:szCs w:val="21"/>
                <w:highlight w:val="none"/>
              </w:rPr>
              <w:t>，预测出变电站本期</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终期</w:t>
            </w:r>
            <w:r>
              <w:rPr>
                <w:rFonts w:hint="default" w:ascii="Times New Roman" w:hAnsi="Times New Roman" w:cs="Times New Roman"/>
                <w:color w:val="auto"/>
                <w:szCs w:val="21"/>
                <w:highlight w:val="none"/>
              </w:rPr>
              <w:t>工程的主要设备噪声贡献值，然后与环境标准对比进行评价。具体如下：</w:t>
            </w:r>
          </w:p>
          <w:p w14:paraId="57AE7F97">
            <w:pPr>
              <w:spacing w:line="360" w:lineRule="auto"/>
              <w:ind w:firstLine="420" w:firstLineChars="200"/>
              <w:rPr>
                <w:color w:val="auto"/>
                <w:szCs w:val="21"/>
              </w:rPr>
            </w:pPr>
            <w:r>
              <w:rPr>
                <w:color w:val="auto"/>
                <w:szCs w:val="21"/>
              </w:rPr>
              <w:t>由</w:t>
            </w:r>
            <w:r>
              <w:rPr>
                <w:rFonts w:hint="eastAsia"/>
                <w:color w:val="auto"/>
                <w:szCs w:val="21"/>
                <w:lang w:val="en-US" w:eastAsia="zh-CN"/>
              </w:rPr>
              <w:t>表</w:t>
            </w:r>
            <w:r>
              <w:rPr>
                <w:rFonts w:hint="eastAsia"/>
                <w:color w:val="auto"/>
                <w:szCs w:val="21"/>
              </w:rPr>
              <w:t>图</w:t>
            </w:r>
            <w:r>
              <w:rPr>
                <w:color w:val="auto"/>
                <w:szCs w:val="21"/>
              </w:rPr>
              <w:t>可知，</w:t>
            </w:r>
            <w:r>
              <w:rPr>
                <w:rFonts w:hint="eastAsia"/>
                <w:color w:val="auto"/>
                <w:szCs w:val="21"/>
                <w:lang w:eastAsia="zh-CN"/>
              </w:rPr>
              <w:t>司城</w:t>
            </w:r>
            <w:r>
              <w:rPr>
                <w:rFonts w:hint="eastAsia"/>
                <w:color w:val="auto"/>
                <w:szCs w:val="21"/>
              </w:rPr>
              <w:t>110kV变电站本期建成</w:t>
            </w:r>
            <w:r>
              <w:rPr>
                <w:color w:val="auto"/>
                <w:szCs w:val="21"/>
              </w:rPr>
              <w:t>投运后，</w:t>
            </w:r>
            <w:r>
              <w:rPr>
                <w:rFonts w:hint="eastAsia"/>
                <w:color w:val="auto"/>
                <w:szCs w:val="21"/>
                <w:lang w:val="en-US" w:eastAsia="zh-CN"/>
              </w:rPr>
              <w:t>西南侧、东</w:t>
            </w:r>
            <w:r>
              <w:rPr>
                <w:rFonts w:hint="eastAsia" w:cs="Times New Roman"/>
                <w:color w:val="000000" w:themeColor="text1"/>
                <w:szCs w:val="21"/>
                <w:highlight w:val="none"/>
                <w:lang w:val="en-US" w:eastAsia="zh-CN"/>
                <w14:textFill>
                  <w14:solidFill>
                    <w14:schemeClr w14:val="tx1"/>
                  </w14:solidFill>
                </w14:textFill>
              </w:rPr>
              <w:t>南侧</w:t>
            </w:r>
            <w:r>
              <w:rPr>
                <w:rFonts w:hint="default" w:ascii="Times New Roman" w:hAnsi="Times New Roman" w:cs="Times New Roman"/>
                <w:color w:val="000000" w:themeColor="text1"/>
                <w:szCs w:val="21"/>
                <w:highlight w:val="none"/>
                <w14:textFill>
                  <w14:solidFill>
                    <w14:schemeClr w14:val="tx1"/>
                  </w14:solidFill>
                </w14:textFill>
              </w:rPr>
              <w:t>站界围墙1m处噪声</w:t>
            </w:r>
            <w:r>
              <w:rPr>
                <w:rFonts w:hint="default" w:ascii="Times New Roman" w:hAnsi="Times New Roman" w:eastAsia="宋体" w:cs="Times New Roman"/>
                <w:color w:val="auto"/>
                <w:sz w:val="21"/>
                <w:szCs w:val="21"/>
                <w:highlight w:val="none"/>
              </w:rPr>
              <w:t>预测</w:t>
            </w:r>
            <w:r>
              <w:rPr>
                <w:rFonts w:hint="eastAsia" w:cs="Times New Roman"/>
                <w:color w:val="auto"/>
                <w:sz w:val="21"/>
                <w:szCs w:val="21"/>
                <w:highlight w:val="none"/>
                <w:lang w:val="en-US" w:eastAsia="zh-CN"/>
              </w:rPr>
              <w:t>值分别</w:t>
            </w:r>
            <w:r>
              <w:rPr>
                <w:rFonts w:hint="default" w:ascii="Times New Roman" w:hAnsi="Times New Roman" w:eastAsia="宋体" w:cs="Times New Roman"/>
                <w:color w:val="auto"/>
                <w:sz w:val="21"/>
                <w:szCs w:val="21"/>
                <w:highlight w:val="none"/>
              </w:rPr>
              <w:t>为</w:t>
            </w:r>
            <w:r>
              <w:rPr>
                <w:rFonts w:hint="eastAsia" w:cs="Times New Roman"/>
                <w:color w:val="auto"/>
                <w:sz w:val="21"/>
                <w:szCs w:val="21"/>
                <w:highlight w:val="none"/>
                <w:lang w:val="en-US" w:eastAsia="zh-CN"/>
              </w:rPr>
              <w:t>40.1</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val="en-US" w:eastAsia="zh-CN"/>
              </w:rPr>
              <w:t>、39.0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default"/>
                <w:color w:val="auto"/>
                <w:szCs w:val="21"/>
                <w:highlight w:val="none"/>
              </w:rPr>
              <w:t>，</w:t>
            </w:r>
            <w:r>
              <w:rPr>
                <w:rFonts w:hint="eastAsia" w:ascii="Times New Roman" w:hAnsi="Times New Roman" w:eastAsia="宋体" w:cs="Times New Roman"/>
                <w:color w:val="auto"/>
                <w:sz w:val="21"/>
                <w:szCs w:val="21"/>
                <w:highlight w:val="none"/>
                <w:lang w:eastAsia="zh-CN"/>
              </w:rPr>
              <w:t>站界处昼</w:t>
            </w:r>
            <w:r>
              <w:rPr>
                <w:rFonts w:hint="eastAsia" w:cs="Times New Roman"/>
                <w:color w:val="auto"/>
                <w:sz w:val="21"/>
                <w:szCs w:val="21"/>
                <w:highlight w:val="none"/>
                <w:lang w:val="en-US" w:eastAsia="zh-CN"/>
              </w:rPr>
              <w:t>夜</w:t>
            </w:r>
            <w:r>
              <w:rPr>
                <w:rFonts w:hint="eastAsia" w:ascii="Times New Roman" w:hAnsi="Times New Roman" w:eastAsia="宋体" w:cs="Times New Roman"/>
                <w:color w:val="auto"/>
                <w:sz w:val="21"/>
                <w:szCs w:val="21"/>
                <w:highlight w:val="none"/>
                <w:lang w:eastAsia="zh-CN"/>
              </w:rPr>
              <w:t>间噪声值满足《工业企业厂界环境噪声排放标准》（GB 12348-2008）中</w:t>
            </w:r>
            <w:r>
              <w:rPr>
                <w:rFonts w:hint="eastAsia"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lang w:val="en-US" w:eastAsia="zh-CN"/>
              </w:rPr>
              <w:t>类标准要求</w:t>
            </w:r>
            <w:r>
              <w:rPr>
                <w:rFonts w:hint="eastAsia" w:cs="Times New Roman"/>
                <w:color w:val="auto"/>
                <w:sz w:val="21"/>
                <w:szCs w:val="21"/>
                <w:highlight w:val="none"/>
                <w:lang w:val="en-US" w:eastAsia="zh-CN"/>
              </w:rPr>
              <w:t>；其余侧</w:t>
            </w:r>
            <w:r>
              <w:rPr>
                <w:rFonts w:hint="default" w:ascii="Times New Roman" w:hAnsi="Times New Roman" w:cs="Times New Roman"/>
                <w:color w:val="000000" w:themeColor="text1"/>
                <w:szCs w:val="21"/>
                <w:highlight w:val="none"/>
                <w14:textFill>
                  <w14:solidFill>
                    <w14:schemeClr w14:val="tx1"/>
                  </w14:solidFill>
                </w14:textFill>
              </w:rPr>
              <w:t>站界围墙1m处噪声</w:t>
            </w:r>
            <w:r>
              <w:rPr>
                <w:rFonts w:hint="default" w:ascii="Times New Roman" w:hAnsi="Times New Roman" w:eastAsia="宋体" w:cs="Times New Roman"/>
                <w:color w:val="auto"/>
                <w:sz w:val="21"/>
                <w:szCs w:val="21"/>
                <w:highlight w:val="none"/>
              </w:rPr>
              <w:t>预测</w:t>
            </w:r>
            <w:r>
              <w:rPr>
                <w:rFonts w:hint="eastAsia" w:cs="Times New Roman"/>
                <w:color w:val="auto"/>
                <w:sz w:val="21"/>
                <w:szCs w:val="21"/>
                <w:highlight w:val="none"/>
                <w:lang w:val="en-US" w:eastAsia="zh-CN"/>
              </w:rPr>
              <w:t>最大值</w:t>
            </w:r>
            <w:r>
              <w:rPr>
                <w:rFonts w:hint="default" w:ascii="Times New Roman" w:hAnsi="Times New Roman" w:eastAsia="宋体" w:cs="Times New Roman"/>
                <w:color w:val="auto"/>
                <w:sz w:val="21"/>
                <w:szCs w:val="21"/>
                <w:highlight w:val="none"/>
              </w:rPr>
              <w:t>为</w:t>
            </w:r>
            <w:r>
              <w:rPr>
                <w:rFonts w:hint="eastAsia" w:cs="Times New Roman"/>
                <w:color w:val="auto"/>
                <w:sz w:val="21"/>
                <w:szCs w:val="21"/>
                <w:highlight w:val="none"/>
                <w:lang w:val="en-US" w:eastAsia="zh-CN"/>
              </w:rPr>
              <w:t>46.0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eastAsia="zh-CN"/>
              </w:rPr>
              <w:t>，</w:t>
            </w:r>
            <w:r>
              <w:rPr>
                <w:rFonts w:hint="eastAsia" w:ascii="Times New Roman" w:hAnsi="Times New Roman" w:eastAsia="宋体" w:cs="Times New Roman"/>
                <w:color w:val="auto"/>
                <w:sz w:val="21"/>
                <w:szCs w:val="21"/>
                <w:lang w:eastAsia="zh-CN"/>
              </w:rPr>
              <w:t>站界处昼</w:t>
            </w:r>
            <w:r>
              <w:rPr>
                <w:rFonts w:hint="eastAsia" w:cs="Times New Roman"/>
                <w:color w:val="auto"/>
                <w:sz w:val="21"/>
                <w:szCs w:val="21"/>
                <w:lang w:val="en-US" w:eastAsia="zh-CN"/>
              </w:rPr>
              <w:t>夜</w:t>
            </w:r>
            <w:r>
              <w:rPr>
                <w:rFonts w:hint="eastAsia" w:ascii="Times New Roman" w:hAnsi="Times New Roman" w:eastAsia="宋体" w:cs="Times New Roman"/>
                <w:color w:val="auto"/>
                <w:sz w:val="21"/>
                <w:szCs w:val="21"/>
                <w:lang w:eastAsia="zh-CN"/>
              </w:rPr>
              <w:t>间噪声值满足《工业企业厂界环境噪声排放标准》（GB 12348-2008）中</w:t>
            </w:r>
            <w:r>
              <w:rPr>
                <w:rFonts w:hint="eastAsia"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类标准要求</w:t>
            </w:r>
            <w:r>
              <w:rPr>
                <w:rFonts w:hint="eastAsia" w:ascii="Times New Roman" w:hAnsi="Times New Roman" w:eastAsia="宋体" w:cs="Times New Roman"/>
                <w:color w:val="auto"/>
                <w:sz w:val="21"/>
                <w:szCs w:val="21"/>
                <w:highlight w:val="none"/>
                <w:lang w:eastAsia="zh-CN"/>
              </w:rPr>
              <w:t>。</w:t>
            </w:r>
          </w:p>
          <w:p w14:paraId="7EAD6F53">
            <w:pPr>
              <w:spacing w:line="360" w:lineRule="auto"/>
              <w:ind w:firstLine="420" w:firstLineChars="200"/>
              <w:rPr>
                <w:color w:val="auto"/>
                <w:szCs w:val="21"/>
              </w:rPr>
            </w:pPr>
            <w:r>
              <w:rPr>
                <w:color w:val="auto"/>
                <w:szCs w:val="21"/>
              </w:rPr>
              <w:t>由</w:t>
            </w:r>
            <w:r>
              <w:rPr>
                <w:rFonts w:hint="eastAsia"/>
                <w:color w:val="auto"/>
                <w:szCs w:val="21"/>
                <w:lang w:val="en-US" w:eastAsia="zh-CN"/>
              </w:rPr>
              <w:t>表</w:t>
            </w:r>
            <w:r>
              <w:rPr>
                <w:rFonts w:hint="eastAsia"/>
                <w:color w:val="auto"/>
                <w:szCs w:val="21"/>
              </w:rPr>
              <w:t>图</w:t>
            </w:r>
            <w:r>
              <w:rPr>
                <w:color w:val="auto"/>
                <w:szCs w:val="21"/>
              </w:rPr>
              <w:t>可知，</w:t>
            </w:r>
            <w:r>
              <w:rPr>
                <w:rFonts w:hint="eastAsia"/>
                <w:color w:val="auto"/>
                <w:szCs w:val="21"/>
                <w:lang w:eastAsia="zh-CN"/>
              </w:rPr>
              <w:t>司城</w:t>
            </w:r>
            <w:r>
              <w:rPr>
                <w:rFonts w:hint="eastAsia"/>
                <w:color w:val="auto"/>
                <w:szCs w:val="21"/>
              </w:rPr>
              <w:t>110kV变电站终期建成</w:t>
            </w:r>
            <w:r>
              <w:rPr>
                <w:color w:val="auto"/>
                <w:szCs w:val="21"/>
              </w:rPr>
              <w:t>投运后，</w:t>
            </w:r>
            <w:r>
              <w:rPr>
                <w:rFonts w:hint="eastAsia"/>
                <w:color w:val="auto"/>
                <w:szCs w:val="21"/>
                <w:lang w:val="en-US" w:eastAsia="zh-CN"/>
              </w:rPr>
              <w:t>西南侧、东</w:t>
            </w:r>
            <w:r>
              <w:rPr>
                <w:rFonts w:hint="eastAsia" w:cs="Times New Roman"/>
                <w:color w:val="000000" w:themeColor="text1"/>
                <w:szCs w:val="21"/>
                <w:highlight w:val="none"/>
                <w:lang w:val="en-US" w:eastAsia="zh-CN"/>
                <w14:textFill>
                  <w14:solidFill>
                    <w14:schemeClr w14:val="tx1"/>
                  </w14:solidFill>
                </w14:textFill>
              </w:rPr>
              <w:t>南侧</w:t>
            </w:r>
            <w:r>
              <w:rPr>
                <w:rFonts w:hint="default" w:ascii="Times New Roman" w:hAnsi="Times New Roman" w:cs="Times New Roman"/>
                <w:color w:val="000000" w:themeColor="text1"/>
                <w:szCs w:val="21"/>
                <w:highlight w:val="none"/>
                <w14:textFill>
                  <w14:solidFill>
                    <w14:schemeClr w14:val="tx1"/>
                  </w14:solidFill>
                </w14:textFill>
              </w:rPr>
              <w:t>站界围墙1m处噪声</w:t>
            </w:r>
            <w:r>
              <w:rPr>
                <w:rFonts w:hint="default" w:ascii="Times New Roman" w:hAnsi="Times New Roman" w:eastAsia="宋体" w:cs="Times New Roman"/>
                <w:color w:val="auto"/>
                <w:sz w:val="21"/>
                <w:szCs w:val="21"/>
                <w:highlight w:val="none"/>
              </w:rPr>
              <w:t>预测</w:t>
            </w:r>
            <w:r>
              <w:rPr>
                <w:rFonts w:hint="eastAsia" w:cs="Times New Roman"/>
                <w:color w:val="auto"/>
                <w:sz w:val="21"/>
                <w:szCs w:val="21"/>
                <w:highlight w:val="none"/>
                <w:lang w:val="en-US" w:eastAsia="zh-CN"/>
              </w:rPr>
              <w:t>值分别</w:t>
            </w:r>
            <w:r>
              <w:rPr>
                <w:rFonts w:hint="default" w:ascii="Times New Roman" w:hAnsi="Times New Roman" w:eastAsia="宋体" w:cs="Times New Roman"/>
                <w:color w:val="auto"/>
                <w:sz w:val="21"/>
                <w:szCs w:val="21"/>
                <w:highlight w:val="none"/>
              </w:rPr>
              <w:t>为</w:t>
            </w:r>
            <w:r>
              <w:rPr>
                <w:rFonts w:hint="eastAsia" w:cs="Times New Roman"/>
                <w:color w:val="auto"/>
                <w:sz w:val="21"/>
                <w:szCs w:val="21"/>
                <w:highlight w:val="none"/>
                <w:lang w:val="en-US" w:eastAsia="zh-CN"/>
              </w:rPr>
              <w:t>45.2</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val="en-US" w:eastAsia="zh-CN"/>
              </w:rPr>
              <w:t>、39.2</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default"/>
                <w:color w:val="auto"/>
                <w:szCs w:val="21"/>
                <w:highlight w:val="none"/>
              </w:rPr>
              <w:t>，</w:t>
            </w:r>
            <w:r>
              <w:rPr>
                <w:rFonts w:hint="eastAsia" w:ascii="Times New Roman" w:hAnsi="Times New Roman" w:eastAsia="宋体" w:cs="Times New Roman"/>
                <w:color w:val="auto"/>
                <w:sz w:val="21"/>
                <w:szCs w:val="21"/>
                <w:highlight w:val="none"/>
                <w:lang w:eastAsia="zh-CN"/>
              </w:rPr>
              <w:t>站界处昼</w:t>
            </w:r>
            <w:r>
              <w:rPr>
                <w:rFonts w:hint="eastAsia" w:cs="Times New Roman"/>
                <w:color w:val="auto"/>
                <w:sz w:val="21"/>
                <w:szCs w:val="21"/>
                <w:highlight w:val="none"/>
                <w:lang w:val="en-US" w:eastAsia="zh-CN"/>
              </w:rPr>
              <w:t>夜</w:t>
            </w:r>
            <w:r>
              <w:rPr>
                <w:rFonts w:hint="eastAsia" w:ascii="Times New Roman" w:hAnsi="Times New Roman" w:eastAsia="宋体" w:cs="Times New Roman"/>
                <w:color w:val="auto"/>
                <w:sz w:val="21"/>
                <w:szCs w:val="21"/>
                <w:highlight w:val="none"/>
                <w:lang w:eastAsia="zh-CN"/>
              </w:rPr>
              <w:t>间噪声值满足《工业企业厂界环境噪声排放标准》（GB 12348-2008）中</w:t>
            </w:r>
            <w:r>
              <w:rPr>
                <w:rFonts w:hint="eastAsia"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lang w:val="en-US" w:eastAsia="zh-CN"/>
              </w:rPr>
              <w:t>类标准要求</w:t>
            </w:r>
            <w:r>
              <w:rPr>
                <w:rFonts w:hint="eastAsia" w:cs="Times New Roman"/>
                <w:color w:val="auto"/>
                <w:sz w:val="21"/>
                <w:szCs w:val="21"/>
                <w:highlight w:val="none"/>
                <w:lang w:val="en-US" w:eastAsia="zh-CN"/>
              </w:rPr>
              <w:t>；其余侧</w:t>
            </w:r>
            <w:r>
              <w:rPr>
                <w:rFonts w:hint="default" w:ascii="Times New Roman" w:hAnsi="Times New Roman" w:cs="Times New Roman"/>
                <w:color w:val="000000" w:themeColor="text1"/>
                <w:szCs w:val="21"/>
                <w:highlight w:val="none"/>
                <w14:textFill>
                  <w14:solidFill>
                    <w14:schemeClr w14:val="tx1"/>
                  </w14:solidFill>
                </w14:textFill>
              </w:rPr>
              <w:t>站界围墙1m处噪声</w:t>
            </w:r>
            <w:r>
              <w:rPr>
                <w:rFonts w:hint="default" w:ascii="Times New Roman" w:hAnsi="Times New Roman" w:eastAsia="宋体" w:cs="Times New Roman"/>
                <w:color w:val="auto"/>
                <w:sz w:val="21"/>
                <w:szCs w:val="21"/>
                <w:highlight w:val="none"/>
              </w:rPr>
              <w:t>预测</w:t>
            </w:r>
            <w:r>
              <w:rPr>
                <w:rFonts w:hint="eastAsia" w:cs="Times New Roman"/>
                <w:color w:val="auto"/>
                <w:sz w:val="21"/>
                <w:szCs w:val="21"/>
                <w:highlight w:val="none"/>
                <w:lang w:val="en-US" w:eastAsia="zh-CN"/>
              </w:rPr>
              <w:t>最大值</w:t>
            </w:r>
            <w:r>
              <w:rPr>
                <w:rFonts w:hint="default" w:ascii="Times New Roman" w:hAnsi="Times New Roman" w:eastAsia="宋体" w:cs="Times New Roman"/>
                <w:color w:val="auto"/>
                <w:sz w:val="21"/>
                <w:szCs w:val="21"/>
                <w:highlight w:val="none"/>
              </w:rPr>
              <w:t>为</w:t>
            </w:r>
            <w:r>
              <w:rPr>
                <w:rFonts w:hint="eastAsia" w:cs="Times New Roman"/>
                <w:color w:val="auto"/>
                <w:sz w:val="21"/>
                <w:szCs w:val="21"/>
                <w:highlight w:val="none"/>
                <w:lang w:val="en-US" w:eastAsia="zh-CN"/>
              </w:rPr>
              <w:t>46.8</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eastAsia="zh-CN"/>
              </w:rPr>
              <w:t>，</w:t>
            </w:r>
            <w:r>
              <w:rPr>
                <w:rFonts w:hint="eastAsia" w:ascii="Times New Roman" w:hAnsi="Times New Roman" w:eastAsia="宋体" w:cs="Times New Roman"/>
                <w:color w:val="auto"/>
                <w:sz w:val="21"/>
                <w:szCs w:val="21"/>
                <w:lang w:eastAsia="zh-CN"/>
              </w:rPr>
              <w:t>站界处昼</w:t>
            </w:r>
            <w:r>
              <w:rPr>
                <w:rFonts w:hint="eastAsia" w:cs="Times New Roman"/>
                <w:color w:val="auto"/>
                <w:sz w:val="21"/>
                <w:szCs w:val="21"/>
                <w:lang w:val="en-US" w:eastAsia="zh-CN"/>
              </w:rPr>
              <w:t>夜</w:t>
            </w:r>
            <w:r>
              <w:rPr>
                <w:rFonts w:hint="eastAsia" w:ascii="Times New Roman" w:hAnsi="Times New Roman" w:eastAsia="宋体" w:cs="Times New Roman"/>
                <w:color w:val="auto"/>
                <w:sz w:val="21"/>
                <w:szCs w:val="21"/>
                <w:lang w:eastAsia="zh-CN"/>
              </w:rPr>
              <w:t>间噪声值满足《工业企业厂界环境噪声排放标准》（GB 12348-2008）中</w:t>
            </w:r>
            <w:r>
              <w:rPr>
                <w:rFonts w:hint="eastAsia"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类标准要求</w:t>
            </w:r>
            <w:r>
              <w:rPr>
                <w:rFonts w:hint="eastAsia" w:ascii="Times New Roman" w:hAnsi="Times New Roman" w:eastAsia="宋体" w:cs="Times New Roman"/>
                <w:color w:val="auto"/>
                <w:sz w:val="21"/>
                <w:szCs w:val="21"/>
                <w:highlight w:val="none"/>
                <w:lang w:eastAsia="zh-CN"/>
              </w:rPr>
              <w:t>。</w:t>
            </w:r>
          </w:p>
          <w:p w14:paraId="1C4A4972">
            <w:pPr>
              <w:adjustRightInd w:val="0"/>
              <w:spacing w:line="360" w:lineRule="auto"/>
              <w:ind w:firstLine="422" w:firstLineChars="200"/>
              <w:rPr>
                <w:b/>
                <w:color w:val="auto"/>
                <w:szCs w:val="21"/>
              </w:rPr>
            </w:pPr>
            <w:r>
              <w:rPr>
                <w:rFonts w:hint="eastAsia"/>
                <w:b/>
                <w:color w:val="auto"/>
                <w:szCs w:val="21"/>
              </w:rPr>
              <w:t>（2）</w:t>
            </w:r>
            <w:r>
              <w:rPr>
                <w:rFonts w:hint="eastAsia"/>
                <w:b/>
                <w:color w:val="auto"/>
                <w:szCs w:val="21"/>
                <w:lang w:val="en-US" w:eastAsia="zh-CN"/>
              </w:rPr>
              <w:t>架空段</w:t>
            </w:r>
            <w:r>
              <w:rPr>
                <w:b/>
                <w:color w:val="auto"/>
                <w:szCs w:val="21"/>
              </w:rPr>
              <w:t>输电线路</w:t>
            </w:r>
            <w:r>
              <w:rPr>
                <w:rFonts w:hint="eastAsia"/>
                <w:b/>
                <w:color w:val="auto"/>
                <w:szCs w:val="21"/>
              </w:rPr>
              <w:t>声环境影响分析</w:t>
            </w:r>
          </w:p>
          <w:p w14:paraId="2546F410">
            <w:pPr>
              <w:spacing w:line="360" w:lineRule="auto"/>
              <w:ind w:firstLine="420" w:firstLineChars="200"/>
              <w:rPr>
                <w:rFonts w:hint="default" w:ascii="Times New Roman" w:hAnsi="Times New Roman" w:cs="Times New Roman"/>
                <w:color w:val="auto"/>
              </w:rPr>
            </w:pPr>
            <w:r>
              <w:rPr>
                <w:rFonts w:hint="default" w:ascii="Times New Roman" w:hAnsi="Times New Roman" w:cs="Times New Roman"/>
                <w:b w:val="0"/>
                <w:bCs/>
                <w:color w:val="auto"/>
                <w:szCs w:val="21"/>
                <w:highlight w:val="none"/>
              </w:rPr>
              <w:t>根据《环境影响评价技术导则 输变电》</w:t>
            </w:r>
            <w:r>
              <w:rPr>
                <w:rFonts w:hint="default" w:ascii="Times New Roman" w:hAnsi="Times New Roman" w:cs="Times New Roman"/>
                <w:b w:val="0"/>
                <w:bCs/>
                <w:color w:val="auto"/>
                <w:szCs w:val="21"/>
                <w:highlight w:val="none"/>
                <w:lang w:eastAsia="zh-CN"/>
              </w:rPr>
              <w:t>（</w:t>
            </w:r>
            <w:r>
              <w:rPr>
                <w:rFonts w:hint="default" w:ascii="Times New Roman" w:hAnsi="Times New Roman" w:cs="Times New Roman"/>
                <w:b w:val="0"/>
                <w:bCs/>
                <w:color w:val="auto"/>
                <w:szCs w:val="21"/>
                <w:highlight w:val="none"/>
              </w:rPr>
              <w:t>HJ24-2020</w:t>
            </w:r>
            <w:r>
              <w:rPr>
                <w:rFonts w:hint="default" w:ascii="Times New Roman" w:hAnsi="Times New Roman" w:cs="Times New Roman"/>
                <w:b w:val="0"/>
                <w:bCs/>
                <w:color w:val="auto"/>
                <w:szCs w:val="21"/>
                <w:highlight w:val="none"/>
                <w:lang w:eastAsia="zh-CN"/>
              </w:rPr>
              <w:t>）</w:t>
            </w:r>
            <w:r>
              <w:rPr>
                <w:rFonts w:hint="default" w:ascii="Times New Roman" w:hAnsi="Times New Roman" w:cs="Times New Roman"/>
                <w:b w:val="0"/>
                <w:bCs/>
                <w:color w:val="auto"/>
                <w:szCs w:val="21"/>
                <w:highlight w:val="none"/>
              </w:rPr>
              <w:t>的要求，本工程</w:t>
            </w:r>
            <w:r>
              <w:rPr>
                <w:rFonts w:hint="default" w:ascii="Times New Roman" w:hAnsi="Times New Roman" w:cs="Times New Roman"/>
                <w:b w:val="0"/>
                <w:bCs/>
                <w:color w:val="auto"/>
                <w:szCs w:val="21"/>
                <w:highlight w:val="none"/>
                <w:lang w:val="en-US" w:eastAsia="zh-CN"/>
              </w:rPr>
              <w:t>架空段</w:t>
            </w:r>
            <w:r>
              <w:rPr>
                <w:rFonts w:hint="default" w:ascii="Times New Roman" w:hAnsi="Times New Roman" w:cs="Times New Roman"/>
                <w:b w:val="0"/>
                <w:bCs/>
                <w:color w:val="auto"/>
                <w:szCs w:val="21"/>
                <w:highlight w:val="none"/>
              </w:rPr>
              <w:t>输电线路的声环境影响采用类比分析法进行预测评价</w:t>
            </w:r>
            <w:r>
              <w:rPr>
                <w:rFonts w:hint="default" w:ascii="Times New Roman" w:hAnsi="Times New Roman" w:cs="Times New Roman"/>
                <w:color w:val="auto"/>
                <w:szCs w:val="21"/>
                <w:lang w:val="en-US" w:eastAsia="zh-CN"/>
              </w:rPr>
              <w:t>。</w:t>
            </w:r>
          </w:p>
          <w:p w14:paraId="796E1623">
            <w:pPr>
              <w:adjustRightInd w:val="0"/>
              <w:spacing w:line="360" w:lineRule="auto"/>
              <w:ind w:firstLine="422" w:firstLineChars="200"/>
              <w:rPr>
                <w:rFonts w:hint="default" w:ascii="Times New Roman" w:hAnsi="Times New Roman" w:eastAsia="宋体" w:cs="Times New Roman"/>
                <w:b/>
                <w:bCs/>
                <w:color w:val="auto"/>
                <w:szCs w:val="21"/>
                <w:lang w:val="en-US" w:eastAsia="zh-CN"/>
              </w:rPr>
            </w:pPr>
            <w:r>
              <w:rPr>
                <w:rFonts w:hint="default" w:ascii="Times New Roman" w:hAnsi="Times New Roman" w:cs="Times New Roman"/>
                <w:b/>
                <w:bCs/>
                <w:color w:val="auto"/>
                <w:szCs w:val="21"/>
                <w:lang w:val="en-US" w:eastAsia="zh-CN"/>
              </w:rPr>
              <w:t>1、线路Ⅰ、线路Ⅱ</w:t>
            </w:r>
            <w:r>
              <w:rPr>
                <w:rFonts w:hint="eastAsia" w:cs="Times New Roman"/>
                <w:b/>
                <w:bCs/>
                <w:color w:val="auto"/>
                <w:szCs w:val="21"/>
                <w:lang w:val="en-US" w:eastAsia="zh-CN"/>
              </w:rPr>
              <w:t>双回塔单边挂线段</w:t>
            </w:r>
          </w:p>
          <w:p w14:paraId="3054F2C0">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000000" w:themeColor="text1"/>
                <w:szCs w:val="21"/>
                <w:highlight w:val="none"/>
                <w14:textFill>
                  <w14:solidFill>
                    <w14:schemeClr w14:val="tx1"/>
                  </w14:solidFill>
                </w14:textFill>
              </w:rPr>
              <w:t>根据国内已运行的</w:t>
            </w:r>
            <w:r>
              <w:rPr>
                <w:rFonts w:hint="default" w:ascii="Times New Roman" w:hAnsi="Times New Roman" w:cs="Times New Roman"/>
                <w:color w:val="000000" w:themeColor="text1"/>
                <w:szCs w:val="21"/>
                <w:highlight w:val="none"/>
                <w:lang w:val="en-US" w:eastAsia="zh-CN"/>
                <w14:textFill>
                  <w14:solidFill>
                    <w14:schemeClr w14:val="tx1"/>
                  </w14:solidFill>
                </w14:textFill>
              </w:rPr>
              <w:t>11</w:t>
            </w:r>
            <w:r>
              <w:rPr>
                <w:rFonts w:hint="default" w:ascii="Times New Roman" w:hAnsi="Times New Roman" w:cs="Times New Roman"/>
                <w:color w:val="000000" w:themeColor="text1"/>
                <w:szCs w:val="21"/>
                <w:highlight w:val="none"/>
                <w14:textFill>
                  <w14:solidFill>
                    <w14:schemeClr w14:val="tx1"/>
                  </w14:solidFill>
                </w14:textFill>
              </w:rPr>
              <w:t>0kV输电线路的可听噪声监测结果和本次类比监测结果可以看出，输电线路下的噪声值均能满足评价标准的要求。分析类比监测结果可知，本项目</w:t>
            </w:r>
            <w:r>
              <w:rPr>
                <w:rFonts w:hint="eastAsia" w:ascii="Times New Roman" w:hAnsi="Times New Roman" w:cs="Times New Roman"/>
                <w:color w:val="000000" w:themeColor="text1"/>
                <w:szCs w:val="21"/>
                <w:highlight w:val="none"/>
                <w:lang w:val="en-US" w:eastAsia="zh-CN"/>
                <w14:textFill>
                  <w14:solidFill>
                    <w14:schemeClr w14:val="tx1"/>
                  </w14:solidFill>
                </w14:textFill>
              </w:rPr>
              <w:t>双回塔单边挂线段</w:t>
            </w:r>
            <w:r>
              <w:rPr>
                <w:rFonts w:hint="default" w:ascii="Times New Roman" w:hAnsi="Times New Roman" w:cs="Times New Roman"/>
                <w:color w:val="000000" w:themeColor="text1"/>
                <w:szCs w:val="21"/>
                <w:highlight w:val="none"/>
                <w14:textFill>
                  <w14:solidFill>
                    <w14:schemeClr w14:val="tx1"/>
                  </w14:solidFill>
                </w14:textFill>
              </w:rPr>
              <w:t>输电线路运行状态下线路弧垂中心处噪声水平昼间最大值为</w:t>
            </w:r>
            <w:r>
              <w:rPr>
                <w:rFonts w:hint="eastAsia" w:ascii="Times New Roman" w:hAnsi="Times New Roman" w:cs="Times New Roman"/>
                <w:color w:val="000000" w:themeColor="text1"/>
                <w:szCs w:val="21"/>
                <w:highlight w:val="none"/>
                <w:lang w:val="en-US" w:eastAsia="zh-CN"/>
                <w14:textFill>
                  <w14:solidFill>
                    <w14:schemeClr w14:val="tx1"/>
                  </w14:solidFill>
                </w14:textFill>
              </w:rPr>
              <w:t>45</w:t>
            </w:r>
            <w:r>
              <w:rPr>
                <w:rFonts w:hint="default" w:ascii="Times New Roman" w:hAnsi="Times New Roman" w:cs="Times New Roman"/>
                <w:color w:val="000000" w:themeColor="text1"/>
                <w:szCs w:val="21"/>
                <w:highlight w:val="none"/>
                <w14:textFill>
                  <w14:solidFill>
                    <w14:schemeClr w14:val="tx1"/>
                  </w14:solidFill>
                </w14:textFill>
              </w:rPr>
              <w:t>dB（A），夜间最大值为</w:t>
            </w:r>
            <w:r>
              <w:rPr>
                <w:rFonts w:hint="default" w:ascii="Times New Roman" w:hAnsi="Times New Roman" w:cs="Times New Roman"/>
                <w:color w:val="000000" w:themeColor="text1"/>
                <w:szCs w:val="21"/>
                <w:highlight w:val="none"/>
                <w:lang w:val="en-US" w:eastAsia="zh-CN"/>
                <w14:textFill>
                  <w14:solidFill>
                    <w14:schemeClr w14:val="tx1"/>
                  </w14:solidFill>
                </w14:textFill>
              </w:rPr>
              <w:t>4</w:t>
            </w:r>
            <w:r>
              <w:rPr>
                <w:rFonts w:hint="eastAsia"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dB（A）</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auto"/>
                <w:szCs w:val="21"/>
                <w:highlight w:val="none"/>
                <w:lang w:val="en-US" w:eastAsia="zh-CN"/>
              </w:rPr>
              <w:t>因此线路Ⅰ</w:t>
            </w:r>
            <w:r>
              <w:rPr>
                <w:rFonts w:hint="eastAsia" w:cs="Times New Roman"/>
                <w:color w:val="auto"/>
                <w:szCs w:val="21"/>
                <w:highlight w:val="none"/>
                <w:lang w:val="en-US" w:eastAsia="zh-CN"/>
              </w:rPr>
              <w:t>、</w:t>
            </w:r>
            <w:r>
              <w:rPr>
                <w:rFonts w:hint="default" w:ascii="Times New Roman" w:hAnsi="Times New Roman" w:cs="Times New Roman"/>
                <w:b w:val="0"/>
                <w:bCs w:val="0"/>
                <w:color w:val="auto"/>
                <w:szCs w:val="21"/>
                <w:lang w:val="en-US" w:eastAsia="zh-CN"/>
              </w:rPr>
              <w:t>线路Ⅱ</w:t>
            </w:r>
            <w:r>
              <w:rPr>
                <w:rFonts w:hint="eastAsia" w:cs="Times New Roman"/>
                <w:color w:val="auto"/>
                <w:szCs w:val="21"/>
                <w:highlight w:val="none"/>
                <w:lang w:val="en-US" w:eastAsia="zh-CN"/>
              </w:rPr>
              <w:t>双回塔单边挂线</w:t>
            </w:r>
            <w:r>
              <w:rPr>
                <w:rFonts w:hint="default" w:ascii="Times New Roman" w:hAnsi="Times New Roman" w:cs="Times New Roman"/>
                <w:color w:val="auto"/>
                <w:szCs w:val="21"/>
                <w:highlight w:val="none"/>
                <w:lang w:val="en-US" w:eastAsia="zh-CN"/>
              </w:rPr>
              <w:t>段</w:t>
            </w:r>
            <w:r>
              <w:rPr>
                <w:rFonts w:hint="eastAsia" w:cs="Times New Roman"/>
                <w:color w:val="auto"/>
                <w:szCs w:val="21"/>
                <w:highlight w:val="none"/>
                <w:lang w:val="en-US" w:eastAsia="zh-CN"/>
              </w:rPr>
              <w:t>分别</w:t>
            </w:r>
            <w:r>
              <w:rPr>
                <w:rFonts w:hint="default" w:ascii="Times New Roman" w:hAnsi="Times New Roman" w:cs="Times New Roman"/>
                <w:snapToGrid w:val="0"/>
                <w:color w:val="auto"/>
                <w:kern w:val="0"/>
                <w:szCs w:val="21"/>
                <w:lang w:val="en-US" w:eastAsia="zh-CN"/>
              </w:rPr>
              <w:t>满足</w:t>
            </w:r>
            <w:r>
              <w:rPr>
                <w:rFonts w:hint="default" w:ascii="Times New Roman" w:hAnsi="Times New Roman" w:cs="Times New Roman"/>
                <w:color w:val="auto"/>
                <w:szCs w:val="21"/>
              </w:rPr>
              <w:t>《声环境质量标准》（GB3096-2008）</w:t>
            </w:r>
            <w:r>
              <w:rPr>
                <w:rFonts w:hint="default" w:ascii="Times New Roman" w:hAnsi="Times New Roman" w:cs="Times New Roman"/>
                <w:color w:val="auto"/>
                <w:szCs w:val="21"/>
                <w:lang w:val="en-US" w:eastAsia="zh-CN"/>
              </w:rPr>
              <w:t>中的</w:t>
            </w:r>
            <w:r>
              <w:rPr>
                <w:rFonts w:hint="default" w:ascii="Times New Roman" w:hAnsi="Times New Roman" w:cs="Times New Roman"/>
                <w:snapToGrid w:val="0"/>
                <w:color w:val="auto"/>
                <w:kern w:val="0"/>
                <w:szCs w:val="21"/>
                <w:lang w:val="en-US" w:eastAsia="zh-CN"/>
              </w:rPr>
              <w:t>2</w:t>
            </w:r>
            <w:r>
              <w:rPr>
                <w:rFonts w:hint="default" w:ascii="Times New Roman" w:hAnsi="Times New Roman" w:cs="Times New Roman"/>
                <w:snapToGrid w:val="0"/>
                <w:color w:val="auto"/>
                <w:kern w:val="0"/>
                <w:szCs w:val="21"/>
              </w:rPr>
              <w:t>类</w:t>
            </w:r>
            <w:r>
              <w:rPr>
                <w:rFonts w:hint="eastAsia" w:cs="Times New Roman"/>
                <w:snapToGrid w:val="0"/>
                <w:color w:val="auto"/>
                <w:kern w:val="0"/>
                <w:szCs w:val="21"/>
                <w:lang w:val="en-US" w:eastAsia="zh-CN"/>
              </w:rPr>
              <w:t>和4a类区域的</w:t>
            </w:r>
            <w:r>
              <w:rPr>
                <w:rFonts w:hint="default" w:ascii="Times New Roman" w:hAnsi="Times New Roman" w:cs="Times New Roman"/>
                <w:snapToGrid w:val="0"/>
                <w:color w:val="auto"/>
                <w:kern w:val="0"/>
                <w:szCs w:val="21"/>
              </w:rPr>
              <w:t>标准</w:t>
            </w:r>
            <w:r>
              <w:rPr>
                <w:rFonts w:hint="eastAsia" w:cs="Times New Roman"/>
                <w:snapToGrid w:val="0"/>
                <w:color w:val="auto"/>
                <w:kern w:val="0"/>
                <w:szCs w:val="21"/>
                <w:lang w:val="en-US" w:eastAsia="zh-CN"/>
              </w:rPr>
              <w:t>限制要求</w:t>
            </w:r>
            <w:r>
              <w:rPr>
                <w:rFonts w:hint="default" w:ascii="Times New Roman" w:hAnsi="Times New Roman" w:cs="Times New Roman"/>
                <w:color w:val="000000" w:themeColor="text1"/>
                <w:szCs w:val="21"/>
                <w:highlight w:val="none"/>
                <w14:textFill>
                  <w14:solidFill>
                    <w14:schemeClr w14:val="tx1"/>
                  </w14:solidFill>
                </w14:textFill>
              </w:rPr>
              <w:t>。</w:t>
            </w:r>
          </w:p>
          <w:p w14:paraId="56512F7F">
            <w:pPr>
              <w:adjustRightInd w:val="0"/>
              <w:spacing w:line="360" w:lineRule="auto"/>
              <w:ind w:firstLine="422" w:firstLineChars="200"/>
              <w:rPr>
                <w:rFonts w:hint="default" w:ascii="Times New Roman" w:hAnsi="Times New Roman" w:eastAsia="宋体" w:cs="Times New Roman"/>
                <w:b/>
                <w:bCs/>
                <w:color w:val="auto"/>
                <w:szCs w:val="21"/>
                <w:lang w:val="en-US" w:eastAsia="zh-CN"/>
              </w:rPr>
            </w:pPr>
            <w:r>
              <w:rPr>
                <w:rFonts w:hint="default" w:ascii="Times New Roman" w:hAnsi="Times New Roman" w:cs="Times New Roman"/>
                <w:b/>
                <w:bCs/>
                <w:color w:val="auto"/>
                <w:szCs w:val="21"/>
                <w:lang w:val="en-US" w:eastAsia="zh-CN"/>
              </w:rPr>
              <w:t>2、线路Ⅰ、线路Ⅱ三角排列段</w:t>
            </w:r>
          </w:p>
          <w:p w14:paraId="6079F153">
            <w:pPr>
              <w:adjustRightInd w:val="0"/>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auto"/>
                <w:szCs w:val="21"/>
              </w:rPr>
              <w:t>根据国内已运行的110kV输电线路的可听噪声监测结果和本次类比监测结果可以看出，输电线路下的噪声值均能满足评价标准的要求。分析类比监测结果可知，本项目</w:t>
            </w:r>
            <w:r>
              <w:rPr>
                <w:rFonts w:hint="default" w:ascii="Times New Roman" w:hAnsi="Times New Roman" w:cs="Times New Roman"/>
                <w:b w:val="0"/>
                <w:bCs w:val="0"/>
                <w:color w:val="auto"/>
                <w:szCs w:val="21"/>
                <w:lang w:val="en-US" w:eastAsia="zh-CN"/>
              </w:rPr>
              <w:t>线路Ⅰ、线路Ⅱ三角排列段</w:t>
            </w:r>
            <w:r>
              <w:rPr>
                <w:rFonts w:hint="default" w:ascii="Times New Roman" w:hAnsi="Times New Roman" w:cs="Times New Roman"/>
                <w:color w:val="auto"/>
                <w:lang w:eastAsia="zh-CN"/>
              </w:rPr>
              <w:t>导线对地高度最低</w:t>
            </w:r>
            <w:r>
              <w:rPr>
                <w:rFonts w:hint="default" w:ascii="Times New Roman" w:hAnsi="Times New Roman" w:cs="Times New Roman"/>
                <w:color w:val="auto"/>
                <w:szCs w:val="21"/>
              </w:rPr>
              <w:t>处噪声昼间最大值为</w:t>
            </w:r>
            <w:r>
              <w:rPr>
                <w:rFonts w:hint="default" w:ascii="Times New Roman" w:hAnsi="Times New Roman" w:cs="Times New Roman"/>
                <w:color w:val="auto"/>
                <w:szCs w:val="21"/>
                <w:lang w:val="en-US" w:eastAsia="zh-CN"/>
              </w:rPr>
              <w:t>46</w:t>
            </w:r>
            <w:r>
              <w:rPr>
                <w:rFonts w:hint="default" w:ascii="Times New Roman" w:hAnsi="Times New Roman" w:cs="Times New Roman"/>
                <w:color w:val="auto"/>
                <w:szCs w:val="21"/>
              </w:rPr>
              <w:t>dB（A），夜间最大值为</w:t>
            </w:r>
            <w:r>
              <w:rPr>
                <w:rFonts w:hint="default" w:ascii="Times New Roman" w:hAnsi="Times New Roman" w:cs="Times New Roman"/>
                <w:color w:val="auto"/>
                <w:szCs w:val="21"/>
                <w:lang w:val="en-US" w:eastAsia="zh-CN"/>
              </w:rPr>
              <w:t>43</w:t>
            </w:r>
            <w:r>
              <w:rPr>
                <w:rFonts w:hint="default" w:ascii="Times New Roman" w:hAnsi="Times New Roman" w:cs="Times New Roman"/>
                <w:color w:val="auto"/>
                <w:szCs w:val="21"/>
              </w:rPr>
              <w:t>dB（A）</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highlight w:val="none"/>
                <w:lang w:val="en-US" w:eastAsia="zh-CN"/>
              </w:rPr>
              <w:t>因此线路Ⅰ</w:t>
            </w:r>
            <w:r>
              <w:rPr>
                <w:rFonts w:hint="eastAsia" w:cs="Times New Roman"/>
                <w:color w:val="auto"/>
                <w:szCs w:val="21"/>
                <w:highlight w:val="none"/>
                <w:lang w:val="en-US" w:eastAsia="zh-CN"/>
              </w:rPr>
              <w:t>、</w:t>
            </w:r>
            <w:r>
              <w:rPr>
                <w:rFonts w:hint="default" w:ascii="Times New Roman" w:hAnsi="Times New Roman" w:cs="Times New Roman"/>
                <w:b w:val="0"/>
                <w:bCs w:val="0"/>
                <w:color w:val="auto"/>
                <w:szCs w:val="21"/>
                <w:lang w:val="en-US" w:eastAsia="zh-CN"/>
              </w:rPr>
              <w:t>线路Ⅱ</w:t>
            </w:r>
            <w:r>
              <w:rPr>
                <w:rFonts w:hint="default" w:ascii="Times New Roman" w:hAnsi="Times New Roman" w:cs="Times New Roman"/>
                <w:color w:val="auto"/>
                <w:szCs w:val="21"/>
                <w:highlight w:val="none"/>
                <w:lang w:val="en-US" w:eastAsia="zh-CN"/>
              </w:rPr>
              <w:t>三角排列段</w:t>
            </w:r>
            <w:r>
              <w:rPr>
                <w:rFonts w:hint="eastAsia" w:cs="Times New Roman"/>
                <w:color w:val="auto"/>
                <w:szCs w:val="21"/>
                <w:highlight w:val="none"/>
                <w:lang w:val="en-US" w:eastAsia="zh-CN"/>
              </w:rPr>
              <w:t>分别</w:t>
            </w:r>
            <w:r>
              <w:rPr>
                <w:rFonts w:hint="default" w:ascii="Times New Roman" w:hAnsi="Times New Roman" w:cs="Times New Roman"/>
                <w:snapToGrid w:val="0"/>
                <w:color w:val="auto"/>
                <w:kern w:val="0"/>
                <w:szCs w:val="21"/>
                <w:lang w:val="en-US" w:eastAsia="zh-CN"/>
              </w:rPr>
              <w:t>满足</w:t>
            </w:r>
            <w:r>
              <w:rPr>
                <w:rFonts w:hint="default" w:ascii="Times New Roman" w:hAnsi="Times New Roman" w:cs="Times New Roman"/>
                <w:color w:val="auto"/>
                <w:szCs w:val="21"/>
              </w:rPr>
              <w:t>《声环境质量标准》（GB3096-2008）</w:t>
            </w:r>
            <w:r>
              <w:rPr>
                <w:rFonts w:hint="default" w:ascii="Times New Roman" w:hAnsi="Times New Roman" w:cs="Times New Roman"/>
                <w:color w:val="auto"/>
                <w:szCs w:val="21"/>
                <w:lang w:val="en-US" w:eastAsia="zh-CN"/>
              </w:rPr>
              <w:t>中的</w:t>
            </w:r>
            <w:r>
              <w:rPr>
                <w:rFonts w:hint="default" w:ascii="Times New Roman" w:hAnsi="Times New Roman" w:cs="Times New Roman"/>
                <w:snapToGrid w:val="0"/>
                <w:color w:val="auto"/>
                <w:kern w:val="0"/>
                <w:szCs w:val="21"/>
                <w:lang w:val="en-US" w:eastAsia="zh-CN"/>
              </w:rPr>
              <w:t>2</w:t>
            </w:r>
            <w:r>
              <w:rPr>
                <w:rFonts w:hint="default" w:ascii="Times New Roman" w:hAnsi="Times New Roman" w:cs="Times New Roman"/>
                <w:snapToGrid w:val="0"/>
                <w:color w:val="auto"/>
                <w:kern w:val="0"/>
                <w:szCs w:val="21"/>
              </w:rPr>
              <w:t>类</w:t>
            </w:r>
            <w:r>
              <w:rPr>
                <w:rFonts w:hint="eastAsia" w:cs="Times New Roman"/>
                <w:snapToGrid w:val="0"/>
                <w:color w:val="auto"/>
                <w:kern w:val="0"/>
                <w:szCs w:val="21"/>
                <w:lang w:val="en-US" w:eastAsia="zh-CN"/>
              </w:rPr>
              <w:t>和4a类区域的</w:t>
            </w:r>
            <w:r>
              <w:rPr>
                <w:rFonts w:hint="default" w:ascii="Times New Roman" w:hAnsi="Times New Roman" w:cs="Times New Roman"/>
                <w:snapToGrid w:val="0"/>
                <w:color w:val="auto"/>
                <w:kern w:val="0"/>
                <w:szCs w:val="21"/>
              </w:rPr>
              <w:t>标准</w:t>
            </w:r>
            <w:r>
              <w:rPr>
                <w:rFonts w:hint="eastAsia" w:cs="Times New Roman"/>
                <w:snapToGrid w:val="0"/>
                <w:color w:val="auto"/>
                <w:kern w:val="0"/>
                <w:szCs w:val="21"/>
                <w:lang w:val="en-US" w:eastAsia="zh-CN"/>
              </w:rPr>
              <w:t>限制要求</w:t>
            </w:r>
            <w:r>
              <w:rPr>
                <w:rFonts w:hint="default" w:ascii="Times New Roman" w:hAnsi="Times New Roman" w:cs="Times New Roman"/>
                <w:color w:val="000000" w:themeColor="text1"/>
                <w:szCs w:val="21"/>
                <w:highlight w:val="none"/>
                <w14:textFill>
                  <w14:solidFill>
                    <w14:schemeClr w14:val="tx1"/>
                  </w14:solidFill>
                </w14:textFill>
              </w:rPr>
              <w:t>。</w:t>
            </w:r>
          </w:p>
          <w:p w14:paraId="3C1A9520">
            <w:pPr>
              <w:numPr>
                <w:ilvl w:val="0"/>
                <w:numId w:val="0"/>
              </w:numPr>
              <w:adjustRightInd w:val="0"/>
              <w:spacing w:line="360" w:lineRule="auto"/>
              <w:ind w:leftChars="0" w:firstLine="422" w:firstLineChars="200"/>
              <w:rPr>
                <w:rFonts w:hint="eastAsia" w:ascii="Times New Roman" w:hAnsi="Times New Roman" w:eastAsia="宋体" w:cs="Times New Roman"/>
                <w:b/>
                <w:bCs/>
                <w:color w:val="auto"/>
                <w:szCs w:val="21"/>
                <w:lang w:val="en-US" w:eastAsia="zh-CN"/>
              </w:rPr>
            </w:pPr>
            <w:r>
              <w:rPr>
                <w:rFonts w:hint="eastAsia" w:ascii="Times New Roman" w:hAnsi="Times New Roman" w:eastAsia="宋体" w:cs="Times New Roman"/>
                <w:b/>
                <w:bCs/>
                <w:color w:val="auto"/>
                <w:szCs w:val="21"/>
                <w:lang w:val="en-US" w:eastAsia="zh-CN"/>
              </w:rPr>
              <w:t>3、线路Ⅰ</w:t>
            </w:r>
            <w:r>
              <w:rPr>
                <w:rFonts w:hint="eastAsia" w:cs="Times New Roman"/>
                <w:b/>
                <w:bCs/>
                <w:color w:val="auto"/>
                <w:szCs w:val="21"/>
                <w:lang w:val="en-US" w:eastAsia="zh-CN"/>
              </w:rPr>
              <w:t>利旧段</w:t>
            </w:r>
          </w:p>
          <w:p w14:paraId="3F8083A8">
            <w:pPr>
              <w:spacing w:line="360" w:lineRule="auto"/>
              <w:ind w:firstLine="420" w:firstLineChars="200"/>
              <w:rPr>
                <w:rFonts w:hint="default" w:ascii="Times New Roman" w:hAnsi="Times New Roman" w:eastAsia="宋体" w:cs="Times New Roman"/>
                <w:b/>
                <w:bCs/>
                <w:color w:val="auto"/>
                <w:szCs w:val="21"/>
                <w:lang w:val="en-US" w:eastAsia="zh-CN"/>
              </w:rPr>
            </w:pPr>
            <w:r>
              <w:rPr>
                <w:rFonts w:hint="default" w:ascii="Times New Roman" w:hAnsi="Times New Roman" w:cs="Times New Roman"/>
                <w:color w:val="000000" w:themeColor="text1"/>
                <w:szCs w:val="21"/>
                <w14:textFill>
                  <w14:solidFill>
                    <w14:schemeClr w14:val="tx1"/>
                  </w14:solidFill>
                </w14:textFill>
              </w:rPr>
              <w:t>根据国内已运行的</w:t>
            </w:r>
            <w:r>
              <w:rPr>
                <w:rFonts w:hint="eastAsia" w:ascii="Times New Roman" w:hAnsi="Times New Roman" w:cs="Times New Roman"/>
                <w:color w:val="000000" w:themeColor="text1"/>
                <w:szCs w:val="21"/>
                <w:lang w:val="en-US" w:eastAsia="zh-CN"/>
                <w14:textFill>
                  <w14:solidFill>
                    <w14:schemeClr w14:val="tx1"/>
                  </w14:solidFill>
                </w14:textFill>
              </w:rPr>
              <w:t>11</w:t>
            </w:r>
            <w:r>
              <w:rPr>
                <w:rFonts w:hint="default" w:ascii="Times New Roman" w:hAnsi="Times New Roman" w:cs="Times New Roman"/>
                <w:color w:val="000000" w:themeColor="text1"/>
                <w:szCs w:val="21"/>
                <w14:textFill>
                  <w14:solidFill>
                    <w14:schemeClr w14:val="tx1"/>
                  </w14:solidFill>
                </w14:textFill>
              </w:rPr>
              <w:t>0kV输电线路的可听噪声监测结果和本次类比监测结果可以看出，</w:t>
            </w:r>
            <w:r>
              <w:rPr>
                <w:rFonts w:hint="default" w:ascii="Times New Roman" w:hAnsi="Times New Roman" w:cs="Times New Roman"/>
                <w:color w:val="000000" w:themeColor="text1"/>
                <w:szCs w:val="21"/>
                <w:lang w:val="en-US" w:eastAsia="zh-CN"/>
                <w14:textFill>
                  <w14:solidFill>
                    <w14:schemeClr w14:val="tx1"/>
                  </w14:solidFill>
                </w14:textFill>
              </w:rPr>
              <w:t>本项目新建</w:t>
            </w:r>
            <w:r>
              <w:rPr>
                <w:rFonts w:hint="eastAsia" w:cs="Times New Roman"/>
                <w:color w:val="000000" w:themeColor="text1"/>
                <w:szCs w:val="21"/>
                <w:highlight w:val="none"/>
                <w:lang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双</w:t>
            </w:r>
            <w:r>
              <w:rPr>
                <w:rFonts w:hint="default" w:ascii="Times New Roman" w:hAnsi="Times New Roman" w:cs="Times New Roman"/>
                <w:color w:val="000000" w:themeColor="text1"/>
                <w:szCs w:val="21"/>
                <w:highlight w:val="none"/>
                <w:lang w:eastAsia="zh-CN"/>
                <w14:textFill>
                  <w14:solidFill>
                    <w14:schemeClr w14:val="tx1"/>
                  </w14:solidFill>
                </w14:textFill>
              </w:rPr>
              <w:t>回段</w:t>
            </w:r>
            <w:r>
              <w:rPr>
                <w:rFonts w:hint="eastAsia"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110kV输电线路</w:t>
            </w:r>
            <w:r>
              <w:rPr>
                <w:rFonts w:hint="default" w:ascii="Times New Roman" w:hAnsi="Times New Roman" w:cs="Times New Roman"/>
                <w:color w:val="000000" w:themeColor="text1"/>
                <w:szCs w:val="21"/>
                <w14:textFill>
                  <w14:solidFill>
                    <w14:schemeClr w14:val="tx1"/>
                  </w14:solidFill>
                </w14:textFill>
              </w:rPr>
              <w:t>下的噪声值均能满足评价标准的要求。分析类比监测结果可知，本项目</w:t>
            </w:r>
            <w:r>
              <w:rPr>
                <w:rFonts w:hint="eastAsia" w:ascii="Times New Roman" w:hAnsi="Times New Roman" w:cs="Times New Roman"/>
                <w:color w:val="000000" w:themeColor="text1"/>
                <w:szCs w:val="21"/>
                <w:lang w:val="en-US" w:eastAsia="zh-CN"/>
                <w14:textFill>
                  <w14:solidFill>
                    <w14:schemeClr w14:val="tx1"/>
                  </w14:solidFill>
                </w14:textFill>
              </w:rPr>
              <w:t>线路</w:t>
            </w:r>
            <w:r>
              <w:rPr>
                <w:rFonts w:hint="default" w:ascii="Times New Roman" w:hAnsi="Times New Roman" w:cs="Times New Roman"/>
                <w:color w:val="000000" w:themeColor="text1"/>
                <w:szCs w:val="21"/>
                <w:lang w:val="en-US" w:eastAsia="zh-CN"/>
                <w14:textFill>
                  <w14:solidFill>
                    <w14:schemeClr w14:val="tx1"/>
                  </w14:solidFill>
                </w14:textFill>
              </w:rPr>
              <w:t>Ⅰ</w:t>
            </w:r>
            <w:r>
              <w:rPr>
                <w:rFonts w:hint="eastAsia" w:cs="Times New Roman"/>
                <w:color w:val="000000" w:themeColor="text1"/>
                <w:szCs w:val="21"/>
                <w:highlight w:val="none"/>
                <w:lang w:eastAsia="zh-CN"/>
                <w14:textFill>
                  <w14:solidFill>
                    <w14:schemeClr w14:val="tx1"/>
                  </w14:solidFill>
                </w14:textFill>
              </w:rPr>
              <w:t>“</w:t>
            </w:r>
            <w:r>
              <w:rPr>
                <w:rFonts w:hint="eastAsia" w:cs="Times New Roman"/>
                <w:color w:val="000000" w:themeColor="text1"/>
                <w:szCs w:val="21"/>
                <w:highlight w:val="none"/>
                <w:lang w:val="en-US" w:eastAsia="zh-CN"/>
                <w14:textFill>
                  <w14:solidFill>
                    <w14:schemeClr w14:val="tx1"/>
                  </w14:solidFill>
                </w14:textFill>
              </w:rPr>
              <w:t>利旧段</w:t>
            </w:r>
            <w:r>
              <w:rPr>
                <w:rFonts w:hint="eastAsia"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110kV输电线路</w:t>
            </w:r>
            <w:r>
              <w:rPr>
                <w:rFonts w:hint="default" w:ascii="Times New Roman" w:hAnsi="Times New Roman" w:cs="Times New Roman"/>
                <w:color w:val="000000" w:themeColor="text1"/>
                <w:szCs w:val="21"/>
                <w14:textFill>
                  <w14:solidFill>
                    <w14:schemeClr w14:val="tx1"/>
                  </w14:solidFill>
                </w14:textFill>
              </w:rPr>
              <w:t>运行状态下线路弧垂中心处噪声水平昼间最大值为</w:t>
            </w:r>
            <w:r>
              <w:rPr>
                <w:rFonts w:hint="default" w:ascii="Times New Roman" w:hAnsi="Times New Roman" w:cs="Times New Roman"/>
                <w:color w:val="000000" w:themeColor="text1"/>
                <w:szCs w:val="21"/>
                <w:lang w:val="en-US" w:eastAsia="zh-CN"/>
                <w14:textFill>
                  <w14:solidFill>
                    <w14:schemeClr w14:val="tx1"/>
                  </w14:solidFill>
                </w14:textFill>
              </w:rPr>
              <w:t>4</w:t>
            </w:r>
            <w:r>
              <w:rPr>
                <w:rFonts w:hint="eastAsia" w:ascii="Times New Roman" w:hAnsi="Times New Roman" w:cs="Times New Roman"/>
                <w:color w:val="000000" w:themeColor="text1"/>
                <w:szCs w:val="21"/>
                <w:lang w:val="en-US" w:eastAsia="zh-CN"/>
                <w14:textFill>
                  <w14:solidFill>
                    <w14:schemeClr w14:val="tx1"/>
                  </w14:solidFill>
                </w14:textFill>
              </w:rPr>
              <w:t>8</w:t>
            </w:r>
            <w:r>
              <w:rPr>
                <w:rFonts w:hint="default" w:ascii="Times New Roman" w:hAnsi="Times New Roman" w:cs="Times New Roman"/>
                <w:color w:val="000000" w:themeColor="text1"/>
                <w:szCs w:val="21"/>
                <w14:textFill>
                  <w14:solidFill>
                    <w14:schemeClr w14:val="tx1"/>
                  </w14:solidFill>
                </w14:textFill>
              </w:rPr>
              <w:t>dB（A），夜间最大值为4</w:t>
            </w:r>
            <w:r>
              <w:rPr>
                <w:rFonts w:hint="eastAsia" w:ascii="Times New Roman" w:hAnsi="Times New Roman" w:cs="Times New Roman"/>
                <w:color w:val="000000" w:themeColor="text1"/>
                <w:szCs w:val="21"/>
                <w:lang w:val="en-US" w:eastAsia="zh-CN"/>
                <w14:textFill>
                  <w14:solidFill>
                    <w14:schemeClr w14:val="tx1"/>
                  </w14:solidFill>
                </w14:textFill>
              </w:rPr>
              <w:t>2</w:t>
            </w:r>
            <w:r>
              <w:rPr>
                <w:rFonts w:hint="default" w:ascii="Times New Roman" w:hAnsi="Times New Roman" w:cs="Times New Roman"/>
                <w:color w:val="000000" w:themeColor="text1"/>
                <w:szCs w:val="21"/>
                <w14:textFill>
                  <w14:solidFill>
                    <w14:schemeClr w14:val="tx1"/>
                  </w14:solidFill>
                </w14:textFill>
              </w:rPr>
              <w:t>dB（A）</w:t>
            </w:r>
            <w:r>
              <w:rPr>
                <w:rFonts w:hint="default" w:ascii="Times New Roman" w:hAnsi="Times New Roman"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14:textFill>
                  <w14:solidFill>
                    <w14:schemeClr w14:val="tx1"/>
                  </w14:solidFill>
                </w14:textFill>
              </w:rPr>
              <w:t>均小于《声环境质量标准》（GB3096-2008）表1中2类标准（昼间：60dB（A），夜间：50dB（A））</w:t>
            </w:r>
            <w:r>
              <w:rPr>
                <w:rFonts w:hint="default" w:ascii="Times New Roman" w:hAnsi="Times New Roman" w:cs="Times New Roman"/>
                <w:color w:val="000000" w:themeColor="text1"/>
                <w:szCs w:val="21"/>
                <w:highlight w:val="none"/>
                <w14:textFill>
                  <w14:solidFill>
                    <w14:schemeClr w14:val="tx1"/>
                  </w14:solidFill>
                </w14:textFill>
              </w:rPr>
              <w:t>。</w:t>
            </w:r>
          </w:p>
          <w:p w14:paraId="124FD2F7">
            <w:pPr>
              <w:adjustRightInd w:val="0"/>
              <w:spacing w:line="360" w:lineRule="auto"/>
              <w:ind w:firstLine="422" w:firstLineChars="200"/>
              <w:rPr>
                <w:rFonts w:hint="default" w:ascii="Times New Roman" w:hAnsi="Times New Roman" w:cs="Times New Roman"/>
                <w:b/>
                <w:bCs/>
                <w:color w:val="auto"/>
                <w:szCs w:val="21"/>
              </w:rPr>
            </w:pPr>
            <w:r>
              <w:rPr>
                <w:rFonts w:hint="default" w:ascii="Times New Roman" w:hAnsi="Times New Roman" w:cs="Times New Roman"/>
                <w:b/>
                <w:bCs/>
                <w:color w:val="auto"/>
                <w:szCs w:val="21"/>
                <w:lang w:val="en-US" w:eastAsia="zh-CN"/>
              </w:rPr>
              <w:t>综上所述</w:t>
            </w:r>
            <w:r>
              <w:rPr>
                <w:rFonts w:hint="default" w:ascii="Times New Roman" w:hAnsi="Times New Roman" w:cs="Times New Roman"/>
                <w:b/>
                <w:bCs/>
                <w:color w:val="auto"/>
                <w:szCs w:val="21"/>
              </w:rPr>
              <w:t>，本项目新建</w:t>
            </w:r>
            <w:r>
              <w:rPr>
                <w:rFonts w:hint="default" w:ascii="Times New Roman" w:hAnsi="Times New Roman" w:cs="Times New Roman"/>
                <w:b/>
                <w:bCs/>
                <w:color w:val="auto"/>
                <w:szCs w:val="21"/>
                <w:lang w:val="en-US" w:eastAsia="zh-CN"/>
              </w:rPr>
              <w:t>架空段110kV</w:t>
            </w:r>
            <w:r>
              <w:rPr>
                <w:rFonts w:hint="default" w:ascii="Times New Roman" w:hAnsi="Times New Roman" w:cs="Times New Roman"/>
                <w:b/>
                <w:bCs/>
                <w:color w:val="auto"/>
                <w:szCs w:val="21"/>
              </w:rPr>
              <w:t>输电线路投运后，产生的噪声对周围环境的影响能控制在标准限值内。</w:t>
            </w:r>
          </w:p>
          <w:p w14:paraId="1ED2998D">
            <w:pPr>
              <w:spacing w:line="360" w:lineRule="auto"/>
              <w:ind w:firstLine="420" w:firstLineChars="200"/>
              <w:rPr>
                <w:rFonts w:hint="default" w:ascii="Times New Roman" w:hAnsi="Times New Roman" w:eastAsia="黑体" w:cs="Times New Roman"/>
                <w:color w:val="auto"/>
                <w:szCs w:val="21"/>
              </w:rPr>
            </w:pPr>
            <w:r>
              <w:rPr>
                <w:rFonts w:hint="default" w:ascii="Times New Roman" w:hAnsi="Times New Roman" w:eastAsia="黑体" w:cs="Times New Roman"/>
                <w:color w:val="auto"/>
                <w:szCs w:val="21"/>
                <w:lang w:val="en-US" w:eastAsia="zh-CN"/>
              </w:rPr>
              <w:t>4</w:t>
            </w:r>
            <w:r>
              <w:rPr>
                <w:rFonts w:hint="default" w:ascii="Times New Roman" w:hAnsi="Times New Roman" w:eastAsia="黑体" w:cs="Times New Roman"/>
                <w:color w:val="auto"/>
                <w:szCs w:val="21"/>
              </w:rPr>
              <w:t>、固体废物</w:t>
            </w:r>
          </w:p>
          <w:p w14:paraId="69343287">
            <w:pPr>
              <w:adjustRightInd w:val="0"/>
              <w:spacing w:line="360" w:lineRule="auto"/>
              <w:ind w:firstLine="422" w:firstLineChars="200"/>
              <w:rPr>
                <w:rFonts w:hint="default" w:ascii="Times New Roman" w:hAnsi="Times New Roman" w:cs="Times New Roman"/>
                <w:b/>
                <w:color w:val="auto"/>
                <w:szCs w:val="21"/>
              </w:rPr>
            </w:pPr>
            <w:r>
              <w:rPr>
                <w:rFonts w:hint="default" w:ascii="Times New Roman" w:hAnsi="Times New Roman" w:cs="Times New Roman"/>
                <w:b/>
                <w:color w:val="auto"/>
                <w:szCs w:val="21"/>
              </w:rPr>
              <w:t>（1）一般固废</w:t>
            </w:r>
          </w:p>
          <w:p w14:paraId="3FED6975">
            <w:pPr>
              <w:spacing w:line="360" w:lineRule="auto"/>
              <w:ind w:firstLine="420" w:firstLineChars="200"/>
              <w:rPr>
                <w:rFonts w:hint="default" w:ascii="Times New Roman" w:hAnsi="Times New Roman" w:cs="Times New Roman"/>
                <w:color w:val="auto"/>
              </w:rPr>
            </w:pPr>
            <w:r>
              <w:rPr>
                <w:rFonts w:hint="default" w:ascii="Times New Roman" w:hAnsi="Times New Roman" w:cs="Times New Roman"/>
                <w:color w:val="auto"/>
                <w:szCs w:val="21"/>
              </w:rPr>
              <w:t>本项目</w:t>
            </w:r>
            <w:r>
              <w:rPr>
                <w:rFonts w:hint="eastAsia" w:cs="Times New Roman"/>
                <w:color w:val="auto"/>
                <w:lang w:eastAsia="zh-CN"/>
              </w:rPr>
              <w:t>司城</w:t>
            </w:r>
            <w:r>
              <w:rPr>
                <w:rFonts w:hint="default" w:ascii="Times New Roman" w:hAnsi="Times New Roman" w:cs="Times New Roman"/>
                <w:color w:val="auto"/>
                <w:szCs w:val="21"/>
              </w:rPr>
              <w:t>110kV变电站</w:t>
            </w:r>
            <w:r>
              <w:rPr>
                <w:rFonts w:hint="default" w:ascii="Times New Roman" w:hAnsi="Times New Roman" w:cs="Times New Roman"/>
                <w:color w:val="auto"/>
              </w:rPr>
              <w:t>按无人值班站进行设计，</w:t>
            </w:r>
            <w:r>
              <w:rPr>
                <w:rFonts w:hint="default" w:ascii="Times New Roman" w:hAnsi="Times New Roman" w:cs="Times New Roman"/>
                <w:color w:val="auto"/>
                <w:szCs w:val="21"/>
              </w:rPr>
              <w:t>建成后</w:t>
            </w:r>
            <w:r>
              <w:rPr>
                <w:rFonts w:hint="default" w:ascii="Times New Roman" w:hAnsi="Times New Roman" w:cs="Times New Roman"/>
                <w:bCs/>
                <w:color w:val="auto"/>
              </w:rPr>
              <w:t>仅设置</w:t>
            </w:r>
            <w:r>
              <w:rPr>
                <w:rFonts w:hint="default" w:ascii="Times New Roman" w:hAnsi="Times New Roman" w:cs="Times New Roman"/>
                <w:color w:val="auto"/>
              </w:rPr>
              <w:t>1名门卫常驻站内</w:t>
            </w:r>
            <w:r>
              <w:rPr>
                <w:rFonts w:hint="default" w:ascii="Times New Roman" w:hAnsi="Times New Roman" w:cs="Times New Roman"/>
                <w:color w:val="auto"/>
                <w:szCs w:val="21"/>
              </w:rPr>
              <w:t>，</w:t>
            </w:r>
            <w:r>
              <w:rPr>
                <w:rFonts w:hint="default" w:ascii="Times New Roman" w:hAnsi="Times New Roman" w:cs="Times New Roman"/>
                <w:color w:val="auto"/>
              </w:rPr>
              <w:t>产生生活垃圾约0.5kg/d</w:t>
            </w:r>
            <w:r>
              <w:rPr>
                <w:rFonts w:hint="default" w:ascii="Times New Roman" w:hAnsi="Times New Roman" w:cs="Times New Roman"/>
                <w:color w:val="auto"/>
                <w:szCs w:val="21"/>
              </w:rPr>
              <w:t>，产生的少量生活垃圾经</w:t>
            </w:r>
            <w:r>
              <w:rPr>
                <w:rFonts w:hint="default" w:ascii="Times New Roman" w:hAnsi="Times New Roman" w:cs="Times New Roman"/>
                <w:color w:val="auto"/>
              </w:rPr>
              <w:t>门卫</w:t>
            </w:r>
            <w:r>
              <w:rPr>
                <w:rFonts w:hint="default" w:ascii="Times New Roman" w:hAnsi="Times New Roman" w:cs="Times New Roman"/>
                <w:color w:val="auto"/>
                <w:szCs w:val="21"/>
              </w:rPr>
              <w:t>自行收集后由当地环卫部门收集处理</w:t>
            </w:r>
            <w:r>
              <w:rPr>
                <w:rFonts w:hint="default" w:ascii="Times New Roman" w:hAnsi="Times New Roman" w:cs="Times New Roman"/>
                <w:color w:val="auto"/>
              </w:rPr>
              <w:t>。</w:t>
            </w:r>
          </w:p>
          <w:p w14:paraId="7F41F860">
            <w:pPr>
              <w:adjustRightInd w:val="0"/>
              <w:ind w:firstLine="420"/>
              <w:rPr>
                <w:rFonts w:ascii="Times New Roman" w:hAnsi="Times New Roman"/>
                <w:b/>
                <w:color w:val="auto"/>
                <w:szCs w:val="21"/>
              </w:rPr>
            </w:pPr>
            <w:r>
              <w:rPr>
                <w:rFonts w:hint="eastAsia" w:ascii="Times New Roman" w:hAnsi="Times New Roman"/>
                <w:b/>
                <w:color w:val="auto"/>
                <w:szCs w:val="21"/>
              </w:rPr>
              <w:t>（2）废事故油</w:t>
            </w:r>
          </w:p>
          <w:p w14:paraId="38BE1CDD">
            <w:pPr>
              <w:spacing w:line="360" w:lineRule="auto"/>
              <w:ind w:firstLine="420" w:firstLineChars="200"/>
              <w:rPr>
                <w:color w:val="auto"/>
              </w:rPr>
            </w:pPr>
            <w:r>
              <w:rPr>
                <w:color w:val="auto"/>
                <w:szCs w:val="21"/>
              </w:rPr>
              <w:t>变压器的正常运行中，主变压器油的消耗极少且发生泄漏的几率极低。</w:t>
            </w:r>
            <w:r>
              <w:rPr>
                <w:rFonts w:hint="eastAsia"/>
                <w:color w:val="auto"/>
              </w:rPr>
              <w:t>变电站</w:t>
            </w:r>
            <w:r>
              <w:rPr>
                <w:color w:val="auto"/>
              </w:rPr>
              <w:t>主变压器事故工况时产生事故油，主变压器下设有</w:t>
            </w:r>
            <w:r>
              <w:rPr>
                <w:rFonts w:hint="eastAsia"/>
                <w:color w:val="auto"/>
              </w:rPr>
              <w:t>事故油坑</w:t>
            </w:r>
            <w:r>
              <w:rPr>
                <w:color w:val="auto"/>
              </w:rPr>
              <w:t>，</w:t>
            </w:r>
            <w:r>
              <w:rPr>
                <w:rFonts w:hint="eastAsia"/>
                <w:color w:val="auto"/>
              </w:rPr>
              <w:t>站内</w:t>
            </w:r>
            <w:r>
              <w:rPr>
                <w:color w:val="auto"/>
              </w:rPr>
              <w:t>设有事故油池</w:t>
            </w:r>
            <w:r>
              <w:rPr>
                <w:rFonts w:ascii="宋体"/>
                <w:color w:val="auto"/>
              </w:rPr>
              <w:t>（</w:t>
            </w:r>
            <w:r>
              <w:rPr>
                <w:rFonts w:hint="eastAsia" w:ascii="宋体"/>
                <w:color w:val="auto"/>
              </w:rPr>
              <w:t>具有油水分离功能</w:t>
            </w:r>
            <w:r>
              <w:rPr>
                <w:rFonts w:ascii="宋体"/>
                <w:color w:val="auto"/>
              </w:rPr>
              <w:t>）</w:t>
            </w:r>
            <w:r>
              <w:rPr>
                <w:color w:val="auto"/>
              </w:rPr>
              <w:t>。</w:t>
            </w:r>
            <w:r>
              <w:rPr>
                <w:bCs/>
                <w:color w:val="auto"/>
              </w:rPr>
              <w:t>当出现事故时主变压器事故油进入</w:t>
            </w:r>
            <w:r>
              <w:rPr>
                <w:rFonts w:hint="eastAsia"/>
                <w:bCs/>
                <w:color w:val="auto"/>
              </w:rPr>
              <w:t>事故油坑</w:t>
            </w:r>
            <w:r>
              <w:rPr>
                <w:bCs/>
                <w:color w:val="auto"/>
              </w:rPr>
              <w:t>后通过钢管引入事故油池，</w:t>
            </w:r>
            <w:r>
              <w:rPr>
                <w:rFonts w:hint="eastAsia"/>
                <w:color w:val="auto"/>
              </w:rPr>
              <w:t>其中事故油中可回收部分由建设单位回收再利用，不可回收部分（即废事故油）采用专用密封容器盛装后运送至国网巴中供电公司枣林危废暂存间，定期交由有危险废物处置资质的单位进行处置，不外排。</w:t>
            </w:r>
            <w:r>
              <w:rPr>
                <w:rFonts w:hint="eastAsia"/>
                <w:bCs/>
                <w:color w:val="auto"/>
              </w:rPr>
              <w:t>拟建</w:t>
            </w:r>
            <w:r>
              <w:rPr>
                <w:rFonts w:hint="eastAsia"/>
                <w:bCs/>
                <w:color w:val="auto"/>
                <w:lang w:eastAsia="zh-CN"/>
              </w:rPr>
              <w:t>司城</w:t>
            </w:r>
            <w:r>
              <w:rPr>
                <w:rFonts w:hint="eastAsia"/>
                <w:color w:val="auto"/>
                <w:szCs w:val="22"/>
              </w:rPr>
              <w:t>110</w:t>
            </w:r>
            <w:r>
              <w:rPr>
                <w:color w:val="auto"/>
                <w:szCs w:val="22"/>
              </w:rPr>
              <w:t>kV</w:t>
            </w:r>
            <w:r>
              <w:rPr>
                <w:rFonts w:hint="eastAsia"/>
                <w:color w:val="auto"/>
                <w:szCs w:val="22"/>
              </w:rPr>
              <w:t>变电站</w:t>
            </w:r>
            <w:r>
              <w:rPr>
                <w:color w:val="auto"/>
              </w:rPr>
              <w:t>单台主变变压器油重量约为</w:t>
            </w:r>
            <w:r>
              <w:rPr>
                <w:rFonts w:hint="eastAsia"/>
                <w:color w:val="auto"/>
                <w:lang w:val="en-US" w:eastAsia="zh-CN"/>
              </w:rPr>
              <w:t>20</w:t>
            </w:r>
            <w:r>
              <w:rPr>
                <w:color w:val="auto"/>
              </w:rPr>
              <w:t>t、体积约</w:t>
            </w:r>
            <w:r>
              <w:rPr>
                <w:rFonts w:hint="eastAsia"/>
                <w:color w:val="auto"/>
                <w:lang w:val="en-US" w:eastAsia="zh-CN"/>
              </w:rPr>
              <w:t>22.8</w:t>
            </w:r>
            <w:r>
              <w:rPr>
                <w:color w:val="auto"/>
              </w:rPr>
              <w:t>m</w:t>
            </w:r>
            <w:r>
              <w:rPr>
                <w:color w:val="auto"/>
                <w:vertAlign w:val="superscript"/>
              </w:rPr>
              <w:t>3</w:t>
            </w:r>
            <w:r>
              <w:rPr>
                <w:rFonts w:hint="eastAsia"/>
                <w:color w:val="auto"/>
                <w:vertAlign w:val="baseline"/>
                <w:lang w:eastAsia="zh-CN"/>
              </w:rPr>
              <w:t>，</w:t>
            </w:r>
            <w:r>
              <w:rPr>
                <w:color w:val="auto"/>
              </w:rPr>
              <w:t>《火力发电厂与</w:t>
            </w:r>
            <w:r>
              <w:rPr>
                <w:rFonts w:hint="eastAsia"/>
                <w:color w:val="auto"/>
              </w:rPr>
              <w:t>变电站</w:t>
            </w:r>
            <w:r>
              <w:rPr>
                <w:color w:val="auto"/>
              </w:rPr>
              <w:t>设计防火标准》（GB50229-2019）</w:t>
            </w:r>
            <w:r>
              <w:rPr>
                <w:rFonts w:hint="eastAsia"/>
                <w:color w:val="auto"/>
              </w:rPr>
              <w:t>：</w:t>
            </w:r>
            <w:r>
              <w:rPr>
                <w:color w:val="auto"/>
              </w:rPr>
              <w:t>11.3.3</w:t>
            </w:r>
            <w:r>
              <w:rPr>
                <w:rFonts w:hint="eastAsia"/>
                <w:color w:val="auto"/>
              </w:rPr>
              <w:t>条规定，</w:t>
            </w:r>
            <w:r>
              <w:rPr>
                <w:color w:val="auto"/>
              </w:rPr>
              <w:t>单台总油量为100kg以上的电气设备，应设置挡油设施及将事故油排至安全处的设施</w:t>
            </w:r>
            <w:r>
              <w:rPr>
                <w:rFonts w:hint="eastAsia"/>
                <w:color w:val="auto"/>
              </w:rPr>
              <w:t>，总事故贮油池的容量</w:t>
            </w:r>
            <w:r>
              <w:rPr>
                <w:color w:val="auto"/>
              </w:rPr>
              <w:t>挡油设施的容积宜按油量的20%设计</w:t>
            </w:r>
            <w:r>
              <w:rPr>
                <w:rFonts w:hint="eastAsia"/>
                <w:color w:val="auto"/>
              </w:rPr>
              <w:t>；11.3.4条规定，</w:t>
            </w:r>
            <w:r>
              <w:rPr>
                <w:color w:val="auto"/>
              </w:rPr>
              <w:t>事故油池容量应按其接入的油量最大的一台设备确定，并设置油水分离装置。</w:t>
            </w:r>
            <w:r>
              <w:rPr>
                <w:rFonts w:hint="eastAsia"/>
                <w:color w:val="auto"/>
              </w:rPr>
              <w:t>据此，</w:t>
            </w:r>
            <w:r>
              <w:rPr>
                <w:rFonts w:hint="eastAsia"/>
                <w:bCs/>
                <w:color w:val="auto"/>
              </w:rPr>
              <w:t>拟建</w:t>
            </w:r>
            <w:r>
              <w:rPr>
                <w:rFonts w:hint="eastAsia"/>
                <w:bCs/>
                <w:color w:val="auto"/>
                <w:lang w:eastAsia="zh-CN"/>
              </w:rPr>
              <w:t>司城</w:t>
            </w:r>
            <w:r>
              <w:rPr>
                <w:rFonts w:hint="eastAsia"/>
                <w:color w:val="auto"/>
                <w:szCs w:val="22"/>
              </w:rPr>
              <w:t>110</w:t>
            </w:r>
            <w:r>
              <w:rPr>
                <w:color w:val="auto"/>
                <w:szCs w:val="22"/>
              </w:rPr>
              <w:t>kV</w:t>
            </w:r>
            <w:r>
              <w:rPr>
                <w:rFonts w:hint="eastAsia"/>
                <w:color w:val="auto"/>
                <w:szCs w:val="22"/>
              </w:rPr>
              <w:t>变电站</w:t>
            </w:r>
            <w:r>
              <w:rPr>
                <w:rFonts w:hint="eastAsia"/>
                <w:color w:val="auto"/>
              </w:rPr>
              <w:t>每台主变下方设置有事故油坑，每个油坑</w:t>
            </w:r>
            <w:r>
              <w:rPr>
                <w:rFonts w:hint="eastAsia"/>
                <w:color w:val="auto"/>
                <w:lang w:eastAsia="zh-CN"/>
              </w:rPr>
              <w:t>有效容积</w:t>
            </w:r>
            <w:r>
              <w:rPr>
                <w:rFonts w:hint="eastAsia"/>
                <w:color w:val="auto"/>
              </w:rPr>
              <w:t>为5m</w:t>
            </w:r>
            <w:r>
              <w:rPr>
                <w:rFonts w:hint="eastAsia"/>
                <w:color w:val="auto"/>
                <w:vertAlign w:val="superscript"/>
              </w:rPr>
              <w:t>3</w:t>
            </w:r>
            <w:r>
              <w:rPr>
                <w:rFonts w:hint="eastAsia"/>
                <w:color w:val="auto"/>
              </w:rPr>
              <w:t>，能够容纳单台主变油量的20%（</w:t>
            </w:r>
            <w:r>
              <w:rPr>
                <w:rFonts w:hint="eastAsia"/>
                <w:color w:val="auto"/>
                <w:lang w:val="en-US" w:eastAsia="zh-CN"/>
              </w:rPr>
              <w:t>4.57</w:t>
            </w:r>
            <w:r>
              <w:rPr>
                <w:rFonts w:hint="eastAsia"/>
                <w:color w:val="auto"/>
              </w:rPr>
              <w:t>m</w:t>
            </w:r>
            <w:r>
              <w:rPr>
                <w:rFonts w:hint="eastAsia"/>
                <w:color w:val="auto"/>
                <w:vertAlign w:val="superscript"/>
              </w:rPr>
              <w:t>3</w:t>
            </w:r>
            <w:r>
              <w:rPr>
                <w:rFonts w:hint="eastAsia"/>
                <w:color w:val="auto"/>
              </w:rPr>
              <w:t>）；</w:t>
            </w:r>
            <w:r>
              <w:rPr>
                <w:rFonts w:hint="eastAsia"/>
                <w:bCs/>
                <w:color w:val="auto"/>
              </w:rPr>
              <w:t>拟建</w:t>
            </w:r>
            <w:r>
              <w:rPr>
                <w:rFonts w:hint="eastAsia"/>
                <w:bCs/>
                <w:color w:val="auto"/>
                <w:lang w:eastAsia="zh-CN"/>
              </w:rPr>
              <w:t>司城</w:t>
            </w:r>
            <w:r>
              <w:rPr>
                <w:rFonts w:hint="eastAsia"/>
                <w:color w:val="auto"/>
                <w:szCs w:val="22"/>
              </w:rPr>
              <w:t>110</w:t>
            </w:r>
            <w:r>
              <w:rPr>
                <w:color w:val="auto"/>
                <w:szCs w:val="22"/>
              </w:rPr>
              <w:t>kV</w:t>
            </w:r>
            <w:r>
              <w:rPr>
                <w:rFonts w:hint="eastAsia"/>
                <w:color w:val="auto"/>
                <w:szCs w:val="22"/>
              </w:rPr>
              <w:t>变电站</w:t>
            </w:r>
            <w:r>
              <w:rPr>
                <w:rFonts w:hint="eastAsia"/>
                <w:color w:val="auto"/>
              </w:rPr>
              <w:t>站址</w:t>
            </w:r>
            <w:r>
              <w:rPr>
                <w:rFonts w:hint="eastAsia"/>
                <w:color w:val="auto"/>
                <w:lang w:val="en-US" w:eastAsia="zh-CN"/>
              </w:rPr>
              <w:t>东北侧1#主变旁</w:t>
            </w:r>
            <w:r>
              <w:rPr>
                <w:rFonts w:hint="eastAsia"/>
                <w:color w:val="auto"/>
              </w:rPr>
              <w:t>设计有1座</w:t>
            </w:r>
            <w:r>
              <w:rPr>
                <w:color w:val="auto"/>
              </w:rPr>
              <w:t>事故油池</w:t>
            </w:r>
            <w:r>
              <w:rPr>
                <w:rFonts w:ascii="宋体"/>
                <w:color w:val="auto"/>
              </w:rPr>
              <w:t>（</w:t>
            </w:r>
            <w:r>
              <w:rPr>
                <w:rFonts w:hint="eastAsia" w:ascii="宋体"/>
                <w:color w:val="auto"/>
              </w:rPr>
              <w:t>具有油水分离功能</w:t>
            </w:r>
            <w:r>
              <w:rPr>
                <w:rFonts w:ascii="宋体"/>
                <w:color w:val="auto"/>
              </w:rPr>
              <w:t>）</w:t>
            </w:r>
            <w:r>
              <w:rPr>
                <w:rFonts w:hint="eastAsia"/>
                <w:color w:val="auto"/>
              </w:rPr>
              <w:t>，</w:t>
            </w:r>
            <w:r>
              <w:rPr>
                <w:rFonts w:hint="eastAsia"/>
                <w:color w:val="auto"/>
                <w:lang w:eastAsia="zh-CN"/>
              </w:rPr>
              <w:t>有效容积</w:t>
            </w:r>
            <w:r>
              <w:rPr>
                <w:rFonts w:hint="eastAsia"/>
                <w:color w:val="auto"/>
              </w:rPr>
              <w:t>为30</w:t>
            </w:r>
            <w:r>
              <w:rPr>
                <w:color w:val="auto"/>
              </w:rPr>
              <w:t>m</w:t>
            </w:r>
            <w:r>
              <w:rPr>
                <w:color w:val="auto"/>
                <w:vertAlign w:val="superscript"/>
              </w:rPr>
              <w:t>3</w:t>
            </w:r>
            <w:r>
              <w:rPr>
                <w:color w:val="auto"/>
              </w:rPr>
              <w:t>，大于</w:t>
            </w:r>
            <w:r>
              <w:rPr>
                <w:rFonts w:hint="eastAsia"/>
                <w:color w:val="auto"/>
              </w:rPr>
              <w:t>单台</w:t>
            </w:r>
            <w:r>
              <w:rPr>
                <w:color w:val="auto"/>
              </w:rPr>
              <w:t>设备最大油量体积</w:t>
            </w:r>
            <w:r>
              <w:rPr>
                <w:rFonts w:hint="eastAsia"/>
                <w:color w:val="auto"/>
                <w:lang w:val="en-US" w:eastAsia="zh-CN"/>
              </w:rPr>
              <w:t>22.8</w:t>
            </w:r>
            <w:r>
              <w:rPr>
                <w:color w:val="auto"/>
              </w:rPr>
              <w:t>m</w:t>
            </w:r>
            <w:r>
              <w:rPr>
                <w:color w:val="auto"/>
                <w:vertAlign w:val="superscript"/>
              </w:rPr>
              <w:t>3</w:t>
            </w:r>
            <w:r>
              <w:rPr>
                <w:rFonts w:hint="eastAsia"/>
                <w:color w:val="auto"/>
              </w:rPr>
              <w:t>（</w:t>
            </w:r>
            <w:r>
              <w:rPr>
                <w:rFonts w:hint="eastAsia"/>
                <w:color w:val="auto"/>
                <w:lang w:val="en-US" w:eastAsia="zh-CN"/>
              </w:rPr>
              <w:t>20</w:t>
            </w:r>
            <w:r>
              <w:rPr>
                <w:rFonts w:hint="eastAsia"/>
                <w:color w:val="auto"/>
              </w:rPr>
              <w:t>t）</w:t>
            </w:r>
            <w:r>
              <w:rPr>
                <w:color w:val="auto"/>
              </w:rPr>
              <w:t>，</w:t>
            </w:r>
            <w:r>
              <w:rPr>
                <w:rFonts w:hint="eastAsia"/>
                <w:color w:val="auto"/>
              </w:rPr>
              <w:t>满足接纳事故油的要求</w:t>
            </w:r>
            <w:r>
              <w:rPr>
                <w:color w:val="auto"/>
              </w:rPr>
              <w:t>。</w:t>
            </w:r>
          </w:p>
          <w:p w14:paraId="5423505F">
            <w:pPr>
              <w:spacing w:line="360" w:lineRule="auto"/>
              <w:ind w:firstLine="420" w:firstLineChars="200"/>
              <w:rPr>
                <w:color w:val="auto"/>
              </w:rPr>
            </w:pPr>
            <w:r>
              <w:rPr>
                <w:rFonts w:hint="eastAsia"/>
                <w:color w:val="auto"/>
              </w:rPr>
              <w:t>废</w:t>
            </w:r>
            <w:r>
              <w:rPr>
                <w:color w:val="auto"/>
              </w:rPr>
              <w:t>事故油属于《国家危险废物名录》（</w:t>
            </w:r>
            <w:r>
              <w:rPr>
                <w:rFonts w:hint="eastAsia"/>
                <w:color w:val="auto"/>
                <w:lang w:eastAsia="zh-CN"/>
              </w:rPr>
              <w:t>2025年版</w:t>
            </w:r>
            <w:r>
              <w:rPr>
                <w:color w:val="auto"/>
              </w:rPr>
              <w:t>）中HW08废矿物油与含矿物油废物类中的900-220-08号危险废物。</w:t>
            </w:r>
          </w:p>
          <w:p w14:paraId="7A04C9A9">
            <w:pPr>
              <w:adjustRightInd/>
              <w:spacing w:line="360" w:lineRule="auto"/>
              <w:ind w:firstLine="420" w:firstLineChars="200"/>
              <w:rPr>
                <w:rFonts w:hint="eastAsia" w:ascii="Times New Roman" w:hAnsi="Times New Roman"/>
                <w:bCs/>
                <w:color w:val="auto"/>
                <w:szCs w:val="24"/>
              </w:rPr>
            </w:pPr>
            <w:r>
              <w:rPr>
                <w:rFonts w:hint="eastAsia" w:ascii="Times New Roman" w:hAnsi="Times New Roman"/>
                <w:bCs/>
                <w:color w:val="auto"/>
                <w:szCs w:val="24"/>
              </w:rPr>
              <w:t>同时环评要求：事故油池池底及池壁应参照《危险废物贮存污染控制标准》（GB18597—2023）等技术规范进行防渗处理，防渗层为至少1m厚粘土层（渗透系数≤10</w:t>
            </w:r>
            <w:r>
              <w:rPr>
                <w:rFonts w:hint="eastAsia"/>
                <w:bCs/>
                <w:color w:val="auto"/>
                <w:szCs w:val="24"/>
                <w:vertAlign w:val="superscript"/>
                <w:lang w:eastAsia="zh-CN"/>
              </w:rPr>
              <w:t>-</w:t>
            </w:r>
            <w:r>
              <w:rPr>
                <w:rFonts w:hint="eastAsia" w:ascii="Times New Roman" w:hAnsi="Times New Roman"/>
                <w:bCs/>
                <w:color w:val="auto"/>
                <w:szCs w:val="24"/>
                <w:vertAlign w:val="superscript"/>
              </w:rPr>
              <w:t>7</w:t>
            </w:r>
            <w:r>
              <w:rPr>
                <w:rFonts w:hint="eastAsia" w:ascii="Times New Roman" w:hAnsi="Times New Roman"/>
                <w:bCs/>
                <w:color w:val="auto"/>
                <w:szCs w:val="24"/>
              </w:rPr>
              <w:t>cm/s），或2mm厚</w:t>
            </w:r>
            <w:r>
              <w:rPr>
                <w:rFonts w:hint="eastAsia"/>
                <w:bCs/>
                <w:color w:val="auto"/>
              </w:rPr>
              <w:fldChar w:fldCharType="begin"/>
            </w:r>
            <w:r>
              <w:rPr>
                <w:rFonts w:hint="eastAsia"/>
                <w:bCs/>
                <w:color w:val="auto"/>
              </w:rPr>
              <w:instrText xml:space="preserve"> HYPERLINK "https://baike.baidu.com/item/%E9%AB%98%E5%AF%86%E5%BA%A6%E8%81%9A%E4%B9%99%E7%83%AF" \t "_blank" </w:instrText>
            </w:r>
            <w:r>
              <w:rPr>
                <w:rFonts w:hint="eastAsia"/>
                <w:bCs/>
                <w:color w:val="auto"/>
              </w:rPr>
              <w:fldChar w:fldCharType="separate"/>
            </w:r>
            <w:r>
              <w:rPr>
                <w:rFonts w:hint="eastAsia" w:ascii="Times New Roman" w:hAnsi="Times New Roman"/>
                <w:bCs/>
                <w:color w:val="auto"/>
                <w:szCs w:val="24"/>
              </w:rPr>
              <w:t>高密度聚乙烯</w:t>
            </w:r>
            <w:r>
              <w:rPr>
                <w:rFonts w:hint="eastAsia" w:ascii="Times New Roman" w:hAnsi="Times New Roman"/>
                <w:bCs/>
                <w:color w:val="auto"/>
                <w:szCs w:val="24"/>
              </w:rPr>
              <w:fldChar w:fldCharType="end"/>
            </w:r>
            <w:r>
              <w:rPr>
                <w:rFonts w:hint="eastAsia" w:ascii="Times New Roman" w:hAnsi="Times New Roman"/>
                <w:bCs/>
                <w:color w:val="auto"/>
                <w:szCs w:val="24"/>
              </w:rPr>
              <w:t>，或至少2mm厚的其它人工材料（渗透系数≤10</w:t>
            </w:r>
            <w:r>
              <w:rPr>
                <w:rFonts w:hint="eastAsia" w:ascii="Times New Roman" w:hAnsi="Times New Roman"/>
                <w:bCs/>
                <w:color w:val="auto"/>
                <w:szCs w:val="24"/>
                <w:vertAlign w:val="superscript"/>
              </w:rPr>
              <w:t>-10</w:t>
            </w:r>
            <w:r>
              <w:rPr>
                <w:rFonts w:hint="eastAsia" w:ascii="Times New Roman" w:hAnsi="Times New Roman"/>
                <w:bCs/>
                <w:color w:val="auto"/>
                <w:szCs w:val="24"/>
              </w:rPr>
              <w:t>cm/s）。根据各变电站实际运行情况可知，</w:t>
            </w:r>
            <w:r>
              <w:rPr>
                <w:rFonts w:hint="eastAsia"/>
                <w:bCs/>
                <w:color w:val="auto"/>
              </w:rPr>
              <w:t>其中事故油中可回收部分由建设单位回收再利用，</w:t>
            </w:r>
            <w:r>
              <w:rPr>
                <w:rFonts w:hint="eastAsia"/>
                <w:color w:val="auto"/>
              </w:rPr>
              <w:t>不可回收部分（即废事故油）采用专用密封容器盛装后运送至国网巴中供电公司枣林危废暂存间，定期交由有危险废物处置资质的单位进行处置，不外排。</w:t>
            </w:r>
          </w:p>
          <w:p w14:paraId="6F39C323">
            <w:pPr>
              <w:adjustRightInd w:val="0"/>
              <w:ind w:firstLine="420"/>
              <w:rPr>
                <w:rFonts w:ascii="Times New Roman" w:hAnsi="Times New Roman"/>
                <w:b/>
                <w:color w:val="auto"/>
                <w:szCs w:val="21"/>
              </w:rPr>
            </w:pPr>
            <w:r>
              <w:rPr>
                <w:rFonts w:hint="eastAsia" w:ascii="Times New Roman" w:hAnsi="Times New Roman"/>
                <w:b/>
                <w:color w:val="auto"/>
                <w:szCs w:val="21"/>
              </w:rPr>
              <w:t>（3）废铅蓄电池</w:t>
            </w:r>
          </w:p>
          <w:p w14:paraId="40715C78">
            <w:pPr>
              <w:spacing w:line="360" w:lineRule="auto"/>
              <w:ind w:firstLine="420" w:firstLineChars="200"/>
              <w:rPr>
                <w:color w:val="auto"/>
                <w:szCs w:val="22"/>
              </w:rPr>
            </w:pPr>
            <w:r>
              <w:rPr>
                <w:rFonts w:hint="eastAsia"/>
                <w:bCs/>
                <w:color w:val="auto"/>
              </w:rPr>
              <w:t>拟建</w:t>
            </w:r>
            <w:r>
              <w:rPr>
                <w:rFonts w:hint="eastAsia"/>
                <w:bCs/>
                <w:color w:val="auto"/>
                <w:lang w:val="en-US" w:eastAsia="zh-CN"/>
              </w:rPr>
              <w:t>司城</w:t>
            </w:r>
            <w:r>
              <w:rPr>
                <w:rFonts w:hint="eastAsia"/>
                <w:color w:val="auto"/>
                <w:szCs w:val="22"/>
              </w:rPr>
              <w:t>110</w:t>
            </w:r>
            <w:r>
              <w:rPr>
                <w:color w:val="auto"/>
                <w:szCs w:val="22"/>
              </w:rPr>
              <w:t>kV</w:t>
            </w:r>
            <w:r>
              <w:rPr>
                <w:rFonts w:hint="eastAsia"/>
                <w:color w:val="auto"/>
                <w:szCs w:val="22"/>
              </w:rPr>
              <w:t>变电站</w:t>
            </w:r>
            <w:r>
              <w:rPr>
                <w:color w:val="auto"/>
                <w:szCs w:val="22"/>
              </w:rPr>
              <w:t>内</w:t>
            </w:r>
            <w:r>
              <w:rPr>
                <w:rFonts w:hint="eastAsia"/>
                <w:color w:val="auto"/>
                <w:szCs w:val="22"/>
              </w:rPr>
              <w:t>设置</w:t>
            </w:r>
            <w:r>
              <w:rPr>
                <w:rFonts w:hint="eastAsia"/>
                <w:color w:val="auto"/>
                <w:szCs w:val="22"/>
                <w:lang w:val="en-US" w:eastAsia="zh-CN"/>
              </w:rPr>
              <w:t>2</w:t>
            </w:r>
            <w:r>
              <w:rPr>
                <w:rFonts w:hint="eastAsia"/>
                <w:color w:val="auto"/>
                <w:szCs w:val="22"/>
              </w:rPr>
              <w:t>组蓄电池</w:t>
            </w:r>
            <w:r>
              <w:rPr>
                <w:color w:val="auto"/>
                <w:szCs w:val="22"/>
              </w:rPr>
              <w:t>，采用组架方式集中布置于蓄电池室；</w:t>
            </w:r>
            <w:r>
              <w:rPr>
                <w:rFonts w:hint="eastAsia"/>
                <w:color w:val="auto"/>
                <w:szCs w:val="22"/>
              </w:rPr>
              <w:t>变电站</w:t>
            </w:r>
            <w:r>
              <w:rPr>
                <w:color w:val="auto"/>
                <w:szCs w:val="22"/>
              </w:rPr>
              <w:t>使用的蓄电池为阀控式密封铅酸蓄电池（</w:t>
            </w:r>
            <w:r>
              <w:rPr>
                <w:rFonts w:hint="eastAsia"/>
                <w:color w:val="auto"/>
                <w:szCs w:val="22"/>
              </w:rPr>
              <w:t>400</w:t>
            </w:r>
            <w:r>
              <w:rPr>
                <w:color w:val="auto"/>
                <w:szCs w:val="22"/>
              </w:rPr>
              <w:t>Ah，2V），共104只。</w:t>
            </w:r>
            <w:r>
              <w:rPr>
                <w:rFonts w:hint="eastAsia"/>
                <w:color w:val="auto"/>
                <w:szCs w:val="22"/>
              </w:rPr>
              <w:t>建设单位在日常检修中不定期检测蓄电池电压，若性能满足要求则继续使用，对性能不达标的蓄电池，则进行</w:t>
            </w:r>
            <w:r>
              <w:rPr>
                <w:rFonts w:hint="default" w:ascii="Times New Roman" w:hAnsi="Times New Roman" w:cs="Times New Roman"/>
                <w:color w:val="auto"/>
                <w:szCs w:val="22"/>
                <w:highlight w:val="none"/>
              </w:rPr>
              <w:t>报废，报废的</w:t>
            </w:r>
            <w:r>
              <w:rPr>
                <w:rFonts w:hint="eastAsia" w:cs="Times New Roman"/>
                <w:color w:val="auto"/>
                <w:szCs w:val="22"/>
                <w:highlight w:val="none"/>
                <w:lang w:eastAsia="zh-CN"/>
              </w:rPr>
              <w:t>废铅蓄电池</w:t>
            </w:r>
            <w:r>
              <w:rPr>
                <w:rFonts w:hint="default" w:ascii="Times New Roman" w:hAnsi="Times New Roman" w:cs="Times New Roman"/>
                <w:color w:val="auto"/>
                <w:szCs w:val="22"/>
                <w:highlight w:val="none"/>
              </w:rPr>
              <w:t>按危险废物管理，产生后</w:t>
            </w:r>
            <w:r>
              <w:rPr>
                <w:rFonts w:hint="default" w:ascii="Times New Roman" w:hAnsi="Times New Roman" w:cs="Times New Roman"/>
                <w:bCs/>
                <w:color w:val="auto"/>
                <w:highlight w:val="none"/>
              </w:rPr>
              <w:t>随即委托相关单位日产日清，不在变电站内暂存</w:t>
            </w:r>
            <w:r>
              <w:rPr>
                <w:rFonts w:hint="eastAsia"/>
                <w:color w:val="auto"/>
                <w:szCs w:val="22"/>
              </w:rPr>
              <w:t>。</w:t>
            </w:r>
            <w:r>
              <w:rPr>
                <w:color w:val="auto"/>
                <w:szCs w:val="22"/>
              </w:rPr>
              <w:t>按照《危险废物转移管理办法》</w:t>
            </w:r>
            <w:r>
              <w:rPr>
                <w:rFonts w:hint="eastAsia"/>
                <w:color w:val="auto"/>
                <w:szCs w:val="22"/>
              </w:rPr>
              <w:t>有关规定，禁止在转移过程中擅自拆解、破碎、丢弃</w:t>
            </w:r>
            <w:r>
              <w:rPr>
                <w:rFonts w:hint="eastAsia"/>
                <w:color w:val="auto"/>
                <w:szCs w:val="22"/>
                <w:lang w:eastAsia="zh-CN"/>
              </w:rPr>
              <w:t>废铅蓄电池</w:t>
            </w:r>
            <w:r>
              <w:rPr>
                <w:rFonts w:hint="eastAsia"/>
                <w:color w:val="auto"/>
                <w:szCs w:val="22"/>
              </w:rPr>
              <w:t>。最终交</w:t>
            </w:r>
            <w:r>
              <w:rPr>
                <w:rFonts w:hint="eastAsia"/>
                <w:color w:val="auto"/>
                <w:szCs w:val="22"/>
                <w:lang w:val="en-US" w:eastAsia="zh-CN"/>
              </w:rPr>
              <w:t>由</w:t>
            </w:r>
            <w:r>
              <w:rPr>
                <w:color w:val="auto"/>
                <w:szCs w:val="22"/>
              </w:rPr>
              <w:t>相应危废处理资质的单位</w:t>
            </w:r>
            <w:r>
              <w:rPr>
                <w:rFonts w:hint="eastAsia"/>
                <w:color w:val="auto"/>
                <w:szCs w:val="22"/>
                <w:lang w:val="en-US" w:eastAsia="zh-CN"/>
              </w:rPr>
              <w:t>转运</w:t>
            </w:r>
            <w:r>
              <w:rPr>
                <w:rFonts w:hint="eastAsia"/>
                <w:color w:val="auto"/>
                <w:szCs w:val="22"/>
              </w:rPr>
              <w:t>处理</w:t>
            </w:r>
            <w:r>
              <w:rPr>
                <w:rFonts w:hint="eastAsia"/>
                <w:color w:val="auto"/>
                <w:szCs w:val="22"/>
                <w:lang w:eastAsia="zh-CN"/>
              </w:rPr>
              <w:t>。</w:t>
            </w:r>
          </w:p>
          <w:p w14:paraId="602C0E8E">
            <w:pPr>
              <w:spacing w:line="360" w:lineRule="auto"/>
              <w:ind w:firstLine="420" w:firstLineChars="200"/>
              <w:rPr>
                <w:bCs/>
                <w:color w:val="auto"/>
                <w:szCs w:val="21"/>
              </w:rPr>
            </w:pPr>
            <w:r>
              <w:rPr>
                <w:color w:val="auto"/>
                <w:szCs w:val="21"/>
              </w:rPr>
              <w:t>本项目</w:t>
            </w:r>
            <w:r>
              <w:rPr>
                <w:bCs/>
                <w:color w:val="auto"/>
                <w:szCs w:val="21"/>
              </w:rPr>
              <w:t>产生固体废物的种类、产生量、废物类别和处置措施见下表。</w:t>
            </w:r>
          </w:p>
          <w:p w14:paraId="107C3652">
            <w:pPr>
              <w:adjustRightInd w:val="0"/>
              <w:spacing w:line="240" w:lineRule="auto"/>
              <w:ind w:firstLine="420" w:firstLineChars="200"/>
              <w:jc w:val="center"/>
              <w:rPr>
                <w:rFonts w:eastAsia="黑体"/>
                <w:color w:val="auto"/>
                <w:szCs w:val="21"/>
              </w:rPr>
            </w:pPr>
            <w:r>
              <w:rPr>
                <w:rFonts w:eastAsia="黑体"/>
                <w:color w:val="auto"/>
                <w:szCs w:val="21"/>
              </w:rPr>
              <w:t>表4-</w:t>
            </w:r>
            <w:r>
              <w:rPr>
                <w:rFonts w:hint="eastAsia" w:eastAsia="黑体"/>
                <w:color w:val="auto"/>
                <w:szCs w:val="21"/>
                <w:lang w:val="en-US" w:eastAsia="zh-CN"/>
              </w:rPr>
              <w:t>21</w:t>
            </w:r>
            <w:r>
              <w:rPr>
                <w:rFonts w:eastAsia="黑体"/>
                <w:color w:val="auto"/>
                <w:szCs w:val="21"/>
              </w:rPr>
              <w:t xml:space="preserve">  本项目一般固废产生及治理措施情况一览表</w:t>
            </w:r>
          </w:p>
          <w:tbl>
            <w:tblPr>
              <w:tblStyle w:val="25"/>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230"/>
              <w:gridCol w:w="1292"/>
              <w:gridCol w:w="615"/>
              <w:gridCol w:w="599"/>
              <w:gridCol w:w="1305"/>
              <w:gridCol w:w="1005"/>
              <w:gridCol w:w="1874"/>
            </w:tblGrid>
            <w:tr w14:paraId="66DEBC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85" w:type="pct"/>
                  <w:tcBorders>
                    <w:tl2br w:val="nil"/>
                    <w:tr2bl w:val="nil"/>
                  </w:tcBorders>
                  <w:vAlign w:val="center"/>
                </w:tcPr>
                <w:p w14:paraId="2321B330">
                  <w:pPr>
                    <w:adjustRightInd w:val="0"/>
                    <w:snapToGrid/>
                    <w:spacing w:line="240" w:lineRule="auto"/>
                    <w:ind w:firstLine="0" w:firstLineChars="0"/>
                    <w:jc w:val="center"/>
                    <w:rPr>
                      <w:bCs/>
                      <w:color w:val="auto"/>
                      <w:kern w:val="28"/>
                      <w:sz w:val="18"/>
                      <w:szCs w:val="18"/>
                    </w:rPr>
                  </w:pPr>
                  <w:r>
                    <w:rPr>
                      <w:bCs/>
                      <w:color w:val="auto"/>
                      <w:sz w:val="18"/>
                      <w:szCs w:val="18"/>
                    </w:rPr>
                    <w:t>序号</w:t>
                  </w:r>
                </w:p>
              </w:tc>
              <w:tc>
                <w:tcPr>
                  <w:tcW w:w="716" w:type="pct"/>
                  <w:tcBorders>
                    <w:tl2br w:val="nil"/>
                    <w:tr2bl w:val="nil"/>
                  </w:tcBorders>
                  <w:vAlign w:val="center"/>
                </w:tcPr>
                <w:p w14:paraId="79EDECC1">
                  <w:pPr>
                    <w:adjustRightInd w:val="0"/>
                    <w:snapToGrid/>
                    <w:spacing w:line="240" w:lineRule="auto"/>
                    <w:ind w:firstLine="0" w:firstLineChars="0"/>
                    <w:jc w:val="center"/>
                    <w:rPr>
                      <w:bCs/>
                      <w:color w:val="auto"/>
                      <w:kern w:val="28"/>
                      <w:sz w:val="18"/>
                      <w:szCs w:val="18"/>
                    </w:rPr>
                  </w:pPr>
                  <w:r>
                    <w:rPr>
                      <w:bCs/>
                      <w:color w:val="auto"/>
                      <w:sz w:val="18"/>
                      <w:szCs w:val="18"/>
                    </w:rPr>
                    <w:t>名称</w:t>
                  </w:r>
                </w:p>
              </w:tc>
              <w:tc>
                <w:tcPr>
                  <w:tcW w:w="752" w:type="pct"/>
                  <w:tcBorders>
                    <w:tl2br w:val="nil"/>
                    <w:tr2bl w:val="nil"/>
                  </w:tcBorders>
                  <w:vAlign w:val="center"/>
                </w:tcPr>
                <w:p w14:paraId="6979BDFA">
                  <w:pPr>
                    <w:adjustRightInd w:val="0"/>
                    <w:snapToGrid/>
                    <w:spacing w:line="240" w:lineRule="auto"/>
                    <w:ind w:firstLine="0" w:firstLineChars="0"/>
                    <w:jc w:val="center"/>
                    <w:rPr>
                      <w:bCs/>
                      <w:color w:val="auto"/>
                      <w:sz w:val="18"/>
                      <w:szCs w:val="18"/>
                    </w:rPr>
                  </w:pPr>
                  <w:r>
                    <w:rPr>
                      <w:bCs/>
                      <w:color w:val="auto"/>
                      <w:sz w:val="18"/>
                      <w:szCs w:val="18"/>
                    </w:rPr>
                    <w:t>产生环节</w:t>
                  </w:r>
                </w:p>
              </w:tc>
              <w:tc>
                <w:tcPr>
                  <w:tcW w:w="358" w:type="pct"/>
                  <w:tcBorders>
                    <w:tl2br w:val="nil"/>
                    <w:tr2bl w:val="nil"/>
                  </w:tcBorders>
                  <w:vAlign w:val="center"/>
                </w:tcPr>
                <w:p w14:paraId="43CAC5C6">
                  <w:pPr>
                    <w:adjustRightInd w:val="0"/>
                    <w:snapToGrid/>
                    <w:spacing w:line="240" w:lineRule="auto"/>
                    <w:ind w:firstLine="0" w:firstLineChars="0"/>
                    <w:jc w:val="center"/>
                    <w:rPr>
                      <w:bCs/>
                      <w:color w:val="auto"/>
                      <w:sz w:val="18"/>
                      <w:szCs w:val="18"/>
                    </w:rPr>
                  </w:pPr>
                  <w:r>
                    <w:rPr>
                      <w:bCs/>
                      <w:color w:val="auto"/>
                      <w:kern w:val="28"/>
                      <w:sz w:val="18"/>
                      <w:szCs w:val="18"/>
                    </w:rPr>
                    <w:t>形态</w:t>
                  </w:r>
                </w:p>
              </w:tc>
              <w:tc>
                <w:tcPr>
                  <w:tcW w:w="349" w:type="pct"/>
                  <w:tcBorders>
                    <w:tl2br w:val="nil"/>
                    <w:tr2bl w:val="nil"/>
                  </w:tcBorders>
                  <w:vAlign w:val="center"/>
                </w:tcPr>
                <w:p w14:paraId="1145A999">
                  <w:pPr>
                    <w:adjustRightInd w:val="0"/>
                    <w:snapToGrid/>
                    <w:spacing w:line="240" w:lineRule="auto"/>
                    <w:ind w:firstLine="0" w:firstLineChars="0"/>
                    <w:jc w:val="center"/>
                    <w:rPr>
                      <w:bCs/>
                      <w:color w:val="auto"/>
                      <w:sz w:val="18"/>
                      <w:szCs w:val="18"/>
                    </w:rPr>
                  </w:pPr>
                  <w:r>
                    <w:rPr>
                      <w:bCs/>
                      <w:color w:val="auto"/>
                      <w:sz w:val="18"/>
                      <w:szCs w:val="18"/>
                    </w:rPr>
                    <w:t>代码</w:t>
                  </w:r>
                </w:p>
              </w:tc>
              <w:tc>
                <w:tcPr>
                  <w:tcW w:w="760" w:type="pct"/>
                  <w:tcBorders>
                    <w:tl2br w:val="nil"/>
                    <w:tr2bl w:val="nil"/>
                  </w:tcBorders>
                  <w:vAlign w:val="center"/>
                </w:tcPr>
                <w:p w14:paraId="7A1825B6">
                  <w:pPr>
                    <w:adjustRightInd w:val="0"/>
                    <w:snapToGrid/>
                    <w:spacing w:line="240" w:lineRule="auto"/>
                    <w:ind w:firstLine="0" w:firstLineChars="0"/>
                    <w:jc w:val="center"/>
                    <w:rPr>
                      <w:bCs/>
                      <w:color w:val="auto"/>
                      <w:kern w:val="28"/>
                      <w:sz w:val="18"/>
                      <w:szCs w:val="18"/>
                    </w:rPr>
                  </w:pPr>
                  <w:r>
                    <w:rPr>
                      <w:bCs/>
                      <w:color w:val="auto"/>
                      <w:sz w:val="18"/>
                      <w:szCs w:val="18"/>
                    </w:rPr>
                    <w:t>产生量（t/a）</w:t>
                  </w:r>
                </w:p>
              </w:tc>
              <w:tc>
                <w:tcPr>
                  <w:tcW w:w="585" w:type="pct"/>
                  <w:tcBorders>
                    <w:tl2br w:val="nil"/>
                    <w:tr2bl w:val="nil"/>
                  </w:tcBorders>
                  <w:vAlign w:val="center"/>
                </w:tcPr>
                <w:p w14:paraId="51CA6414">
                  <w:pPr>
                    <w:adjustRightInd w:val="0"/>
                    <w:snapToGrid/>
                    <w:spacing w:line="240" w:lineRule="auto"/>
                    <w:ind w:firstLine="0" w:firstLineChars="0"/>
                    <w:jc w:val="center"/>
                    <w:rPr>
                      <w:bCs/>
                      <w:color w:val="auto"/>
                      <w:kern w:val="28"/>
                      <w:sz w:val="18"/>
                      <w:szCs w:val="18"/>
                    </w:rPr>
                  </w:pPr>
                  <w:r>
                    <w:rPr>
                      <w:bCs/>
                      <w:color w:val="auto"/>
                      <w:sz w:val="18"/>
                      <w:szCs w:val="18"/>
                    </w:rPr>
                    <w:t>属性</w:t>
                  </w:r>
                </w:p>
              </w:tc>
              <w:tc>
                <w:tcPr>
                  <w:tcW w:w="1091" w:type="pct"/>
                  <w:tcBorders>
                    <w:tl2br w:val="nil"/>
                    <w:tr2bl w:val="nil"/>
                  </w:tcBorders>
                  <w:vAlign w:val="center"/>
                </w:tcPr>
                <w:p w14:paraId="33D9F0D3">
                  <w:pPr>
                    <w:adjustRightInd w:val="0"/>
                    <w:snapToGrid/>
                    <w:spacing w:line="240" w:lineRule="auto"/>
                    <w:ind w:firstLine="0" w:firstLineChars="0"/>
                    <w:jc w:val="center"/>
                    <w:rPr>
                      <w:bCs/>
                      <w:color w:val="auto"/>
                      <w:sz w:val="18"/>
                      <w:szCs w:val="18"/>
                    </w:rPr>
                  </w:pPr>
                  <w:r>
                    <w:rPr>
                      <w:bCs/>
                      <w:color w:val="auto"/>
                      <w:sz w:val="18"/>
                      <w:szCs w:val="18"/>
                    </w:rPr>
                    <w:t>处置措施</w:t>
                  </w:r>
                </w:p>
              </w:tc>
            </w:tr>
            <w:tr w14:paraId="0F6013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85" w:type="pct"/>
                  <w:tcBorders>
                    <w:tl2br w:val="nil"/>
                    <w:tr2bl w:val="nil"/>
                  </w:tcBorders>
                  <w:vAlign w:val="center"/>
                </w:tcPr>
                <w:p w14:paraId="72A7288F">
                  <w:pPr>
                    <w:adjustRightInd w:val="0"/>
                    <w:spacing w:line="240" w:lineRule="auto"/>
                    <w:ind w:firstLine="0" w:firstLineChars="0"/>
                    <w:jc w:val="center"/>
                    <w:rPr>
                      <w:color w:val="auto"/>
                      <w:sz w:val="18"/>
                      <w:szCs w:val="18"/>
                    </w:rPr>
                  </w:pPr>
                  <w:r>
                    <w:rPr>
                      <w:color w:val="auto"/>
                      <w:sz w:val="18"/>
                      <w:szCs w:val="18"/>
                    </w:rPr>
                    <w:t>1</w:t>
                  </w:r>
                </w:p>
              </w:tc>
              <w:tc>
                <w:tcPr>
                  <w:tcW w:w="716" w:type="pct"/>
                  <w:tcBorders>
                    <w:tl2br w:val="nil"/>
                    <w:tr2bl w:val="nil"/>
                  </w:tcBorders>
                  <w:vAlign w:val="center"/>
                </w:tcPr>
                <w:p w14:paraId="63B3174F">
                  <w:pPr>
                    <w:adjustRightInd w:val="0"/>
                    <w:spacing w:line="240" w:lineRule="auto"/>
                    <w:ind w:firstLine="0" w:firstLineChars="0"/>
                    <w:jc w:val="center"/>
                    <w:rPr>
                      <w:color w:val="auto"/>
                      <w:sz w:val="18"/>
                      <w:szCs w:val="18"/>
                    </w:rPr>
                  </w:pPr>
                  <w:r>
                    <w:rPr>
                      <w:color w:val="auto"/>
                      <w:sz w:val="18"/>
                      <w:szCs w:val="18"/>
                    </w:rPr>
                    <w:t>生活垃圾</w:t>
                  </w:r>
                </w:p>
              </w:tc>
              <w:tc>
                <w:tcPr>
                  <w:tcW w:w="752" w:type="pct"/>
                  <w:tcBorders>
                    <w:tl2br w:val="nil"/>
                    <w:tr2bl w:val="nil"/>
                  </w:tcBorders>
                  <w:vAlign w:val="center"/>
                </w:tcPr>
                <w:p w14:paraId="184774E1">
                  <w:pPr>
                    <w:adjustRightInd w:val="0"/>
                    <w:spacing w:line="240" w:lineRule="auto"/>
                    <w:ind w:firstLine="0" w:firstLineChars="0"/>
                    <w:jc w:val="center"/>
                    <w:rPr>
                      <w:color w:val="auto"/>
                      <w:sz w:val="18"/>
                      <w:szCs w:val="18"/>
                    </w:rPr>
                  </w:pPr>
                  <w:r>
                    <w:rPr>
                      <w:color w:val="auto"/>
                      <w:sz w:val="18"/>
                      <w:szCs w:val="18"/>
                    </w:rPr>
                    <w:t>员工日常</w:t>
                  </w:r>
                </w:p>
              </w:tc>
              <w:tc>
                <w:tcPr>
                  <w:tcW w:w="358" w:type="pct"/>
                  <w:tcBorders>
                    <w:tl2br w:val="nil"/>
                    <w:tr2bl w:val="nil"/>
                  </w:tcBorders>
                  <w:vAlign w:val="center"/>
                </w:tcPr>
                <w:p w14:paraId="5CB24484">
                  <w:pPr>
                    <w:adjustRightInd w:val="0"/>
                    <w:spacing w:line="240" w:lineRule="auto"/>
                    <w:ind w:firstLine="0" w:firstLineChars="0"/>
                    <w:jc w:val="center"/>
                    <w:rPr>
                      <w:color w:val="auto"/>
                      <w:sz w:val="18"/>
                      <w:szCs w:val="18"/>
                    </w:rPr>
                  </w:pPr>
                  <w:r>
                    <w:rPr>
                      <w:color w:val="auto"/>
                      <w:sz w:val="18"/>
                      <w:szCs w:val="18"/>
                    </w:rPr>
                    <w:t>固态</w:t>
                  </w:r>
                </w:p>
              </w:tc>
              <w:tc>
                <w:tcPr>
                  <w:tcW w:w="349" w:type="pct"/>
                  <w:tcBorders>
                    <w:tl2br w:val="nil"/>
                    <w:tr2bl w:val="nil"/>
                  </w:tcBorders>
                  <w:vAlign w:val="center"/>
                </w:tcPr>
                <w:p w14:paraId="2050B01A">
                  <w:pPr>
                    <w:adjustRightInd w:val="0"/>
                    <w:spacing w:line="240" w:lineRule="auto"/>
                    <w:ind w:firstLine="0" w:firstLineChars="0"/>
                    <w:jc w:val="center"/>
                    <w:rPr>
                      <w:color w:val="auto"/>
                      <w:sz w:val="18"/>
                      <w:szCs w:val="18"/>
                    </w:rPr>
                  </w:pPr>
                  <w:r>
                    <w:rPr>
                      <w:color w:val="auto"/>
                      <w:sz w:val="18"/>
                      <w:szCs w:val="18"/>
                    </w:rPr>
                    <w:t>/</w:t>
                  </w:r>
                </w:p>
              </w:tc>
              <w:tc>
                <w:tcPr>
                  <w:tcW w:w="760" w:type="pct"/>
                  <w:tcBorders>
                    <w:tl2br w:val="nil"/>
                    <w:tr2bl w:val="nil"/>
                  </w:tcBorders>
                  <w:vAlign w:val="center"/>
                </w:tcPr>
                <w:p w14:paraId="178A4214">
                  <w:pPr>
                    <w:adjustRightInd w:val="0"/>
                    <w:spacing w:line="240" w:lineRule="auto"/>
                    <w:ind w:firstLine="0" w:firstLineChars="0"/>
                    <w:jc w:val="center"/>
                    <w:rPr>
                      <w:color w:val="auto"/>
                      <w:sz w:val="18"/>
                      <w:szCs w:val="18"/>
                    </w:rPr>
                  </w:pPr>
                  <w:r>
                    <w:rPr>
                      <w:rFonts w:hint="eastAsia"/>
                      <w:color w:val="auto"/>
                      <w:sz w:val="18"/>
                      <w:szCs w:val="18"/>
                    </w:rPr>
                    <w:t>0.18</w:t>
                  </w:r>
                </w:p>
              </w:tc>
              <w:tc>
                <w:tcPr>
                  <w:tcW w:w="585" w:type="pct"/>
                  <w:tcBorders>
                    <w:tl2br w:val="nil"/>
                    <w:tr2bl w:val="nil"/>
                  </w:tcBorders>
                  <w:vAlign w:val="center"/>
                </w:tcPr>
                <w:p w14:paraId="03CFA8FF">
                  <w:pPr>
                    <w:adjustRightInd w:val="0"/>
                    <w:spacing w:line="240" w:lineRule="auto"/>
                    <w:ind w:firstLine="0" w:firstLineChars="0"/>
                    <w:jc w:val="center"/>
                    <w:rPr>
                      <w:color w:val="auto"/>
                      <w:sz w:val="18"/>
                      <w:szCs w:val="18"/>
                    </w:rPr>
                  </w:pPr>
                  <w:r>
                    <w:rPr>
                      <w:color w:val="auto"/>
                      <w:sz w:val="18"/>
                      <w:szCs w:val="18"/>
                    </w:rPr>
                    <w:t>一般固废</w:t>
                  </w:r>
                </w:p>
              </w:tc>
              <w:tc>
                <w:tcPr>
                  <w:tcW w:w="1091" w:type="pct"/>
                  <w:tcBorders>
                    <w:tl2br w:val="nil"/>
                    <w:tr2bl w:val="nil"/>
                  </w:tcBorders>
                  <w:vAlign w:val="center"/>
                </w:tcPr>
                <w:p w14:paraId="4DE77143">
                  <w:pPr>
                    <w:adjustRightInd w:val="0"/>
                    <w:spacing w:line="240" w:lineRule="auto"/>
                    <w:ind w:firstLine="0" w:firstLineChars="0"/>
                    <w:jc w:val="center"/>
                    <w:rPr>
                      <w:color w:val="auto"/>
                      <w:sz w:val="18"/>
                      <w:szCs w:val="18"/>
                    </w:rPr>
                  </w:pPr>
                  <w:r>
                    <w:rPr>
                      <w:color w:val="auto"/>
                      <w:sz w:val="18"/>
                      <w:szCs w:val="18"/>
                    </w:rPr>
                    <w:t>交当地环卫部门处理</w:t>
                  </w:r>
                </w:p>
              </w:tc>
            </w:tr>
          </w:tbl>
          <w:p w14:paraId="195B6E88">
            <w:pPr>
              <w:adjustRightInd w:val="0"/>
              <w:spacing w:before="0" w:beforeLines="-2147483648" w:line="240" w:lineRule="auto"/>
              <w:ind w:firstLine="420" w:firstLineChars="200"/>
              <w:jc w:val="center"/>
              <w:rPr>
                <w:rFonts w:eastAsia="黑体"/>
                <w:color w:val="auto"/>
                <w:szCs w:val="21"/>
              </w:rPr>
            </w:pPr>
            <w:r>
              <w:rPr>
                <w:rFonts w:eastAsia="黑体"/>
                <w:color w:val="auto"/>
                <w:szCs w:val="21"/>
              </w:rPr>
              <w:t>表4-</w:t>
            </w:r>
            <w:r>
              <w:rPr>
                <w:rFonts w:hint="eastAsia" w:eastAsia="黑体"/>
                <w:color w:val="auto"/>
                <w:szCs w:val="21"/>
                <w:lang w:val="en-US" w:eastAsia="zh-CN"/>
              </w:rPr>
              <w:t>22</w:t>
            </w:r>
            <w:r>
              <w:rPr>
                <w:rFonts w:eastAsia="黑体"/>
                <w:color w:val="auto"/>
                <w:szCs w:val="21"/>
              </w:rPr>
              <w:t xml:space="preserve">  项目危险废物产生及处置情况一览表</w:t>
            </w:r>
          </w:p>
          <w:tbl>
            <w:tblPr>
              <w:tblStyle w:val="25"/>
              <w:tblW w:w="499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975"/>
              <w:gridCol w:w="896"/>
              <w:gridCol w:w="1243"/>
              <w:gridCol w:w="1219"/>
              <w:gridCol w:w="520"/>
              <w:gridCol w:w="871"/>
              <w:gridCol w:w="953"/>
              <w:gridCol w:w="1396"/>
            </w:tblGrid>
            <w:tr w14:paraId="412D41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3" w:type="pct"/>
                  <w:tcBorders>
                    <w:tl2br w:val="nil"/>
                    <w:tr2bl w:val="nil"/>
                  </w:tcBorders>
                  <w:vAlign w:val="center"/>
                </w:tcPr>
                <w:p w14:paraId="0DA14E49">
                  <w:pPr>
                    <w:adjustRightInd w:val="0"/>
                    <w:spacing w:line="240" w:lineRule="auto"/>
                    <w:ind w:left="0" w:leftChars="0" w:right="0" w:rightChars="0" w:firstLine="0" w:firstLineChars="0"/>
                    <w:jc w:val="center"/>
                    <w:rPr>
                      <w:bCs/>
                      <w:color w:val="auto"/>
                      <w:kern w:val="28"/>
                      <w:sz w:val="18"/>
                      <w:szCs w:val="18"/>
                    </w:rPr>
                  </w:pPr>
                  <w:r>
                    <w:rPr>
                      <w:bCs/>
                      <w:color w:val="auto"/>
                      <w:sz w:val="18"/>
                      <w:szCs w:val="18"/>
                    </w:rPr>
                    <w:t>序号</w:t>
                  </w:r>
                </w:p>
              </w:tc>
              <w:tc>
                <w:tcPr>
                  <w:tcW w:w="568" w:type="pct"/>
                  <w:tcBorders>
                    <w:tl2br w:val="nil"/>
                    <w:tr2bl w:val="nil"/>
                  </w:tcBorders>
                  <w:vAlign w:val="center"/>
                </w:tcPr>
                <w:p w14:paraId="09E79FB4">
                  <w:pPr>
                    <w:adjustRightInd w:val="0"/>
                    <w:spacing w:line="240" w:lineRule="auto"/>
                    <w:ind w:left="0" w:leftChars="0" w:right="0" w:rightChars="0" w:firstLine="0" w:firstLineChars="0"/>
                    <w:jc w:val="center"/>
                    <w:rPr>
                      <w:bCs/>
                      <w:color w:val="auto"/>
                      <w:kern w:val="28"/>
                      <w:sz w:val="18"/>
                      <w:szCs w:val="18"/>
                    </w:rPr>
                  </w:pPr>
                  <w:r>
                    <w:rPr>
                      <w:bCs/>
                      <w:color w:val="auto"/>
                      <w:sz w:val="18"/>
                      <w:szCs w:val="18"/>
                    </w:rPr>
                    <w:t>危险废物名称</w:t>
                  </w:r>
                </w:p>
              </w:tc>
              <w:tc>
                <w:tcPr>
                  <w:tcW w:w="522" w:type="pct"/>
                  <w:tcBorders>
                    <w:tl2br w:val="nil"/>
                    <w:tr2bl w:val="nil"/>
                  </w:tcBorders>
                  <w:vAlign w:val="center"/>
                </w:tcPr>
                <w:p w14:paraId="17D57EEC">
                  <w:pPr>
                    <w:adjustRightInd w:val="0"/>
                    <w:spacing w:line="240" w:lineRule="auto"/>
                    <w:ind w:left="0" w:leftChars="0" w:right="0" w:rightChars="0" w:firstLine="0" w:firstLineChars="0"/>
                    <w:jc w:val="center"/>
                    <w:rPr>
                      <w:bCs/>
                      <w:color w:val="auto"/>
                      <w:sz w:val="18"/>
                      <w:szCs w:val="18"/>
                    </w:rPr>
                  </w:pPr>
                  <w:r>
                    <w:rPr>
                      <w:bCs/>
                      <w:color w:val="auto"/>
                      <w:sz w:val="18"/>
                      <w:szCs w:val="18"/>
                    </w:rPr>
                    <w:t>危险废物类别</w:t>
                  </w:r>
                </w:p>
              </w:tc>
              <w:tc>
                <w:tcPr>
                  <w:tcW w:w="724" w:type="pct"/>
                  <w:tcBorders>
                    <w:tl2br w:val="nil"/>
                    <w:tr2bl w:val="nil"/>
                  </w:tcBorders>
                  <w:vAlign w:val="center"/>
                </w:tcPr>
                <w:p w14:paraId="15F3BFD0">
                  <w:pPr>
                    <w:adjustRightInd w:val="0"/>
                    <w:spacing w:line="240" w:lineRule="auto"/>
                    <w:ind w:left="0" w:leftChars="0" w:right="0" w:rightChars="0" w:firstLine="0" w:firstLineChars="0"/>
                    <w:jc w:val="center"/>
                    <w:rPr>
                      <w:bCs/>
                      <w:color w:val="auto"/>
                      <w:sz w:val="18"/>
                      <w:szCs w:val="18"/>
                    </w:rPr>
                  </w:pPr>
                  <w:r>
                    <w:rPr>
                      <w:bCs/>
                      <w:color w:val="auto"/>
                      <w:sz w:val="18"/>
                      <w:szCs w:val="18"/>
                    </w:rPr>
                    <w:t>危险废物代码</w:t>
                  </w:r>
                </w:p>
              </w:tc>
              <w:tc>
                <w:tcPr>
                  <w:tcW w:w="710" w:type="pct"/>
                  <w:tcBorders>
                    <w:tl2br w:val="nil"/>
                    <w:tr2bl w:val="nil"/>
                  </w:tcBorders>
                  <w:vAlign w:val="center"/>
                </w:tcPr>
                <w:p w14:paraId="2E2B740B">
                  <w:pPr>
                    <w:adjustRightInd w:val="0"/>
                    <w:spacing w:line="240" w:lineRule="auto"/>
                    <w:ind w:left="0" w:leftChars="0" w:right="0" w:rightChars="0" w:firstLine="0" w:firstLineChars="0"/>
                    <w:jc w:val="center"/>
                    <w:rPr>
                      <w:bCs/>
                      <w:color w:val="auto"/>
                      <w:kern w:val="28"/>
                      <w:sz w:val="18"/>
                      <w:szCs w:val="18"/>
                    </w:rPr>
                  </w:pPr>
                  <w:r>
                    <w:rPr>
                      <w:bCs/>
                      <w:color w:val="auto"/>
                      <w:kern w:val="28"/>
                      <w:sz w:val="18"/>
                      <w:szCs w:val="18"/>
                    </w:rPr>
                    <w:t>产生工序及装置</w:t>
                  </w:r>
                </w:p>
              </w:tc>
              <w:tc>
                <w:tcPr>
                  <w:tcW w:w="303" w:type="pct"/>
                  <w:tcBorders>
                    <w:tl2br w:val="nil"/>
                    <w:tr2bl w:val="nil"/>
                  </w:tcBorders>
                  <w:vAlign w:val="center"/>
                </w:tcPr>
                <w:p w14:paraId="1AC80898">
                  <w:pPr>
                    <w:adjustRightInd w:val="0"/>
                    <w:spacing w:line="240" w:lineRule="auto"/>
                    <w:ind w:left="0" w:leftChars="0" w:right="0" w:rightChars="0" w:firstLine="0" w:firstLineChars="0"/>
                    <w:jc w:val="center"/>
                    <w:rPr>
                      <w:bCs/>
                      <w:color w:val="auto"/>
                      <w:kern w:val="28"/>
                      <w:sz w:val="18"/>
                      <w:szCs w:val="18"/>
                    </w:rPr>
                  </w:pPr>
                  <w:r>
                    <w:rPr>
                      <w:bCs/>
                      <w:color w:val="auto"/>
                      <w:kern w:val="28"/>
                      <w:sz w:val="18"/>
                      <w:szCs w:val="18"/>
                    </w:rPr>
                    <w:t>形态</w:t>
                  </w:r>
                </w:p>
              </w:tc>
              <w:tc>
                <w:tcPr>
                  <w:tcW w:w="507" w:type="pct"/>
                  <w:tcBorders>
                    <w:tl2br w:val="nil"/>
                    <w:tr2bl w:val="nil"/>
                  </w:tcBorders>
                  <w:vAlign w:val="center"/>
                </w:tcPr>
                <w:p w14:paraId="5F1049C2">
                  <w:pPr>
                    <w:adjustRightInd w:val="0"/>
                    <w:spacing w:line="240" w:lineRule="auto"/>
                    <w:ind w:left="0" w:leftChars="0" w:right="0" w:rightChars="0" w:firstLine="0" w:firstLineChars="0"/>
                    <w:jc w:val="center"/>
                    <w:rPr>
                      <w:bCs/>
                      <w:color w:val="auto"/>
                      <w:kern w:val="28"/>
                      <w:sz w:val="18"/>
                      <w:szCs w:val="18"/>
                    </w:rPr>
                  </w:pPr>
                  <w:r>
                    <w:rPr>
                      <w:bCs/>
                      <w:color w:val="auto"/>
                      <w:sz w:val="18"/>
                      <w:szCs w:val="18"/>
                    </w:rPr>
                    <w:t>产废周期</w:t>
                  </w:r>
                </w:p>
              </w:tc>
              <w:tc>
                <w:tcPr>
                  <w:tcW w:w="555" w:type="pct"/>
                  <w:tcBorders>
                    <w:tl2br w:val="nil"/>
                    <w:tr2bl w:val="nil"/>
                  </w:tcBorders>
                  <w:vAlign w:val="center"/>
                </w:tcPr>
                <w:p w14:paraId="604D8B4D">
                  <w:pPr>
                    <w:adjustRightInd w:val="0"/>
                    <w:spacing w:line="240" w:lineRule="auto"/>
                    <w:ind w:left="0" w:leftChars="0" w:right="0" w:rightChars="0" w:firstLine="0" w:firstLineChars="0"/>
                    <w:jc w:val="center"/>
                    <w:rPr>
                      <w:bCs/>
                      <w:color w:val="auto"/>
                      <w:kern w:val="28"/>
                      <w:sz w:val="18"/>
                      <w:szCs w:val="18"/>
                    </w:rPr>
                  </w:pPr>
                  <w:r>
                    <w:rPr>
                      <w:bCs/>
                      <w:color w:val="auto"/>
                      <w:kern w:val="28"/>
                      <w:sz w:val="18"/>
                      <w:szCs w:val="18"/>
                    </w:rPr>
                    <w:t>危险特性</w:t>
                  </w:r>
                </w:p>
              </w:tc>
              <w:tc>
                <w:tcPr>
                  <w:tcW w:w="813" w:type="pct"/>
                  <w:tcBorders>
                    <w:tl2br w:val="nil"/>
                    <w:tr2bl w:val="nil"/>
                  </w:tcBorders>
                  <w:vAlign w:val="center"/>
                </w:tcPr>
                <w:p w14:paraId="67E5F6D7">
                  <w:pPr>
                    <w:adjustRightInd w:val="0"/>
                    <w:spacing w:line="240" w:lineRule="auto"/>
                    <w:ind w:left="0" w:leftChars="0" w:right="0" w:rightChars="0" w:firstLine="0" w:firstLineChars="0"/>
                    <w:jc w:val="center"/>
                    <w:rPr>
                      <w:bCs/>
                      <w:color w:val="auto"/>
                      <w:sz w:val="18"/>
                      <w:szCs w:val="18"/>
                    </w:rPr>
                  </w:pPr>
                  <w:r>
                    <w:rPr>
                      <w:bCs/>
                      <w:color w:val="auto"/>
                      <w:sz w:val="18"/>
                      <w:szCs w:val="18"/>
                    </w:rPr>
                    <w:t>污染防治措施</w:t>
                  </w:r>
                </w:p>
              </w:tc>
            </w:tr>
            <w:tr w14:paraId="5DB588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93" w:type="pct"/>
                  <w:tcBorders>
                    <w:tl2br w:val="nil"/>
                    <w:tr2bl w:val="nil"/>
                  </w:tcBorders>
                  <w:vAlign w:val="center"/>
                </w:tcPr>
                <w:p w14:paraId="13CC412B">
                  <w:pPr>
                    <w:adjustRightInd w:val="0"/>
                    <w:spacing w:line="240" w:lineRule="auto"/>
                    <w:ind w:left="0" w:leftChars="0" w:right="0" w:rightChars="0" w:firstLine="0" w:firstLineChars="0"/>
                    <w:jc w:val="center"/>
                    <w:rPr>
                      <w:color w:val="auto"/>
                      <w:sz w:val="18"/>
                      <w:szCs w:val="18"/>
                    </w:rPr>
                  </w:pPr>
                  <w:r>
                    <w:rPr>
                      <w:color w:val="auto"/>
                      <w:sz w:val="18"/>
                      <w:szCs w:val="18"/>
                    </w:rPr>
                    <w:t>1</w:t>
                  </w:r>
                </w:p>
              </w:tc>
              <w:tc>
                <w:tcPr>
                  <w:tcW w:w="568" w:type="pct"/>
                  <w:tcBorders>
                    <w:tl2br w:val="nil"/>
                    <w:tr2bl w:val="nil"/>
                  </w:tcBorders>
                  <w:vAlign w:val="center"/>
                </w:tcPr>
                <w:p w14:paraId="4A0BDA09">
                  <w:pPr>
                    <w:adjustRightInd w:val="0"/>
                    <w:spacing w:line="240" w:lineRule="auto"/>
                    <w:ind w:left="0" w:leftChars="0" w:right="0" w:rightChars="0" w:firstLine="0" w:firstLineChars="0"/>
                    <w:jc w:val="center"/>
                    <w:rPr>
                      <w:color w:val="auto"/>
                      <w:sz w:val="18"/>
                      <w:szCs w:val="18"/>
                    </w:rPr>
                  </w:pPr>
                  <w:r>
                    <w:rPr>
                      <w:rFonts w:hint="eastAsia"/>
                      <w:color w:val="auto"/>
                      <w:sz w:val="18"/>
                      <w:szCs w:val="18"/>
                    </w:rPr>
                    <w:t>废事故油</w:t>
                  </w:r>
                </w:p>
              </w:tc>
              <w:tc>
                <w:tcPr>
                  <w:tcW w:w="522" w:type="pct"/>
                  <w:tcBorders>
                    <w:tl2br w:val="nil"/>
                    <w:tr2bl w:val="nil"/>
                  </w:tcBorders>
                  <w:vAlign w:val="center"/>
                </w:tcPr>
                <w:p w14:paraId="091EB1B6">
                  <w:pPr>
                    <w:adjustRightInd w:val="0"/>
                    <w:spacing w:line="240" w:lineRule="auto"/>
                    <w:ind w:left="0" w:leftChars="0" w:right="0" w:rightChars="0" w:firstLine="0" w:firstLineChars="0"/>
                    <w:jc w:val="center"/>
                    <w:rPr>
                      <w:color w:val="auto"/>
                      <w:sz w:val="18"/>
                      <w:szCs w:val="18"/>
                    </w:rPr>
                  </w:pPr>
                  <w:r>
                    <w:rPr>
                      <w:color w:val="auto"/>
                      <w:sz w:val="18"/>
                      <w:szCs w:val="18"/>
                    </w:rPr>
                    <w:t>HW08</w:t>
                  </w:r>
                </w:p>
              </w:tc>
              <w:tc>
                <w:tcPr>
                  <w:tcW w:w="724" w:type="pct"/>
                  <w:tcBorders>
                    <w:tl2br w:val="nil"/>
                    <w:tr2bl w:val="nil"/>
                  </w:tcBorders>
                  <w:vAlign w:val="center"/>
                </w:tcPr>
                <w:p w14:paraId="58F80BE6">
                  <w:pPr>
                    <w:adjustRightInd w:val="0"/>
                    <w:spacing w:line="240" w:lineRule="auto"/>
                    <w:ind w:left="0" w:leftChars="0" w:right="0" w:rightChars="0" w:firstLine="0" w:firstLineChars="0"/>
                    <w:jc w:val="center"/>
                    <w:rPr>
                      <w:color w:val="auto"/>
                      <w:sz w:val="18"/>
                      <w:szCs w:val="18"/>
                    </w:rPr>
                  </w:pPr>
                  <w:r>
                    <w:rPr>
                      <w:color w:val="auto"/>
                      <w:sz w:val="18"/>
                      <w:szCs w:val="18"/>
                    </w:rPr>
                    <w:t>900-2</w:t>
                  </w:r>
                  <w:r>
                    <w:rPr>
                      <w:rFonts w:hint="eastAsia"/>
                      <w:color w:val="auto"/>
                      <w:sz w:val="18"/>
                      <w:szCs w:val="18"/>
                    </w:rPr>
                    <w:t>20</w:t>
                  </w:r>
                  <w:r>
                    <w:rPr>
                      <w:color w:val="auto"/>
                      <w:sz w:val="18"/>
                      <w:szCs w:val="18"/>
                    </w:rPr>
                    <w:t>-08</w:t>
                  </w:r>
                </w:p>
              </w:tc>
              <w:tc>
                <w:tcPr>
                  <w:tcW w:w="710" w:type="pct"/>
                  <w:tcBorders>
                    <w:tl2br w:val="nil"/>
                    <w:tr2bl w:val="nil"/>
                  </w:tcBorders>
                  <w:vAlign w:val="center"/>
                </w:tcPr>
                <w:p w14:paraId="736E025A">
                  <w:pPr>
                    <w:adjustRightInd w:val="0"/>
                    <w:spacing w:line="240" w:lineRule="auto"/>
                    <w:ind w:left="0" w:leftChars="0" w:right="0" w:rightChars="0" w:firstLine="0" w:firstLineChars="0"/>
                    <w:jc w:val="center"/>
                    <w:rPr>
                      <w:color w:val="auto"/>
                      <w:sz w:val="18"/>
                      <w:szCs w:val="18"/>
                    </w:rPr>
                  </w:pPr>
                  <w:r>
                    <w:rPr>
                      <w:rFonts w:hint="eastAsia"/>
                      <w:color w:val="auto"/>
                      <w:sz w:val="18"/>
                      <w:szCs w:val="18"/>
                    </w:rPr>
                    <w:t>主变压器发生故障时</w:t>
                  </w:r>
                </w:p>
              </w:tc>
              <w:tc>
                <w:tcPr>
                  <w:tcW w:w="303" w:type="pct"/>
                  <w:tcBorders>
                    <w:tl2br w:val="nil"/>
                    <w:tr2bl w:val="nil"/>
                  </w:tcBorders>
                  <w:vAlign w:val="center"/>
                </w:tcPr>
                <w:p w14:paraId="1887A15F">
                  <w:pPr>
                    <w:adjustRightInd w:val="0"/>
                    <w:spacing w:line="240" w:lineRule="auto"/>
                    <w:ind w:left="0" w:leftChars="0" w:right="0" w:rightChars="0" w:firstLine="0" w:firstLineChars="0"/>
                    <w:jc w:val="center"/>
                    <w:rPr>
                      <w:color w:val="auto"/>
                      <w:sz w:val="18"/>
                      <w:szCs w:val="18"/>
                    </w:rPr>
                  </w:pPr>
                  <w:r>
                    <w:rPr>
                      <w:color w:val="auto"/>
                      <w:sz w:val="18"/>
                      <w:szCs w:val="18"/>
                    </w:rPr>
                    <w:t>液态</w:t>
                  </w:r>
                </w:p>
              </w:tc>
              <w:tc>
                <w:tcPr>
                  <w:tcW w:w="507" w:type="pct"/>
                  <w:tcBorders>
                    <w:tl2br w:val="nil"/>
                    <w:tr2bl w:val="nil"/>
                  </w:tcBorders>
                  <w:vAlign w:val="center"/>
                </w:tcPr>
                <w:p w14:paraId="70EC1C5A">
                  <w:pPr>
                    <w:adjustRightInd w:val="0"/>
                    <w:spacing w:line="240" w:lineRule="auto"/>
                    <w:ind w:left="0" w:leftChars="0" w:right="0" w:rightChars="0" w:firstLine="0" w:firstLineChars="0"/>
                    <w:jc w:val="center"/>
                    <w:rPr>
                      <w:color w:val="auto"/>
                      <w:sz w:val="18"/>
                      <w:szCs w:val="18"/>
                    </w:rPr>
                  </w:pPr>
                  <w:r>
                    <w:rPr>
                      <w:rFonts w:hint="eastAsia"/>
                      <w:color w:val="auto"/>
                      <w:sz w:val="18"/>
                      <w:szCs w:val="18"/>
                    </w:rPr>
                    <w:t>事故发生后</w:t>
                  </w:r>
                </w:p>
              </w:tc>
              <w:tc>
                <w:tcPr>
                  <w:tcW w:w="555" w:type="pct"/>
                  <w:tcBorders>
                    <w:tl2br w:val="nil"/>
                    <w:tr2bl w:val="nil"/>
                  </w:tcBorders>
                  <w:vAlign w:val="center"/>
                </w:tcPr>
                <w:p w14:paraId="74DCEEC8">
                  <w:pPr>
                    <w:adjustRightInd w:val="0"/>
                    <w:spacing w:line="240" w:lineRule="auto"/>
                    <w:ind w:left="0" w:leftChars="0" w:right="0" w:rightChars="0" w:firstLine="0" w:firstLineChars="0"/>
                    <w:jc w:val="center"/>
                    <w:rPr>
                      <w:color w:val="auto"/>
                      <w:sz w:val="18"/>
                      <w:szCs w:val="18"/>
                    </w:rPr>
                  </w:pPr>
                  <w:r>
                    <w:rPr>
                      <w:color w:val="auto"/>
                      <w:kern w:val="0"/>
                      <w:sz w:val="18"/>
                      <w:szCs w:val="18"/>
                    </w:rPr>
                    <w:t>T</w:t>
                  </w:r>
                  <w:r>
                    <w:rPr>
                      <w:rFonts w:hint="eastAsia"/>
                      <w:color w:val="auto"/>
                      <w:kern w:val="0"/>
                      <w:sz w:val="18"/>
                      <w:szCs w:val="18"/>
                    </w:rPr>
                    <w:t>/</w:t>
                  </w:r>
                  <w:r>
                    <w:rPr>
                      <w:color w:val="auto"/>
                      <w:sz w:val="18"/>
                      <w:szCs w:val="18"/>
                    </w:rPr>
                    <w:t>I</w:t>
                  </w:r>
                </w:p>
              </w:tc>
              <w:tc>
                <w:tcPr>
                  <w:tcW w:w="813" w:type="pct"/>
                  <w:vMerge w:val="restart"/>
                  <w:tcBorders>
                    <w:tl2br w:val="nil"/>
                    <w:tr2bl w:val="nil"/>
                  </w:tcBorders>
                  <w:vAlign w:val="center"/>
                </w:tcPr>
                <w:p w14:paraId="6383450F">
                  <w:pPr>
                    <w:adjustRightInd w:val="0"/>
                    <w:spacing w:line="240" w:lineRule="auto"/>
                    <w:ind w:left="0" w:leftChars="0" w:right="0" w:rightChars="0" w:firstLine="0" w:firstLineChars="0"/>
                    <w:jc w:val="center"/>
                    <w:rPr>
                      <w:color w:val="auto"/>
                      <w:sz w:val="18"/>
                      <w:szCs w:val="18"/>
                    </w:rPr>
                  </w:pPr>
                  <w:r>
                    <w:rPr>
                      <w:rFonts w:hint="default" w:ascii="Times New Roman" w:hAnsi="Times New Roman" w:cs="Times New Roman"/>
                      <w:color w:val="auto"/>
                      <w:sz w:val="18"/>
                      <w:szCs w:val="18"/>
                      <w:highlight w:val="none"/>
                    </w:rPr>
                    <w:t>产生后随即清运，最终由有资质单位处理</w:t>
                  </w:r>
                </w:p>
              </w:tc>
            </w:tr>
            <w:tr w14:paraId="2D2DDB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93" w:type="pct"/>
                  <w:tcBorders>
                    <w:tl2br w:val="nil"/>
                    <w:tr2bl w:val="nil"/>
                  </w:tcBorders>
                  <w:vAlign w:val="center"/>
                </w:tcPr>
                <w:p w14:paraId="292EE118">
                  <w:pPr>
                    <w:adjustRightInd w:val="0"/>
                    <w:spacing w:line="240" w:lineRule="auto"/>
                    <w:ind w:left="0" w:leftChars="0" w:right="0" w:rightChars="0" w:firstLine="0" w:firstLineChars="0"/>
                    <w:jc w:val="center"/>
                    <w:rPr>
                      <w:color w:val="auto"/>
                      <w:sz w:val="18"/>
                      <w:szCs w:val="18"/>
                    </w:rPr>
                  </w:pPr>
                  <w:r>
                    <w:rPr>
                      <w:rFonts w:hint="eastAsia"/>
                      <w:color w:val="auto"/>
                      <w:sz w:val="18"/>
                      <w:szCs w:val="18"/>
                    </w:rPr>
                    <w:t>2</w:t>
                  </w:r>
                </w:p>
              </w:tc>
              <w:tc>
                <w:tcPr>
                  <w:tcW w:w="568" w:type="pct"/>
                  <w:tcBorders>
                    <w:tl2br w:val="nil"/>
                    <w:tr2bl w:val="nil"/>
                  </w:tcBorders>
                  <w:vAlign w:val="center"/>
                </w:tcPr>
                <w:p w14:paraId="42E03AF9">
                  <w:pPr>
                    <w:adjustRightInd w:val="0"/>
                    <w:spacing w:line="240" w:lineRule="auto"/>
                    <w:ind w:left="0" w:leftChars="0" w:right="0" w:rightChars="0" w:firstLine="0" w:firstLineChars="0"/>
                    <w:jc w:val="center"/>
                    <w:rPr>
                      <w:color w:val="auto"/>
                      <w:sz w:val="18"/>
                      <w:szCs w:val="18"/>
                    </w:rPr>
                  </w:pPr>
                  <w:r>
                    <w:rPr>
                      <w:rFonts w:hint="eastAsia"/>
                      <w:bCs/>
                      <w:color w:val="auto"/>
                      <w:sz w:val="18"/>
                      <w:szCs w:val="18"/>
                    </w:rPr>
                    <w:t>废铅蓄电池</w:t>
                  </w:r>
                </w:p>
              </w:tc>
              <w:tc>
                <w:tcPr>
                  <w:tcW w:w="522" w:type="pct"/>
                  <w:tcBorders>
                    <w:tl2br w:val="nil"/>
                    <w:tr2bl w:val="nil"/>
                  </w:tcBorders>
                  <w:vAlign w:val="center"/>
                </w:tcPr>
                <w:p w14:paraId="2BDA06D6">
                  <w:pPr>
                    <w:adjustRightInd w:val="0"/>
                    <w:spacing w:line="240" w:lineRule="auto"/>
                    <w:ind w:left="0" w:leftChars="0" w:right="0" w:rightChars="0" w:firstLine="0" w:firstLineChars="0"/>
                    <w:jc w:val="center"/>
                    <w:rPr>
                      <w:color w:val="auto"/>
                      <w:sz w:val="18"/>
                      <w:szCs w:val="18"/>
                    </w:rPr>
                  </w:pPr>
                  <w:r>
                    <w:rPr>
                      <w:color w:val="auto"/>
                      <w:sz w:val="18"/>
                      <w:szCs w:val="18"/>
                    </w:rPr>
                    <w:t>HW</w:t>
                  </w:r>
                  <w:r>
                    <w:rPr>
                      <w:rFonts w:hint="eastAsia"/>
                      <w:color w:val="auto"/>
                      <w:sz w:val="18"/>
                      <w:szCs w:val="18"/>
                    </w:rPr>
                    <w:t>31</w:t>
                  </w:r>
                </w:p>
              </w:tc>
              <w:tc>
                <w:tcPr>
                  <w:tcW w:w="724" w:type="pct"/>
                  <w:tcBorders>
                    <w:tl2br w:val="nil"/>
                    <w:tr2bl w:val="nil"/>
                  </w:tcBorders>
                  <w:vAlign w:val="center"/>
                </w:tcPr>
                <w:p w14:paraId="33784D02">
                  <w:pPr>
                    <w:adjustRightInd w:val="0"/>
                    <w:spacing w:line="240" w:lineRule="auto"/>
                    <w:ind w:left="0" w:leftChars="0" w:right="0" w:rightChars="0" w:firstLine="0" w:firstLineChars="0"/>
                    <w:jc w:val="center"/>
                    <w:rPr>
                      <w:color w:val="auto"/>
                      <w:sz w:val="18"/>
                      <w:szCs w:val="18"/>
                    </w:rPr>
                  </w:pPr>
                  <w:r>
                    <w:rPr>
                      <w:color w:val="auto"/>
                      <w:sz w:val="18"/>
                      <w:szCs w:val="18"/>
                    </w:rPr>
                    <w:t>900-</w:t>
                  </w:r>
                  <w:r>
                    <w:rPr>
                      <w:rFonts w:hint="eastAsia"/>
                      <w:color w:val="auto"/>
                      <w:sz w:val="18"/>
                      <w:szCs w:val="18"/>
                    </w:rPr>
                    <w:t>052</w:t>
                  </w:r>
                  <w:r>
                    <w:rPr>
                      <w:color w:val="auto"/>
                      <w:sz w:val="18"/>
                      <w:szCs w:val="18"/>
                    </w:rPr>
                    <w:t>-</w:t>
                  </w:r>
                  <w:r>
                    <w:rPr>
                      <w:rFonts w:hint="eastAsia"/>
                      <w:color w:val="auto"/>
                      <w:sz w:val="18"/>
                      <w:szCs w:val="18"/>
                    </w:rPr>
                    <w:t>31</w:t>
                  </w:r>
                </w:p>
              </w:tc>
              <w:tc>
                <w:tcPr>
                  <w:tcW w:w="710" w:type="pct"/>
                  <w:tcBorders>
                    <w:tl2br w:val="nil"/>
                    <w:tr2bl w:val="nil"/>
                  </w:tcBorders>
                  <w:vAlign w:val="center"/>
                </w:tcPr>
                <w:p w14:paraId="119B1C33">
                  <w:pPr>
                    <w:adjustRightInd w:val="0"/>
                    <w:spacing w:line="240" w:lineRule="auto"/>
                    <w:ind w:left="0" w:leftChars="0" w:right="0" w:rightChars="0" w:firstLine="0" w:firstLineChars="0"/>
                    <w:jc w:val="center"/>
                    <w:rPr>
                      <w:color w:val="auto"/>
                      <w:sz w:val="18"/>
                      <w:szCs w:val="18"/>
                    </w:rPr>
                  </w:pPr>
                  <w:r>
                    <w:rPr>
                      <w:rFonts w:hint="eastAsia"/>
                      <w:color w:val="auto"/>
                      <w:sz w:val="18"/>
                      <w:szCs w:val="18"/>
                    </w:rPr>
                    <w:t>蓄电池更换时</w:t>
                  </w:r>
                </w:p>
              </w:tc>
              <w:tc>
                <w:tcPr>
                  <w:tcW w:w="303" w:type="pct"/>
                  <w:tcBorders>
                    <w:tl2br w:val="nil"/>
                    <w:tr2bl w:val="nil"/>
                  </w:tcBorders>
                  <w:vAlign w:val="center"/>
                </w:tcPr>
                <w:p w14:paraId="261AA9E9">
                  <w:pPr>
                    <w:adjustRightInd w:val="0"/>
                    <w:spacing w:line="240" w:lineRule="auto"/>
                    <w:ind w:left="0" w:leftChars="0" w:right="0" w:rightChars="0" w:firstLine="0" w:firstLineChars="0"/>
                    <w:jc w:val="center"/>
                    <w:rPr>
                      <w:color w:val="auto"/>
                      <w:sz w:val="18"/>
                      <w:szCs w:val="18"/>
                    </w:rPr>
                  </w:pPr>
                  <w:r>
                    <w:rPr>
                      <w:color w:val="auto"/>
                      <w:sz w:val="18"/>
                      <w:szCs w:val="18"/>
                    </w:rPr>
                    <w:t>固态</w:t>
                  </w:r>
                </w:p>
              </w:tc>
              <w:tc>
                <w:tcPr>
                  <w:tcW w:w="507" w:type="pct"/>
                  <w:tcBorders>
                    <w:tl2br w:val="nil"/>
                    <w:tr2bl w:val="nil"/>
                  </w:tcBorders>
                  <w:vAlign w:val="center"/>
                </w:tcPr>
                <w:p w14:paraId="112101C7">
                  <w:pPr>
                    <w:adjustRightInd w:val="0"/>
                    <w:spacing w:line="240" w:lineRule="auto"/>
                    <w:ind w:left="0" w:leftChars="0" w:right="0" w:rightChars="0" w:firstLine="0" w:firstLineChars="0"/>
                    <w:jc w:val="center"/>
                    <w:rPr>
                      <w:color w:val="auto"/>
                      <w:sz w:val="18"/>
                      <w:szCs w:val="18"/>
                    </w:rPr>
                  </w:pPr>
                  <w:r>
                    <w:rPr>
                      <w:rFonts w:hint="eastAsia"/>
                      <w:color w:val="auto"/>
                      <w:sz w:val="18"/>
                      <w:szCs w:val="18"/>
                    </w:rPr>
                    <w:t>更换蓄电池后</w:t>
                  </w:r>
                </w:p>
              </w:tc>
              <w:tc>
                <w:tcPr>
                  <w:tcW w:w="555" w:type="pct"/>
                  <w:tcBorders>
                    <w:tl2br w:val="nil"/>
                    <w:tr2bl w:val="nil"/>
                  </w:tcBorders>
                  <w:vAlign w:val="center"/>
                </w:tcPr>
                <w:p w14:paraId="56745225">
                  <w:pPr>
                    <w:adjustRightInd w:val="0"/>
                    <w:spacing w:line="240" w:lineRule="auto"/>
                    <w:ind w:left="0" w:leftChars="0" w:right="0" w:rightChars="0" w:firstLine="0" w:firstLineChars="0"/>
                    <w:jc w:val="both"/>
                    <w:rPr>
                      <w:color w:val="auto"/>
                      <w:kern w:val="0"/>
                      <w:sz w:val="18"/>
                      <w:szCs w:val="18"/>
                    </w:rPr>
                  </w:pPr>
                  <w:r>
                    <w:rPr>
                      <w:color w:val="auto"/>
                      <w:kern w:val="0"/>
                      <w:sz w:val="18"/>
                      <w:szCs w:val="18"/>
                    </w:rPr>
                    <w:t>T</w:t>
                  </w:r>
                  <w:r>
                    <w:rPr>
                      <w:rFonts w:hint="eastAsia"/>
                      <w:color w:val="auto"/>
                      <w:sz w:val="18"/>
                      <w:szCs w:val="18"/>
                    </w:rPr>
                    <w:t>/C</w:t>
                  </w:r>
                </w:p>
              </w:tc>
              <w:tc>
                <w:tcPr>
                  <w:tcW w:w="813" w:type="pct"/>
                  <w:vMerge w:val="continue"/>
                  <w:tcBorders>
                    <w:tl2br w:val="nil"/>
                    <w:tr2bl w:val="nil"/>
                  </w:tcBorders>
                  <w:vAlign w:val="center"/>
                </w:tcPr>
                <w:p w14:paraId="1CAFB5E1">
                  <w:pPr>
                    <w:adjustRightInd w:val="0"/>
                    <w:spacing w:line="240" w:lineRule="auto"/>
                    <w:ind w:left="0" w:leftChars="0" w:right="0" w:rightChars="0" w:firstLine="0" w:firstLineChars="0"/>
                    <w:jc w:val="both"/>
                    <w:rPr>
                      <w:color w:val="auto"/>
                      <w:sz w:val="18"/>
                      <w:szCs w:val="18"/>
                    </w:rPr>
                  </w:pPr>
                </w:p>
              </w:tc>
            </w:tr>
          </w:tbl>
          <w:p w14:paraId="40EA29E6">
            <w:pPr>
              <w:keepNext w:val="0"/>
              <w:keepLines w:val="0"/>
              <w:pageBreakBefore w:val="0"/>
              <w:widowControl w:val="0"/>
              <w:kinsoku/>
              <w:wordWrap/>
              <w:overflowPunct/>
              <w:topLinePunct w:val="0"/>
              <w:autoSpaceDE/>
              <w:autoSpaceDN/>
              <w:bidi w:val="0"/>
              <w:adjustRightInd w:val="0"/>
              <w:snapToGrid/>
              <w:ind w:firstLine="420" w:firstLineChars="200"/>
              <w:textAlignment w:val="auto"/>
              <w:rPr>
                <w:rFonts w:ascii="Times New Roman" w:hAnsi="Times New Roman"/>
                <w:color w:val="auto"/>
                <w:szCs w:val="21"/>
              </w:rPr>
            </w:pPr>
            <w:r>
              <w:rPr>
                <w:color w:val="auto"/>
              </w:rPr>
              <w:t>综上所述，本项目产生的固体废物均可得到妥善处置，满足相关管理要求。</w:t>
            </w:r>
          </w:p>
          <w:p w14:paraId="1F3CF477">
            <w:pPr>
              <w:spacing w:line="360" w:lineRule="auto"/>
              <w:ind w:firstLine="420" w:firstLineChars="200"/>
              <w:rPr>
                <w:rFonts w:hint="eastAsia" w:eastAsia="黑体"/>
                <w:color w:val="auto"/>
                <w:szCs w:val="21"/>
                <w:lang w:eastAsia="zh-CN"/>
              </w:rPr>
            </w:pPr>
            <w:r>
              <w:rPr>
                <w:rFonts w:hint="eastAsia" w:eastAsia="黑体"/>
                <w:color w:val="auto"/>
                <w:szCs w:val="21"/>
                <w:lang w:val="en-US" w:eastAsia="zh-CN"/>
              </w:rPr>
              <w:t>5</w:t>
            </w:r>
            <w:r>
              <w:rPr>
                <w:rFonts w:eastAsia="黑体"/>
                <w:color w:val="auto"/>
                <w:szCs w:val="21"/>
              </w:rPr>
              <w:t>、生态</w:t>
            </w:r>
            <w:r>
              <w:rPr>
                <w:rFonts w:hint="eastAsia" w:eastAsia="黑体"/>
                <w:color w:val="auto"/>
                <w:szCs w:val="21"/>
                <w:lang w:val="en-US" w:eastAsia="zh-CN"/>
              </w:rPr>
              <w:t>环境</w:t>
            </w:r>
          </w:p>
          <w:p w14:paraId="267B08C3">
            <w:pPr>
              <w:adjustRightInd w:val="0"/>
              <w:spacing w:line="360" w:lineRule="auto"/>
              <w:ind w:firstLine="420" w:firstLineChars="200"/>
              <w:rPr>
                <w:color w:val="auto"/>
                <w:szCs w:val="21"/>
              </w:rPr>
            </w:pPr>
            <w:r>
              <w:rPr>
                <w:rFonts w:hint="eastAsia"/>
                <w:color w:val="auto"/>
                <w:szCs w:val="21"/>
                <w:lang w:val="en-US" w:eastAsia="zh-CN"/>
              </w:rPr>
              <w:t>1）</w:t>
            </w:r>
            <w:r>
              <w:rPr>
                <w:color w:val="auto"/>
                <w:szCs w:val="21"/>
              </w:rPr>
              <w:t>对植被的影响</w:t>
            </w:r>
          </w:p>
          <w:p w14:paraId="3029EFFA">
            <w:pPr>
              <w:adjustRightInd w:val="0"/>
              <w:spacing w:line="360" w:lineRule="auto"/>
              <w:ind w:firstLine="420" w:firstLineChars="200"/>
              <w:rPr>
                <w:color w:val="auto"/>
                <w:szCs w:val="21"/>
              </w:rPr>
            </w:pPr>
            <w:r>
              <w:rPr>
                <w:color w:val="auto"/>
                <w:szCs w:val="21"/>
              </w:rPr>
              <w:t>本项目</w:t>
            </w:r>
            <w:r>
              <w:rPr>
                <w:rFonts w:hint="eastAsia"/>
                <w:color w:val="auto"/>
                <w:szCs w:val="21"/>
                <w:lang w:eastAsia="zh-CN"/>
              </w:rPr>
              <w:t>运行</w:t>
            </w:r>
            <w:r>
              <w:rPr>
                <w:rFonts w:hint="eastAsia"/>
                <w:color w:val="auto"/>
                <w:szCs w:val="21"/>
              </w:rPr>
              <w:t>期</w:t>
            </w:r>
            <w:r>
              <w:rPr>
                <w:color w:val="auto"/>
                <w:szCs w:val="21"/>
              </w:rPr>
              <w:t>对植被和植物多样性的影响主要来源于输电线路。输电线路建成后可能出现雷击事故引起森林或灌丛草地火灾的潜在影响；线路定期维护和故障维修时，维护人员会对植被形成踩踏，也可能会因设备刮划等原因对植被造成不利影响。由于线路通过林木密集段时采用高塔设计，</w:t>
            </w:r>
            <w:r>
              <w:rPr>
                <w:rFonts w:hint="eastAsia"/>
                <w:color w:val="auto"/>
                <w:szCs w:val="21"/>
                <w:lang w:eastAsia="zh-CN"/>
              </w:rPr>
              <w:t>运行</w:t>
            </w:r>
            <w:r>
              <w:rPr>
                <w:rFonts w:hint="eastAsia"/>
                <w:color w:val="auto"/>
                <w:szCs w:val="21"/>
              </w:rPr>
              <w:t>期</w:t>
            </w:r>
            <w:r>
              <w:rPr>
                <w:color w:val="auto"/>
                <w:szCs w:val="21"/>
              </w:rPr>
              <w:t>对不满足净距要求的零星树木进行削枝，能确保输电线路运行的安全，出现雷击事故引起森林或灌丛草地火灾的风险很小。通常线路维护检查1个月左右进行1次，运行及维护人员的数量和负重都很有限，对植被的破坏强度小，不会带来明显的持续不利影响。</w:t>
            </w:r>
          </w:p>
          <w:p w14:paraId="2E2248B4">
            <w:pPr>
              <w:adjustRightInd w:val="0"/>
              <w:spacing w:line="360" w:lineRule="auto"/>
              <w:ind w:firstLine="420" w:firstLineChars="200"/>
              <w:rPr>
                <w:color w:val="auto"/>
                <w:szCs w:val="21"/>
              </w:rPr>
            </w:pPr>
            <w:r>
              <w:rPr>
                <w:rFonts w:hint="eastAsia"/>
                <w:color w:val="auto"/>
                <w:szCs w:val="21"/>
              </w:rPr>
              <w:t>2）</w:t>
            </w:r>
            <w:r>
              <w:rPr>
                <w:color w:val="auto"/>
                <w:szCs w:val="21"/>
              </w:rPr>
              <w:t>对野生动物的影响</w:t>
            </w:r>
          </w:p>
          <w:p w14:paraId="5AD98035">
            <w:pPr>
              <w:spacing w:line="360" w:lineRule="auto"/>
              <w:ind w:firstLine="420" w:firstLineChars="200"/>
              <w:rPr>
                <w:rFonts w:hint="default" w:eastAsia="宋体"/>
                <w:color w:val="auto"/>
                <w:szCs w:val="21"/>
                <w:lang w:val="en-US" w:eastAsia="zh-CN"/>
              </w:rPr>
            </w:pPr>
            <w:r>
              <w:rPr>
                <w:color w:val="auto"/>
                <w:szCs w:val="21"/>
              </w:rPr>
              <w:t>本项目</w:t>
            </w:r>
            <w:r>
              <w:rPr>
                <w:rFonts w:hint="eastAsia"/>
                <w:color w:val="auto"/>
                <w:szCs w:val="21"/>
                <w:lang w:eastAsia="zh-CN"/>
              </w:rPr>
              <w:t>运行</w:t>
            </w:r>
            <w:r>
              <w:rPr>
                <w:rFonts w:hint="eastAsia"/>
                <w:color w:val="auto"/>
                <w:szCs w:val="21"/>
              </w:rPr>
              <w:t>期</w:t>
            </w:r>
            <w:r>
              <w:rPr>
                <w:color w:val="auto"/>
                <w:szCs w:val="21"/>
              </w:rPr>
              <w:t>对野生动物的影响主要来源于输电线路，表现在3个方面：线路进行定期维护和检查的人员会对线路及周边的动物造成惊扰；线路对鸟类飞行的影响；线路产生的噪声和工频电磁场对野生动物的影响。由于运行及维护人员的干扰强度很低，对动物活动影响极为有限。鸟类拥有适应空中观察的敏锐视力，很容易发现并躲避障碍物，飞行途中遇到障碍物时会在100</w:t>
            </w:r>
            <w:r>
              <w:rPr>
                <w:rFonts w:hint="eastAsia"/>
                <w:color w:val="auto"/>
                <w:szCs w:val="21"/>
                <w:lang w:eastAsia="zh-CN"/>
              </w:rPr>
              <w:t>～</w:t>
            </w:r>
            <w:r>
              <w:rPr>
                <w:color w:val="auto"/>
                <w:szCs w:val="21"/>
              </w:rPr>
              <w:t>200m的范围内调节飞行高度避开，鸟类在飞行时碰撞铁塔的几率不大，本项目对鸟类飞行的影响很小，同时从国内已建成的输电线路的情况来看，线路建成后不会改变鸟类的迁徙途径，也不会影响鸟类的生活习性。</w:t>
            </w:r>
            <w:r>
              <w:rPr>
                <w:rFonts w:hint="eastAsia"/>
                <w:color w:val="auto"/>
                <w:szCs w:val="21"/>
                <w:lang w:val="en-US" w:eastAsia="zh-CN"/>
              </w:rPr>
              <w:t>故</w:t>
            </w:r>
            <w:r>
              <w:rPr>
                <w:color w:val="auto"/>
                <w:szCs w:val="21"/>
              </w:rPr>
              <w:t>线路产生的噪声和工频电磁场对野生动物的影响</w:t>
            </w:r>
            <w:r>
              <w:rPr>
                <w:rFonts w:hint="eastAsia"/>
                <w:color w:val="auto"/>
                <w:szCs w:val="21"/>
                <w:lang w:val="en-US" w:eastAsia="zh-CN"/>
              </w:rPr>
              <w:t>微小。</w:t>
            </w:r>
          </w:p>
          <w:p w14:paraId="7B5B4870">
            <w:pPr>
              <w:adjustRightInd w:val="0"/>
              <w:spacing w:line="360" w:lineRule="auto"/>
              <w:ind w:firstLine="420" w:firstLineChars="200"/>
              <w:rPr>
                <w:rFonts w:eastAsia="黑体"/>
                <w:color w:val="auto"/>
                <w:szCs w:val="21"/>
              </w:rPr>
            </w:pPr>
            <w:r>
              <w:rPr>
                <w:rFonts w:hint="eastAsia" w:eastAsia="黑体"/>
                <w:color w:val="auto"/>
                <w:szCs w:val="21"/>
                <w:lang w:val="en-US" w:eastAsia="zh-CN"/>
              </w:rPr>
              <w:t>三、</w:t>
            </w:r>
            <w:r>
              <w:rPr>
                <w:rFonts w:eastAsia="黑体"/>
                <w:color w:val="auto"/>
                <w:szCs w:val="21"/>
              </w:rPr>
              <w:t>环境风险分析</w:t>
            </w:r>
          </w:p>
          <w:p w14:paraId="68DA14DA">
            <w:pPr>
              <w:spacing w:line="360" w:lineRule="auto"/>
              <w:ind w:firstLine="420" w:firstLineChars="200"/>
              <w:rPr>
                <w:bCs/>
                <w:color w:val="auto"/>
                <w:szCs w:val="21"/>
              </w:rPr>
            </w:pPr>
            <w:r>
              <w:rPr>
                <w:bCs/>
                <w:color w:val="auto"/>
                <w:szCs w:val="21"/>
              </w:rPr>
              <w:t>1</w:t>
            </w:r>
            <w:r>
              <w:rPr>
                <w:rFonts w:hint="eastAsia"/>
                <w:bCs/>
                <w:color w:val="auto"/>
                <w:szCs w:val="21"/>
                <w:lang w:eastAsia="zh-CN"/>
              </w:rPr>
              <w:t>、</w:t>
            </w:r>
            <w:r>
              <w:rPr>
                <w:rFonts w:hint="eastAsia"/>
                <w:bCs/>
                <w:color w:val="auto"/>
                <w:szCs w:val="21"/>
              </w:rPr>
              <w:t>源项分析</w:t>
            </w:r>
          </w:p>
          <w:p w14:paraId="55D052E0">
            <w:pPr>
              <w:spacing w:line="360" w:lineRule="auto"/>
              <w:ind w:firstLine="420" w:firstLineChars="200"/>
              <w:rPr>
                <w:bCs/>
                <w:color w:val="auto"/>
                <w:szCs w:val="21"/>
              </w:rPr>
            </w:pPr>
            <w:r>
              <w:rPr>
                <w:rFonts w:hint="eastAsia"/>
                <w:bCs/>
                <w:color w:val="auto"/>
                <w:szCs w:val="21"/>
              </w:rPr>
              <w:t>根据《环境影响评价技术导则 输变电》（</w:t>
            </w:r>
            <w:r>
              <w:rPr>
                <w:bCs/>
                <w:color w:val="auto"/>
                <w:szCs w:val="21"/>
              </w:rPr>
              <w:t>HJ24-2020</w:t>
            </w:r>
            <w:r>
              <w:rPr>
                <w:rFonts w:hint="eastAsia"/>
                <w:bCs/>
                <w:color w:val="auto"/>
                <w:szCs w:val="21"/>
              </w:rPr>
              <w:t>），输变电项目环境风险主要考虑变压器在突发事故情况下漏油产生的环境风险，因此根据本项目运行特点、周围环境特点及项目与周围环境之间的关系，本项目风险源主要为事故油。</w:t>
            </w:r>
          </w:p>
          <w:p w14:paraId="70AD6B71">
            <w:pPr>
              <w:spacing w:line="360" w:lineRule="auto"/>
              <w:ind w:firstLine="420" w:firstLineChars="200"/>
              <w:rPr>
                <w:bCs/>
                <w:color w:val="auto"/>
                <w:szCs w:val="21"/>
              </w:rPr>
            </w:pPr>
            <w:r>
              <w:rPr>
                <w:rFonts w:hint="eastAsia"/>
                <w:bCs/>
                <w:color w:val="auto"/>
                <w:szCs w:val="21"/>
              </w:rPr>
              <w:t>2</w:t>
            </w:r>
            <w:r>
              <w:rPr>
                <w:rFonts w:hint="eastAsia"/>
                <w:bCs/>
                <w:color w:val="auto"/>
                <w:szCs w:val="21"/>
                <w:lang w:eastAsia="zh-CN"/>
              </w:rPr>
              <w:t>、</w:t>
            </w:r>
            <w:r>
              <w:rPr>
                <w:rFonts w:hint="eastAsia"/>
                <w:bCs/>
                <w:color w:val="auto"/>
                <w:szCs w:val="21"/>
              </w:rPr>
              <w:t>风险物质识别</w:t>
            </w:r>
          </w:p>
          <w:p w14:paraId="46896E32">
            <w:pPr>
              <w:adjustRightInd w:val="0"/>
              <w:spacing w:line="240" w:lineRule="auto"/>
              <w:ind w:firstLine="420" w:firstLineChars="200"/>
              <w:jc w:val="center"/>
              <w:rPr>
                <w:rFonts w:eastAsia="黑体"/>
                <w:color w:val="auto"/>
                <w:szCs w:val="21"/>
              </w:rPr>
            </w:pPr>
            <w:r>
              <w:rPr>
                <w:rFonts w:eastAsia="黑体"/>
                <w:color w:val="auto"/>
                <w:szCs w:val="21"/>
              </w:rPr>
              <w:t>表4-</w:t>
            </w:r>
            <w:r>
              <w:rPr>
                <w:rFonts w:hint="eastAsia" w:eastAsia="黑体"/>
                <w:color w:val="auto"/>
                <w:szCs w:val="21"/>
                <w:lang w:val="en-US" w:eastAsia="zh-CN"/>
              </w:rPr>
              <w:t>23</w:t>
            </w:r>
            <w:r>
              <w:rPr>
                <w:rFonts w:eastAsia="黑体"/>
                <w:color w:val="auto"/>
                <w:szCs w:val="21"/>
              </w:rPr>
              <w:t xml:space="preserve">  </w:t>
            </w:r>
            <w:r>
              <w:rPr>
                <w:rFonts w:hint="eastAsia" w:eastAsia="黑体"/>
                <w:color w:val="auto"/>
                <w:szCs w:val="21"/>
              </w:rPr>
              <w:t>主要危险物质识别表</w:t>
            </w:r>
          </w:p>
          <w:tbl>
            <w:tblPr>
              <w:tblStyle w:val="25"/>
              <w:tblW w:w="499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2"/>
              <w:gridCol w:w="1225"/>
              <w:gridCol w:w="1227"/>
              <w:gridCol w:w="1049"/>
              <w:gridCol w:w="922"/>
              <w:gridCol w:w="1316"/>
              <w:gridCol w:w="1615"/>
            </w:tblGrid>
            <w:tr w14:paraId="4E7458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tcBorders>
                    <w:tl2br w:val="nil"/>
                    <w:tr2bl w:val="nil"/>
                  </w:tcBorders>
                  <w:vAlign w:val="center"/>
                </w:tcPr>
                <w:p w14:paraId="20C23976">
                  <w:pPr>
                    <w:adjustRightInd w:val="0"/>
                    <w:spacing w:line="240" w:lineRule="auto"/>
                    <w:ind w:firstLine="0" w:firstLineChars="0"/>
                    <w:jc w:val="center"/>
                    <w:rPr>
                      <w:bCs/>
                      <w:color w:val="auto"/>
                      <w:sz w:val="18"/>
                      <w:szCs w:val="18"/>
                    </w:rPr>
                  </w:pPr>
                  <w:r>
                    <w:rPr>
                      <w:rFonts w:hint="eastAsia"/>
                      <w:bCs/>
                      <w:color w:val="auto"/>
                      <w:sz w:val="18"/>
                      <w:szCs w:val="18"/>
                    </w:rPr>
                    <w:t>危险单元</w:t>
                  </w:r>
                </w:p>
              </w:tc>
              <w:tc>
                <w:tcPr>
                  <w:tcW w:w="714" w:type="pct"/>
                  <w:tcBorders>
                    <w:tl2br w:val="nil"/>
                    <w:tr2bl w:val="nil"/>
                  </w:tcBorders>
                  <w:vAlign w:val="center"/>
                </w:tcPr>
                <w:p w14:paraId="5FBB8EFF">
                  <w:pPr>
                    <w:adjustRightInd w:val="0"/>
                    <w:spacing w:line="240" w:lineRule="auto"/>
                    <w:ind w:firstLine="0" w:firstLineChars="0"/>
                    <w:jc w:val="center"/>
                    <w:rPr>
                      <w:bCs/>
                      <w:color w:val="auto"/>
                      <w:sz w:val="18"/>
                      <w:szCs w:val="18"/>
                    </w:rPr>
                  </w:pPr>
                  <w:r>
                    <w:rPr>
                      <w:rFonts w:hint="eastAsia"/>
                      <w:bCs/>
                      <w:color w:val="auto"/>
                      <w:sz w:val="18"/>
                      <w:szCs w:val="18"/>
                    </w:rPr>
                    <w:t>风险源</w:t>
                  </w:r>
                </w:p>
              </w:tc>
              <w:tc>
                <w:tcPr>
                  <w:tcW w:w="715" w:type="pct"/>
                  <w:tcBorders>
                    <w:tl2br w:val="nil"/>
                    <w:tr2bl w:val="nil"/>
                  </w:tcBorders>
                  <w:vAlign w:val="center"/>
                </w:tcPr>
                <w:p w14:paraId="240214E2">
                  <w:pPr>
                    <w:adjustRightInd w:val="0"/>
                    <w:spacing w:line="240" w:lineRule="auto"/>
                    <w:ind w:firstLine="0" w:firstLineChars="0"/>
                    <w:jc w:val="center"/>
                    <w:rPr>
                      <w:bCs/>
                      <w:color w:val="auto"/>
                      <w:sz w:val="18"/>
                      <w:szCs w:val="18"/>
                    </w:rPr>
                  </w:pPr>
                  <w:r>
                    <w:rPr>
                      <w:rFonts w:hint="eastAsia"/>
                      <w:bCs/>
                      <w:color w:val="auto"/>
                      <w:sz w:val="18"/>
                      <w:szCs w:val="18"/>
                    </w:rPr>
                    <w:t>源强</w:t>
                  </w:r>
                </w:p>
              </w:tc>
              <w:tc>
                <w:tcPr>
                  <w:tcW w:w="611" w:type="pct"/>
                  <w:tcBorders>
                    <w:tl2br w:val="nil"/>
                    <w:tr2bl w:val="nil"/>
                  </w:tcBorders>
                  <w:vAlign w:val="center"/>
                </w:tcPr>
                <w:p w14:paraId="068635B6">
                  <w:pPr>
                    <w:adjustRightInd w:val="0"/>
                    <w:spacing w:line="240" w:lineRule="auto"/>
                    <w:ind w:firstLine="0" w:firstLineChars="0"/>
                    <w:jc w:val="center"/>
                    <w:rPr>
                      <w:bCs/>
                      <w:color w:val="auto"/>
                      <w:sz w:val="18"/>
                      <w:szCs w:val="18"/>
                    </w:rPr>
                  </w:pPr>
                  <w:r>
                    <w:rPr>
                      <w:rFonts w:hint="eastAsia"/>
                      <w:bCs/>
                      <w:color w:val="auto"/>
                      <w:sz w:val="18"/>
                      <w:szCs w:val="18"/>
                    </w:rPr>
                    <w:t>主要危险物质</w:t>
                  </w:r>
                </w:p>
              </w:tc>
              <w:tc>
                <w:tcPr>
                  <w:tcW w:w="537" w:type="pct"/>
                  <w:tcBorders>
                    <w:tl2br w:val="nil"/>
                    <w:tr2bl w:val="nil"/>
                  </w:tcBorders>
                  <w:vAlign w:val="center"/>
                </w:tcPr>
                <w:p w14:paraId="75F20E32">
                  <w:pPr>
                    <w:adjustRightInd w:val="0"/>
                    <w:spacing w:line="240" w:lineRule="auto"/>
                    <w:ind w:firstLine="0" w:firstLineChars="0"/>
                    <w:jc w:val="center"/>
                    <w:rPr>
                      <w:bCs/>
                      <w:color w:val="auto"/>
                      <w:sz w:val="18"/>
                      <w:szCs w:val="18"/>
                    </w:rPr>
                  </w:pPr>
                  <w:r>
                    <w:rPr>
                      <w:rFonts w:hint="eastAsia"/>
                      <w:bCs/>
                      <w:color w:val="auto"/>
                      <w:sz w:val="18"/>
                      <w:szCs w:val="18"/>
                    </w:rPr>
                    <w:t>环境风险类型</w:t>
                  </w:r>
                </w:p>
              </w:tc>
              <w:tc>
                <w:tcPr>
                  <w:tcW w:w="767" w:type="pct"/>
                  <w:tcBorders>
                    <w:tl2br w:val="nil"/>
                    <w:tr2bl w:val="nil"/>
                  </w:tcBorders>
                  <w:vAlign w:val="center"/>
                </w:tcPr>
                <w:p w14:paraId="3762AA0F">
                  <w:pPr>
                    <w:adjustRightInd w:val="0"/>
                    <w:spacing w:line="240" w:lineRule="auto"/>
                    <w:ind w:firstLine="0" w:firstLineChars="0"/>
                    <w:jc w:val="center"/>
                    <w:rPr>
                      <w:bCs/>
                      <w:color w:val="auto"/>
                      <w:sz w:val="18"/>
                      <w:szCs w:val="18"/>
                    </w:rPr>
                  </w:pPr>
                  <w:r>
                    <w:rPr>
                      <w:rFonts w:hint="eastAsia"/>
                      <w:bCs/>
                      <w:color w:val="auto"/>
                      <w:sz w:val="18"/>
                      <w:szCs w:val="18"/>
                    </w:rPr>
                    <w:t>环境转移途径</w:t>
                  </w:r>
                </w:p>
              </w:tc>
              <w:tc>
                <w:tcPr>
                  <w:tcW w:w="941" w:type="pct"/>
                  <w:tcBorders>
                    <w:tl2br w:val="nil"/>
                    <w:tr2bl w:val="nil"/>
                  </w:tcBorders>
                  <w:vAlign w:val="center"/>
                </w:tcPr>
                <w:p w14:paraId="53026019">
                  <w:pPr>
                    <w:adjustRightInd w:val="0"/>
                    <w:spacing w:line="240" w:lineRule="auto"/>
                    <w:ind w:firstLine="0" w:firstLineChars="0"/>
                    <w:jc w:val="center"/>
                    <w:rPr>
                      <w:bCs/>
                      <w:color w:val="auto"/>
                      <w:sz w:val="18"/>
                      <w:szCs w:val="18"/>
                    </w:rPr>
                  </w:pPr>
                  <w:r>
                    <w:rPr>
                      <w:rFonts w:hint="eastAsia"/>
                      <w:bCs/>
                      <w:color w:val="auto"/>
                      <w:sz w:val="18"/>
                      <w:szCs w:val="18"/>
                    </w:rPr>
                    <w:t>可能受影响的环境敏感目标</w:t>
                  </w:r>
                </w:p>
              </w:tc>
            </w:tr>
            <w:tr w14:paraId="6D8C36C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2" w:type="pct"/>
                  <w:tcBorders>
                    <w:tl2br w:val="nil"/>
                    <w:tr2bl w:val="nil"/>
                  </w:tcBorders>
                  <w:vAlign w:val="center"/>
                </w:tcPr>
                <w:p w14:paraId="7477A6F4">
                  <w:pPr>
                    <w:adjustRightInd w:val="0"/>
                    <w:spacing w:line="240" w:lineRule="auto"/>
                    <w:ind w:firstLine="0" w:firstLineChars="0"/>
                    <w:jc w:val="center"/>
                    <w:rPr>
                      <w:bCs/>
                      <w:color w:val="auto"/>
                      <w:sz w:val="18"/>
                      <w:szCs w:val="18"/>
                    </w:rPr>
                  </w:pPr>
                  <w:r>
                    <w:rPr>
                      <w:rFonts w:hint="eastAsia"/>
                      <w:bCs/>
                      <w:color w:val="auto"/>
                      <w:sz w:val="18"/>
                      <w:szCs w:val="18"/>
                    </w:rPr>
                    <w:t>事故油收集及输送设施</w:t>
                  </w:r>
                </w:p>
              </w:tc>
              <w:tc>
                <w:tcPr>
                  <w:tcW w:w="714" w:type="pct"/>
                  <w:tcBorders>
                    <w:tl2br w:val="nil"/>
                    <w:tr2bl w:val="nil"/>
                  </w:tcBorders>
                  <w:vAlign w:val="center"/>
                </w:tcPr>
                <w:p w14:paraId="58D9A033">
                  <w:pPr>
                    <w:adjustRightInd w:val="0"/>
                    <w:spacing w:line="240" w:lineRule="auto"/>
                    <w:ind w:firstLine="0" w:firstLineChars="0"/>
                    <w:jc w:val="center"/>
                    <w:rPr>
                      <w:bCs/>
                      <w:color w:val="auto"/>
                      <w:sz w:val="18"/>
                      <w:szCs w:val="18"/>
                    </w:rPr>
                  </w:pPr>
                  <w:r>
                    <w:rPr>
                      <w:rFonts w:hint="eastAsia"/>
                      <w:bCs/>
                      <w:color w:val="auto"/>
                      <w:sz w:val="18"/>
                      <w:szCs w:val="18"/>
                    </w:rPr>
                    <w:t>事故油坑、事故排油管和事故油池</w:t>
                  </w:r>
                </w:p>
              </w:tc>
              <w:tc>
                <w:tcPr>
                  <w:tcW w:w="715" w:type="pct"/>
                  <w:tcBorders>
                    <w:tl2br w:val="nil"/>
                    <w:tr2bl w:val="nil"/>
                  </w:tcBorders>
                  <w:vAlign w:val="center"/>
                </w:tcPr>
                <w:p w14:paraId="32631638">
                  <w:pPr>
                    <w:adjustRightInd w:val="0"/>
                    <w:spacing w:line="240" w:lineRule="auto"/>
                    <w:ind w:firstLine="0" w:firstLineChars="0"/>
                    <w:jc w:val="center"/>
                    <w:rPr>
                      <w:bCs/>
                      <w:color w:val="auto"/>
                      <w:sz w:val="18"/>
                      <w:szCs w:val="18"/>
                    </w:rPr>
                  </w:pPr>
                  <w:r>
                    <w:rPr>
                      <w:rFonts w:hint="eastAsia"/>
                      <w:bCs/>
                      <w:color w:val="auto"/>
                      <w:sz w:val="18"/>
                      <w:szCs w:val="18"/>
                    </w:rPr>
                    <w:t>单台主变</w:t>
                  </w:r>
                  <w:r>
                    <w:rPr>
                      <w:rFonts w:hint="eastAsia"/>
                      <w:bCs/>
                      <w:color w:val="auto"/>
                      <w:sz w:val="18"/>
                      <w:szCs w:val="18"/>
                      <w:lang w:val="en-US" w:eastAsia="zh-CN"/>
                    </w:rPr>
                    <w:t>22.8</w:t>
                  </w:r>
                  <w:r>
                    <w:rPr>
                      <w:rFonts w:hint="eastAsia"/>
                      <w:bCs/>
                      <w:color w:val="auto"/>
                      <w:sz w:val="18"/>
                      <w:szCs w:val="18"/>
                    </w:rPr>
                    <w:t>m</w:t>
                  </w:r>
                  <w:r>
                    <w:rPr>
                      <w:rFonts w:hint="eastAsia"/>
                      <w:bCs/>
                      <w:color w:val="auto"/>
                      <w:sz w:val="18"/>
                      <w:szCs w:val="18"/>
                      <w:vertAlign w:val="superscript"/>
                    </w:rPr>
                    <w:t>3</w:t>
                  </w:r>
                  <w:r>
                    <w:rPr>
                      <w:rFonts w:hint="eastAsia"/>
                      <w:bCs/>
                      <w:color w:val="auto"/>
                      <w:sz w:val="18"/>
                      <w:szCs w:val="18"/>
                    </w:rPr>
                    <w:t>（</w:t>
                  </w:r>
                  <w:r>
                    <w:rPr>
                      <w:rFonts w:hint="eastAsia"/>
                      <w:bCs/>
                      <w:color w:val="auto"/>
                      <w:sz w:val="18"/>
                      <w:szCs w:val="18"/>
                      <w:lang w:val="en-US" w:eastAsia="zh-CN"/>
                    </w:rPr>
                    <w:t>20</w:t>
                  </w:r>
                  <w:r>
                    <w:rPr>
                      <w:rFonts w:hint="eastAsia"/>
                      <w:bCs/>
                      <w:color w:val="auto"/>
                      <w:sz w:val="18"/>
                      <w:szCs w:val="18"/>
                    </w:rPr>
                    <w:t>t）</w:t>
                  </w:r>
                </w:p>
              </w:tc>
              <w:tc>
                <w:tcPr>
                  <w:tcW w:w="611" w:type="pct"/>
                  <w:tcBorders>
                    <w:tl2br w:val="nil"/>
                    <w:tr2bl w:val="nil"/>
                  </w:tcBorders>
                  <w:vAlign w:val="center"/>
                </w:tcPr>
                <w:p w14:paraId="2F39D77B">
                  <w:pPr>
                    <w:adjustRightInd w:val="0"/>
                    <w:spacing w:line="240" w:lineRule="auto"/>
                    <w:ind w:firstLine="0" w:firstLineChars="0"/>
                    <w:jc w:val="center"/>
                    <w:rPr>
                      <w:bCs/>
                      <w:color w:val="auto"/>
                      <w:sz w:val="18"/>
                      <w:szCs w:val="18"/>
                    </w:rPr>
                  </w:pPr>
                  <w:r>
                    <w:rPr>
                      <w:rFonts w:hint="eastAsia"/>
                      <w:bCs/>
                      <w:color w:val="auto"/>
                      <w:sz w:val="18"/>
                      <w:szCs w:val="18"/>
                    </w:rPr>
                    <w:t>油类</w:t>
                  </w:r>
                </w:p>
              </w:tc>
              <w:tc>
                <w:tcPr>
                  <w:tcW w:w="537" w:type="pct"/>
                  <w:tcBorders>
                    <w:tl2br w:val="nil"/>
                    <w:tr2bl w:val="nil"/>
                  </w:tcBorders>
                  <w:vAlign w:val="center"/>
                </w:tcPr>
                <w:p w14:paraId="58B61585">
                  <w:pPr>
                    <w:adjustRightInd w:val="0"/>
                    <w:spacing w:line="240" w:lineRule="auto"/>
                    <w:ind w:firstLine="0" w:firstLineChars="0"/>
                    <w:jc w:val="center"/>
                    <w:rPr>
                      <w:bCs/>
                      <w:color w:val="auto"/>
                      <w:sz w:val="18"/>
                      <w:szCs w:val="18"/>
                    </w:rPr>
                  </w:pPr>
                  <w:r>
                    <w:rPr>
                      <w:rFonts w:hint="eastAsia"/>
                      <w:bCs/>
                      <w:color w:val="auto"/>
                      <w:sz w:val="18"/>
                      <w:szCs w:val="18"/>
                    </w:rPr>
                    <w:t>泄漏</w:t>
                  </w:r>
                </w:p>
              </w:tc>
              <w:tc>
                <w:tcPr>
                  <w:tcW w:w="767" w:type="pct"/>
                  <w:tcBorders>
                    <w:tl2br w:val="nil"/>
                    <w:tr2bl w:val="nil"/>
                  </w:tcBorders>
                  <w:vAlign w:val="center"/>
                </w:tcPr>
                <w:p w14:paraId="7E6C21A5">
                  <w:pPr>
                    <w:adjustRightInd w:val="0"/>
                    <w:spacing w:line="240" w:lineRule="auto"/>
                    <w:ind w:firstLine="0" w:firstLineChars="0"/>
                    <w:jc w:val="center"/>
                    <w:rPr>
                      <w:bCs/>
                      <w:color w:val="auto"/>
                      <w:sz w:val="18"/>
                      <w:szCs w:val="18"/>
                    </w:rPr>
                  </w:pPr>
                  <w:r>
                    <w:rPr>
                      <w:rFonts w:hint="eastAsia"/>
                      <w:bCs/>
                      <w:color w:val="auto"/>
                      <w:sz w:val="18"/>
                      <w:szCs w:val="18"/>
                    </w:rPr>
                    <w:t>土壤、地下水</w:t>
                  </w:r>
                </w:p>
              </w:tc>
              <w:tc>
                <w:tcPr>
                  <w:tcW w:w="941" w:type="pct"/>
                  <w:tcBorders>
                    <w:tl2br w:val="nil"/>
                    <w:tr2bl w:val="nil"/>
                  </w:tcBorders>
                  <w:vAlign w:val="center"/>
                </w:tcPr>
                <w:p w14:paraId="60689385">
                  <w:pPr>
                    <w:adjustRightInd w:val="0"/>
                    <w:spacing w:line="240" w:lineRule="auto"/>
                    <w:ind w:firstLine="0" w:firstLineChars="0"/>
                    <w:jc w:val="center"/>
                    <w:rPr>
                      <w:bCs/>
                      <w:color w:val="auto"/>
                      <w:sz w:val="18"/>
                      <w:szCs w:val="18"/>
                    </w:rPr>
                  </w:pPr>
                  <w:r>
                    <w:rPr>
                      <w:rFonts w:hint="eastAsia"/>
                      <w:bCs/>
                      <w:color w:val="auto"/>
                      <w:sz w:val="18"/>
                      <w:szCs w:val="18"/>
                    </w:rPr>
                    <w:t>土壤环境、地下水环境</w:t>
                  </w:r>
                </w:p>
              </w:tc>
            </w:tr>
          </w:tbl>
          <w:p w14:paraId="67560F05">
            <w:pPr>
              <w:spacing w:line="360" w:lineRule="auto"/>
              <w:ind w:firstLine="420" w:firstLineChars="200"/>
              <w:rPr>
                <w:bCs/>
                <w:color w:val="auto"/>
                <w:szCs w:val="21"/>
              </w:rPr>
            </w:pPr>
            <w:r>
              <w:rPr>
                <w:rFonts w:hint="eastAsia"/>
                <w:bCs/>
                <w:color w:val="auto"/>
                <w:szCs w:val="21"/>
              </w:rPr>
              <w:t>3</w:t>
            </w:r>
            <w:r>
              <w:rPr>
                <w:rFonts w:hint="eastAsia"/>
                <w:bCs/>
                <w:color w:val="auto"/>
                <w:szCs w:val="21"/>
                <w:lang w:eastAsia="zh-CN"/>
              </w:rPr>
              <w:t>、</w:t>
            </w:r>
            <w:r>
              <w:rPr>
                <w:rFonts w:hint="eastAsia"/>
                <w:bCs/>
                <w:color w:val="auto"/>
                <w:szCs w:val="21"/>
              </w:rPr>
              <w:t>环境风险分析</w:t>
            </w:r>
          </w:p>
          <w:p w14:paraId="7F188B0E">
            <w:pPr>
              <w:spacing w:line="360" w:lineRule="auto"/>
              <w:ind w:firstLine="420" w:firstLineChars="200"/>
              <w:rPr>
                <w:bCs/>
                <w:color w:val="auto"/>
                <w:szCs w:val="21"/>
              </w:rPr>
            </w:pPr>
            <w:r>
              <w:rPr>
                <w:rFonts w:hint="eastAsia"/>
                <w:bCs/>
                <w:color w:val="auto"/>
                <w:szCs w:val="21"/>
                <w:lang w:val="en-US" w:eastAsia="zh-CN"/>
              </w:rPr>
              <w:t>参照</w:t>
            </w:r>
            <w:r>
              <w:rPr>
                <w:rFonts w:hint="eastAsia"/>
                <w:bCs/>
                <w:color w:val="auto"/>
                <w:szCs w:val="21"/>
              </w:rPr>
              <w:t>《建设项目环境风险评价技术导则》（</w:t>
            </w:r>
            <w:r>
              <w:rPr>
                <w:bCs/>
                <w:color w:val="auto"/>
                <w:szCs w:val="21"/>
              </w:rPr>
              <w:t>HJ169-2018</w:t>
            </w:r>
            <w:r>
              <w:rPr>
                <w:rFonts w:hint="eastAsia"/>
                <w:bCs/>
                <w:color w:val="auto"/>
                <w:szCs w:val="21"/>
              </w:rPr>
              <w:t>），事故油风险潜势为</w:t>
            </w:r>
            <w:r>
              <w:rPr>
                <w:bCs/>
                <w:color w:val="auto"/>
                <w:szCs w:val="21"/>
              </w:rPr>
              <w:t>I</w:t>
            </w:r>
            <w:r>
              <w:rPr>
                <w:rFonts w:hint="eastAsia"/>
                <w:bCs/>
                <w:color w:val="auto"/>
                <w:szCs w:val="21"/>
              </w:rPr>
              <w:t>，仅需进行环境风险简单分析。</w:t>
            </w:r>
          </w:p>
          <w:p w14:paraId="2F3050DF">
            <w:pPr>
              <w:spacing w:line="360" w:lineRule="auto"/>
              <w:ind w:firstLine="420" w:firstLineChars="200"/>
              <w:rPr>
                <w:bCs/>
                <w:color w:val="auto"/>
                <w:szCs w:val="21"/>
              </w:rPr>
            </w:pPr>
            <w:r>
              <w:rPr>
                <w:rFonts w:hint="eastAsia"/>
                <w:bCs/>
                <w:color w:val="auto"/>
                <w:szCs w:val="21"/>
              </w:rPr>
              <w:t>本项目事故油风险事故来源主要为变压器事故时泄漏事故油。变压器发生故障时，事故油排放，如不采取措施处理，将污染地下水及土壤。从已运行变电站调查看，变电站主变发生事故的概率很小，主变发生事故时，事故油能得到妥善处理，环境风险小。</w:t>
            </w:r>
          </w:p>
          <w:p w14:paraId="2C2EAEA5">
            <w:pPr>
              <w:spacing w:line="360" w:lineRule="auto"/>
              <w:ind w:firstLine="420" w:firstLineChars="200"/>
              <w:rPr>
                <w:bCs/>
                <w:color w:val="auto"/>
                <w:szCs w:val="21"/>
              </w:rPr>
            </w:pPr>
            <w:r>
              <w:rPr>
                <w:rFonts w:hint="eastAsia"/>
                <w:bCs/>
                <w:color w:val="auto"/>
                <w:szCs w:val="21"/>
              </w:rPr>
              <w:t>本项目新建变电站站内设置30</w:t>
            </w:r>
            <w:r>
              <w:rPr>
                <w:bCs/>
                <w:color w:val="auto"/>
                <w:szCs w:val="21"/>
              </w:rPr>
              <w:t>m</w:t>
            </w:r>
            <w:r>
              <w:rPr>
                <w:bCs/>
                <w:color w:val="auto"/>
                <w:szCs w:val="21"/>
                <w:vertAlign w:val="superscript"/>
              </w:rPr>
              <w:t>3</w:t>
            </w:r>
            <w:r>
              <w:rPr>
                <w:rFonts w:hint="eastAsia"/>
                <w:bCs/>
                <w:color w:val="auto"/>
                <w:szCs w:val="21"/>
              </w:rPr>
              <w:t>的事故油池，参照同类变压器资料，变电站单台主变绝缘油油量最大约</w:t>
            </w:r>
            <w:r>
              <w:rPr>
                <w:rFonts w:hint="eastAsia"/>
                <w:bCs/>
                <w:color w:val="auto"/>
                <w:sz w:val="21"/>
                <w:szCs w:val="21"/>
                <w:lang w:val="en-US" w:eastAsia="zh-CN"/>
              </w:rPr>
              <w:t>22.8</w:t>
            </w:r>
            <w:r>
              <w:rPr>
                <w:bCs/>
                <w:color w:val="auto"/>
                <w:szCs w:val="21"/>
              </w:rPr>
              <w:t>m</w:t>
            </w:r>
            <w:r>
              <w:rPr>
                <w:bCs/>
                <w:color w:val="auto"/>
                <w:szCs w:val="21"/>
                <w:vertAlign w:val="superscript"/>
              </w:rPr>
              <w:t>3</w:t>
            </w:r>
            <w:r>
              <w:rPr>
                <w:rFonts w:hint="eastAsia"/>
                <w:bCs/>
                <w:color w:val="auto"/>
                <w:szCs w:val="21"/>
              </w:rPr>
              <w:t>（</w:t>
            </w:r>
            <w:r>
              <w:rPr>
                <w:rFonts w:hint="eastAsia"/>
                <w:bCs/>
                <w:color w:val="auto"/>
                <w:szCs w:val="21"/>
                <w:lang w:eastAsia="zh-CN"/>
              </w:rPr>
              <w:t>20</w:t>
            </w:r>
            <w:r>
              <w:rPr>
                <w:bCs/>
                <w:color w:val="auto"/>
                <w:szCs w:val="21"/>
              </w:rPr>
              <w:t>t</w:t>
            </w:r>
            <w:r>
              <w:rPr>
                <w:rFonts w:hint="eastAsia"/>
                <w:bCs/>
                <w:color w:val="auto"/>
                <w:szCs w:val="21"/>
              </w:rPr>
              <w:t>），根据《火力发电厂与变电站设计防火标准》（</w:t>
            </w:r>
            <w:r>
              <w:rPr>
                <w:bCs/>
                <w:color w:val="auto"/>
                <w:szCs w:val="21"/>
              </w:rPr>
              <w:t>GB50229-2019</w:t>
            </w:r>
            <w:r>
              <w:rPr>
                <w:rFonts w:hint="eastAsia"/>
                <w:bCs/>
                <w:color w:val="auto"/>
                <w:szCs w:val="21"/>
              </w:rPr>
              <w:t>）中</w:t>
            </w:r>
            <w:r>
              <w:rPr>
                <w:bCs/>
                <w:color w:val="auto"/>
                <w:szCs w:val="21"/>
              </w:rPr>
              <w:t>“</w:t>
            </w:r>
            <w:r>
              <w:rPr>
                <w:rFonts w:hint="eastAsia"/>
                <w:bCs/>
                <w:color w:val="auto"/>
                <w:szCs w:val="21"/>
              </w:rPr>
              <w:t>容积不小于接入的油量最大的一台设备</w:t>
            </w:r>
            <w:r>
              <w:rPr>
                <w:bCs/>
                <w:color w:val="auto"/>
                <w:szCs w:val="21"/>
              </w:rPr>
              <w:t>”</w:t>
            </w:r>
            <w:r>
              <w:rPr>
                <w:rFonts w:hint="eastAsia"/>
                <w:bCs/>
                <w:color w:val="auto"/>
                <w:szCs w:val="21"/>
              </w:rPr>
              <w:t>的要求，本变电站需设置的事故油池容积应不低于</w:t>
            </w:r>
            <w:r>
              <w:rPr>
                <w:rFonts w:hint="eastAsia"/>
                <w:bCs/>
                <w:color w:val="auto"/>
                <w:szCs w:val="21"/>
                <w:lang w:val="en-US" w:eastAsia="zh-CN"/>
              </w:rPr>
              <w:t>22.8</w:t>
            </w:r>
            <w:r>
              <w:rPr>
                <w:bCs/>
                <w:color w:val="auto"/>
                <w:szCs w:val="21"/>
              </w:rPr>
              <w:t>m</w:t>
            </w:r>
            <w:r>
              <w:rPr>
                <w:bCs/>
                <w:color w:val="auto"/>
                <w:szCs w:val="21"/>
                <w:vertAlign w:val="superscript"/>
              </w:rPr>
              <w:t>3</w:t>
            </w:r>
            <w:r>
              <w:rPr>
                <w:rFonts w:hint="eastAsia"/>
                <w:bCs/>
                <w:color w:val="auto"/>
                <w:szCs w:val="21"/>
              </w:rPr>
              <w:t>，故本变电站设置的事故油池</w:t>
            </w:r>
            <w:r>
              <w:rPr>
                <w:rFonts w:hint="eastAsia"/>
                <w:bCs/>
                <w:color w:val="auto"/>
                <w:szCs w:val="21"/>
                <w:lang w:eastAsia="zh-CN"/>
              </w:rPr>
              <w:t>有效容积</w:t>
            </w:r>
            <w:r>
              <w:rPr>
                <w:rFonts w:hint="eastAsia"/>
                <w:bCs/>
                <w:color w:val="auto"/>
                <w:szCs w:val="21"/>
              </w:rPr>
              <w:t>30</w:t>
            </w:r>
            <w:r>
              <w:rPr>
                <w:bCs/>
                <w:color w:val="auto"/>
                <w:szCs w:val="21"/>
              </w:rPr>
              <w:t>m</w:t>
            </w:r>
            <w:r>
              <w:rPr>
                <w:bCs/>
                <w:color w:val="auto"/>
                <w:szCs w:val="21"/>
                <w:vertAlign w:val="superscript"/>
              </w:rPr>
              <w:t>3</w:t>
            </w:r>
            <w:r>
              <w:rPr>
                <w:rFonts w:hint="eastAsia"/>
                <w:bCs/>
                <w:color w:val="auto"/>
                <w:szCs w:val="21"/>
              </w:rPr>
              <w:t>（＞</w:t>
            </w:r>
            <w:r>
              <w:rPr>
                <w:rFonts w:hint="eastAsia"/>
                <w:bCs/>
                <w:color w:val="auto"/>
                <w:szCs w:val="21"/>
                <w:lang w:val="en-US" w:eastAsia="zh-CN"/>
              </w:rPr>
              <w:t>22.8</w:t>
            </w:r>
            <w:r>
              <w:rPr>
                <w:bCs/>
                <w:color w:val="auto"/>
                <w:szCs w:val="21"/>
              </w:rPr>
              <w:t>m</w:t>
            </w:r>
            <w:r>
              <w:rPr>
                <w:bCs/>
                <w:color w:val="auto"/>
                <w:szCs w:val="21"/>
                <w:vertAlign w:val="superscript"/>
              </w:rPr>
              <w:t>3</w:t>
            </w:r>
            <w:r>
              <w:rPr>
                <w:rFonts w:hint="eastAsia"/>
                <w:bCs/>
                <w:color w:val="auto"/>
                <w:szCs w:val="21"/>
              </w:rPr>
              <w:t>）满足</w:t>
            </w:r>
            <w:r>
              <w:rPr>
                <w:bCs/>
                <w:color w:val="auto"/>
                <w:szCs w:val="21"/>
              </w:rPr>
              <w:t>GB50229-2019</w:t>
            </w:r>
            <w:r>
              <w:rPr>
                <w:rFonts w:hint="eastAsia"/>
                <w:bCs/>
                <w:color w:val="auto"/>
                <w:szCs w:val="21"/>
              </w:rPr>
              <w:t>的要求。正常情况下主变压器不会漏油，不会发生油污染事故。当主变压器发生事故时，事故油流入主变正下方的事故油坑内，经事故排油管排入事故油池，</w:t>
            </w:r>
            <w:r>
              <w:rPr>
                <w:rFonts w:hint="eastAsia"/>
                <w:color w:val="auto"/>
              </w:rPr>
              <w:t>其中事故油中可回收部分由建设单位回收再利用，不可回收部分（即废事故油）采用专用密封容器盛装后运送至国网巴中供电公司枣林危废暂存间，定期交由有危险废物处置资质的单位进行处置，不外排。</w:t>
            </w:r>
            <w:r>
              <w:rPr>
                <w:rFonts w:hint="eastAsia"/>
                <w:bCs/>
                <w:color w:val="auto"/>
                <w:szCs w:val="21"/>
              </w:rPr>
              <w:t>流程图如下。</w:t>
            </w:r>
          </w:p>
          <w:p w14:paraId="11DE2D6C">
            <w:pPr>
              <w:adjustRightInd w:val="0"/>
              <w:spacing w:line="360" w:lineRule="auto"/>
              <w:ind w:firstLine="420" w:firstLineChars="200"/>
              <w:jc w:val="center"/>
              <w:rPr>
                <w:color w:val="auto"/>
                <w:szCs w:val="21"/>
              </w:rPr>
            </w:pPr>
            <w:r>
              <w:rPr>
                <w:color w:val="auto"/>
                <w:szCs w:val="21"/>
              </w:rPr>
              <w:drawing>
                <wp:inline distT="0" distB="0" distL="0" distR="0">
                  <wp:extent cx="3387090" cy="1591310"/>
                  <wp:effectExtent l="0" t="0" r="3810" b="8890"/>
                  <wp:docPr id="30" name="图片 30" descr="QQ截图20190312164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QQ截图201903121647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388607" cy="1592367"/>
                          </a:xfrm>
                          <a:prstGeom prst="rect">
                            <a:avLst/>
                          </a:prstGeom>
                          <a:noFill/>
                          <a:ln>
                            <a:noFill/>
                          </a:ln>
                        </pic:spPr>
                      </pic:pic>
                    </a:graphicData>
                  </a:graphic>
                </wp:inline>
              </w:drawing>
            </w:r>
          </w:p>
          <w:p w14:paraId="15AE8D58">
            <w:pPr>
              <w:adjustRightInd w:val="0"/>
              <w:spacing w:line="240" w:lineRule="auto"/>
              <w:ind w:firstLine="420" w:firstLineChars="200"/>
              <w:jc w:val="center"/>
              <w:rPr>
                <w:rFonts w:eastAsia="黑体"/>
                <w:color w:val="auto"/>
                <w:szCs w:val="21"/>
              </w:rPr>
            </w:pPr>
            <w:r>
              <w:rPr>
                <w:rFonts w:eastAsia="黑体"/>
                <w:color w:val="auto"/>
                <w:szCs w:val="21"/>
              </w:rPr>
              <w:t>图</w:t>
            </w:r>
            <w:r>
              <w:rPr>
                <w:rFonts w:hint="eastAsia" w:eastAsia="黑体"/>
                <w:color w:val="auto"/>
                <w:szCs w:val="21"/>
              </w:rPr>
              <w:t>4-</w:t>
            </w:r>
            <w:r>
              <w:rPr>
                <w:rFonts w:hint="eastAsia" w:eastAsia="黑体"/>
                <w:color w:val="auto"/>
                <w:szCs w:val="21"/>
                <w:lang w:val="en-US" w:eastAsia="zh-CN"/>
              </w:rPr>
              <w:t>10</w:t>
            </w:r>
            <w:r>
              <w:rPr>
                <w:rFonts w:eastAsia="黑体"/>
                <w:color w:val="auto"/>
                <w:szCs w:val="21"/>
              </w:rPr>
              <w:t xml:space="preserve">  主变压器事故油池收集示意图</w:t>
            </w:r>
          </w:p>
          <w:p w14:paraId="06F18D13">
            <w:pPr>
              <w:spacing w:line="360" w:lineRule="auto"/>
              <w:ind w:firstLine="420" w:firstLineChars="200"/>
              <w:rPr>
                <w:color w:val="auto"/>
                <w:szCs w:val="21"/>
              </w:rPr>
            </w:pPr>
            <w:r>
              <w:rPr>
                <w:rFonts w:hint="eastAsia"/>
                <w:color w:val="auto"/>
                <w:szCs w:val="21"/>
              </w:rPr>
              <w:t>事故油池采用地下布置，远离火源，为钢筋混凝土结构，采取防水混凝土、防水砂浆保护层、防水涂料等防渗措施，并对预埋套管处使用密封材料，具有防渗、防漏、防流失等功能。事故油坑、事故排油管</w:t>
            </w:r>
            <w:r>
              <w:rPr>
                <w:rFonts w:hint="eastAsia"/>
                <w:color w:val="auto"/>
                <w:szCs w:val="21"/>
                <w:lang w:val="en-US" w:eastAsia="zh-CN"/>
              </w:rPr>
              <w:t>及</w:t>
            </w:r>
            <w:r>
              <w:rPr>
                <w:rFonts w:hint="eastAsia" w:hAnsi="宋体"/>
                <w:color w:val="auto"/>
                <w:szCs w:val="21"/>
                <w:lang w:val="en-US" w:eastAsia="zh-CN"/>
              </w:rPr>
              <w:t>下方区域</w:t>
            </w:r>
            <w:r>
              <w:rPr>
                <w:rFonts w:hint="eastAsia"/>
                <w:color w:val="auto"/>
                <w:szCs w:val="21"/>
              </w:rPr>
              <w:t>和事故油池需采取防渗措施，站内事故油坑、事故油池设置和运行管理满足《废矿物油回收利用污染控制技术规范》（</w:t>
            </w:r>
            <w:r>
              <w:rPr>
                <w:color w:val="auto"/>
                <w:szCs w:val="21"/>
              </w:rPr>
              <w:t>HJ607-2011</w:t>
            </w:r>
            <w:r>
              <w:rPr>
                <w:rFonts w:hint="eastAsia"/>
                <w:color w:val="auto"/>
                <w:szCs w:val="21"/>
              </w:rPr>
              <w:t>）、《危险废物收集贮存运输技术规范》（</w:t>
            </w:r>
            <w:r>
              <w:rPr>
                <w:color w:val="auto"/>
                <w:szCs w:val="21"/>
              </w:rPr>
              <w:t>HJ2025-20</w:t>
            </w:r>
            <w:r>
              <w:rPr>
                <w:rFonts w:hint="eastAsia"/>
                <w:color w:val="auto"/>
                <w:szCs w:val="21"/>
                <w:lang w:val="en-US" w:eastAsia="zh-CN"/>
              </w:rPr>
              <w:t>12</w:t>
            </w:r>
            <w:r>
              <w:rPr>
                <w:rFonts w:hint="eastAsia"/>
                <w:color w:val="auto"/>
                <w:szCs w:val="21"/>
              </w:rPr>
              <w:t>）和《输变电建设项目环境保护技术要求》（</w:t>
            </w:r>
            <w:r>
              <w:rPr>
                <w:color w:val="auto"/>
                <w:szCs w:val="21"/>
              </w:rPr>
              <w:t>HJ1113-2020</w:t>
            </w:r>
            <w:r>
              <w:rPr>
                <w:rFonts w:hint="eastAsia"/>
                <w:color w:val="auto"/>
                <w:szCs w:val="21"/>
              </w:rPr>
              <w:t>）规定。</w:t>
            </w:r>
          </w:p>
          <w:p w14:paraId="6762AFF6">
            <w:pPr>
              <w:spacing w:line="360" w:lineRule="auto"/>
              <w:ind w:firstLine="420" w:firstLineChars="200"/>
              <w:rPr>
                <w:rFonts w:hint="eastAsia" w:eastAsia="宋体"/>
                <w:color w:val="auto"/>
                <w:szCs w:val="21"/>
                <w:lang w:eastAsia="zh-CN"/>
              </w:rPr>
            </w:pPr>
            <w:r>
              <w:rPr>
                <w:rFonts w:hint="eastAsia"/>
                <w:color w:val="auto"/>
                <w:szCs w:val="21"/>
              </w:rPr>
              <w:t>同时建设单位统一制定了突发环境事件应急预案，成立了突发环境污染事件处置领导小组，针对主变压器漏油等环境风险源建立了监测预警、应急响应、信息报告、后期处置体系，并配备有物资及后勤等应急保障体系，同时制定了相应的应急预案制度，将员工应急培训纳入日常管理，定期组织突发环境事件应急演练。本变电站建成后，将纳入上述应急预案统一管理，并在变电站内配备相应的应急及后勤保障物资，如消防砂、手推式灭火器、铁铲</w:t>
            </w:r>
            <w:r>
              <w:rPr>
                <w:color w:val="auto"/>
                <w:szCs w:val="21"/>
              </w:rPr>
              <w:t>/</w:t>
            </w:r>
            <w:r>
              <w:rPr>
                <w:rFonts w:hint="eastAsia"/>
                <w:color w:val="auto"/>
                <w:szCs w:val="21"/>
              </w:rPr>
              <w:t>锹、手套、应急通讯设备等</w:t>
            </w:r>
            <w:r>
              <w:rPr>
                <w:rFonts w:hint="eastAsia"/>
                <w:color w:val="auto"/>
                <w:szCs w:val="21"/>
                <w:lang w:eastAsia="zh-CN"/>
              </w:rPr>
              <w:t>。</w:t>
            </w:r>
          </w:p>
          <w:p w14:paraId="291FFA32">
            <w:pPr>
              <w:spacing w:line="360" w:lineRule="auto"/>
              <w:ind w:firstLine="420" w:firstLineChars="200"/>
              <w:rPr>
                <w:rFonts w:hint="eastAsia"/>
                <w:b/>
                <w:bCs/>
                <w:color w:val="auto"/>
                <w:szCs w:val="21"/>
              </w:rPr>
            </w:pPr>
            <w:r>
              <w:rPr>
                <w:color w:val="auto"/>
                <w:szCs w:val="21"/>
              </w:rPr>
              <w:t>从上述分析可知，本项目采取相应措施后，环境风险小。</w:t>
            </w:r>
          </w:p>
          <w:p w14:paraId="6EE4B376">
            <w:pPr>
              <w:adjustRightInd w:val="0"/>
              <w:spacing w:line="360" w:lineRule="auto"/>
              <w:ind w:firstLine="420" w:firstLineChars="200"/>
              <w:rPr>
                <w:rFonts w:eastAsia="黑体"/>
                <w:color w:val="auto"/>
                <w:szCs w:val="21"/>
              </w:rPr>
            </w:pPr>
            <w:r>
              <w:rPr>
                <w:rFonts w:hint="eastAsia" w:eastAsia="黑体"/>
                <w:color w:val="auto"/>
                <w:szCs w:val="21"/>
                <w:lang w:val="en-US" w:eastAsia="zh-CN"/>
              </w:rPr>
              <w:t>四</w:t>
            </w:r>
            <w:r>
              <w:rPr>
                <w:rFonts w:eastAsia="黑体"/>
                <w:color w:val="auto"/>
                <w:szCs w:val="21"/>
              </w:rPr>
              <w:t>、对环境敏感目标的影响评价</w:t>
            </w:r>
          </w:p>
          <w:p w14:paraId="3AF5DA77">
            <w:pPr>
              <w:adjustRightInd w:val="0"/>
              <w:spacing w:line="360" w:lineRule="auto"/>
              <w:ind w:firstLine="422" w:firstLineChars="200"/>
              <w:rPr>
                <w:rFonts w:hint="default"/>
                <w:b/>
                <w:bCs/>
                <w:color w:val="auto"/>
                <w:szCs w:val="21"/>
                <w:lang w:val="en-US" w:eastAsia="zh-CN"/>
              </w:rPr>
            </w:pPr>
            <w:r>
              <w:rPr>
                <w:rFonts w:hint="eastAsia"/>
                <w:b/>
                <w:bCs/>
                <w:color w:val="auto"/>
                <w:szCs w:val="21"/>
                <w:lang w:val="en-US" w:eastAsia="zh-CN"/>
              </w:rPr>
              <w:t>****</w:t>
            </w:r>
          </w:p>
        </w:tc>
      </w:tr>
    </w:tbl>
    <w:p w14:paraId="2A975ACE">
      <w:pPr>
        <w:rPr>
          <w:color w:val="FF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25"/>
        <w:tblW w:w="947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8831"/>
      </w:tblGrid>
      <w:tr w14:paraId="691B9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vAlign w:val="center"/>
          </w:tcPr>
          <w:p w14:paraId="0E0EF6E5">
            <w:pPr>
              <w:widowControl/>
              <w:adjustRightInd w:val="0"/>
              <w:jc w:val="center"/>
              <w:rPr>
                <w:bCs/>
                <w:color w:val="auto"/>
                <w:szCs w:val="21"/>
              </w:rPr>
            </w:pPr>
            <w:r>
              <w:rPr>
                <w:bCs/>
                <w:color w:val="auto"/>
                <w:szCs w:val="21"/>
              </w:rPr>
              <w:t>选址选线环境合理性分析</w:t>
            </w:r>
          </w:p>
        </w:tc>
        <w:tc>
          <w:tcPr>
            <w:tcW w:w="8831" w:type="dxa"/>
          </w:tcPr>
          <w:p w14:paraId="501454FB">
            <w:pPr>
              <w:spacing w:line="360" w:lineRule="auto"/>
              <w:ind w:firstLine="422" w:firstLineChars="200"/>
              <w:rPr>
                <w:b/>
                <w:color w:val="auto"/>
                <w:szCs w:val="21"/>
              </w:rPr>
            </w:pPr>
            <w:r>
              <w:rPr>
                <w:b/>
                <w:color w:val="auto"/>
                <w:szCs w:val="21"/>
              </w:rPr>
              <w:t>1、</w:t>
            </w:r>
            <w:r>
              <w:rPr>
                <w:rFonts w:hint="eastAsia"/>
                <w:b/>
                <w:color w:val="auto"/>
                <w:szCs w:val="21"/>
                <w:lang w:eastAsia="zh-CN"/>
              </w:rPr>
              <w:t>司城</w:t>
            </w:r>
            <w:r>
              <w:rPr>
                <w:b/>
                <w:color w:val="auto"/>
                <w:szCs w:val="21"/>
              </w:rPr>
              <w:t>110kV</w:t>
            </w:r>
            <w:r>
              <w:rPr>
                <w:rFonts w:hint="eastAsia"/>
                <w:b/>
                <w:color w:val="auto"/>
                <w:szCs w:val="21"/>
              </w:rPr>
              <w:t>变电站</w:t>
            </w:r>
          </w:p>
          <w:p w14:paraId="407C4096">
            <w:pPr>
              <w:spacing w:line="360" w:lineRule="auto"/>
              <w:ind w:firstLine="420" w:firstLineChars="200"/>
              <w:rPr>
                <w:color w:val="auto"/>
                <w:szCs w:val="21"/>
              </w:rPr>
            </w:pPr>
            <w:r>
              <w:rPr>
                <w:rFonts w:hint="eastAsia"/>
                <w:color w:val="auto"/>
                <w:szCs w:val="21"/>
                <w:lang w:eastAsia="zh-CN"/>
              </w:rPr>
              <w:t>司城</w:t>
            </w:r>
            <w:r>
              <w:rPr>
                <w:rFonts w:hint="eastAsia"/>
                <w:color w:val="auto"/>
                <w:szCs w:val="21"/>
              </w:rPr>
              <w:t>110kV变电站场址</w:t>
            </w:r>
            <w:r>
              <w:rPr>
                <w:rFonts w:hint="eastAsia"/>
                <w:color w:val="auto"/>
                <w:szCs w:val="21"/>
                <w:lang w:val="en-US" w:eastAsia="zh-CN"/>
              </w:rPr>
              <w:t>已</w:t>
            </w:r>
            <w:r>
              <w:rPr>
                <w:rFonts w:hint="eastAsia"/>
                <w:color w:val="auto"/>
                <w:szCs w:val="21"/>
              </w:rPr>
              <w:t>取得了</w:t>
            </w:r>
            <w:r>
              <w:rPr>
                <w:rFonts w:hint="eastAsia"/>
                <w:color w:val="auto"/>
                <w:szCs w:val="21"/>
                <w:lang w:val="en-US" w:eastAsia="zh-CN"/>
              </w:rPr>
              <w:t>巴中市自然资源和规划局《建设项目用地预审与选址意见书》（用字第5119032025XS0003543</w:t>
            </w:r>
            <w:r>
              <w:rPr>
                <w:rFonts w:hint="eastAsia"/>
                <w:color w:val="auto"/>
                <w:szCs w:val="21"/>
                <w:highlight w:val="none"/>
                <w:lang w:val="en-US" w:eastAsia="zh-CN"/>
              </w:rPr>
              <w:t>号）（详见附件4）和巴中市自然资源和规划局恩阳分局《关于巴中恩阳司城110千伏输变电工程变电站站址及线路路径走廊的复函》</w:t>
            </w:r>
            <w:r>
              <w:rPr>
                <w:rFonts w:hint="eastAsia"/>
                <w:color w:val="auto"/>
                <w:szCs w:val="21"/>
                <w:highlight w:val="none"/>
                <w:lang w:eastAsia="zh-CN"/>
              </w:rPr>
              <w:t>（</w:t>
            </w:r>
            <w:r>
              <w:rPr>
                <w:rFonts w:hint="eastAsia"/>
                <w:color w:val="auto"/>
                <w:szCs w:val="21"/>
                <w:highlight w:val="none"/>
              </w:rPr>
              <w:t>见附件</w:t>
            </w:r>
            <w:r>
              <w:rPr>
                <w:rFonts w:hint="eastAsia"/>
                <w:color w:val="auto"/>
                <w:szCs w:val="21"/>
                <w:highlight w:val="none"/>
                <w:lang w:val="en-US" w:eastAsia="zh-CN"/>
              </w:rPr>
              <w:t>5-1</w:t>
            </w:r>
            <w:r>
              <w:rPr>
                <w:rFonts w:hint="eastAsia"/>
                <w:color w:val="auto"/>
                <w:szCs w:val="21"/>
                <w:highlight w:val="none"/>
              </w:rPr>
              <w:t>），本项目变电站选址符合</w:t>
            </w:r>
            <w:r>
              <w:rPr>
                <w:rFonts w:hint="eastAsia"/>
                <w:color w:val="auto"/>
                <w:szCs w:val="21"/>
                <w:highlight w:val="none"/>
                <w:lang w:val="en-US" w:eastAsia="zh-CN"/>
              </w:rPr>
              <w:t>巴中</w:t>
            </w:r>
            <w:r>
              <w:rPr>
                <w:rFonts w:hint="eastAsia"/>
                <w:color w:val="auto"/>
                <w:szCs w:val="21"/>
                <w:highlight w:val="none"/>
                <w:lang w:eastAsia="zh-CN"/>
              </w:rPr>
              <w:t>市</w:t>
            </w:r>
            <w:r>
              <w:rPr>
                <w:rFonts w:hint="eastAsia"/>
                <w:color w:val="auto"/>
                <w:szCs w:val="21"/>
                <w:highlight w:val="none"/>
              </w:rPr>
              <w:t>国土空间规划、符合</w:t>
            </w:r>
            <w:r>
              <w:rPr>
                <w:rFonts w:hint="eastAsia"/>
                <w:color w:val="auto"/>
                <w:szCs w:val="21"/>
                <w:highlight w:val="none"/>
                <w:lang w:val="en-US" w:eastAsia="zh-CN"/>
              </w:rPr>
              <w:t>巴中市恩阳区</w:t>
            </w:r>
            <w:r>
              <w:rPr>
                <w:color w:val="auto"/>
                <w:szCs w:val="21"/>
                <w:highlight w:val="none"/>
              </w:rPr>
              <w:t>电网发展规划</w:t>
            </w:r>
            <w:r>
              <w:rPr>
                <w:rFonts w:hint="eastAsia"/>
                <w:color w:val="auto"/>
                <w:szCs w:val="21"/>
                <w:highlight w:val="none"/>
              </w:rPr>
              <w:t>。</w:t>
            </w:r>
          </w:p>
          <w:p w14:paraId="1F17BB22">
            <w:pPr>
              <w:spacing w:line="360" w:lineRule="auto"/>
              <w:ind w:firstLine="420" w:firstLineChars="200"/>
              <w:rPr>
                <w:color w:val="auto"/>
                <w:szCs w:val="21"/>
              </w:rPr>
            </w:pPr>
            <w:r>
              <w:rPr>
                <w:rFonts w:hint="eastAsia"/>
                <w:color w:val="auto"/>
                <w:szCs w:val="21"/>
                <w:lang w:eastAsia="zh-CN"/>
              </w:rPr>
              <w:t>司城</w:t>
            </w:r>
            <w:r>
              <w:rPr>
                <w:rFonts w:hint="eastAsia"/>
                <w:color w:val="auto"/>
                <w:szCs w:val="21"/>
              </w:rPr>
              <w:t>110kV变电站位于</w:t>
            </w:r>
            <w:r>
              <w:rPr>
                <w:rFonts w:hint="eastAsia"/>
                <w:color w:val="auto"/>
                <w:szCs w:val="21"/>
                <w:lang w:val="en-US" w:eastAsia="zh-CN"/>
              </w:rPr>
              <w:t>巴中市恩阳区登科街道石马社区5组</w:t>
            </w:r>
            <w:r>
              <w:rPr>
                <w:rFonts w:hint="eastAsia"/>
                <w:color w:val="auto"/>
                <w:szCs w:val="21"/>
              </w:rPr>
              <w:t>，周边多</w:t>
            </w:r>
            <w:r>
              <w:rPr>
                <w:rFonts w:hint="eastAsia"/>
                <w:color w:val="auto"/>
                <w:szCs w:val="21"/>
                <w:lang w:val="en-US" w:eastAsia="zh-CN"/>
              </w:rPr>
              <w:t>是农用地、建设用地。</w:t>
            </w:r>
            <w:r>
              <w:rPr>
                <w:rFonts w:hint="eastAsia"/>
                <w:color w:val="auto"/>
                <w:szCs w:val="21"/>
              </w:rPr>
              <w:t>通过前文对环境影响的预测可知，在采取相应环保措施的前提下，变电站产生的环境影响均可以做到达标排放，对周围环境的影响较小。</w:t>
            </w:r>
          </w:p>
          <w:p w14:paraId="5DFC9658">
            <w:pPr>
              <w:spacing w:line="360" w:lineRule="auto"/>
              <w:ind w:firstLine="420" w:firstLineChars="200"/>
              <w:rPr>
                <w:color w:val="auto"/>
                <w:szCs w:val="21"/>
              </w:rPr>
            </w:pPr>
            <w:r>
              <w:rPr>
                <w:color w:val="auto"/>
                <w:szCs w:val="21"/>
              </w:rPr>
              <w:t>该站址具有以下特点：</w:t>
            </w:r>
            <w:r>
              <w:rPr>
                <w:rFonts w:hint="eastAsia" w:ascii="宋体" w:hAnsi="宋体" w:cs="宋体"/>
                <w:color w:val="auto"/>
                <w:szCs w:val="21"/>
              </w:rPr>
              <w:t>①</w:t>
            </w:r>
            <w:r>
              <w:rPr>
                <w:color w:val="auto"/>
                <w:szCs w:val="21"/>
              </w:rPr>
              <w:t>站址附近无军事设施、飞机场等重要无线电保护设施，地势开阔；</w:t>
            </w:r>
            <w:r>
              <w:rPr>
                <w:rFonts w:hint="eastAsia" w:ascii="宋体" w:hAnsi="宋体" w:cs="宋体"/>
                <w:color w:val="auto"/>
                <w:szCs w:val="21"/>
              </w:rPr>
              <w:t>②</w:t>
            </w:r>
            <w:r>
              <w:rPr>
                <w:color w:val="auto"/>
                <w:szCs w:val="21"/>
              </w:rPr>
              <w:t>站址附近无</w:t>
            </w:r>
            <w:r>
              <w:rPr>
                <w:rFonts w:hint="eastAsia"/>
                <w:color w:val="auto"/>
                <w:szCs w:val="21"/>
              </w:rPr>
              <w:t>饮用水源保护区</w:t>
            </w:r>
            <w:r>
              <w:rPr>
                <w:color w:val="auto"/>
                <w:szCs w:val="21"/>
              </w:rPr>
              <w:t>、风景名胜区、自然保护区、森林公园等特殊生态敏感目标；</w:t>
            </w:r>
            <w:r>
              <w:rPr>
                <w:rFonts w:hint="eastAsia" w:ascii="宋体" w:hAnsi="宋体" w:cs="宋体"/>
                <w:color w:val="auto"/>
                <w:szCs w:val="21"/>
              </w:rPr>
              <w:t>③</w:t>
            </w:r>
            <w:r>
              <w:rPr>
                <w:color w:val="auto"/>
                <w:szCs w:val="21"/>
              </w:rPr>
              <w:t>站址附近无地下矿藏、管线，站区范围内无不良地质现象，地质稳定；</w:t>
            </w:r>
            <w:r>
              <w:rPr>
                <w:rFonts w:hint="eastAsia" w:ascii="宋体" w:hAnsi="宋体" w:cs="宋体"/>
                <w:color w:val="auto"/>
                <w:szCs w:val="21"/>
              </w:rPr>
              <w:t>④</w:t>
            </w:r>
            <w:r>
              <w:rPr>
                <w:color w:val="auto"/>
                <w:szCs w:val="21"/>
              </w:rPr>
              <w:t>站址区内构造不发育，场地区域构造稳定；</w:t>
            </w:r>
            <w:r>
              <w:rPr>
                <w:rFonts w:hint="eastAsia" w:ascii="宋体" w:hAnsi="宋体" w:cs="宋体"/>
                <w:color w:val="auto"/>
                <w:szCs w:val="21"/>
              </w:rPr>
              <w:t>⑤</w:t>
            </w:r>
            <w:r>
              <w:rPr>
                <w:color w:val="auto"/>
                <w:szCs w:val="21"/>
              </w:rPr>
              <w:t>站址满足50年一遇防洪需要；</w:t>
            </w:r>
            <w:r>
              <w:rPr>
                <w:rFonts w:hint="eastAsia" w:ascii="宋体" w:hAnsi="宋体" w:cs="宋体"/>
                <w:color w:val="auto"/>
                <w:szCs w:val="21"/>
              </w:rPr>
              <w:t>⑥</w:t>
            </w:r>
            <w:r>
              <w:rPr>
                <w:color w:val="auto"/>
                <w:szCs w:val="21"/>
              </w:rPr>
              <w:t>站址110kV出线通道情况良好</w:t>
            </w:r>
            <w:r>
              <w:rPr>
                <w:rFonts w:hint="eastAsia"/>
                <w:color w:val="auto"/>
                <w:szCs w:val="21"/>
              </w:rPr>
              <w:t>；</w:t>
            </w:r>
            <w:r>
              <w:rPr>
                <w:rFonts w:hint="eastAsia" w:ascii="宋体" w:hAnsi="宋体"/>
                <w:color w:val="auto"/>
                <w:szCs w:val="21"/>
              </w:rPr>
              <w:t>⑦</w:t>
            </w:r>
            <w:r>
              <w:rPr>
                <w:rFonts w:hint="eastAsia"/>
                <w:color w:val="auto"/>
                <w:szCs w:val="21"/>
              </w:rPr>
              <w:t>符合《输变电建设项目环境保护技术要求》（HJ1113-2020）的要求</w:t>
            </w:r>
            <w:r>
              <w:rPr>
                <w:color w:val="auto"/>
                <w:szCs w:val="21"/>
              </w:rPr>
              <w:t>。</w:t>
            </w:r>
          </w:p>
          <w:p w14:paraId="1C987DE6">
            <w:pPr>
              <w:adjustRightInd w:val="0"/>
              <w:spacing w:line="360" w:lineRule="auto"/>
              <w:ind w:firstLine="420" w:firstLineChars="200"/>
              <w:rPr>
                <w:rFonts w:eastAsia="黑体"/>
                <w:color w:val="auto"/>
                <w:szCs w:val="21"/>
              </w:rPr>
            </w:pPr>
            <w:r>
              <w:rPr>
                <w:rFonts w:hint="eastAsia" w:eastAsia="黑体"/>
                <w:color w:val="auto"/>
                <w:szCs w:val="21"/>
              </w:rPr>
              <w:t>综上所述</w:t>
            </w:r>
            <w:r>
              <w:rPr>
                <w:rFonts w:eastAsia="黑体"/>
                <w:color w:val="auto"/>
                <w:szCs w:val="21"/>
              </w:rPr>
              <w:t>，从环境保护角度分析，该站址选择是合理的。</w:t>
            </w:r>
          </w:p>
          <w:p w14:paraId="31011299">
            <w:pPr>
              <w:spacing w:line="360" w:lineRule="auto"/>
              <w:ind w:firstLine="422" w:firstLineChars="200"/>
              <w:rPr>
                <w:b/>
                <w:color w:val="auto"/>
                <w:szCs w:val="21"/>
              </w:rPr>
            </w:pPr>
            <w:r>
              <w:rPr>
                <w:b/>
                <w:color w:val="auto"/>
                <w:szCs w:val="21"/>
              </w:rPr>
              <w:t>2、</w:t>
            </w:r>
            <w:r>
              <w:rPr>
                <w:rFonts w:hint="eastAsia"/>
                <w:b/>
                <w:color w:val="auto"/>
                <w:szCs w:val="21"/>
              </w:rPr>
              <w:t>输电线路</w:t>
            </w:r>
          </w:p>
          <w:p w14:paraId="4152CD23">
            <w:pPr>
              <w:spacing w:line="360" w:lineRule="auto"/>
              <w:ind w:firstLine="420" w:firstLineChars="200"/>
              <w:rPr>
                <w:color w:val="auto"/>
                <w:szCs w:val="21"/>
              </w:rPr>
            </w:pPr>
            <w:r>
              <w:rPr>
                <w:rFonts w:hint="eastAsia"/>
                <w:color w:val="auto"/>
                <w:szCs w:val="21"/>
                <w:lang w:val="en-US" w:eastAsia="zh-CN"/>
              </w:rPr>
              <w:t>根据</w:t>
            </w:r>
            <w:r>
              <w:rPr>
                <w:rFonts w:hint="eastAsia" w:cs="Times New Roman"/>
                <w:color w:val="auto"/>
                <w:szCs w:val="21"/>
                <w:lang w:val="en-US" w:eastAsia="zh-CN"/>
              </w:rPr>
              <w:t>巴中市自</w:t>
            </w:r>
            <w:r>
              <w:rPr>
                <w:rFonts w:hint="eastAsia" w:cs="Times New Roman"/>
                <w:color w:val="auto"/>
                <w:szCs w:val="21"/>
                <w:highlight w:val="none"/>
                <w:lang w:val="en-US" w:eastAsia="zh-CN"/>
              </w:rPr>
              <w:t>然资源和规划局恩阳分局《关于巴中恩阳司城110千伏输变电工程变电站站址及线路路径走廊的复函》（详</w:t>
            </w:r>
            <w:r>
              <w:rPr>
                <w:rFonts w:hint="default" w:ascii="Times New Roman" w:hAnsi="Times New Roman" w:eastAsia="宋体" w:cs="Times New Roman"/>
                <w:color w:val="auto"/>
                <w:szCs w:val="21"/>
                <w:highlight w:val="none"/>
              </w:rPr>
              <w:t>见附件</w:t>
            </w:r>
            <w:r>
              <w:rPr>
                <w:rFonts w:hint="eastAsia" w:cs="Times New Roman"/>
                <w:color w:val="auto"/>
                <w:szCs w:val="21"/>
                <w:highlight w:val="none"/>
                <w:lang w:val="en-US" w:eastAsia="zh-CN"/>
              </w:rPr>
              <w:t>5-1）</w:t>
            </w:r>
            <w:r>
              <w:rPr>
                <w:rFonts w:hint="default"/>
                <w:color w:val="auto"/>
                <w:szCs w:val="21"/>
                <w:highlight w:val="none"/>
                <w:lang w:val="en-US" w:eastAsia="zh-CN"/>
              </w:rPr>
              <w:t>、</w:t>
            </w:r>
            <w:r>
              <w:rPr>
                <w:rFonts w:hint="eastAsia" w:cs="Times New Roman"/>
                <w:color w:val="auto"/>
                <w:szCs w:val="21"/>
                <w:highlight w:val="none"/>
                <w:lang w:val="en-US" w:eastAsia="zh-CN"/>
              </w:rPr>
              <w:t>巴中市自然资源和规划局巴州分局《关于巴中恩阳司城110千伏输变电工程线路路径走廊（巴州区段）的函》（详</w:t>
            </w:r>
            <w:r>
              <w:rPr>
                <w:rFonts w:hint="default" w:ascii="Times New Roman" w:hAnsi="Times New Roman" w:eastAsia="宋体" w:cs="Times New Roman"/>
                <w:color w:val="auto"/>
                <w:szCs w:val="21"/>
                <w:highlight w:val="none"/>
              </w:rPr>
              <w:t>见</w:t>
            </w:r>
            <w:r>
              <w:rPr>
                <w:rFonts w:hint="eastAsia" w:cs="Times New Roman"/>
                <w:color w:val="auto"/>
                <w:szCs w:val="21"/>
                <w:highlight w:val="none"/>
                <w:lang w:val="en-US" w:eastAsia="zh-CN"/>
              </w:rPr>
              <w:t>附件5-2）和南江县自然资源和规划局《关于请予办理巴中恩阳司城110千伏输变电工程线路路径走廊的复函》（详</w:t>
            </w:r>
            <w:r>
              <w:rPr>
                <w:rFonts w:hint="default" w:ascii="Times New Roman" w:hAnsi="Times New Roman" w:eastAsia="宋体" w:cs="Times New Roman"/>
                <w:color w:val="auto"/>
                <w:szCs w:val="21"/>
                <w:highlight w:val="none"/>
              </w:rPr>
              <w:t>见</w:t>
            </w:r>
            <w:r>
              <w:rPr>
                <w:rFonts w:hint="eastAsia" w:cs="Times New Roman"/>
                <w:color w:val="auto"/>
                <w:szCs w:val="21"/>
                <w:highlight w:val="none"/>
                <w:lang w:val="en-US" w:eastAsia="zh-CN"/>
              </w:rPr>
              <w:t>附件5-3），</w:t>
            </w:r>
            <w:r>
              <w:rPr>
                <w:rFonts w:hint="default" w:ascii="Times New Roman" w:hAnsi="Times New Roman" w:eastAsia="宋体" w:cs="Times New Roman"/>
                <w:color w:val="auto"/>
                <w:highlight w:val="none"/>
              </w:rPr>
              <w:t>原则同意</w:t>
            </w:r>
            <w:r>
              <w:rPr>
                <w:rFonts w:hint="eastAsia" w:ascii="Times New Roman" w:hAnsi="Times New Roman" w:eastAsia="宋体" w:cs="Times New Roman"/>
                <w:color w:val="auto"/>
                <w:highlight w:val="none"/>
                <w:lang w:val="en-US" w:eastAsia="zh-CN"/>
              </w:rPr>
              <w:t>了</w:t>
            </w:r>
            <w:r>
              <w:rPr>
                <w:rFonts w:hint="eastAsia" w:cs="Times New Roman"/>
                <w:color w:val="auto"/>
                <w:lang w:eastAsia="zh-CN"/>
              </w:rPr>
              <w:t>巴中恩阳司城</w:t>
            </w:r>
            <w:r>
              <w:rPr>
                <w:rFonts w:hint="default" w:ascii="Times New Roman" w:hAnsi="Times New Roman" w:eastAsia="宋体" w:cs="Times New Roman"/>
                <w:color w:val="auto"/>
              </w:rPr>
              <w:t>110</w:t>
            </w:r>
            <w:r>
              <w:rPr>
                <w:rFonts w:hint="eastAsia" w:ascii="Times New Roman" w:hAnsi="Times New Roman" w:eastAsia="宋体" w:cs="Times New Roman"/>
                <w:color w:val="auto"/>
                <w:lang w:val="en-US" w:eastAsia="zh-CN"/>
              </w:rPr>
              <w:t>千伏</w:t>
            </w:r>
            <w:r>
              <w:rPr>
                <w:rFonts w:hint="default" w:ascii="Times New Roman" w:hAnsi="Times New Roman" w:eastAsia="宋体" w:cs="Times New Roman"/>
                <w:color w:val="auto"/>
              </w:rPr>
              <w:t>输变电工程选址选线方案</w:t>
            </w:r>
            <w:r>
              <w:rPr>
                <w:rFonts w:hint="default"/>
                <w:color w:val="auto"/>
                <w:szCs w:val="21"/>
                <w:lang w:val="en-US" w:eastAsia="zh-CN"/>
              </w:rPr>
              <w:t>。</w:t>
            </w:r>
            <w:r>
              <w:rPr>
                <w:rFonts w:hint="eastAsia" w:cs="Times New Roman"/>
                <w:color w:val="auto"/>
                <w:szCs w:val="21"/>
                <w:highlight w:val="none"/>
                <w:lang w:val="en-US" w:eastAsia="zh-CN"/>
              </w:rPr>
              <w:t>本项目新建输电线路均符合区域规划。</w:t>
            </w:r>
          </w:p>
          <w:p w14:paraId="61C3FFD7">
            <w:pPr>
              <w:adjustRightInd w:val="0"/>
              <w:spacing w:line="360" w:lineRule="auto"/>
              <w:ind w:firstLine="420" w:firstLineChars="200"/>
              <w:rPr>
                <w:color w:val="auto"/>
                <w:szCs w:val="21"/>
              </w:rPr>
            </w:pPr>
            <w:r>
              <w:rPr>
                <w:rFonts w:hint="eastAsia"/>
                <w:color w:val="auto"/>
                <w:szCs w:val="21"/>
              </w:rPr>
              <w:t>根据现场调查及环境影响分析，本项目路径具有以下特点：①</w:t>
            </w:r>
            <w:r>
              <w:rPr>
                <w:color w:val="auto"/>
                <w:szCs w:val="21"/>
                <w:highlight w:val="none"/>
              </w:rPr>
              <w:t>线路不涉及生态保护红线、</w:t>
            </w:r>
            <w:r>
              <w:rPr>
                <w:rFonts w:hint="default" w:ascii="Times New Roman" w:hAnsi="Times New Roman" w:cs="Times New Roman"/>
                <w:color w:val="auto"/>
                <w:szCs w:val="21"/>
                <w:highlight w:val="none"/>
              </w:rPr>
              <w:t>风景名胜区、</w:t>
            </w:r>
            <w:r>
              <w:rPr>
                <w:color w:val="auto"/>
                <w:szCs w:val="21"/>
                <w:highlight w:val="none"/>
              </w:rPr>
              <w:t>世界自然遗产地和国家公园等生态敏感区</w:t>
            </w:r>
            <w:r>
              <w:rPr>
                <w:rFonts w:hint="eastAsia"/>
                <w:color w:val="auto"/>
                <w:szCs w:val="21"/>
              </w:rPr>
              <w:t>；</w:t>
            </w:r>
            <w:r>
              <w:rPr>
                <w:rFonts w:hint="eastAsia"/>
                <w:color w:val="auto"/>
                <w:szCs w:val="21"/>
              </w:rPr>
              <w:fldChar w:fldCharType="begin"/>
            </w:r>
            <w:r>
              <w:rPr>
                <w:rFonts w:hint="eastAsia"/>
                <w:color w:val="auto"/>
                <w:szCs w:val="21"/>
              </w:rPr>
              <w:instrText xml:space="preserve"> = 2 \* GB3 </w:instrText>
            </w:r>
            <w:r>
              <w:rPr>
                <w:rFonts w:hint="eastAsia"/>
                <w:color w:val="auto"/>
                <w:szCs w:val="21"/>
              </w:rPr>
              <w:fldChar w:fldCharType="separate"/>
            </w:r>
            <w:r>
              <w:rPr>
                <w:rFonts w:hint="eastAsia"/>
                <w:color w:val="auto"/>
                <w:szCs w:val="21"/>
              </w:rPr>
              <w:t>②</w:t>
            </w:r>
            <w:r>
              <w:rPr>
                <w:rFonts w:hint="eastAsia"/>
                <w:color w:val="auto"/>
                <w:szCs w:val="21"/>
              </w:rPr>
              <w:fldChar w:fldCharType="end"/>
            </w:r>
            <w:r>
              <w:rPr>
                <w:rFonts w:hint="eastAsia"/>
                <w:color w:val="auto"/>
                <w:szCs w:val="21"/>
              </w:rPr>
              <w:t>尽量缩短线路路径，降低工程造价，尽可能减少与已建送电线路的交叉跨越，以降低停电损失和赔偿费用；</w:t>
            </w:r>
            <w:r>
              <w:rPr>
                <w:rFonts w:hint="eastAsia"/>
                <w:color w:val="auto"/>
                <w:szCs w:val="21"/>
              </w:rPr>
              <w:fldChar w:fldCharType="begin"/>
            </w:r>
            <w:r>
              <w:rPr>
                <w:rFonts w:hint="eastAsia"/>
                <w:color w:val="auto"/>
                <w:szCs w:val="21"/>
              </w:rPr>
              <w:instrText xml:space="preserve"> = 3 \* GB3 </w:instrText>
            </w:r>
            <w:r>
              <w:rPr>
                <w:rFonts w:hint="eastAsia"/>
                <w:color w:val="auto"/>
                <w:szCs w:val="21"/>
              </w:rPr>
              <w:fldChar w:fldCharType="separate"/>
            </w:r>
            <w:r>
              <w:rPr>
                <w:rFonts w:hint="eastAsia"/>
                <w:color w:val="auto"/>
                <w:szCs w:val="21"/>
              </w:rPr>
              <w:t>③</w:t>
            </w:r>
            <w:r>
              <w:rPr>
                <w:rFonts w:hint="eastAsia"/>
                <w:color w:val="auto"/>
                <w:szCs w:val="21"/>
              </w:rPr>
              <w:fldChar w:fldCharType="end"/>
            </w:r>
            <w:r>
              <w:rPr>
                <w:rFonts w:hint="eastAsia"/>
                <w:color w:val="auto"/>
                <w:szCs w:val="21"/>
              </w:rPr>
              <w:t>线路尽量靠近和利用现有公路，以方便运输、施工和生产维护管理，有利于安全巡视；</w:t>
            </w:r>
            <w:r>
              <w:rPr>
                <w:rFonts w:hint="eastAsia"/>
                <w:color w:val="auto"/>
                <w:szCs w:val="21"/>
              </w:rPr>
              <w:fldChar w:fldCharType="begin"/>
            </w:r>
            <w:r>
              <w:rPr>
                <w:rFonts w:hint="eastAsia"/>
                <w:color w:val="auto"/>
                <w:szCs w:val="21"/>
              </w:rPr>
              <w:instrText xml:space="preserve"> = 4 \* GB3 </w:instrText>
            </w:r>
            <w:r>
              <w:rPr>
                <w:rFonts w:hint="eastAsia"/>
                <w:color w:val="auto"/>
                <w:szCs w:val="21"/>
              </w:rPr>
              <w:fldChar w:fldCharType="separate"/>
            </w:r>
            <w:r>
              <w:rPr>
                <w:rFonts w:hint="eastAsia"/>
                <w:color w:val="auto"/>
                <w:szCs w:val="21"/>
              </w:rPr>
              <w:t>④</w:t>
            </w:r>
            <w:r>
              <w:rPr>
                <w:rFonts w:hint="eastAsia"/>
                <w:color w:val="auto"/>
                <w:szCs w:val="21"/>
              </w:rPr>
              <w:fldChar w:fldCharType="end"/>
            </w:r>
            <w:r>
              <w:rPr>
                <w:rFonts w:hint="eastAsia"/>
                <w:color w:val="auto"/>
                <w:szCs w:val="21"/>
              </w:rPr>
              <w:t>选择有利地形，尽量避开施工难度较大和不良地质段，以方便施工，减少线路保护工程量，确保其长期可靠安全运行；</w:t>
            </w:r>
            <w:r>
              <w:rPr>
                <w:rFonts w:hint="eastAsia"/>
                <w:color w:val="auto"/>
                <w:szCs w:val="21"/>
              </w:rPr>
              <w:fldChar w:fldCharType="begin"/>
            </w:r>
            <w:r>
              <w:rPr>
                <w:rFonts w:hint="eastAsia"/>
                <w:color w:val="auto"/>
                <w:szCs w:val="21"/>
              </w:rPr>
              <w:instrText xml:space="preserve"> = 5 \* GB3 </w:instrText>
            </w:r>
            <w:r>
              <w:rPr>
                <w:rFonts w:hint="eastAsia"/>
                <w:color w:val="auto"/>
                <w:szCs w:val="21"/>
              </w:rPr>
              <w:fldChar w:fldCharType="separate"/>
            </w:r>
            <w:r>
              <w:rPr>
                <w:rFonts w:hint="eastAsia"/>
                <w:color w:val="auto"/>
                <w:szCs w:val="21"/>
              </w:rPr>
              <w:t>⑤</w:t>
            </w:r>
            <w:r>
              <w:rPr>
                <w:rFonts w:hint="eastAsia"/>
                <w:color w:val="auto"/>
                <w:szCs w:val="21"/>
              </w:rPr>
              <w:fldChar w:fldCharType="end"/>
            </w:r>
            <w:r>
              <w:rPr>
                <w:rFonts w:hint="eastAsia"/>
                <w:color w:val="auto"/>
                <w:szCs w:val="21"/>
              </w:rPr>
              <w:t>线路沿线采用高塔跨越林木，尽量减少林木的砍伐；⑥线路路径尽量避让集中居民区，对居民的影响满足相应限值要求；</w:t>
            </w:r>
          </w:p>
          <w:p w14:paraId="5711C817">
            <w:pPr>
              <w:spacing w:line="360" w:lineRule="auto"/>
              <w:ind w:firstLine="420" w:firstLineChars="200"/>
              <w:rPr>
                <w:rFonts w:hint="eastAsia" w:eastAsia="黑体"/>
                <w:color w:val="auto"/>
                <w:szCs w:val="21"/>
              </w:rPr>
            </w:pPr>
            <w:r>
              <w:rPr>
                <w:rFonts w:eastAsia="黑体"/>
                <w:color w:val="auto"/>
                <w:szCs w:val="21"/>
              </w:rPr>
              <w:t>综上所述，</w:t>
            </w:r>
            <w:r>
              <w:rPr>
                <w:rFonts w:hint="eastAsia" w:eastAsia="黑体"/>
                <w:color w:val="auto"/>
                <w:szCs w:val="21"/>
              </w:rPr>
              <w:t>从环境制约和环境影响角度分析，本项目线路路径选择合理。</w:t>
            </w:r>
          </w:p>
        </w:tc>
      </w:tr>
    </w:tbl>
    <w:p w14:paraId="71BC9BEF">
      <w:pPr>
        <w:rPr>
          <w:color w:val="FF0000"/>
        </w:rPr>
      </w:pPr>
    </w:p>
    <w:p w14:paraId="3EB82120">
      <w:pPr>
        <w:pStyle w:val="20"/>
        <w:rPr>
          <w:color w:val="FF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14E61EC">
      <w:pPr>
        <w:pStyle w:val="22"/>
        <w:spacing w:before="0" w:beforeAutospacing="0" w:after="0" w:afterAutospacing="0" w:line="360" w:lineRule="auto"/>
        <w:jc w:val="center"/>
        <w:outlineLvl w:val="0"/>
        <w:rPr>
          <w:rFonts w:ascii="Times New Roman" w:hAnsi="Times New Roman" w:eastAsia="黑体"/>
          <w:snapToGrid w:val="0"/>
          <w:color w:val="auto"/>
          <w:sz w:val="30"/>
          <w:szCs w:val="30"/>
        </w:rPr>
      </w:pPr>
      <w:bookmarkStart w:id="41" w:name="_Toc63026908"/>
      <w:r>
        <w:rPr>
          <w:rFonts w:ascii="Times New Roman" w:hAnsi="Times New Roman" w:eastAsia="黑体"/>
          <w:snapToGrid w:val="0"/>
          <w:color w:val="auto"/>
          <w:sz w:val="30"/>
          <w:szCs w:val="30"/>
        </w:rPr>
        <w:t>五、主要生态环境保护措施</w:t>
      </w:r>
      <w:bookmarkEnd w:id="41"/>
    </w:p>
    <w:tbl>
      <w:tblPr>
        <w:tblStyle w:val="25"/>
        <w:tblW w:w="945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4"/>
        <w:gridCol w:w="8800"/>
      </w:tblGrid>
      <w:tr w14:paraId="3308C1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tcMar>
              <w:left w:w="28" w:type="dxa"/>
              <w:right w:w="28" w:type="dxa"/>
            </w:tcMar>
            <w:vAlign w:val="center"/>
          </w:tcPr>
          <w:p w14:paraId="540EAC77">
            <w:pPr>
              <w:jc w:val="center"/>
              <w:rPr>
                <w:bCs/>
                <w:color w:val="FF0000"/>
                <w:szCs w:val="21"/>
              </w:rPr>
            </w:pPr>
            <w:r>
              <w:rPr>
                <w:bCs/>
                <w:color w:val="auto"/>
                <w:spacing w:val="10"/>
                <w:szCs w:val="21"/>
              </w:rPr>
              <w:t>施工期生态环境保护措施</w:t>
            </w:r>
          </w:p>
        </w:tc>
        <w:tc>
          <w:tcPr>
            <w:tcW w:w="8800" w:type="dxa"/>
          </w:tcPr>
          <w:p w14:paraId="23DACE13">
            <w:pPr>
              <w:spacing w:line="360" w:lineRule="auto"/>
              <w:rPr>
                <w:rFonts w:eastAsia="黑体"/>
                <w:color w:val="auto"/>
                <w:szCs w:val="21"/>
              </w:rPr>
            </w:pPr>
            <w:r>
              <w:rPr>
                <w:rFonts w:eastAsia="黑体"/>
                <w:color w:val="auto"/>
                <w:szCs w:val="21"/>
              </w:rPr>
              <w:t>一、</w:t>
            </w:r>
            <w:r>
              <w:rPr>
                <w:rFonts w:hint="eastAsia" w:eastAsia="黑体"/>
                <w:color w:val="auto"/>
                <w:szCs w:val="21"/>
              </w:rPr>
              <w:t>声</w:t>
            </w:r>
            <w:r>
              <w:rPr>
                <w:rFonts w:eastAsia="黑体"/>
                <w:color w:val="auto"/>
                <w:szCs w:val="21"/>
              </w:rPr>
              <w:t>环境保护措施</w:t>
            </w:r>
          </w:p>
          <w:p w14:paraId="63423DD9">
            <w:pPr>
              <w:spacing w:line="360" w:lineRule="auto"/>
              <w:ind w:firstLine="422" w:firstLineChars="200"/>
              <w:rPr>
                <w:b/>
                <w:color w:val="auto"/>
                <w:szCs w:val="21"/>
              </w:rPr>
            </w:pPr>
            <w:r>
              <w:rPr>
                <w:rFonts w:hint="eastAsia"/>
                <w:b/>
                <w:color w:val="auto"/>
                <w:szCs w:val="21"/>
              </w:rPr>
              <w:t>1、变电站</w:t>
            </w:r>
          </w:p>
          <w:p w14:paraId="690BD61D">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（1）变电站施工现场采取的噪声污染防治措施</w:t>
            </w:r>
          </w:p>
          <w:p w14:paraId="52969C7A">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本项目变电站施工期噪声污染防治措施包括以下几方面：</w:t>
            </w:r>
          </w:p>
          <w:p w14:paraId="205CCDAB">
            <w:pPr>
              <w:spacing w:line="360" w:lineRule="auto"/>
              <w:ind w:firstLine="420" w:firstLineChars="200"/>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①合理安排施工机械作业时间和施工工序，缩短高噪声、高振动作业时间，尽量降低施工机械对周围环境形成噪声影响。</w:t>
            </w:r>
            <w:r>
              <w:rPr>
                <w:rFonts w:hint="default" w:ascii="Times New Roman" w:hAnsi="Times New Roman" w:cs="Times New Roman"/>
                <w:bCs/>
                <w:color w:val="000000" w:themeColor="text1"/>
                <w:szCs w:val="21"/>
                <w:highlight w:val="none"/>
                <w14:textFill>
                  <w14:solidFill>
                    <w14:schemeClr w14:val="tx1"/>
                  </w14:solidFill>
                </w14:textFill>
              </w:rPr>
              <w:t>合理安排施工时间，禁止</w:t>
            </w:r>
            <w:r>
              <w:rPr>
                <w:rFonts w:hint="eastAsia"/>
                <w:color w:val="000000" w:themeColor="text1"/>
                <w:lang w:val="en-US" w:eastAsia="zh-CN"/>
                <w14:textFill>
                  <w14:solidFill>
                    <w14:schemeClr w14:val="tx1"/>
                  </w14:solidFill>
                </w14:textFill>
              </w:rPr>
              <w:t>在</w:t>
            </w:r>
            <w:r>
              <w:rPr>
                <w:rFonts w:hint="default" w:ascii="Times New Roman" w:hAnsi="Times New Roman" w:cs="Times New Roman"/>
                <w:bCs/>
                <w:color w:val="000000" w:themeColor="text1"/>
                <w:szCs w:val="21"/>
                <w:highlight w:val="none"/>
                <w14:textFill>
                  <w14:solidFill>
                    <w14:schemeClr w14:val="tx1"/>
                  </w14:solidFill>
                </w14:textFill>
              </w:rPr>
              <w:t>夜间（22:00～次日6:00）和中高考期间进行产生环境噪声污染的施工作业，</w:t>
            </w:r>
            <w:r>
              <w:rPr>
                <w:rFonts w:hint="default" w:ascii="Times New Roman" w:hAnsi="Times New Roman" w:cs="Times New Roman"/>
                <w:color w:val="000000" w:themeColor="text1"/>
                <w:szCs w:val="21"/>
                <w:highlight w:val="none"/>
                <w14:textFill>
                  <w14:solidFill>
                    <w14:schemeClr w14:val="tx1"/>
                  </w14:solidFill>
                </w14:textFill>
              </w:rPr>
              <w:t>因特殊需要必须连续施工作业的，应当取得地方人民政府住房和城乡建设、生态环境主管部门或者地方人民政府指定的部门的证明，并在施工现场显著位置公示或者以其他方式公告附近居民</w:t>
            </w:r>
            <w:r>
              <w:rPr>
                <w:rFonts w:hint="default" w:ascii="Times New Roman" w:hAnsi="Times New Roman" w:cs="Times New Roman"/>
                <w:bCs/>
                <w:color w:val="000000" w:themeColor="text1"/>
                <w:szCs w:val="21"/>
                <w:highlight w:val="none"/>
                <w14:textFill>
                  <w14:solidFill>
                    <w14:schemeClr w14:val="tx1"/>
                  </w14:solidFill>
                </w14:textFill>
              </w:rPr>
              <w:t>。</w:t>
            </w:r>
          </w:p>
          <w:p w14:paraId="24FF9FA5">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选用低噪声的机械设备和工法，并做好设备维护工作，按操作规范操作机械设备，尽量减少碰撞噪声，在施工现场装卸建筑材料的，应当采取减轻噪声的作业方式，对工人进行环保方面的教育。尽量少用哨子、钟、笛等指挥作业。</w:t>
            </w:r>
          </w:p>
          <w:p w14:paraId="51D45321">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w:t>
            </w:r>
            <w:r>
              <w:rPr>
                <w:rFonts w:hint="default" w:ascii="Times New Roman" w:hAnsi="Times New Roman" w:cs="Times New Roman"/>
                <w:color w:val="000000" w:themeColor="text1"/>
                <w:szCs w:val="21"/>
                <w:highlight w:val="none"/>
                <w:lang w:val="en-US" w:eastAsia="zh-CN"/>
                <w14:textFill>
                  <w14:solidFill>
                    <w14:schemeClr w14:val="tx1"/>
                  </w14:solidFill>
                </w14:textFill>
              </w:rPr>
              <w:t>施工前先修筑围挡，并尽快修建围墙</w:t>
            </w:r>
            <w:r>
              <w:rPr>
                <w:rFonts w:hint="default" w:ascii="Times New Roman" w:hAnsi="Times New Roman" w:cs="Times New Roman"/>
                <w:color w:val="000000" w:themeColor="text1"/>
                <w:szCs w:val="21"/>
                <w:highlight w:val="none"/>
                <w14:textFill>
                  <w14:solidFill>
                    <w14:schemeClr w14:val="tx1"/>
                  </w14:solidFill>
                </w14:textFill>
              </w:rPr>
              <w:t>。</w:t>
            </w:r>
          </w:p>
          <w:p w14:paraId="3ABD7F6B">
            <w:pPr>
              <w:pStyle w:val="24"/>
              <w:spacing w:after="0" w:line="360" w:lineRule="auto"/>
              <w:ind w:left="0" w:leftChars="0"/>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④</w:t>
            </w:r>
            <w:r>
              <w:rPr>
                <w:rFonts w:hint="default" w:ascii="Times New Roman" w:hAnsi="Times New Roman" w:cs="Times New Roman"/>
                <w:color w:val="000000" w:themeColor="text1"/>
                <w:szCs w:val="21"/>
                <w:highlight w:val="none"/>
                <w:lang w:val="en-US" w:eastAsia="zh-CN"/>
                <w14:textFill>
                  <w14:solidFill>
                    <w14:schemeClr w14:val="tx1"/>
                  </w14:solidFill>
                </w14:textFill>
              </w:rPr>
              <w:t>避免碾压机械、挖土机等高噪声设备同时施工</w:t>
            </w:r>
            <w:r>
              <w:rPr>
                <w:rFonts w:hint="default" w:ascii="Times New Roman" w:hAnsi="Times New Roman" w:cs="Times New Roman"/>
                <w:color w:val="000000" w:themeColor="text1"/>
                <w:szCs w:val="21"/>
                <w:highlight w:val="none"/>
                <w14:textFill>
                  <w14:solidFill>
                    <w14:schemeClr w14:val="tx1"/>
                  </w14:solidFill>
                </w14:textFill>
              </w:rPr>
              <w:t>。</w:t>
            </w:r>
          </w:p>
          <w:p w14:paraId="57FF3981">
            <w:pPr>
              <w:pStyle w:val="24"/>
              <w:spacing w:after="0" w:line="360" w:lineRule="auto"/>
              <w:ind w:left="0" w:leftChars="0"/>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⑤</w:t>
            </w:r>
            <w:r>
              <w:rPr>
                <w:rFonts w:hint="default" w:ascii="Times New Roman" w:hAnsi="Times New Roman" w:cs="Times New Roman"/>
                <w:color w:val="000000" w:themeColor="text1"/>
                <w:szCs w:val="21"/>
                <w:highlight w:val="none"/>
                <w14:textFill>
                  <w14:solidFill>
                    <w14:schemeClr w14:val="tx1"/>
                  </w14:solidFill>
                </w14:textFill>
              </w:rPr>
              <w:t>尽可能将高噪声源强施工机具布置在站址</w:t>
            </w:r>
            <w:r>
              <w:rPr>
                <w:rFonts w:hint="eastAsia" w:cs="Times New Roman"/>
                <w:color w:val="000000" w:themeColor="text1"/>
                <w:szCs w:val="21"/>
                <w:highlight w:val="none"/>
                <w:lang w:val="en-US" w:eastAsia="zh-CN"/>
                <w14:textFill>
                  <w14:solidFill>
                    <w14:schemeClr w14:val="tx1"/>
                  </w14:solidFill>
                </w14:textFill>
              </w:rPr>
              <w:t>中央区域</w:t>
            </w:r>
            <w:r>
              <w:rPr>
                <w:rFonts w:hint="default" w:ascii="Times New Roman" w:hAnsi="Times New Roman" w:cs="Times New Roman"/>
                <w:color w:val="000000" w:themeColor="text1"/>
                <w:szCs w:val="21"/>
                <w:highlight w:val="none"/>
                <w14:textFill>
                  <w14:solidFill>
                    <w14:schemeClr w14:val="tx1"/>
                  </w14:solidFill>
                </w14:textFill>
              </w:rPr>
              <w:t>，远离</w:t>
            </w:r>
            <w:r>
              <w:rPr>
                <w:rFonts w:hint="eastAsia" w:cs="Times New Roman"/>
                <w:color w:val="000000" w:themeColor="text1"/>
                <w:szCs w:val="21"/>
                <w:highlight w:val="none"/>
                <w:lang w:val="en-US" w:eastAsia="zh-CN"/>
                <w14:textFill>
                  <w14:solidFill>
                    <w14:schemeClr w14:val="tx1"/>
                  </w14:solidFill>
                </w14:textFill>
              </w:rPr>
              <w:t>站界</w:t>
            </w:r>
            <w:r>
              <w:rPr>
                <w:rFonts w:hint="default" w:ascii="Times New Roman" w:hAnsi="Times New Roman" w:cs="Times New Roman"/>
                <w:color w:val="000000" w:themeColor="text1"/>
                <w:szCs w:val="21"/>
                <w:highlight w:val="none"/>
                <w14:textFill>
                  <w14:solidFill>
                    <w14:schemeClr w14:val="tx1"/>
                  </w14:solidFill>
                </w14:textFill>
              </w:rPr>
              <w:t>。</w:t>
            </w:r>
          </w:p>
          <w:p w14:paraId="1B7C0A35">
            <w:pPr>
              <w:keepNext/>
              <w:keepLines/>
              <w:spacing w:line="360" w:lineRule="auto"/>
              <w:ind w:firstLine="420" w:firstLineChars="200"/>
              <w:outlineLvl w:val="9"/>
              <w:rPr>
                <w:rFonts w:hint="default" w:ascii="Times New Roman" w:hAnsi="Times New Roman" w:cs="Times New Roman"/>
                <w:color w:val="auto"/>
                <w:szCs w:val="21"/>
                <w:highlight w:val="none"/>
              </w:rPr>
            </w:pPr>
            <w:r>
              <w:rPr>
                <w:rFonts w:hint="default" w:ascii="Times New Roman" w:hAnsi="Times New Roman" w:cs="Times New Roman"/>
                <w:color w:val="auto"/>
                <w:szCs w:val="21"/>
                <w:lang w:val="en-US" w:eastAsia="zh-CN"/>
              </w:rPr>
              <w:t>⑥</w:t>
            </w:r>
            <w:r>
              <w:rPr>
                <w:rFonts w:hint="default" w:ascii="Times New Roman" w:hAnsi="Times New Roman" w:cs="Times New Roman"/>
                <w:color w:val="auto"/>
                <w:szCs w:val="21"/>
                <w:highlight w:val="none"/>
              </w:rPr>
              <w:t>文明施工，在装卸、搬运钢管、模板等时严禁抛掷。</w:t>
            </w:r>
          </w:p>
          <w:p w14:paraId="7EC0615F">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（2）变电站施工交通噪声防治措施</w:t>
            </w:r>
          </w:p>
          <w:p w14:paraId="7C2BF2E6">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施工期交通运输对环境影响较大，采取了以下措施：</w:t>
            </w:r>
          </w:p>
          <w:p w14:paraId="5B8EFD57">
            <w:pPr>
              <w:spacing w:line="360" w:lineRule="auto"/>
              <w:ind w:firstLine="420" w:firstLineChars="200"/>
              <w:rPr>
                <w:color w:val="auto"/>
                <w:szCs w:val="21"/>
              </w:rPr>
            </w:pPr>
            <w:r>
              <w:rPr>
                <w:rFonts w:hint="default" w:ascii="Times New Roman" w:hAnsi="Times New Roman" w:cs="Times New Roman"/>
                <w:color w:val="000000" w:themeColor="text1"/>
                <w:szCs w:val="21"/>
                <w:highlight w:val="none"/>
                <w14:textFill>
                  <w14:solidFill>
                    <w14:schemeClr w14:val="tx1"/>
                  </w14:solidFill>
                </w14:textFill>
              </w:rPr>
              <w:t>①在施工工作面铺设草袋等，以减少车辆与路面摩擦产生噪声；②适当限制大型载重车的车速，尤其进入噪声敏感区时应限速；③对运输车辆定期维修、养护；④合理安排运输路线和时间，运输车辆临近敏感点时低速行驶、禁止鸣笛；⑤加强与周围居民沟通，防止扰民纠纷。</w:t>
            </w:r>
          </w:p>
          <w:p w14:paraId="2A16952E">
            <w:pPr>
              <w:spacing w:line="360" w:lineRule="auto"/>
              <w:ind w:firstLine="422" w:firstLineChars="200"/>
              <w:rPr>
                <w:b/>
                <w:color w:val="auto"/>
                <w:szCs w:val="21"/>
              </w:rPr>
            </w:pPr>
            <w:r>
              <w:rPr>
                <w:rFonts w:hint="eastAsia"/>
                <w:b/>
                <w:color w:val="auto"/>
                <w:szCs w:val="21"/>
              </w:rPr>
              <w:t>2、输电线路</w:t>
            </w:r>
          </w:p>
          <w:p w14:paraId="2F842F47">
            <w:pPr>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①选用低噪声施工设备，并采取有效的减振、隔声等措施；</w:t>
            </w:r>
          </w:p>
          <w:p w14:paraId="7B681340">
            <w:pPr>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②施工单位在施工过程中应合理进行施工总平布置，将主要高噪声作业点置于场地中央，充分利用施工场地的距离衰减作用缓解噪声影响，确保施工噪声场界处实现达标排放；</w:t>
            </w:r>
          </w:p>
          <w:p w14:paraId="7885716E">
            <w:pPr>
              <w:spacing w:line="360" w:lineRule="auto"/>
              <w:ind w:firstLine="420" w:firstLineChars="200"/>
              <w:jc w:val="left"/>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③文明施工，在装卸、搬运钢管、模板等时严禁抛掷。</w:t>
            </w:r>
          </w:p>
          <w:p w14:paraId="0C5B92C1">
            <w:pPr>
              <w:spacing w:line="360" w:lineRule="auto"/>
              <w:ind w:firstLine="420" w:firstLineChars="200"/>
              <w:rPr>
                <w:color w:val="auto"/>
                <w:szCs w:val="21"/>
              </w:rPr>
            </w:pPr>
            <w:r>
              <w:rPr>
                <w:rFonts w:hint="default" w:ascii="Times New Roman" w:hAnsi="Times New Roman" w:cs="Times New Roman"/>
                <w:color w:val="000000" w:themeColor="text1"/>
                <w:szCs w:val="21"/>
                <w:highlight w:val="none"/>
                <w14:textFill>
                  <w14:solidFill>
                    <w14:schemeClr w14:val="tx1"/>
                  </w14:solidFill>
                </w14:textFill>
              </w:rPr>
              <w:t>④合理安排施工时间，夜间22:00至次日06:00及中高考期间严禁施工，杜绝出现夜间施工噪声污染影响。因特殊需要必须连续施工作业的，应当取得地方人民政府住房和城乡建设、生态环境主管部门或者地方人民政府指定的部门的证明，并在施工现场显著位置公示或者以其他方式公告附近居民</w:t>
            </w:r>
            <w:r>
              <w:rPr>
                <w:rFonts w:hint="eastAsia"/>
                <w:color w:val="auto"/>
                <w:szCs w:val="21"/>
              </w:rPr>
              <w:t>。</w:t>
            </w:r>
          </w:p>
          <w:p w14:paraId="0807AA58">
            <w:pPr>
              <w:spacing w:line="360" w:lineRule="auto"/>
              <w:rPr>
                <w:rFonts w:eastAsia="黑体"/>
                <w:color w:val="auto"/>
                <w:szCs w:val="21"/>
              </w:rPr>
            </w:pPr>
            <w:r>
              <w:rPr>
                <w:rFonts w:eastAsia="黑体"/>
                <w:color w:val="auto"/>
                <w:szCs w:val="21"/>
              </w:rPr>
              <w:t>二、大气环境保护措施</w:t>
            </w:r>
          </w:p>
          <w:p w14:paraId="2CC3740C">
            <w:pPr>
              <w:spacing w:line="360" w:lineRule="auto"/>
              <w:ind w:firstLine="420" w:firstLineChars="200"/>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在施工期间，建设单位和施工单位应参照《四川省〈中华人民共和国大气污染防治法〉实施办法》</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lang w:val="en-US" w:eastAsia="zh-CN"/>
              </w:rPr>
              <w:t>《四川省建筑工程扬尘污染防治技术导则（试行）》（川建发〔2018〕16号）</w:t>
            </w:r>
            <w:r>
              <w:rPr>
                <w:rFonts w:hint="eastAsia" w:ascii="Times New Roman" w:hAnsi="Times New Roman" w:eastAsia="宋体" w:cs="Times New Roman"/>
                <w:color w:val="auto"/>
                <w:szCs w:val="21"/>
                <w:lang w:val="en-US" w:eastAsia="zh-CN"/>
              </w:rPr>
              <w:t>和《巴中市扬尘污染防治条例》</w:t>
            </w:r>
            <w:r>
              <w:rPr>
                <w:rFonts w:hint="default" w:ascii="Times New Roman" w:hAnsi="Times New Roman" w:eastAsia="宋体" w:cs="Times New Roman"/>
                <w:color w:val="auto"/>
                <w:szCs w:val="21"/>
                <w:lang w:val="en-US" w:eastAsia="zh-CN"/>
              </w:rPr>
              <w:t>等相关要求采取相应的扬尘控制措施</w:t>
            </w:r>
            <w:r>
              <w:rPr>
                <w:rFonts w:hint="eastAsia" w:ascii="Times New Roman" w:hAnsi="Times New Roman" w:eastAsia="宋体" w:cs="Times New Roman"/>
                <w:color w:val="auto"/>
                <w:szCs w:val="21"/>
                <w:lang w:val="en-US" w:eastAsia="zh-CN"/>
              </w:rPr>
              <w:t>：</w:t>
            </w:r>
          </w:p>
          <w:p w14:paraId="007D220D">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（1）施工场地扬尘防治措施</w:t>
            </w:r>
          </w:p>
          <w:p w14:paraId="6F2C9930">
            <w:pPr>
              <w:spacing w:line="360" w:lineRule="auto"/>
              <w:ind w:firstLine="420" w:firstLineChars="200"/>
              <w:rPr>
                <w:rFonts w:hint="default" w:ascii="Times New Roman" w:hAnsi="Times New Roman" w:cs="Times New Roman"/>
                <w:color w:val="auto"/>
                <w:szCs w:val="21"/>
                <w:lang w:eastAsia="zh-CN"/>
              </w:rPr>
            </w:pPr>
            <w:r>
              <w:rPr>
                <w:rFonts w:hint="default" w:ascii="Times New Roman" w:hAnsi="Times New Roman" w:cs="Times New Roman"/>
                <w:color w:val="auto"/>
                <w:szCs w:val="21"/>
              </w:rPr>
              <w:t>①施工单位应当制定具体的施工扬尘污染防治实施方案，落实施工扬尘污染防治措施，按照有关规定使用扬尘污染防治费用</w:t>
            </w:r>
            <w:r>
              <w:rPr>
                <w:rFonts w:hint="default" w:ascii="Times New Roman" w:hAnsi="Times New Roman" w:cs="Times New Roman"/>
                <w:color w:val="auto"/>
                <w:szCs w:val="21"/>
                <w:lang w:eastAsia="zh-CN"/>
              </w:rPr>
              <w:t>；</w:t>
            </w:r>
          </w:p>
          <w:p w14:paraId="6294802E">
            <w:pPr>
              <w:spacing w:line="360" w:lineRule="auto"/>
              <w:ind w:firstLine="420" w:firstLineChars="200"/>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eastAsia="zh-CN"/>
              </w:rPr>
              <w:t>②</w:t>
            </w:r>
            <w:r>
              <w:rPr>
                <w:rFonts w:hint="default" w:ascii="Times New Roman" w:hAnsi="Times New Roman" w:cs="Times New Roman"/>
                <w:color w:val="auto"/>
                <w:szCs w:val="21"/>
                <w:lang w:val="en-US" w:eastAsia="zh-CN"/>
              </w:rPr>
              <w:t>合理组织施工，尽量避免扬尘二次污染；</w:t>
            </w:r>
          </w:p>
          <w:p w14:paraId="771CECAE">
            <w:pPr>
              <w:spacing w:line="360" w:lineRule="auto"/>
              <w:ind w:firstLine="420" w:firstLineChars="200"/>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③运输车辆限制车速；</w:t>
            </w:r>
          </w:p>
          <w:p w14:paraId="74DC8B3C">
            <w:pPr>
              <w:spacing w:line="360" w:lineRule="auto"/>
              <w:ind w:firstLine="420" w:firstLineChars="20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eastAsia="zh-CN"/>
              </w:rPr>
              <w:t>④</w:t>
            </w:r>
            <w:r>
              <w:rPr>
                <w:rFonts w:hint="default" w:ascii="Times New Roman" w:hAnsi="Times New Roman" w:cs="Times New Roman"/>
                <w:color w:val="auto"/>
                <w:szCs w:val="21"/>
                <w:lang w:val="en-US" w:eastAsia="zh-CN"/>
              </w:rPr>
              <w:t>应</w:t>
            </w:r>
            <w:r>
              <w:rPr>
                <w:rFonts w:hint="default" w:ascii="Times New Roman" w:hAnsi="Times New Roman" w:cs="Times New Roman"/>
                <w:color w:val="auto"/>
                <w:szCs w:val="21"/>
              </w:rPr>
              <w:t>使用商品混凝土</w:t>
            </w:r>
            <w:r>
              <w:rPr>
                <w:rFonts w:hint="default" w:ascii="Times New Roman" w:hAnsi="Times New Roman" w:cs="Times New Roman"/>
                <w:color w:val="auto"/>
                <w:szCs w:val="21"/>
                <w:lang w:eastAsia="zh-CN"/>
              </w:rPr>
              <w:t>；</w:t>
            </w:r>
          </w:p>
          <w:p w14:paraId="158B1059">
            <w:pPr>
              <w:spacing w:line="360" w:lineRule="auto"/>
              <w:ind w:firstLine="420" w:firstLineChars="200"/>
              <w:rPr>
                <w:rFonts w:hint="default" w:ascii="Times New Roman" w:hAnsi="Times New Roman" w:cs="Times New Roman"/>
                <w:color w:val="auto"/>
                <w:szCs w:val="21"/>
                <w:lang w:eastAsia="zh-CN"/>
              </w:rPr>
            </w:pPr>
            <w:r>
              <w:rPr>
                <w:rFonts w:hint="default" w:ascii="Times New Roman" w:hAnsi="Times New Roman" w:cs="Times New Roman"/>
                <w:color w:val="auto"/>
                <w:szCs w:val="21"/>
                <w:lang w:eastAsia="zh-CN"/>
              </w:rPr>
              <w:t>⑤</w:t>
            </w:r>
            <w:r>
              <w:rPr>
                <w:rFonts w:hint="default" w:ascii="Times New Roman" w:hAnsi="Times New Roman" w:cs="Times New Roman"/>
                <w:color w:val="auto"/>
                <w:sz w:val="21"/>
                <w:szCs w:val="21"/>
                <w:highlight w:val="none"/>
                <w:lang w:val="en-US" w:eastAsia="zh-CN"/>
              </w:rPr>
              <w:t>施工过程中，建设单位应当对裸露地面进行覆盖；暂时不能开工的建设用地超过三个月的，应当进行绿化、铺装或者遮盖</w:t>
            </w:r>
            <w:r>
              <w:rPr>
                <w:rFonts w:hint="default" w:ascii="Times New Roman" w:hAnsi="Times New Roman" w:cs="Times New Roman"/>
                <w:color w:val="auto"/>
                <w:szCs w:val="21"/>
                <w:lang w:val="en-US" w:eastAsia="zh-CN"/>
              </w:rPr>
              <w:t>；</w:t>
            </w:r>
          </w:p>
          <w:p w14:paraId="2E683BBA">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⑥土方施工、主体施工等时，采取洒水、喷淋、冲洗、湿法工艺等降尘措施；</w:t>
            </w:r>
          </w:p>
          <w:p w14:paraId="105571A6">
            <w:pPr>
              <w:spacing w:line="360" w:lineRule="auto"/>
              <w:ind w:firstLine="420" w:firstLineChars="200"/>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⑦</w:t>
            </w:r>
            <w:r>
              <w:rPr>
                <w:rFonts w:hint="default" w:ascii="Times New Roman" w:hAnsi="Times New Roman" w:cs="Times New Roman"/>
                <w:color w:val="auto"/>
                <w:sz w:val="21"/>
                <w:szCs w:val="21"/>
                <w:highlight w:val="none"/>
                <w:lang w:eastAsia="zh-CN"/>
              </w:rPr>
              <w:t>施工过程中，应当加强对施工现场和物料运输的管理，管控料堆和</w:t>
            </w:r>
            <w:r>
              <w:rPr>
                <w:rFonts w:hint="default" w:ascii="Times New Roman" w:hAnsi="Times New Roman" w:cs="Times New Roman"/>
                <w:color w:val="auto"/>
                <w:sz w:val="21"/>
                <w:szCs w:val="21"/>
                <w:highlight w:val="none"/>
                <w:lang w:val="en-US" w:eastAsia="zh-CN"/>
              </w:rPr>
              <w:t>余方</w:t>
            </w:r>
            <w:r>
              <w:rPr>
                <w:rFonts w:hint="default" w:ascii="Times New Roman" w:hAnsi="Times New Roman" w:cs="Times New Roman"/>
                <w:color w:val="auto"/>
                <w:sz w:val="21"/>
                <w:szCs w:val="21"/>
                <w:highlight w:val="none"/>
                <w:lang w:eastAsia="zh-CN"/>
              </w:rPr>
              <w:t>堆放，对易起尘的临时堆土应采用密闭式防尘布（网）进行苫盖，施工面集中且有条件的地方宜采取洒水降尘等有效措施</w:t>
            </w:r>
            <w:r>
              <w:rPr>
                <w:rFonts w:hint="default" w:ascii="Times New Roman" w:hAnsi="Times New Roman" w:cs="Times New Roman"/>
                <w:color w:val="auto"/>
                <w:szCs w:val="21"/>
                <w:lang w:val="en-US" w:eastAsia="zh-CN"/>
              </w:rPr>
              <w:t>；</w:t>
            </w:r>
          </w:p>
          <w:p w14:paraId="26381BE9">
            <w:pPr>
              <w:spacing w:line="360" w:lineRule="auto"/>
              <w:ind w:firstLine="420" w:firstLineChars="200"/>
              <w:rPr>
                <w:rFonts w:hint="default" w:ascii="Times New Roman" w:hAnsi="Times New Roman" w:cs="Times New Roman"/>
                <w:color w:val="auto"/>
                <w:szCs w:val="21"/>
                <w:lang w:val="en-US" w:eastAsia="zh-CN"/>
              </w:rPr>
            </w:pPr>
            <w:r>
              <w:rPr>
                <w:rFonts w:hint="default" w:ascii="Times New Roman" w:hAnsi="Times New Roman" w:eastAsia="宋体" w:cs="Times New Roman"/>
                <w:color w:val="auto"/>
                <w:szCs w:val="21"/>
              </w:rPr>
              <w:t>⑧</w:t>
            </w:r>
            <w:r>
              <w:rPr>
                <w:rFonts w:hint="default" w:ascii="Times New Roman" w:hAnsi="Times New Roman" w:cs="Times New Roman"/>
                <w:color w:val="auto"/>
                <w:szCs w:val="21"/>
                <w:lang w:val="en-US" w:eastAsia="zh-CN"/>
              </w:rPr>
              <w:t>建设单位应在施工合同中确定扬尘污染防治目标及施工单位扬尘污染防治责任，施工作业人员上岗前，施工单位应组织以国家法律法规、技术规范、管理制度和操作规程为主要内容的扬尘防治入场教育培训和考核等；</w:t>
            </w:r>
          </w:p>
          <w:p w14:paraId="48495BF7">
            <w:pPr>
              <w:spacing w:line="360" w:lineRule="auto"/>
              <w:ind w:firstLine="420" w:firstLineChars="200"/>
              <w:rPr>
                <w:rFonts w:hint="default" w:ascii="Times New Roman" w:hAnsi="Times New Roman" w:cs="Times New Roman"/>
                <w:color w:val="auto"/>
                <w:szCs w:val="21"/>
                <w:lang w:val="en-US" w:eastAsia="zh-CN"/>
              </w:rPr>
            </w:pPr>
            <w:r>
              <w:rPr>
                <w:rFonts w:hint="default" w:ascii="Times New Roman" w:hAnsi="Times New Roman" w:eastAsia="微软雅黑" w:cs="Times New Roman"/>
                <w:color w:val="auto"/>
                <w:szCs w:val="21"/>
                <w:lang w:val="en-US" w:eastAsia="zh-CN"/>
              </w:rPr>
              <w:t>⑨</w:t>
            </w:r>
            <w:r>
              <w:rPr>
                <w:rFonts w:hint="default" w:ascii="Times New Roman" w:hAnsi="Times New Roman" w:cs="Times New Roman"/>
                <w:color w:val="auto"/>
                <w:szCs w:val="21"/>
                <w:lang w:val="en-US" w:eastAsia="zh-CN"/>
              </w:rPr>
              <w:t>施工过程中，施工单位应落实扬尘管理责任人，加强施工扬尘防治，积极配合上级环境主管部门的监管工作。</w:t>
            </w:r>
          </w:p>
          <w:p w14:paraId="37120206">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（2）运输扬尘防治措施</w:t>
            </w:r>
          </w:p>
          <w:p w14:paraId="70B97430">
            <w:pPr>
              <w:spacing w:line="360" w:lineRule="auto"/>
              <w:ind w:firstLine="420" w:firstLineChars="200"/>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①对施工材料、建筑垃圾等运输车辆应</w:t>
            </w:r>
            <w:r>
              <w:rPr>
                <w:rFonts w:hint="default" w:ascii="Times New Roman" w:hAnsi="Times New Roman" w:cs="Times New Roman"/>
                <w:color w:val="auto"/>
                <w:sz w:val="21"/>
                <w:szCs w:val="21"/>
                <w:highlight w:val="none"/>
                <w:lang w:val="en-US" w:eastAsia="zh-CN"/>
              </w:rPr>
              <w:t>采用密闭式防尘布（网）进行苫盖</w:t>
            </w:r>
            <w:r>
              <w:rPr>
                <w:rFonts w:hint="default" w:ascii="Times New Roman" w:hAnsi="Times New Roman" w:cs="Times New Roman"/>
                <w:color w:val="auto"/>
                <w:szCs w:val="21"/>
                <w:lang w:val="en-US" w:eastAsia="zh-CN"/>
              </w:rPr>
              <w:t>，严格控制装载量，装载的高度不得超过车辆</w:t>
            </w:r>
            <w:r>
              <w:rPr>
                <w:rFonts w:hint="eastAsia" w:cs="Times New Roman"/>
                <w:color w:val="auto"/>
                <w:szCs w:val="21"/>
                <w:lang w:val="en-US" w:eastAsia="zh-CN"/>
              </w:rPr>
              <w:t>挡板</w:t>
            </w:r>
            <w:r>
              <w:rPr>
                <w:rFonts w:hint="default" w:ascii="Times New Roman" w:hAnsi="Times New Roman" w:cs="Times New Roman"/>
                <w:color w:val="auto"/>
                <w:szCs w:val="21"/>
                <w:lang w:val="en-US" w:eastAsia="zh-CN"/>
              </w:rPr>
              <w:t>，防止撒落；</w:t>
            </w:r>
          </w:p>
          <w:p w14:paraId="353EA163">
            <w:pPr>
              <w:spacing w:line="360" w:lineRule="auto"/>
              <w:ind w:firstLine="420" w:firstLineChars="200"/>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②运输车辆经过村庄应减速缓行，严禁超速；</w:t>
            </w:r>
          </w:p>
          <w:p w14:paraId="13CA4AE0">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③</w:t>
            </w:r>
            <w:r>
              <w:rPr>
                <w:rFonts w:hint="default" w:ascii="Times New Roman" w:hAnsi="Times New Roman" w:cs="Times New Roman"/>
                <w:color w:val="auto"/>
                <w:szCs w:val="21"/>
              </w:rPr>
              <w:t>运输路线尽量避免穿越人口集中区、商业繁华区等敏感地段。</w:t>
            </w:r>
          </w:p>
          <w:p w14:paraId="32334979">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（3）燃油废气的消减与控制</w:t>
            </w:r>
          </w:p>
          <w:p w14:paraId="0783A48E">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施工期间，运输车辆大部分使用汽（柴）油</w:t>
            </w:r>
            <w:r>
              <w:rPr>
                <w:rFonts w:hint="default" w:ascii="Times New Roman" w:hAnsi="Times New Roman" w:cs="Times New Roman"/>
                <w:color w:val="auto"/>
                <w:szCs w:val="21"/>
                <w:lang w:eastAsia="zh-CN"/>
              </w:rPr>
              <w:t>作为</w:t>
            </w:r>
            <w:r>
              <w:rPr>
                <w:rFonts w:hint="default" w:ascii="Times New Roman" w:hAnsi="Times New Roman" w:cs="Times New Roman"/>
                <w:color w:val="auto"/>
                <w:szCs w:val="21"/>
              </w:rPr>
              <w:t>燃料，尾气产生量与污染物含量相对较高，为了减轻尾气对周围环境的影响，施工单位应采取如下措施进行尾气控制：</w:t>
            </w:r>
          </w:p>
          <w:p w14:paraId="4EA379F0">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①</w:t>
            </w:r>
            <w:r>
              <w:rPr>
                <w:rFonts w:hint="eastAsia" w:cs="Times New Roman"/>
                <w:color w:val="auto"/>
                <w:szCs w:val="21"/>
                <w:lang w:val="en-US" w:eastAsia="zh-CN"/>
              </w:rPr>
              <w:t>选用</w:t>
            </w:r>
            <w:r>
              <w:rPr>
                <w:rFonts w:hint="default" w:ascii="Times New Roman" w:hAnsi="Times New Roman" w:cs="Times New Roman"/>
                <w:color w:val="auto"/>
                <w:szCs w:val="21"/>
              </w:rPr>
              <w:t>尾气排放达到国家规定的排放标准</w:t>
            </w:r>
            <w:r>
              <w:rPr>
                <w:rFonts w:hint="eastAsia" w:cs="Times New Roman"/>
                <w:color w:val="auto"/>
                <w:szCs w:val="21"/>
                <w:lang w:val="en-US" w:eastAsia="zh-CN"/>
              </w:rPr>
              <w:t>的施工车辆、施工机械，使用优质燃料</w:t>
            </w:r>
            <w:r>
              <w:rPr>
                <w:rFonts w:hint="default" w:ascii="Times New Roman" w:hAnsi="Times New Roman" w:cs="Times New Roman"/>
                <w:color w:val="auto"/>
                <w:szCs w:val="21"/>
              </w:rPr>
              <w:t>；</w:t>
            </w:r>
          </w:p>
          <w:p w14:paraId="798EFA74">
            <w:pPr>
              <w:spacing w:line="36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lang w:val="en-US" w:eastAsia="zh-CN"/>
              </w:rPr>
              <w:t>②</w:t>
            </w:r>
            <w:r>
              <w:rPr>
                <w:rFonts w:hint="default" w:ascii="Times New Roman" w:hAnsi="Times New Roman" w:cs="Times New Roman"/>
                <w:color w:val="auto"/>
                <w:szCs w:val="21"/>
              </w:rPr>
              <w:t>运输线路尽量不穿越人群集中居住区。</w:t>
            </w:r>
          </w:p>
          <w:p w14:paraId="111DFE5E">
            <w:pPr>
              <w:spacing w:line="360" w:lineRule="auto"/>
              <w:rPr>
                <w:rFonts w:eastAsia="黑体"/>
                <w:color w:val="auto"/>
                <w:szCs w:val="21"/>
              </w:rPr>
            </w:pPr>
            <w:r>
              <w:rPr>
                <w:rFonts w:eastAsia="黑体"/>
                <w:color w:val="auto"/>
                <w:szCs w:val="21"/>
              </w:rPr>
              <w:t>三、水环境保护措施</w:t>
            </w:r>
          </w:p>
          <w:p w14:paraId="7BFC86BF">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①施工单位应严格执行《建设工程施工地文明施工及环境管理暂行规定》，对施工废水进行妥善处理，</w:t>
            </w:r>
            <w:r>
              <w:rPr>
                <w:rFonts w:hint="default" w:ascii="Times New Roman" w:hAnsi="Times New Roman" w:cs="Times New Roman"/>
                <w:color w:val="000000" w:themeColor="text1"/>
                <w:szCs w:val="21"/>
                <w:lang w:val="en-US" w:eastAsia="zh-CN"/>
                <w14:textFill>
                  <w14:solidFill>
                    <w14:schemeClr w14:val="tx1"/>
                  </w14:solidFill>
                </w14:textFill>
              </w:rPr>
              <w:t>施工设备冲洗废水经沉淀池沉淀处理后</w:t>
            </w:r>
            <w:r>
              <w:rPr>
                <w:rFonts w:hint="default" w:ascii="Times New Roman" w:hAnsi="Times New Roman" w:cs="Times New Roman"/>
                <w:color w:val="000000" w:themeColor="text1"/>
                <w:szCs w:val="21"/>
                <w14:textFill>
                  <w14:solidFill>
                    <w14:schemeClr w14:val="tx1"/>
                  </w14:solidFill>
                </w14:textFill>
              </w:rPr>
              <w:t>用于施工现场的洒水降尘</w:t>
            </w:r>
            <w:r>
              <w:rPr>
                <w:rFonts w:hint="default" w:ascii="Times New Roman" w:hAnsi="Times New Roman"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val="en-US" w:eastAsia="zh-CN"/>
                <w14:textFill>
                  <w14:solidFill>
                    <w14:schemeClr w14:val="tx1"/>
                  </w14:solidFill>
                </w14:textFill>
              </w:rPr>
              <w:t>不外排</w:t>
            </w:r>
            <w:r>
              <w:rPr>
                <w:rFonts w:hint="eastAsia" w:ascii="Times New Roman" w:hAnsi="Times New Roman" w:cs="Times New Roman"/>
                <w:color w:val="000000" w:themeColor="text1"/>
                <w:szCs w:val="21"/>
                <w:lang w:val="en-US" w:eastAsia="zh-CN"/>
                <w14:textFill>
                  <w14:solidFill>
                    <w14:schemeClr w14:val="tx1"/>
                  </w14:solidFill>
                </w14:textFill>
              </w:rPr>
              <w:t>，</w:t>
            </w:r>
            <w:r>
              <w:rPr>
                <w:rFonts w:hint="eastAsia" w:cs="Times New Roman"/>
                <w:color w:val="000000" w:themeColor="text1"/>
                <w:szCs w:val="21"/>
                <w:lang w:val="en-US" w:eastAsia="zh-CN"/>
                <w14:textFill>
                  <w14:solidFill>
                    <w14:schemeClr w14:val="tx1"/>
                  </w14:solidFill>
                </w14:textFill>
              </w:rPr>
              <w:t>施工过程产生的泥浆废水利用施工临时场地设置的沉淀池处理后</w:t>
            </w:r>
            <w:r>
              <w:rPr>
                <w:rFonts w:hint="default" w:ascii="Times New Roman" w:hAnsi="Times New Roman" w:cs="Times New Roman"/>
                <w:color w:val="000000" w:themeColor="text1"/>
                <w:szCs w:val="21"/>
                <w14:textFill>
                  <w14:solidFill>
                    <w14:schemeClr w14:val="tx1"/>
                  </w14:solidFill>
                </w14:textFill>
              </w:rPr>
              <w:t>用于施工现场的洒水降尘</w:t>
            </w:r>
            <w:r>
              <w:rPr>
                <w:rFonts w:hint="default" w:ascii="Times New Roman" w:hAnsi="Times New Roman" w:cs="Times New Roman"/>
                <w:color w:val="000000" w:themeColor="text1"/>
                <w:szCs w:val="21"/>
                <w:lang w:eastAsia="zh-CN"/>
                <w14:textFill>
                  <w14:solidFill>
                    <w14:schemeClr w14:val="tx1"/>
                  </w14:solidFill>
                </w14:textFill>
              </w:rPr>
              <w:t>，</w:t>
            </w:r>
            <w:r>
              <w:rPr>
                <w:rFonts w:hint="default" w:ascii="Times New Roman" w:hAnsi="Times New Roman" w:cs="Times New Roman"/>
                <w:color w:val="000000" w:themeColor="text1"/>
                <w:szCs w:val="21"/>
                <w:lang w:val="en-US" w:eastAsia="zh-CN"/>
                <w14:textFill>
                  <w14:solidFill>
                    <w14:schemeClr w14:val="tx1"/>
                  </w14:solidFill>
                </w14:textFill>
              </w:rPr>
              <w:t>不外排</w:t>
            </w:r>
            <w:r>
              <w:rPr>
                <w:rFonts w:hint="eastAsia" w:ascii="Times New Roman" w:hAnsi="Times New Roman" w:cs="Times New Roman"/>
                <w:color w:val="000000" w:themeColor="text1"/>
                <w:szCs w:val="21"/>
                <w:lang w:val="en-US"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严禁施工废水乱排、乱流，做到文明施工。</w:t>
            </w:r>
          </w:p>
          <w:p w14:paraId="7DA9F04F">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w:t>
            </w:r>
            <w:r>
              <w:rPr>
                <w:rFonts w:hint="eastAsia" w:cs="Times New Roman"/>
                <w:color w:val="000000" w:themeColor="text1"/>
                <w:szCs w:val="21"/>
                <w:highlight w:val="none"/>
                <w:lang w:val="en-US" w:eastAsia="zh-CN"/>
                <w14:textFill>
                  <w14:solidFill>
                    <w14:schemeClr w14:val="tx1"/>
                  </w14:solidFill>
                </w14:textFill>
              </w:rPr>
              <w:t>司城110kV变电站</w:t>
            </w:r>
            <w:r>
              <w:rPr>
                <w:rFonts w:hint="default" w:ascii="Times New Roman" w:hAnsi="Times New Roman" w:cs="Times New Roman"/>
                <w:color w:val="000000" w:themeColor="text1"/>
                <w:szCs w:val="21"/>
                <w:highlight w:val="none"/>
                <w14:textFill>
                  <w14:solidFill>
                    <w14:schemeClr w14:val="tx1"/>
                  </w14:solidFill>
                </w14:textFill>
              </w:rPr>
              <w:t>新建工程施工人员产生的生活污水通过设置施工旱厕收集后用作农肥使用，不</w:t>
            </w:r>
            <w:r>
              <w:rPr>
                <w:rFonts w:hint="default" w:ascii="Times New Roman" w:hAnsi="Times New Roman" w:cs="Times New Roman"/>
                <w:color w:val="000000" w:themeColor="text1"/>
                <w:kern w:val="0"/>
                <w:highlight w:val="none"/>
                <w14:textFill>
                  <w14:solidFill>
                    <w14:schemeClr w14:val="tx1"/>
                  </w14:solidFill>
                </w14:textFill>
              </w:rPr>
              <w:t>外排；</w:t>
            </w:r>
            <w:r>
              <w:rPr>
                <w:rFonts w:hint="default" w:ascii="Times New Roman" w:hAnsi="Times New Roman" w:cs="Times New Roman"/>
                <w:color w:val="000000" w:themeColor="text1"/>
                <w:highlight w:val="none"/>
                <w14:textFill>
                  <w14:solidFill>
                    <w14:schemeClr w14:val="tx1"/>
                  </w14:solidFill>
                </w14:textFill>
              </w:rPr>
              <w:t>输电线路施工人员产生的生活污水相对较少且分散，依托租用民房已有污水处理设施处理，处理后用作农肥，不外排</w:t>
            </w:r>
            <w:r>
              <w:rPr>
                <w:rFonts w:hint="default" w:ascii="Times New Roman" w:hAnsi="Times New Roman" w:cs="Times New Roman"/>
                <w:color w:val="000000" w:themeColor="text1"/>
                <w:szCs w:val="21"/>
                <w:highlight w:val="none"/>
                <w14:textFill>
                  <w14:solidFill>
                    <w14:schemeClr w14:val="tx1"/>
                  </w14:solidFill>
                </w14:textFill>
              </w:rPr>
              <w:t>。</w:t>
            </w:r>
          </w:p>
          <w:p w14:paraId="007F54C8">
            <w:pPr>
              <w:spacing w:line="360" w:lineRule="auto"/>
              <w:ind w:firstLine="420" w:firstLineChars="200"/>
              <w:rPr>
                <w:color w:val="auto"/>
                <w:szCs w:val="21"/>
              </w:rPr>
            </w:pPr>
            <w:r>
              <w:rPr>
                <w:rFonts w:hint="eastAsia" w:cs="Times New Roman"/>
                <w:color w:val="000000" w:themeColor="text1"/>
                <w:szCs w:val="21"/>
                <w:highlight w:val="none"/>
                <w:lang w:val="en-US" w:eastAsia="zh-CN"/>
                <w14:textFill>
                  <w14:solidFill>
                    <w14:schemeClr w14:val="tx1"/>
                  </w14:solidFill>
                </w14:textFill>
              </w:rPr>
              <w:t>③合理选择架线位置，采取一档跨越河流，并采用飞艇或无人机放线方式，不在水域范围内立塔，且不涉水施工</w:t>
            </w:r>
            <w:r>
              <w:rPr>
                <w:rFonts w:hint="eastAsia"/>
                <w:color w:val="auto"/>
                <w:szCs w:val="21"/>
                <w:lang w:val="en-US" w:eastAsia="zh-CN"/>
              </w:rPr>
              <w:t>。</w:t>
            </w:r>
          </w:p>
          <w:p w14:paraId="765435A1">
            <w:pPr>
              <w:spacing w:line="360" w:lineRule="auto"/>
              <w:rPr>
                <w:rFonts w:eastAsia="黑体"/>
                <w:color w:val="auto"/>
                <w:szCs w:val="21"/>
              </w:rPr>
            </w:pPr>
            <w:r>
              <w:rPr>
                <w:rFonts w:hint="eastAsia" w:eastAsia="黑体"/>
                <w:color w:val="auto"/>
                <w:szCs w:val="21"/>
              </w:rPr>
              <w:t>四</w:t>
            </w:r>
            <w:r>
              <w:rPr>
                <w:rFonts w:eastAsia="黑体"/>
                <w:color w:val="auto"/>
                <w:szCs w:val="21"/>
              </w:rPr>
              <w:t>、</w:t>
            </w:r>
            <w:r>
              <w:rPr>
                <w:rFonts w:hint="eastAsia" w:eastAsia="黑体"/>
                <w:color w:val="auto"/>
                <w:szCs w:val="21"/>
              </w:rPr>
              <w:t>固体废弃物防治</w:t>
            </w:r>
            <w:r>
              <w:rPr>
                <w:rFonts w:eastAsia="黑体"/>
                <w:color w:val="auto"/>
                <w:szCs w:val="21"/>
              </w:rPr>
              <w:t>措施</w:t>
            </w:r>
          </w:p>
          <w:p w14:paraId="66CC3A23">
            <w:pPr>
              <w:spacing w:line="360" w:lineRule="auto"/>
              <w:ind w:firstLine="420" w:firstLineChars="200"/>
              <w:rPr>
                <w:rFonts w:hint="eastAsia"/>
                <w:color w:val="auto"/>
                <w:szCs w:val="21"/>
              </w:rPr>
            </w:pPr>
            <w:r>
              <w:rPr>
                <w:rFonts w:hint="eastAsia"/>
                <w:color w:val="auto"/>
                <w:szCs w:val="21"/>
              </w:rPr>
              <w:t>①本项目变电站</w:t>
            </w:r>
            <w:r>
              <w:rPr>
                <w:rFonts w:hint="default" w:ascii="Times New Roman" w:hAnsi="Times New Roman" w:cs="Times New Roman"/>
                <w:color w:val="auto"/>
                <w:szCs w:val="21"/>
                <w:highlight w:val="none"/>
                <w:lang w:val="en-US" w:eastAsia="zh-CN"/>
              </w:rPr>
              <w:t>工程可以做到土石方平衡，线路工程</w:t>
            </w:r>
            <w:r>
              <w:rPr>
                <w:rFonts w:hint="eastAsia" w:cs="Times New Roman"/>
                <w:color w:val="auto"/>
                <w:szCs w:val="21"/>
                <w:highlight w:val="none"/>
                <w:lang w:val="en-US" w:eastAsia="zh-CN"/>
              </w:rPr>
              <w:t>产生</w:t>
            </w:r>
            <w:r>
              <w:rPr>
                <w:rFonts w:hint="default" w:ascii="Times New Roman" w:hAnsi="Times New Roman" w:cs="Times New Roman"/>
                <w:color w:val="auto"/>
                <w:szCs w:val="21"/>
                <w:highlight w:val="none"/>
                <w:lang w:eastAsia="zh-CN"/>
              </w:rPr>
              <w:t>余方</w:t>
            </w:r>
            <w:r>
              <w:rPr>
                <w:rFonts w:hint="default" w:ascii="Times New Roman" w:hAnsi="Times New Roman" w:cs="Times New Roman"/>
                <w:color w:val="auto"/>
                <w:szCs w:val="21"/>
                <w:highlight w:val="none"/>
              </w:rPr>
              <w:t>就地进行平整回填</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本项目不设置弃土场</w:t>
            </w:r>
            <w:r>
              <w:rPr>
                <w:rFonts w:hint="default" w:ascii="Times New Roman" w:hAnsi="Times New Roman" w:cs="Times New Roman"/>
                <w:color w:val="auto"/>
                <w:szCs w:val="21"/>
                <w:highlight w:val="none"/>
                <w:lang w:eastAsia="zh-CN"/>
              </w:rPr>
              <w:t>、取土场</w:t>
            </w:r>
            <w:r>
              <w:rPr>
                <w:rFonts w:hint="default" w:ascii="Times New Roman" w:hAnsi="Times New Roman" w:cs="Times New Roman"/>
                <w:color w:val="auto"/>
                <w:szCs w:val="21"/>
                <w:highlight w:val="none"/>
              </w:rPr>
              <w:t>。</w:t>
            </w:r>
          </w:p>
          <w:p w14:paraId="53E52240">
            <w:pPr>
              <w:spacing w:line="360" w:lineRule="auto"/>
              <w:ind w:firstLine="420" w:firstLineChars="200"/>
              <w:rPr>
                <w:rFonts w:hint="eastAsia"/>
                <w:color w:val="auto"/>
                <w:szCs w:val="21"/>
              </w:rPr>
            </w:pPr>
            <w:r>
              <w:rPr>
                <w:rFonts w:hint="eastAsia"/>
                <w:color w:val="auto"/>
                <w:szCs w:val="21"/>
              </w:rPr>
              <w:t>②施工场地应及时进行清理和固体废物清运，不得丢弃在施工现场。</w:t>
            </w:r>
          </w:p>
          <w:p w14:paraId="6A652BCB">
            <w:pPr>
              <w:spacing w:line="360" w:lineRule="auto"/>
              <w:ind w:firstLine="420" w:firstLineChars="200"/>
              <w:rPr>
                <w:rFonts w:hint="eastAsia"/>
                <w:color w:val="auto"/>
                <w:szCs w:val="21"/>
              </w:rPr>
            </w:pPr>
            <w:r>
              <w:rPr>
                <w:rFonts w:hint="eastAsia" w:ascii="宋体" w:hAnsi="宋体"/>
                <w:color w:val="auto"/>
                <w:szCs w:val="21"/>
              </w:rPr>
              <w:t>③</w:t>
            </w:r>
            <w:r>
              <w:rPr>
                <w:color w:val="auto"/>
                <w:szCs w:val="21"/>
                <w:highlight w:val="none"/>
              </w:rPr>
              <w:t>生活垃圾集中收集后交由环卫统一清运</w:t>
            </w:r>
            <w:r>
              <w:rPr>
                <w:rFonts w:hint="eastAsia"/>
                <w:color w:val="auto"/>
                <w:szCs w:val="21"/>
                <w:highlight w:val="none"/>
                <w:lang w:eastAsia="zh-CN"/>
              </w:rPr>
              <w:t>，</w:t>
            </w:r>
            <w:r>
              <w:rPr>
                <w:color w:val="auto"/>
                <w:szCs w:val="21"/>
                <w:highlight w:val="none"/>
              </w:rPr>
              <w:t>为避免施工垃圾及生活垃圾对环境造成影响，在工程施工前应做好施工机构及施工人员的环保培训。明确要求施工过程中的建筑垃圾及生活垃圾应分别收集堆放，其中建筑垃圾可回收部分回收利用，</w:t>
            </w:r>
            <w:r>
              <w:rPr>
                <w:color w:val="auto"/>
                <w:highlight w:val="none"/>
              </w:rPr>
              <w:t>不能回收利用的部分运至指定的</w:t>
            </w:r>
            <w:r>
              <w:rPr>
                <w:rFonts w:hint="eastAsia"/>
                <w:color w:val="auto"/>
                <w:szCs w:val="21"/>
                <w:highlight w:val="none"/>
              </w:rPr>
              <w:t>市政建筑垃圾堆场处置</w:t>
            </w:r>
            <w:r>
              <w:rPr>
                <w:rFonts w:hint="eastAsia"/>
                <w:color w:val="auto"/>
                <w:szCs w:val="21"/>
              </w:rPr>
              <w:t>。</w:t>
            </w:r>
          </w:p>
          <w:p w14:paraId="4032867C">
            <w:pPr>
              <w:spacing w:line="360" w:lineRule="auto"/>
              <w:rPr>
                <w:rFonts w:eastAsia="黑体"/>
                <w:color w:val="auto"/>
                <w:szCs w:val="21"/>
              </w:rPr>
            </w:pPr>
            <w:r>
              <w:rPr>
                <w:rFonts w:hint="eastAsia" w:eastAsia="黑体"/>
                <w:color w:val="auto"/>
                <w:szCs w:val="21"/>
              </w:rPr>
              <w:t>五</w:t>
            </w:r>
            <w:r>
              <w:rPr>
                <w:rFonts w:eastAsia="黑体"/>
                <w:color w:val="auto"/>
                <w:szCs w:val="21"/>
              </w:rPr>
              <w:t>、</w:t>
            </w:r>
            <w:r>
              <w:rPr>
                <w:rFonts w:hint="eastAsia" w:eastAsia="黑体"/>
                <w:color w:val="auto"/>
                <w:szCs w:val="21"/>
              </w:rPr>
              <w:t>生态</w:t>
            </w:r>
            <w:r>
              <w:rPr>
                <w:rFonts w:eastAsia="黑体"/>
                <w:color w:val="auto"/>
                <w:szCs w:val="21"/>
              </w:rPr>
              <w:t>环境保护措施</w:t>
            </w:r>
          </w:p>
          <w:p w14:paraId="4AB9747E">
            <w:pPr>
              <w:spacing w:line="360" w:lineRule="auto"/>
              <w:ind w:firstLine="422" w:firstLineChars="200"/>
              <w:rPr>
                <w:b/>
                <w:color w:val="auto"/>
                <w:szCs w:val="21"/>
              </w:rPr>
            </w:pPr>
            <w:r>
              <w:rPr>
                <w:rFonts w:hint="eastAsia"/>
                <w:b/>
                <w:color w:val="auto"/>
                <w:szCs w:val="21"/>
              </w:rPr>
              <w:t>1、变电站</w:t>
            </w:r>
          </w:p>
          <w:p w14:paraId="49BE20F0">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color w:val="000000" w:themeColor="text1"/>
                <w:szCs w:val="21"/>
                <w:highlight w:val="none"/>
                <w:lang w:val="en-US" w:eastAsia="zh-CN"/>
                <w14:textFill>
                  <w14:solidFill>
                    <w14:schemeClr w14:val="tx1"/>
                  </w14:solidFill>
                </w14:textFill>
              </w:rPr>
              <w:t>施工活动集中在征地范围内</w:t>
            </w:r>
            <w:r>
              <w:rPr>
                <w:rFonts w:hint="default" w:ascii="Times New Roman" w:hAnsi="Times New Roman" w:cs="Times New Roman"/>
                <w:color w:val="000000" w:themeColor="text1"/>
                <w:szCs w:val="21"/>
                <w:highlight w:val="none"/>
                <w14:textFill>
                  <w14:solidFill>
                    <w14:schemeClr w14:val="tx1"/>
                  </w14:solidFill>
                </w14:textFill>
              </w:rPr>
              <w:t>。</w:t>
            </w:r>
          </w:p>
          <w:p w14:paraId="47CB2294">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w:t>
            </w:r>
            <w:r>
              <w:rPr>
                <w:rFonts w:hint="default" w:ascii="Times New Roman" w:hAnsi="Times New Roman" w:cs="Times New Roman"/>
                <w:color w:val="000000" w:themeColor="text1"/>
                <w:szCs w:val="21"/>
                <w:highlight w:val="none"/>
                <w:lang w:val="en-US" w:eastAsia="zh-CN"/>
                <w14:textFill>
                  <w14:solidFill>
                    <w14:schemeClr w14:val="tx1"/>
                  </w14:solidFill>
                </w14:textFill>
              </w:rPr>
              <w:t>站区四周设置浆砌块石排水沟及边坡，并在边坡上进行绿化</w:t>
            </w:r>
            <w:r>
              <w:rPr>
                <w:rFonts w:hint="default" w:ascii="Times New Roman" w:hAnsi="Times New Roman" w:cs="Times New Roman"/>
                <w:color w:val="000000" w:themeColor="text1"/>
                <w:szCs w:val="21"/>
                <w:highlight w:val="none"/>
                <w14:textFill>
                  <w14:solidFill>
                    <w14:schemeClr w14:val="tx1"/>
                  </w14:solidFill>
                </w14:textFill>
              </w:rPr>
              <w:t>。</w:t>
            </w:r>
          </w:p>
          <w:p w14:paraId="75C42830">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w:t>
            </w:r>
            <w:r>
              <w:rPr>
                <w:rFonts w:hint="default" w:ascii="Times New Roman" w:hAnsi="Times New Roman" w:cs="Times New Roman"/>
                <w:color w:val="000000" w:themeColor="text1"/>
                <w:szCs w:val="21"/>
                <w:highlight w:val="none"/>
                <w:lang w:val="en-US" w:eastAsia="zh-CN"/>
                <w14:textFill>
                  <w14:solidFill>
                    <w14:schemeClr w14:val="tx1"/>
                  </w14:solidFill>
                </w14:textFill>
              </w:rPr>
              <w:t>施工前应先建围挡和排水沟，减少地表径流侵蚀</w:t>
            </w:r>
            <w:r>
              <w:rPr>
                <w:rFonts w:hint="default" w:ascii="Times New Roman" w:hAnsi="Times New Roman" w:cs="Times New Roman"/>
                <w:color w:val="000000" w:themeColor="text1"/>
                <w:szCs w:val="21"/>
                <w:highlight w:val="none"/>
                <w14:textFill>
                  <w14:solidFill>
                    <w14:schemeClr w14:val="tx1"/>
                  </w14:solidFill>
                </w14:textFill>
              </w:rPr>
              <w:t>。</w:t>
            </w:r>
          </w:p>
          <w:p w14:paraId="5CFDA245">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w:t>
            </w:r>
            <w:r>
              <w:rPr>
                <w:rFonts w:hint="default" w:ascii="Times New Roman" w:hAnsi="Times New Roman" w:cs="Times New Roman"/>
                <w:color w:val="000000" w:themeColor="text1"/>
                <w:szCs w:val="21"/>
                <w:highlight w:val="none"/>
                <w:lang w:val="en-US" w:eastAsia="zh-CN"/>
                <w14:textFill>
                  <w14:solidFill>
                    <w14:schemeClr w14:val="tx1"/>
                  </w14:solidFill>
                </w14:textFill>
              </w:rPr>
              <w:t>施工前对站址区域进行表土剥离，将表层的熟土和下部的生土分开堆放，并对剥离的表土进行养护，供后期复耕或绿化使用</w:t>
            </w:r>
            <w:r>
              <w:rPr>
                <w:rFonts w:hint="default" w:ascii="Times New Roman" w:hAnsi="Times New Roman" w:cs="Times New Roman"/>
                <w:color w:val="000000" w:themeColor="text1"/>
                <w:szCs w:val="21"/>
                <w:highlight w:val="none"/>
                <w14:textFill>
                  <w14:solidFill>
                    <w14:schemeClr w14:val="tx1"/>
                  </w14:solidFill>
                </w14:textFill>
              </w:rPr>
              <w:t>。</w:t>
            </w:r>
          </w:p>
          <w:p w14:paraId="6CA6034B">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w:t>
            </w:r>
            <w:r>
              <w:rPr>
                <w:rFonts w:hint="default" w:ascii="Times New Roman" w:hAnsi="Times New Roman" w:cs="Times New Roman"/>
                <w:color w:val="000000" w:themeColor="text1"/>
                <w:szCs w:val="21"/>
                <w:highlight w:val="none"/>
                <w:lang w:val="en-US" w:eastAsia="zh-CN"/>
                <w14:textFill>
                  <w14:solidFill>
                    <w14:schemeClr w14:val="tx1"/>
                  </w14:solidFill>
                </w14:textFill>
              </w:rPr>
              <w:t>变电站站区土石方挖填平衡，不对外弃土</w:t>
            </w:r>
            <w:r>
              <w:rPr>
                <w:rFonts w:hint="default" w:ascii="Times New Roman" w:hAnsi="Times New Roman" w:cs="Times New Roman"/>
                <w:color w:val="000000" w:themeColor="text1"/>
                <w:szCs w:val="21"/>
                <w:highlight w:val="none"/>
                <w14:textFill>
                  <w14:solidFill>
                    <w14:schemeClr w14:val="tx1"/>
                  </w14:solidFill>
                </w14:textFill>
              </w:rPr>
              <w:t>。</w:t>
            </w:r>
          </w:p>
          <w:p w14:paraId="252B6531">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⑥避开雨季施工，减少雨水对场地开挖面的冲刷造成水土流失。</w:t>
            </w:r>
          </w:p>
          <w:p w14:paraId="7FCB3D59">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⑦变电站施工期应设置临时建筑材料的堆放场地，及时做好临时堆放场地的植被防护措施。变电站施工结束后，对破坏的现场植被（草皮）及时进行恢复，可消除工程建设产生的生态环境影响。</w:t>
            </w:r>
          </w:p>
          <w:p w14:paraId="372902CF">
            <w:pPr>
              <w:spacing w:line="360" w:lineRule="auto"/>
              <w:ind w:firstLine="422" w:firstLineChars="200"/>
              <w:rPr>
                <w:rFonts w:hint="default" w:ascii="Times New Roman" w:hAnsi="Times New Roman" w:cs="Times New Roman"/>
                <w:b/>
                <w:color w:val="000000" w:themeColor="text1"/>
                <w:szCs w:val="21"/>
                <w:highlight w:val="none"/>
                <w14:textFill>
                  <w14:solidFill>
                    <w14:schemeClr w14:val="tx1"/>
                  </w14:solidFill>
                </w14:textFill>
              </w:rPr>
            </w:pPr>
            <w:r>
              <w:rPr>
                <w:rFonts w:hint="default" w:ascii="Times New Roman" w:hAnsi="Times New Roman" w:cs="Times New Roman"/>
                <w:b/>
                <w:color w:val="000000" w:themeColor="text1"/>
                <w:szCs w:val="21"/>
                <w:highlight w:val="none"/>
                <w14:textFill>
                  <w14:solidFill>
                    <w14:schemeClr w14:val="tx1"/>
                  </w14:solidFill>
                </w14:textFill>
              </w:rPr>
              <w:t>2、输电线路</w:t>
            </w:r>
          </w:p>
          <w:p w14:paraId="1C0CB669">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（1）主体工程</w:t>
            </w:r>
          </w:p>
          <w:p w14:paraId="3E7EE604">
            <w:pPr>
              <w:spacing w:line="360" w:lineRule="auto"/>
              <w:ind w:firstLine="420" w:firstLineChars="200"/>
              <w:rPr>
                <w:rFonts w:hint="eastAsia" w:eastAsia="宋体"/>
                <w:color w:val="000000" w:themeColor="text1"/>
                <w:szCs w:val="21"/>
                <w:highlight w:val="yellow"/>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按设计规程需要砍伐的树，应留下树根及灌木草丛</w:t>
            </w:r>
            <w:r>
              <w:rPr>
                <w:rFonts w:hint="eastAsia"/>
                <w:color w:val="000000" w:themeColor="text1"/>
                <w:szCs w:val="21"/>
                <w:highlight w:val="none"/>
                <w:lang w:eastAsia="zh-CN"/>
                <w14:textFill>
                  <w14:solidFill>
                    <w14:schemeClr w14:val="tx1"/>
                  </w14:solidFill>
                </w14:textFill>
              </w:rPr>
              <w:t>；</w:t>
            </w:r>
          </w:p>
          <w:p w14:paraId="1B3200B5">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②基</w:t>
            </w:r>
            <w:r>
              <w:rPr>
                <w:rFonts w:hint="eastAsia"/>
                <w:color w:val="000000" w:themeColor="text1"/>
                <w:highlight w:val="none"/>
                <w14:textFill>
                  <w14:solidFill>
                    <w14:schemeClr w14:val="tx1"/>
                  </w14:solidFill>
                </w14:textFill>
              </w:rPr>
              <w:t>础施工时根据基础形式尽量减少开挖量，保护地质稳定性。施工完毕后，应尽快进行植被恢复</w:t>
            </w:r>
            <w:r>
              <w:rPr>
                <w:rFonts w:hint="eastAsia"/>
                <w:color w:val="000000" w:themeColor="text1"/>
                <w:szCs w:val="21"/>
                <w:highlight w:val="none"/>
                <w:lang w:eastAsia="zh-CN"/>
                <w14:textFill>
                  <w14:solidFill>
                    <w14:schemeClr w14:val="tx1"/>
                  </w14:solidFill>
                </w14:textFill>
              </w:rPr>
              <w:t>；</w:t>
            </w:r>
          </w:p>
          <w:p w14:paraId="2C5D6F03">
            <w:pPr>
              <w:spacing w:line="360"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③铁塔设计时采用全方位高低腿铁塔和高低基础配合使用，在土质条件适宜的情况下，优先采用挖孔桩基础，减少基坑开挖量及平台开挖量；</w:t>
            </w:r>
          </w:p>
          <w:p w14:paraId="57C8FEA0">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④</w:t>
            </w:r>
            <w:r>
              <w:rPr>
                <w:color w:val="000000" w:themeColor="text1"/>
                <w:szCs w:val="21"/>
                <w:highlight w:val="none"/>
                <w14:textFill>
                  <w14:solidFill>
                    <w14:schemeClr w14:val="tx1"/>
                  </w14:solidFill>
                </w14:textFill>
              </w:rPr>
              <w:t>施工采取张力放紧线，放紧线时间宜安排在农作物收获以后，减少农作物的损失</w:t>
            </w:r>
            <w:r>
              <w:rPr>
                <w:rFonts w:hint="eastAsia"/>
                <w:color w:val="000000" w:themeColor="text1"/>
                <w:szCs w:val="21"/>
                <w:highlight w:val="none"/>
                <w:lang w:eastAsia="zh-CN"/>
                <w14:textFill>
                  <w14:solidFill>
                    <w14:schemeClr w14:val="tx1"/>
                  </w14:solidFill>
                </w14:textFill>
              </w:rPr>
              <w:t>；</w:t>
            </w:r>
          </w:p>
          <w:p w14:paraId="7CB3CFAB">
            <w:pPr>
              <w:spacing w:line="360"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⑤</w:t>
            </w:r>
            <w:r>
              <w:rPr>
                <w:color w:val="000000" w:themeColor="text1"/>
                <w:szCs w:val="21"/>
                <w:highlight w:val="none"/>
                <w14:textFill>
                  <w14:solidFill>
                    <w14:schemeClr w14:val="tx1"/>
                  </w14:solidFill>
                </w14:textFill>
              </w:rPr>
              <w:t>施工用房应利用现有房屋设施，减少临时建房占地引起的水土流失量。</w:t>
            </w:r>
          </w:p>
          <w:p w14:paraId="1B2B119C">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（2）塔基</w:t>
            </w:r>
          </w:p>
          <w:p w14:paraId="5E4D9160">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塔基基位设置应避开不良地质段，合理确定基面范围。施工时应优先采用原状土基础，采用全方位主柱加高基础。</w:t>
            </w:r>
          </w:p>
          <w:p w14:paraId="5E4B6C63">
            <w:pPr>
              <w:spacing w:line="360"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基面开挖</w:t>
            </w:r>
          </w:p>
          <w:p w14:paraId="40D63A42">
            <w:pPr>
              <w:spacing w:line="360" w:lineRule="auto"/>
              <w:ind w:firstLine="420" w:firstLineChars="200"/>
              <w:rPr>
                <w:color w:val="000000" w:themeColor="text1"/>
                <w:szCs w:val="21"/>
                <w:highlight w:val="none"/>
                <w14:textFill>
                  <w14:solidFill>
                    <w14:schemeClr w14:val="tx1"/>
                  </w14:solidFill>
                </w14:textFill>
              </w:rPr>
            </w:pPr>
            <w:r>
              <w:rPr>
                <w:rFonts w:hint="default" w:ascii="Times New Roman" w:hAnsi="Times New Roman" w:cs="Times New Roman"/>
                <w:color w:val="auto"/>
                <w:szCs w:val="21"/>
                <w:highlight w:val="none"/>
              </w:rPr>
              <w:t>凡能开挖成型的基坑，均采用以“坑壁”代替基础底模板方式开挖，减少开挖量。对位于边坡等地质条件差的塔位，基础施工禁用爆破方式，应采用人工开挖。为保护表土资源，提高线路各施工区复耕或植被恢复效果，主体工程设计考虑在各场地施工前，对具有表土剥离条件的土地进行表土剥离。剥离表土集中堆放于塔基施工区，与基础开挖土方分开堆存，待施工后期覆土。</w:t>
            </w:r>
            <w:r>
              <w:rPr>
                <w:rFonts w:hint="default" w:ascii="Times New Roman" w:hAnsi="Times New Roman" w:cs="Times New Roman"/>
                <w:color w:val="auto"/>
                <w:szCs w:val="21"/>
                <w:highlight w:val="none"/>
                <w:lang w:val="en-US" w:eastAsia="zh-CN"/>
              </w:rPr>
              <w:t>根据施工</w:t>
            </w:r>
            <w:r>
              <w:rPr>
                <w:rFonts w:hint="eastAsia" w:cs="Times New Roman"/>
                <w:color w:val="auto"/>
                <w:szCs w:val="21"/>
                <w:highlight w:val="none"/>
                <w:lang w:val="en-US" w:eastAsia="zh-CN"/>
              </w:rPr>
              <w:t>实际</w:t>
            </w:r>
            <w:r>
              <w:rPr>
                <w:rFonts w:hint="default" w:ascii="Times New Roman" w:hAnsi="Times New Roman" w:cs="Times New Roman"/>
                <w:color w:val="auto"/>
                <w:szCs w:val="21"/>
                <w:highlight w:val="none"/>
                <w:lang w:val="en-US" w:eastAsia="zh-CN"/>
              </w:rPr>
              <w:t>条件，新建变电站开挖区域、新修汽运道路开挖区域</w:t>
            </w:r>
            <w:r>
              <w:rPr>
                <w:rFonts w:hint="eastAsia" w:cs="Times New Roman"/>
                <w:color w:val="auto"/>
                <w:szCs w:val="21"/>
                <w:highlight w:val="none"/>
                <w:lang w:val="en-US" w:eastAsia="zh-CN"/>
              </w:rPr>
              <w:t>主要</w:t>
            </w:r>
            <w:r>
              <w:rPr>
                <w:rFonts w:hint="default" w:ascii="Times New Roman" w:hAnsi="Times New Roman" w:cs="Times New Roman"/>
                <w:color w:val="auto"/>
                <w:szCs w:val="21"/>
                <w:highlight w:val="none"/>
                <w:lang w:val="en-US" w:eastAsia="zh-CN"/>
              </w:rPr>
              <w:t>采取机械表土剥离，塔基占地区域</w:t>
            </w:r>
            <w:r>
              <w:rPr>
                <w:rFonts w:hint="eastAsia" w:cs="Times New Roman"/>
                <w:color w:val="auto"/>
                <w:szCs w:val="21"/>
                <w:highlight w:val="none"/>
                <w:lang w:val="en-US" w:eastAsia="zh-CN"/>
              </w:rPr>
              <w:t>部分</w:t>
            </w:r>
            <w:r>
              <w:rPr>
                <w:rFonts w:hint="default" w:ascii="Times New Roman" w:hAnsi="Times New Roman" w:cs="Times New Roman"/>
                <w:color w:val="auto"/>
                <w:szCs w:val="21"/>
                <w:highlight w:val="none"/>
                <w:lang w:val="en-US" w:eastAsia="zh-CN"/>
              </w:rPr>
              <w:t>采取人工表土剥离，</w:t>
            </w:r>
            <w:r>
              <w:rPr>
                <w:rFonts w:hint="default" w:ascii="Times New Roman" w:hAnsi="Times New Roman" w:cs="Times New Roman"/>
                <w:color w:val="auto"/>
                <w:szCs w:val="21"/>
                <w:highlight w:val="none"/>
                <w:lang w:eastAsia="zh-CN"/>
              </w:rPr>
              <w:t>采用汽车或人力运输方式运至各个塔基施工临时占地范围内，并布设临时挡护、遮盖、排水等措施，避免暴雨冲刷使土壤大量流失，回填时应保证表土下方土块有足够的隔水层。为防止表土层底部为漏水层，在施工时应注意高程的控制，并配合平整进行表层覆土</w:t>
            </w:r>
            <w:r>
              <w:rPr>
                <w:color w:val="000000" w:themeColor="text1"/>
                <w:szCs w:val="21"/>
                <w:highlight w:val="none"/>
                <w14:textFill>
                  <w14:solidFill>
                    <w14:schemeClr w14:val="tx1"/>
                  </w14:solidFill>
                </w14:textFill>
              </w:rPr>
              <w:t>。</w:t>
            </w:r>
          </w:p>
          <w:p w14:paraId="7D4F0007">
            <w:pPr>
              <w:spacing w:line="360"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基坑回填</w:t>
            </w:r>
          </w:p>
          <w:p w14:paraId="2534C484">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基坑回填后应在地面堆筑0.5m厚的防沉土堆，其范围同基坑上口尺寸。</w:t>
            </w:r>
          </w:p>
          <w:p w14:paraId="397F7E00">
            <w:pPr>
              <w:spacing w:line="360"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③</w:t>
            </w:r>
            <w:r>
              <w:rPr>
                <w:color w:val="000000" w:themeColor="text1"/>
                <w:szCs w:val="21"/>
                <w:highlight w:val="none"/>
                <w14:textFill>
                  <w14:solidFill>
                    <w14:schemeClr w14:val="tx1"/>
                  </w14:solidFill>
                </w14:textFill>
              </w:rPr>
              <w:t>岩体表面保护（护面）</w:t>
            </w:r>
          </w:p>
          <w:p w14:paraId="7855493B">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对于个别强风化、岩层裸露、表层破碎，水土极易受雨水冲刷产生流失的塔位，根据塔位情况在清除表层破碎岩屑后，用M7.5砂浆抹面防护。保护范围为塔位表面破坏面积。</w:t>
            </w:r>
          </w:p>
          <w:p w14:paraId="3CA34A1C">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（3）临时占地</w:t>
            </w:r>
            <w:r>
              <w:rPr>
                <w:rFonts w:hint="eastAsia"/>
                <w:color w:val="000000" w:themeColor="text1"/>
                <w:szCs w:val="21"/>
                <w:highlight w:val="none"/>
                <w14:textFill>
                  <w14:solidFill>
                    <w14:schemeClr w14:val="tx1"/>
                  </w14:solidFill>
                </w14:textFill>
              </w:rPr>
              <w:t>施工期的生态保护措施</w:t>
            </w:r>
          </w:p>
          <w:p w14:paraId="5E76D9CC">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施工时应尽量避开雨天。在雨天动土时，应采取塑料布或土工布覆盖易受降雨冲刷的裸露地表等临时措施</w:t>
            </w:r>
            <w:r>
              <w:rPr>
                <w:rFonts w:hint="eastAsia"/>
                <w:color w:val="000000" w:themeColor="text1"/>
                <w:szCs w:val="21"/>
                <w:highlight w:val="none"/>
                <w:lang w:eastAsia="zh-CN"/>
                <w14:textFill>
                  <w14:solidFill>
                    <w14:schemeClr w14:val="tx1"/>
                  </w14:solidFill>
                </w14:textFill>
              </w:rPr>
              <w:t>；</w:t>
            </w:r>
          </w:p>
          <w:p w14:paraId="7DBB09A0">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②</w:t>
            </w:r>
            <w:r>
              <w:rPr>
                <w:color w:val="000000" w:themeColor="text1"/>
                <w:szCs w:val="21"/>
                <w:highlight w:val="none"/>
                <w14:textFill>
                  <w14:solidFill>
                    <w14:schemeClr w14:val="tx1"/>
                  </w14:solidFill>
                </w14:textFill>
              </w:rPr>
              <w:t>施工完成后应及时清理残留在原地表上的砂石残余料及混凝土</w:t>
            </w:r>
            <w:r>
              <w:rPr>
                <w:rFonts w:hint="eastAsia"/>
                <w:color w:val="000000" w:themeColor="text1"/>
                <w:szCs w:val="21"/>
                <w:highlight w:val="none"/>
                <w:lang w:eastAsia="zh-CN"/>
                <w14:textFill>
                  <w14:solidFill>
                    <w14:schemeClr w14:val="tx1"/>
                  </w14:solidFill>
                </w14:textFill>
              </w:rPr>
              <w:t>；</w:t>
            </w:r>
          </w:p>
          <w:p w14:paraId="668EE6F6">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③严格控制施工作业带区域，尽量减少临时占地；</w:t>
            </w:r>
          </w:p>
          <w:p w14:paraId="37023457">
            <w:pPr>
              <w:spacing w:line="360"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④采用合理安排施工方式，采取“分层开挖、分层堆放、按层回填、分段开挖、分段恢复”，减少土地裸露时间；</w:t>
            </w:r>
          </w:p>
          <w:p w14:paraId="65DB4C99">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⑤对于临时堆土场应设置拦挡、遮盖措施，避免雨水冲刷造成水土流失；严禁随意砍伐、破坏工程区域内外的植被</w:t>
            </w:r>
            <w:r>
              <w:rPr>
                <w:rFonts w:hint="eastAsia"/>
                <w:color w:val="000000" w:themeColor="text1"/>
                <w:szCs w:val="21"/>
                <w:highlight w:val="none"/>
                <w:lang w:eastAsia="zh-CN"/>
                <w14:textFill>
                  <w14:solidFill>
                    <w14:schemeClr w14:val="tx1"/>
                  </w14:solidFill>
                </w14:textFill>
              </w:rPr>
              <w:t>；</w:t>
            </w:r>
          </w:p>
          <w:p w14:paraId="428A2AAA">
            <w:pPr>
              <w:spacing w:line="360" w:lineRule="auto"/>
              <w:ind w:firstLine="420" w:firstLineChars="200"/>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⑥施工完毕后及时做好迹地恢复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尽量采用当地乡土树草种原则完善植被保护和恢复措施</w:t>
            </w:r>
            <w:r>
              <w:rPr>
                <w:rFonts w:hint="eastAsia"/>
                <w:color w:val="000000" w:themeColor="text1"/>
                <w:szCs w:val="21"/>
                <w:highlight w:val="none"/>
                <w14:textFill>
                  <w14:solidFill>
                    <w14:schemeClr w14:val="tx1"/>
                  </w14:solidFill>
                </w14:textFill>
              </w:rPr>
              <w:t>，不得引入外来物种。</w:t>
            </w:r>
            <w:r>
              <w:rPr>
                <w:rFonts w:hint="eastAsia"/>
                <w:color w:val="000000" w:themeColor="text1"/>
                <w:szCs w:val="21"/>
                <w:highlight w:val="none"/>
                <w:lang w:val="en-US" w:eastAsia="zh-CN"/>
                <w14:textFill>
                  <w14:solidFill>
                    <w14:schemeClr w14:val="tx1"/>
                  </w14:solidFill>
                </w14:textFill>
              </w:rPr>
              <w:t>针对施工期设置的施工道路，施工结束移除钢板后，应重点评估土壤的板结程度和肥力状况，如果土壤被重型设备碾压得异常坚硬，就需要用旋耕机等设备进行深度翻松（通常不小于30厘米），以恢复其透气性和透水性，然后将原表层种植土回填，采用当地乡土树草种完善植被保护和恢复措施。</w:t>
            </w:r>
          </w:p>
          <w:p w14:paraId="2E3FB379">
            <w:pPr>
              <w:spacing w:line="360" w:lineRule="auto"/>
              <w:ind w:firstLine="411" w:firstLineChars="196"/>
              <w:jc w:val="both"/>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⑦本项目线路Ⅱ距</w:t>
            </w:r>
            <w:r>
              <w:rPr>
                <w:rFonts w:hint="eastAsia"/>
                <w:color w:val="000000" w:themeColor="text1"/>
                <w:szCs w:val="21"/>
                <w:lang w:val="en-US" w:eastAsia="zh-CN"/>
                <w14:textFill>
                  <w14:solidFill>
                    <w14:schemeClr w14:val="tx1"/>
                  </w14:solidFill>
                </w14:textFill>
              </w:rPr>
              <w:t>老虎洞沟饮用水源保护区</w:t>
            </w:r>
            <w:r>
              <w:rPr>
                <w:rFonts w:hint="eastAsia"/>
                <w:color w:val="000000" w:themeColor="text1"/>
                <w:szCs w:val="21"/>
                <w:highlight w:val="none"/>
                <w:lang w:val="en-US" w:eastAsia="zh-CN"/>
                <w14:textFill>
                  <w14:solidFill>
                    <w14:schemeClr w14:val="tx1"/>
                  </w14:solidFill>
                </w14:textFill>
              </w:rPr>
              <w:t>最近距离为70m，</w:t>
            </w:r>
            <w:r>
              <w:rPr>
                <w:rFonts w:hint="default" w:ascii="Times New Roman" w:hAnsi="Times New Roman" w:eastAsia="宋体" w:cs="Times New Roman"/>
                <w:b w:val="0"/>
                <w:bCs/>
                <w:color w:val="000000" w:themeColor="text1"/>
                <w:szCs w:val="21"/>
                <w:highlight w:val="none"/>
                <w:lang w:val="en-US" w:eastAsia="zh-CN"/>
                <w14:textFill>
                  <w14:solidFill>
                    <w14:schemeClr w14:val="tx1"/>
                  </w14:solidFill>
                </w14:textFill>
              </w:rPr>
              <w:t>保护区范围内</w:t>
            </w:r>
            <w:r>
              <w:rPr>
                <w:rFonts w:hint="eastAsia" w:cs="Times New Roman"/>
                <w:b w:val="0"/>
                <w:bCs/>
                <w:color w:val="000000" w:themeColor="text1"/>
                <w:szCs w:val="21"/>
                <w:highlight w:val="none"/>
                <w:lang w:val="en-US" w:eastAsia="zh-CN"/>
                <w14:textFill>
                  <w14:solidFill>
                    <w14:schemeClr w14:val="tx1"/>
                  </w14:solidFill>
                </w14:textFill>
              </w:rPr>
              <w:t>禁止</w:t>
            </w:r>
            <w:r>
              <w:rPr>
                <w:rFonts w:hint="default" w:ascii="Times New Roman" w:hAnsi="Times New Roman" w:eastAsia="宋体" w:cs="Times New Roman"/>
                <w:b w:val="0"/>
                <w:bCs/>
                <w:color w:val="000000" w:themeColor="text1"/>
                <w:szCs w:val="21"/>
                <w:highlight w:val="none"/>
                <w:lang w:val="en-US" w:eastAsia="zh-CN"/>
                <w14:textFill>
                  <w14:solidFill>
                    <w14:schemeClr w14:val="tx1"/>
                  </w14:solidFill>
                </w14:textFill>
              </w:rPr>
              <w:t>设置牵张场</w:t>
            </w:r>
            <w:r>
              <w:rPr>
                <w:rFonts w:hint="eastAsia" w:ascii="Times New Roman" w:hAnsi="Times New Roman" w:eastAsia="宋体" w:cs="Times New Roman"/>
                <w:b w:val="0"/>
                <w:bCs/>
                <w:color w:val="000000" w:themeColor="text1"/>
                <w:szCs w:val="21"/>
                <w:highlight w:val="none"/>
                <w:lang w:val="en-US" w:eastAsia="zh-CN"/>
                <w14:textFill>
                  <w14:solidFill>
                    <w14:schemeClr w14:val="tx1"/>
                  </w14:solidFill>
                </w14:textFill>
              </w:rPr>
              <w:t>与跨越场</w:t>
            </w:r>
            <w:r>
              <w:rPr>
                <w:rFonts w:hint="default" w:ascii="Times New Roman" w:hAnsi="Times New Roman" w:eastAsia="宋体" w:cs="Times New Roman"/>
                <w:b w:val="0"/>
                <w:bCs/>
                <w:color w:val="000000" w:themeColor="text1"/>
                <w:szCs w:val="21"/>
                <w:highlight w:val="none"/>
                <w:lang w:val="en-US" w:eastAsia="zh-CN"/>
                <w14:textFill>
                  <w14:solidFill>
                    <w14:schemeClr w14:val="tx1"/>
                  </w14:solidFill>
                </w14:textFill>
              </w:rPr>
              <w:t>，减少施工活动干扰</w:t>
            </w:r>
            <w:r>
              <w:rPr>
                <w:rFonts w:hint="eastAsia" w:ascii="Times New Roman" w:hAnsi="Times New Roman" w:eastAsia="宋体" w:cs="Times New Roman"/>
                <w:b w:val="0"/>
                <w:bCs/>
                <w:color w:val="000000" w:themeColor="text1"/>
                <w:szCs w:val="21"/>
                <w:highlight w:val="none"/>
                <w:lang w:val="en-US" w:eastAsia="zh-CN"/>
                <w14:textFill>
                  <w14:solidFill>
                    <w14:schemeClr w14:val="tx1"/>
                  </w14:solidFill>
                </w14:textFill>
              </w:rPr>
              <w:t>；</w:t>
            </w:r>
            <w:r>
              <w:rPr>
                <w:rFonts w:hint="eastAsia" w:eastAsia="宋体"/>
                <w:color w:val="000000" w:themeColor="text1"/>
                <w:szCs w:val="21"/>
                <w:lang w:eastAsia="zh-CN"/>
                <w14:textFill>
                  <w14:solidFill>
                    <w14:schemeClr w14:val="tx1"/>
                  </w14:solidFill>
                </w14:textFill>
              </w:rPr>
              <w:t>禁止在饮用水</w:t>
            </w:r>
            <w:r>
              <w:rPr>
                <w:rFonts w:hint="eastAsia" w:eastAsia="宋体"/>
                <w:color w:val="000000" w:themeColor="text1"/>
                <w:szCs w:val="21"/>
                <w:lang w:val="en-US" w:eastAsia="zh-CN"/>
                <w14:textFill>
                  <w14:solidFill>
                    <w14:schemeClr w14:val="tx1"/>
                  </w14:solidFill>
                </w14:textFill>
              </w:rPr>
              <w:t>水</w:t>
            </w:r>
            <w:r>
              <w:rPr>
                <w:rFonts w:hint="eastAsia" w:eastAsia="宋体"/>
                <w:color w:val="000000" w:themeColor="text1"/>
                <w:szCs w:val="21"/>
                <w:lang w:eastAsia="zh-CN"/>
                <w14:textFill>
                  <w14:solidFill>
                    <w14:schemeClr w14:val="tx1"/>
                  </w14:solidFill>
                </w14:textFill>
              </w:rPr>
              <w:t>源保护区内设置取土场、弃土场、料场、施工营地等施工临时设施</w:t>
            </w:r>
            <w:r>
              <w:rPr>
                <w:rFonts w:hint="eastAsia" w:ascii="Times New Roman" w:hAnsi="Times New Roman" w:eastAsia="宋体" w:cs="Times New Roman"/>
                <w:b w:val="0"/>
                <w:bCs/>
                <w:color w:val="000000" w:themeColor="text1"/>
                <w:szCs w:val="21"/>
                <w:highlight w:val="none"/>
                <w:lang w:val="en-US" w:eastAsia="zh-CN"/>
                <w14:textFill>
                  <w14:solidFill>
                    <w14:schemeClr w14:val="tx1"/>
                  </w14:solidFill>
                </w14:textFill>
              </w:rPr>
              <w:t>。</w:t>
            </w:r>
          </w:p>
          <w:p w14:paraId="7ACF7E4B">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（4）植物</w:t>
            </w:r>
            <w:r>
              <w:rPr>
                <w:rFonts w:hint="eastAsia"/>
                <w:color w:val="000000" w:themeColor="text1"/>
                <w:szCs w:val="21"/>
                <w:highlight w:val="none"/>
                <w14:textFill>
                  <w14:solidFill>
                    <w14:schemeClr w14:val="tx1"/>
                  </w14:solidFill>
                </w14:textFill>
              </w:rPr>
              <w:t>保护</w:t>
            </w:r>
            <w:r>
              <w:rPr>
                <w:color w:val="000000" w:themeColor="text1"/>
                <w:szCs w:val="21"/>
                <w:highlight w:val="none"/>
                <w14:textFill>
                  <w14:solidFill>
                    <w14:schemeClr w14:val="tx1"/>
                  </w14:solidFill>
                </w14:textFill>
              </w:rPr>
              <w:t>措施</w:t>
            </w:r>
          </w:p>
          <w:p w14:paraId="5A8C6E83">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①施工临时占地选用植被稀疏的区域，以减少对草本植被的临时占压</w:t>
            </w:r>
            <w:r>
              <w:rPr>
                <w:rFonts w:hint="eastAsia"/>
                <w:color w:val="000000" w:themeColor="text1"/>
                <w:szCs w:val="21"/>
                <w:highlight w:val="none"/>
                <w:lang w:eastAsia="zh-CN"/>
                <w14:textFill>
                  <w14:solidFill>
                    <w14:schemeClr w14:val="tx1"/>
                  </w14:solidFill>
                </w14:textFill>
              </w:rPr>
              <w:t>；</w:t>
            </w:r>
          </w:p>
          <w:p w14:paraId="4CC1C73E">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②塔基施工临时占地应选择在塔基附近平坦、植被稀疏地带，使用前铺设彩条布或其他铺垫物，以减少土地平整导致的水土流失和植被破坏</w:t>
            </w:r>
            <w:r>
              <w:rPr>
                <w:rFonts w:hint="eastAsia"/>
                <w:color w:val="000000" w:themeColor="text1"/>
                <w:szCs w:val="21"/>
                <w:highlight w:val="none"/>
                <w:lang w:eastAsia="zh-CN"/>
                <w14:textFill>
                  <w14:solidFill>
                    <w14:schemeClr w14:val="tx1"/>
                  </w14:solidFill>
                </w14:textFill>
              </w:rPr>
              <w:t>；</w:t>
            </w:r>
          </w:p>
          <w:p w14:paraId="25631F43">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③施工便道：尽量选择作物稀疏处，以减少作物破坏，同时施工过程中不能随意下道行驶或另开辟便道，降低施工活动对周围地表和植被的扰动</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14:textFill>
                  <w14:solidFill>
                    <w14:schemeClr w14:val="tx1"/>
                  </w14:solidFill>
                </w14:textFill>
              </w:rPr>
              <w:t>施工结束后，应对施工道路</w:t>
            </w:r>
            <w:r>
              <w:rPr>
                <w:rFonts w:hint="eastAsia"/>
                <w:color w:val="000000" w:themeColor="text1"/>
                <w:szCs w:val="21"/>
                <w:highlight w:val="none"/>
                <w:lang w:val="en-US" w:eastAsia="zh-CN"/>
                <w14:textFill>
                  <w14:solidFill>
                    <w14:schemeClr w14:val="tx1"/>
                  </w14:solidFill>
                </w14:textFill>
              </w:rPr>
              <w:t>修筑、</w:t>
            </w:r>
            <w:r>
              <w:rPr>
                <w:rFonts w:hint="eastAsia"/>
                <w:color w:val="000000" w:themeColor="text1"/>
                <w:szCs w:val="21"/>
                <w:highlight w:val="none"/>
                <w14:textFill>
                  <w14:solidFill>
                    <w14:schemeClr w14:val="tx1"/>
                  </w14:solidFill>
                </w14:textFill>
              </w:rPr>
              <w:t>拓宽区域进行表土回覆和植被恢复</w:t>
            </w:r>
            <w:r>
              <w:rPr>
                <w:rFonts w:hint="eastAsia"/>
                <w:color w:val="000000" w:themeColor="text1"/>
                <w:szCs w:val="21"/>
                <w:highlight w:val="none"/>
                <w:lang w:eastAsia="zh-CN"/>
                <w14:textFill>
                  <w14:solidFill>
                    <w14:schemeClr w14:val="tx1"/>
                  </w14:solidFill>
                </w14:textFill>
              </w:rPr>
              <w:t>；</w:t>
            </w:r>
          </w:p>
          <w:p w14:paraId="429277B4">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④施工结束后，应及时清理施工现场，对施工过程中产生的生活垃圾等固体废物，应集中收集装袋，并在结束施工时带出施工区域，不得随意丢弃于施工区域的绿化带中，避免对植被的正常生长发育产生不良影响</w:t>
            </w:r>
            <w:r>
              <w:rPr>
                <w:rFonts w:hint="eastAsia"/>
                <w:color w:val="000000" w:themeColor="text1"/>
                <w:szCs w:val="21"/>
                <w:highlight w:val="none"/>
                <w:lang w:eastAsia="zh-CN"/>
                <w14:textFill>
                  <w14:solidFill>
                    <w14:schemeClr w14:val="tx1"/>
                  </w14:solidFill>
                </w14:textFill>
              </w:rPr>
              <w:t>；</w:t>
            </w:r>
          </w:p>
          <w:p w14:paraId="2567565B">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⑤对塔基施工基面遗留的弃土进行及时清理，对硬化地面进行翻松后植被恢复</w:t>
            </w:r>
            <w:r>
              <w:rPr>
                <w:rFonts w:hint="eastAsia"/>
                <w:color w:val="000000" w:themeColor="text1"/>
                <w:szCs w:val="21"/>
                <w:highlight w:val="none"/>
                <w:lang w:eastAsia="zh-CN"/>
                <w14:textFill>
                  <w14:solidFill>
                    <w14:schemeClr w14:val="tx1"/>
                  </w14:solidFill>
                </w14:textFill>
              </w:rPr>
              <w:t>；</w:t>
            </w:r>
          </w:p>
          <w:p w14:paraId="43BAF34D">
            <w:pPr>
              <w:spacing w:line="360" w:lineRule="auto"/>
              <w:ind w:firstLine="420" w:firstLineChars="20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⑥禁止施工人员在施工过程中带入外来物种，保护原有生态环境</w:t>
            </w:r>
            <w:r>
              <w:rPr>
                <w:color w:val="000000" w:themeColor="text1"/>
                <w:szCs w:val="21"/>
                <w:highlight w:val="none"/>
                <w14:textFill>
                  <w14:solidFill>
                    <w14:schemeClr w14:val="tx1"/>
                  </w14:solidFill>
                </w14:textFill>
              </w:rPr>
              <w:t>。</w:t>
            </w:r>
          </w:p>
          <w:p w14:paraId="744FF9CB">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w:t>
            </w:r>
            <w:r>
              <w:rPr>
                <w:rFonts w:hint="eastAsia"/>
                <w:color w:val="000000" w:themeColor="text1"/>
                <w:szCs w:val="21"/>
                <w:highlight w:val="none"/>
                <w14:textFill>
                  <w14:solidFill>
                    <w14:schemeClr w14:val="tx1"/>
                  </w14:solidFill>
                </w14:textFill>
              </w:rPr>
              <w:t>动</w:t>
            </w:r>
            <w:r>
              <w:rPr>
                <w:color w:val="000000" w:themeColor="text1"/>
                <w:szCs w:val="21"/>
                <w:highlight w:val="none"/>
                <w14:textFill>
                  <w14:solidFill>
                    <w14:schemeClr w14:val="tx1"/>
                  </w14:solidFill>
                </w14:textFill>
              </w:rPr>
              <w:t>物</w:t>
            </w:r>
            <w:r>
              <w:rPr>
                <w:rFonts w:hint="eastAsia"/>
                <w:color w:val="000000" w:themeColor="text1"/>
                <w:szCs w:val="21"/>
                <w:highlight w:val="none"/>
                <w14:textFill>
                  <w14:solidFill>
                    <w14:schemeClr w14:val="tx1"/>
                  </w14:solidFill>
                </w14:textFill>
              </w:rPr>
              <w:t>保护</w:t>
            </w:r>
            <w:r>
              <w:rPr>
                <w:color w:val="000000" w:themeColor="text1"/>
                <w:szCs w:val="21"/>
                <w:highlight w:val="none"/>
                <w14:textFill>
                  <w14:solidFill>
                    <w14:schemeClr w14:val="tx1"/>
                  </w14:solidFill>
                </w14:textFill>
              </w:rPr>
              <w:t>措施</w:t>
            </w:r>
          </w:p>
          <w:p w14:paraId="05AE12E0">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①严格控制最小施工范围，保护好小型兽类的生存环境</w:t>
            </w:r>
            <w:r>
              <w:rPr>
                <w:rFonts w:hint="eastAsia"/>
                <w:color w:val="000000" w:themeColor="text1"/>
                <w:szCs w:val="21"/>
                <w:highlight w:val="none"/>
                <w:lang w:eastAsia="zh-CN"/>
                <w14:textFill>
                  <w14:solidFill>
                    <w14:schemeClr w14:val="tx1"/>
                  </w14:solidFill>
                </w14:textFill>
              </w:rPr>
              <w:t>；</w:t>
            </w:r>
          </w:p>
          <w:p w14:paraId="03083F7D">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②对工程废物和施工人员的生活垃圾进行彻底清理，尽量避免生活垃圾为鼠类等疫源性兽类提供生活环境，避免疫源性兽类</w:t>
            </w:r>
            <w:r>
              <w:rPr>
                <w:rFonts w:hint="eastAsia"/>
                <w:color w:val="000000" w:themeColor="text1"/>
                <w:szCs w:val="21"/>
                <w:highlight w:val="none"/>
                <w:lang w:eastAsia="zh-CN"/>
                <w14:textFill>
                  <w14:solidFill>
                    <w14:schemeClr w14:val="tx1"/>
                  </w14:solidFill>
                </w14:textFill>
              </w:rPr>
              <w:t>种群暴发；</w:t>
            </w:r>
          </w:p>
          <w:p w14:paraId="7A8EA848">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③严防燃油及油污、废水泄漏对土壤环境造成污染</w:t>
            </w:r>
            <w:r>
              <w:rPr>
                <w:rFonts w:hint="eastAsia"/>
                <w:color w:val="000000" w:themeColor="text1"/>
                <w:szCs w:val="21"/>
                <w:highlight w:val="none"/>
                <w:lang w:eastAsia="zh-CN"/>
                <w14:textFill>
                  <w14:solidFill>
                    <w14:schemeClr w14:val="tx1"/>
                  </w14:solidFill>
                </w14:textFill>
              </w:rPr>
              <w:t>；</w:t>
            </w:r>
          </w:p>
          <w:p w14:paraId="0572DCE2">
            <w:pPr>
              <w:spacing w:line="360" w:lineRule="auto"/>
              <w:ind w:firstLine="420" w:firstLineChars="20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④对工程废物要及时运出妥善处理，防止遗留物对环境造成污染</w:t>
            </w:r>
            <w:r>
              <w:rPr>
                <w:rFonts w:hint="eastAsia"/>
                <w:color w:val="000000" w:themeColor="text1"/>
                <w:szCs w:val="21"/>
                <w:highlight w:val="none"/>
                <w:lang w:eastAsia="zh-CN"/>
                <w14:textFill>
                  <w14:solidFill>
                    <w14:schemeClr w14:val="tx1"/>
                  </w14:solidFill>
                </w14:textFill>
              </w:rPr>
              <w:t>；</w:t>
            </w:r>
          </w:p>
          <w:p w14:paraId="158F348B">
            <w:pPr>
              <w:spacing w:line="360" w:lineRule="auto"/>
              <w:ind w:firstLine="420" w:firstLineChars="200"/>
              <w:rPr>
                <w:rFonts w:hint="eastAsia"/>
                <w:color w:val="auto"/>
                <w:szCs w:val="21"/>
              </w:rPr>
            </w:pPr>
            <w:r>
              <w:rPr>
                <w:rFonts w:hint="eastAsia"/>
                <w:color w:val="000000" w:themeColor="text1"/>
                <w:szCs w:val="21"/>
                <w:highlight w:val="none"/>
                <w14:textFill>
                  <w14:solidFill>
                    <w14:schemeClr w14:val="tx1"/>
                  </w14:solidFill>
                </w14:textFill>
              </w:rPr>
              <w:t>⑤冬春季节施工发现冬眠的蛇窝及其他动物冬眠地，应采取措施将其安全移至远离工区的相似生境中</w:t>
            </w:r>
            <w:r>
              <w:rPr>
                <w:rFonts w:hint="eastAsia"/>
                <w:color w:val="auto"/>
                <w:szCs w:val="21"/>
              </w:rPr>
              <w:t>。</w:t>
            </w:r>
          </w:p>
          <w:p w14:paraId="25DA6DD7">
            <w:pPr>
              <w:spacing w:line="360" w:lineRule="auto"/>
              <w:ind w:firstLine="420" w:firstLineChars="200"/>
              <w:rPr>
                <w:color w:val="FF0000"/>
                <w:szCs w:val="21"/>
              </w:rPr>
            </w:pPr>
            <w:r>
              <w:rPr>
                <w:rFonts w:hAnsi="黑体" w:eastAsia="黑体"/>
                <w:color w:val="auto"/>
                <w:szCs w:val="21"/>
              </w:rPr>
              <w:t>综上分析，采用上述环保措施后，本项目施工期噪声不扰民，采取相应的预防生态破坏措施和恢复生态手段，尤其是通过施工管理的保护和恢复，其建设对生态环境影响小，不会导致项目所在区域环境功能明显改变。因此，本项目拟采取的环保措施合理、可行。</w:t>
            </w:r>
          </w:p>
        </w:tc>
      </w:tr>
      <w:tr w14:paraId="61F8DF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tcMar>
              <w:left w:w="28" w:type="dxa"/>
              <w:right w:w="28" w:type="dxa"/>
            </w:tcMar>
            <w:vAlign w:val="center"/>
          </w:tcPr>
          <w:p w14:paraId="356B0D03">
            <w:pPr>
              <w:jc w:val="center"/>
              <w:rPr>
                <w:bCs/>
                <w:color w:val="auto"/>
                <w:spacing w:val="10"/>
                <w:szCs w:val="21"/>
              </w:rPr>
            </w:pPr>
            <w:r>
              <w:rPr>
                <w:bCs/>
                <w:color w:val="auto"/>
                <w:spacing w:val="10"/>
                <w:szCs w:val="21"/>
              </w:rPr>
              <w:t>运营期生态环境保护措施</w:t>
            </w:r>
          </w:p>
        </w:tc>
        <w:tc>
          <w:tcPr>
            <w:tcW w:w="8800" w:type="dxa"/>
          </w:tcPr>
          <w:p w14:paraId="1552E29D">
            <w:pPr>
              <w:adjustRightInd w:val="0"/>
              <w:spacing w:line="360" w:lineRule="auto"/>
              <w:rPr>
                <w:rFonts w:eastAsia="黑体"/>
                <w:color w:val="auto"/>
                <w:szCs w:val="21"/>
              </w:rPr>
            </w:pPr>
            <w:r>
              <w:rPr>
                <w:rFonts w:hint="eastAsia" w:eastAsia="黑体"/>
                <w:color w:val="auto"/>
                <w:szCs w:val="21"/>
              </w:rPr>
              <w:t>一</w:t>
            </w:r>
            <w:r>
              <w:rPr>
                <w:rFonts w:eastAsia="黑体"/>
                <w:color w:val="auto"/>
                <w:szCs w:val="21"/>
              </w:rPr>
              <w:t>、电磁环境保护措施</w:t>
            </w:r>
          </w:p>
          <w:p w14:paraId="1CBE6A61">
            <w:pPr>
              <w:adjustRightInd w:val="0"/>
              <w:spacing w:line="360" w:lineRule="auto"/>
              <w:ind w:firstLine="422" w:firstLineChars="200"/>
              <w:rPr>
                <w:b/>
                <w:color w:val="auto"/>
                <w:szCs w:val="21"/>
              </w:rPr>
            </w:pPr>
            <w:r>
              <w:rPr>
                <w:b/>
                <w:color w:val="auto"/>
                <w:szCs w:val="21"/>
              </w:rPr>
              <w:t>1、</w:t>
            </w:r>
            <w:r>
              <w:rPr>
                <w:rFonts w:hint="eastAsia"/>
                <w:b/>
                <w:color w:val="auto"/>
                <w:szCs w:val="21"/>
              </w:rPr>
              <w:t>变电站</w:t>
            </w:r>
          </w:p>
          <w:p w14:paraId="03866E33">
            <w:pPr>
              <w:spacing w:line="360" w:lineRule="auto"/>
              <w:ind w:firstLine="420" w:firstLineChars="20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（1）将变电站内电气设备接地，以减小电磁场场强。</w:t>
            </w:r>
          </w:p>
          <w:p w14:paraId="40A4880E">
            <w:pPr>
              <w:pStyle w:val="81"/>
              <w:ind w:firstLine="420"/>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w:t>
            </w:r>
            <w:r>
              <w:rPr>
                <w:rFonts w:hint="eastAsia" w:ascii="Times New Roman" w:hAnsi="Times New Roman" w:cs="Times New Roman"/>
                <w:color w:val="000000" w:themeColor="text1"/>
                <w:sz w:val="21"/>
                <w:szCs w:val="21"/>
                <w:highlight w:val="none"/>
                <w14:textFill>
                  <w14:solidFill>
                    <w14:schemeClr w14:val="tx1"/>
                  </w14:solidFill>
                </w14:textFill>
              </w:rPr>
              <w:t>配电装置采用</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H</w:t>
            </w:r>
            <w:r>
              <w:rPr>
                <w:rFonts w:hint="eastAsia" w:ascii="Times New Roman" w:hAnsi="Times New Roman" w:cs="Times New Roman"/>
                <w:color w:val="000000" w:themeColor="text1"/>
                <w:sz w:val="21"/>
                <w:szCs w:val="21"/>
                <w:highlight w:val="none"/>
                <w14:textFill>
                  <w14:solidFill>
                    <w14:schemeClr w14:val="tx1"/>
                  </w14:solidFill>
                </w14:textFill>
              </w:rPr>
              <w:t>GIS组合电器，将各类开关、连线母线组合密封起来，可以大大减少占地，并且对工频电场、工频磁场有很好的屏蔽作用。</w:t>
            </w:r>
          </w:p>
          <w:p w14:paraId="1CC4CD10">
            <w:pPr>
              <w:spacing w:line="360" w:lineRule="auto"/>
              <w:ind w:firstLine="420" w:firstLineChars="200"/>
              <w:rPr>
                <w:bCs/>
                <w:color w:val="auto"/>
                <w:szCs w:val="21"/>
              </w:rPr>
            </w:pPr>
            <w:r>
              <w:rPr>
                <w:rFonts w:hint="eastAsia" w:ascii="Times New Roman" w:hAnsi="Times New Roman" w:cs="Times New Roman"/>
                <w:color w:val="000000" w:themeColor="text1"/>
                <w:sz w:val="21"/>
                <w:szCs w:val="21"/>
                <w:highlight w:val="none"/>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3</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hint="eastAsia" w:ascii="Times New Roman" w:hAnsi="Times New Roman" w:cs="Times New Roman"/>
                <w:color w:val="000000" w:themeColor="text1"/>
                <w:sz w:val="21"/>
                <w:szCs w:val="21"/>
                <w:highlight w:val="none"/>
                <w:lang w:eastAsia="zh-CN"/>
                <w14:textFill>
                  <w14:solidFill>
                    <w14:schemeClr w14:val="tx1"/>
                  </w14:solidFill>
                </w14:textFill>
              </w:rPr>
              <w:t>站内平行导线的相序排列避免同相布置，尽量减少同相母线交叉与相同转角布置，</w:t>
            </w:r>
            <w:r>
              <w:rPr>
                <w:rFonts w:hint="eastAsia" w:ascii="Times New Roman" w:hAnsi="Times New Roman" w:cs="Times New Roman"/>
                <w:color w:val="000000" w:themeColor="text1"/>
                <w:sz w:val="21"/>
                <w:szCs w:val="21"/>
                <w:highlight w:val="none"/>
                <w14:textFill>
                  <w14:solidFill>
                    <w14:schemeClr w14:val="tx1"/>
                  </w14:solidFill>
                </w14:textFill>
              </w:rPr>
              <w:t>可以减少电磁环境影响</w:t>
            </w:r>
            <w:r>
              <w:rPr>
                <w:rFonts w:hint="default" w:ascii="Times New Roman" w:hAnsi="Times New Roman" w:cs="Times New Roman"/>
                <w:color w:val="000000" w:themeColor="text1"/>
                <w:szCs w:val="21"/>
                <w:highlight w:val="none"/>
                <w14:textFill>
                  <w14:solidFill>
                    <w14:schemeClr w14:val="tx1"/>
                  </w14:solidFill>
                </w14:textFill>
              </w:rPr>
              <w:t>。</w:t>
            </w:r>
          </w:p>
          <w:p w14:paraId="0E2E069E">
            <w:pPr>
              <w:adjustRightInd w:val="0"/>
              <w:spacing w:line="360" w:lineRule="auto"/>
              <w:ind w:firstLine="422" w:firstLineChars="200"/>
              <w:rPr>
                <w:b/>
                <w:color w:val="auto"/>
                <w:szCs w:val="21"/>
              </w:rPr>
            </w:pPr>
            <w:r>
              <w:rPr>
                <w:b/>
                <w:color w:val="auto"/>
                <w:szCs w:val="21"/>
              </w:rPr>
              <w:t>2、输电线路</w:t>
            </w:r>
          </w:p>
          <w:p w14:paraId="1F184423">
            <w:pPr>
              <w:adjustRightInd w:val="0"/>
              <w:spacing w:line="360" w:lineRule="auto"/>
              <w:ind w:firstLine="420" w:firstLineChars="200"/>
              <w:rPr>
                <w:rFonts w:hint="eastAsia"/>
                <w:color w:val="auto"/>
                <w:szCs w:val="21"/>
              </w:rPr>
            </w:pPr>
            <w:r>
              <w:rPr>
                <w:rFonts w:hint="eastAsia"/>
                <w:color w:val="auto"/>
                <w:szCs w:val="21"/>
              </w:rPr>
              <w:t>（1）</w:t>
            </w:r>
            <w:r>
              <w:rPr>
                <w:rFonts w:hint="eastAsia"/>
                <w:color w:val="auto"/>
                <w:szCs w:val="21"/>
                <w:lang w:val="en-US" w:eastAsia="zh-CN"/>
              </w:rPr>
              <w:t>新建</w:t>
            </w:r>
            <w:r>
              <w:rPr>
                <w:rFonts w:hint="eastAsia"/>
                <w:color w:val="auto"/>
                <w:szCs w:val="21"/>
              </w:rPr>
              <w:t>110kV</w:t>
            </w:r>
            <w:r>
              <w:rPr>
                <w:rFonts w:hint="eastAsia"/>
                <w:color w:val="auto"/>
                <w:szCs w:val="21"/>
                <w:lang w:val="en-US" w:eastAsia="zh-CN"/>
              </w:rPr>
              <w:t>输电</w:t>
            </w:r>
            <w:r>
              <w:rPr>
                <w:rFonts w:hint="eastAsia"/>
                <w:color w:val="auto"/>
                <w:szCs w:val="21"/>
              </w:rPr>
              <w:t>线路工程评价范围内有居民存在，110kV</w:t>
            </w:r>
            <w:r>
              <w:rPr>
                <w:rFonts w:hint="eastAsia"/>
                <w:color w:val="auto"/>
                <w:szCs w:val="21"/>
                <w:lang w:val="en-US" w:eastAsia="zh-CN"/>
              </w:rPr>
              <w:t>输电</w:t>
            </w:r>
            <w:r>
              <w:rPr>
                <w:rFonts w:hint="eastAsia"/>
                <w:color w:val="auto"/>
                <w:szCs w:val="21"/>
              </w:rPr>
              <w:t>线路在经过非居民区时架设档距中央最大弧垂处导线高度不低于6m，在经过居民区时架设档距中央最大弧垂处导线高度不低于7m</w:t>
            </w:r>
            <w:r>
              <w:rPr>
                <w:rFonts w:hint="eastAsia"/>
                <w:color w:val="auto"/>
                <w:szCs w:val="21"/>
                <w:lang w:eastAsia="zh-CN"/>
              </w:rPr>
              <w:t>。</w:t>
            </w:r>
            <w:r>
              <w:rPr>
                <w:rFonts w:hint="eastAsia"/>
                <w:color w:val="000000" w:themeColor="text1"/>
                <w:szCs w:val="21"/>
                <w:highlight w:val="none"/>
                <w:lang w:val="en-US" w:eastAsia="zh-CN"/>
                <w14:textFill>
                  <w14:solidFill>
                    <w14:schemeClr w14:val="tx1"/>
                  </w14:solidFill>
                </w14:textFill>
              </w:rPr>
              <w:t>线路</w:t>
            </w:r>
            <w:r>
              <w:rPr>
                <w:rFonts w:hint="default" w:ascii="Times New Roman" w:hAnsi="Times New Roman" w:cs="Times New Roman"/>
                <w:color w:val="000000" w:themeColor="text1"/>
                <w:szCs w:val="21"/>
                <w:highlight w:val="none"/>
                <w:lang w:val="en-US" w:eastAsia="zh-CN"/>
                <w14:textFill>
                  <w14:solidFill>
                    <w14:schemeClr w14:val="tx1"/>
                  </w14:solidFill>
                </w14:textFill>
              </w:rPr>
              <w:t>Ⅰ</w:t>
            </w:r>
            <w:r>
              <w:rPr>
                <w:rFonts w:hint="eastAsia"/>
                <w:color w:val="000000" w:themeColor="text1"/>
                <w:szCs w:val="21"/>
                <w:highlight w:val="none"/>
                <w:lang w:val="en-US" w:eastAsia="zh-CN"/>
                <w14:textFill>
                  <w14:solidFill>
                    <w14:schemeClr w14:val="tx1"/>
                  </w14:solidFill>
                </w14:textFill>
              </w:rPr>
              <w:t>利旧段</w:t>
            </w:r>
            <w:r>
              <w:rPr>
                <w:rFonts w:hint="default" w:ascii="Times New Roman" w:hAnsi="Times New Roman" w:cs="Times New Roman"/>
                <w:bCs/>
                <w:color w:val="000000" w:themeColor="text1"/>
                <w:szCs w:val="21"/>
                <w:highlight w:val="none"/>
                <w:lang w:eastAsia="zh-CN"/>
                <w14:textFill>
                  <w14:solidFill>
                    <w14:schemeClr w14:val="tx1"/>
                  </w14:solidFill>
                </w14:textFill>
              </w:rPr>
              <w:t>导线</w:t>
            </w:r>
            <w:r>
              <w:rPr>
                <w:rFonts w:hint="eastAsia" w:cs="Times New Roman"/>
                <w:bCs/>
                <w:color w:val="000000" w:themeColor="text1"/>
                <w:szCs w:val="21"/>
                <w:highlight w:val="none"/>
                <w:lang w:val="en-US" w:eastAsia="zh-CN"/>
                <w14:textFill>
                  <w14:solidFill>
                    <w14:schemeClr w14:val="tx1"/>
                  </w14:solidFill>
                </w14:textFill>
              </w:rPr>
              <w:t>设计</w:t>
            </w:r>
            <w:r>
              <w:rPr>
                <w:rFonts w:hint="default" w:ascii="Times New Roman" w:hAnsi="Times New Roman" w:cs="Times New Roman"/>
                <w:bCs/>
                <w:color w:val="000000" w:themeColor="text1"/>
                <w:szCs w:val="21"/>
                <w:highlight w:val="none"/>
                <w:lang w:eastAsia="zh-CN"/>
                <w14:textFill>
                  <w14:solidFill>
                    <w14:schemeClr w14:val="tx1"/>
                  </w14:solidFill>
                </w14:textFill>
              </w:rPr>
              <w:t>架设高度不低于</w:t>
            </w:r>
            <w:r>
              <w:rPr>
                <w:rFonts w:hint="eastAsia" w:cs="Times New Roman"/>
                <w:bCs/>
                <w:color w:val="000000" w:themeColor="text1"/>
                <w:szCs w:val="21"/>
                <w:highlight w:val="none"/>
                <w:lang w:val="en-US" w:eastAsia="zh-CN"/>
                <w14:textFill>
                  <w14:solidFill>
                    <w14:schemeClr w14:val="tx1"/>
                  </w14:solidFill>
                </w14:textFill>
              </w:rPr>
              <w:t>9</w:t>
            </w:r>
            <w:r>
              <w:rPr>
                <w:rFonts w:hint="default" w:ascii="Times New Roman" w:hAnsi="Times New Roman" w:cs="Times New Roman"/>
                <w:bCs/>
                <w:color w:val="000000" w:themeColor="text1"/>
                <w:szCs w:val="21"/>
                <w:highlight w:val="none"/>
                <w:lang w:eastAsia="zh-CN"/>
                <w14:textFill>
                  <w14:solidFill>
                    <w14:schemeClr w14:val="tx1"/>
                  </w14:solidFill>
                </w14:textFill>
              </w:rPr>
              <w:t>m</w:t>
            </w:r>
            <w:r>
              <w:rPr>
                <w:rFonts w:hint="eastAsia" w:ascii="Times New Roman" w:hAnsi="Times New Roman" w:cs="Times New Roman"/>
                <w:bCs/>
                <w:color w:val="000000" w:themeColor="text1"/>
                <w:szCs w:val="21"/>
                <w:highlight w:val="none"/>
                <w:lang w:eastAsia="zh-CN"/>
                <w14:textFill>
                  <w14:solidFill>
                    <w14:schemeClr w14:val="tx1"/>
                  </w14:solidFill>
                </w14:textFill>
              </w:rPr>
              <w:t>；</w:t>
            </w:r>
            <w:r>
              <w:rPr>
                <w:rFonts w:hint="eastAsia"/>
                <w:color w:val="auto"/>
                <w:szCs w:val="21"/>
                <w:lang w:eastAsia="zh-CN"/>
              </w:rPr>
              <w:t>跨越建筑物处导线与建筑物屋顶距离不低于5m</w:t>
            </w:r>
            <w:r>
              <w:rPr>
                <w:rFonts w:hint="eastAsia"/>
                <w:color w:val="auto"/>
                <w:szCs w:val="21"/>
              </w:rPr>
              <w:t>。</w:t>
            </w:r>
          </w:p>
          <w:p w14:paraId="387263DF">
            <w:pPr>
              <w:adjustRightInd w:val="0"/>
              <w:spacing w:line="360" w:lineRule="auto"/>
              <w:ind w:firstLine="420" w:firstLineChars="200"/>
              <w:rPr>
                <w:rFonts w:hint="default"/>
                <w:color w:val="auto"/>
                <w:szCs w:val="21"/>
                <w:lang w:val="en-US"/>
              </w:rPr>
            </w:pPr>
            <w:r>
              <w:rPr>
                <w:rFonts w:hint="eastAsia"/>
                <w:color w:val="auto"/>
                <w:szCs w:val="21"/>
              </w:rPr>
              <w:t>（</w:t>
            </w:r>
            <w:r>
              <w:rPr>
                <w:rFonts w:hint="eastAsia"/>
                <w:color w:val="auto"/>
                <w:szCs w:val="21"/>
                <w:lang w:val="en-US" w:eastAsia="zh-CN"/>
              </w:rPr>
              <w:t>2</w:t>
            </w:r>
            <w:r>
              <w:rPr>
                <w:rFonts w:hint="eastAsia"/>
                <w:color w:val="auto"/>
                <w:szCs w:val="21"/>
              </w:rPr>
              <w:t>）</w:t>
            </w:r>
            <w:r>
              <w:rPr>
                <w:rFonts w:hint="eastAsia"/>
                <w:color w:val="auto"/>
                <w:szCs w:val="21"/>
                <w:highlight w:val="none"/>
                <w:lang w:val="en-US" w:eastAsia="zh-CN"/>
              </w:rPr>
              <w:t>新建双回塔单边挂线段现有的导线排列方式为垂直排列，未来</w:t>
            </w:r>
            <w:r>
              <w:rPr>
                <w:rFonts w:hint="eastAsia"/>
                <w:color w:val="auto"/>
                <w:szCs w:val="21"/>
                <w:highlight w:val="none"/>
              </w:rPr>
              <w:t>与</w:t>
            </w:r>
            <w:r>
              <w:rPr>
                <w:rFonts w:hint="eastAsia"/>
                <w:color w:val="auto"/>
                <w:szCs w:val="21"/>
                <w:highlight w:val="none"/>
                <w:lang w:val="en-US" w:eastAsia="zh-CN"/>
              </w:rPr>
              <w:t>另一侧预留线路可形成</w:t>
            </w:r>
            <w:r>
              <w:rPr>
                <w:rFonts w:hint="eastAsia"/>
                <w:color w:val="auto"/>
                <w:szCs w:val="21"/>
                <w:highlight w:val="none"/>
              </w:rPr>
              <w:t>垂直逆相序排列</w:t>
            </w:r>
            <w:r>
              <w:rPr>
                <w:rFonts w:hint="eastAsia"/>
                <w:color w:val="auto"/>
                <w:szCs w:val="21"/>
                <w:highlight w:val="none"/>
                <w:lang w:eastAsia="zh-CN"/>
              </w:rPr>
              <w:t>。</w:t>
            </w:r>
          </w:p>
          <w:p w14:paraId="2E5C435E">
            <w:pPr>
              <w:adjustRightInd w:val="0"/>
              <w:spacing w:line="360" w:lineRule="auto"/>
              <w:ind w:firstLine="420" w:firstLineChars="200"/>
              <w:rPr>
                <w:color w:val="auto"/>
                <w:szCs w:val="21"/>
              </w:rPr>
            </w:pPr>
            <w:r>
              <w:rPr>
                <w:rFonts w:hint="eastAsia"/>
                <w:color w:val="auto"/>
                <w:szCs w:val="21"/>
              </w:rPr>
              <w:t>（</w:t>
            </w:r>
            <w:r>
              <w:rPr>
                <w:rFonts w:hint="eastAsia"/>
                <w:color w:val="auto"/>
                <w:szCs w:val="21"/>
                <w:lang w:val="en-US" w:eastAsia="zh-CN"/>
              </w:rPr>
              <w:t>3</w:t>
            </w:r>
            <w:r>
              <w:rPr>
                <w:rFonts w:hint="eastAsia"/>
                <w:color w:val="auto"/>
                <w:szCs w:val="21"/>
              </w:rPr>
              <w:t>）线路选择时尽量避开敏感点，在与其它电力线、通信线、公路等交叉跨越时严格按规程要求留有净空距离。</w:t>
            </w:r>
          </w:p>
          <w:p w14:paraId="48EC8B33">
            <w:pPr>
              <w:adjustRightInd w:val="0"/>
              <w:spacing w:line="360" w:lineRule="auto"/>
              <w:ind w:firstLine="420" w:firstLineChars="200"/>
              <w:rPr>
                <w:rFonts w:hint="eastAsia"/>
                <w:color w:val="auto"/>
                <w:szCs w:val="21"/>
              </w:rPr>
            </w:pPr>
            <w:r>
              <w:rPr>
                <w:rFonts w:hint="eastAsia"/>
                <w:color w:val="auto"/>
                <w:szCs w:val="21"/>
              </w:rPr>
              <w:t>（</w:t>
            </w:r>
            <w:r>
              <w:rPr>
                <w:rFonts w:hint="eastAsia"/>
                <w:color w:val="auto"/>
                <w:szCs w:val="21"/>
                <w:lang w:val="en-US" w:eastAsia="zh-CN"/>
              </w:rPr>
              <w:t>4</w:t>
            </w:r>
            <w:r>
              <w:rPr>
                <w:rFonts w:hint="eastAsia"/>
                <w:color w:val="auto"/>
                <w:szCs w:val="21"/>
              </w:rPr>
              <w:t>）合理选择导线截面积和相导线结构，降低线路的电磁环境影响。</w:t>
            </w:r>
          </w:p>
          <w:p w14:paraId="46B3385B">
            <w:pPr>
              <w:adjustRightInd w:val="0"/>
              <w:spacing w:line="360" w:lineRule="auto"/>
              <w:rPr>
                <w:rFonts w:hint="eastAsia" w:eastAsia="黑体"/>
                <w:color w:val="auto"/>
                <w:szCs w:val="21"/>
              </w:rPr>
            </w:pPr>
            <w:r>
              <w:rPr>
                <w:rFonts w:hint="eastAsia" w:eastAsia="黑体"/>
                <w:color w:val="auto"/>
                <w:szCs w:val="21"/>
              </w:rPr>
              <w:t>二、声环境保护措施</w:t>
            </w:r>
          </w:p>
          <w:p w14:paraId="5A4D7E8C">
            <w:pPr>
              <w:adjustRightInd w:val="0"/>
              <w:spacing w:line="360" w:lineRule="auto"/>
              <w:ind w:firstLine="422" w:firstLineChars="200"/>
              <w:rPr>
                <w:b/>
                <w:color w:val="auto"/>
                <w:szCs w:val="21"/>
              </w:rPr>
            </w:pPr>
            <w:r>
              <w:rPr>
                <w:b/>
                <w:color w:val="auto"/>
                <w:szCs w:val="21"/>
              </w:rPr>
              <w:t>1、</w:t>
            </w:r>
            <w:r>
              <w:rPr>
                <w:rFonts w:hint="eastAsia"/>
                <w:b/>
                <w:color w:val="auto"/>
                <w:szCs w:val="21"/>
              </w:rPr>
              <w:t>变电站</w:t>
            </w:r>
          </w:p>
          <w:p w14:paraId="2A895E67">
            <w:pPr>
              <w:adjustRightInd w:val="0"/>
              <w:spacing w:line="360" w:lineRule="auto"/>
              <w:ind w:firstLine="420" w:firstLineChars="200"/>
              <w:rPr>
                <w:color w:val="auto"/>
                <w:szCs w:val="21"/>
              </w:rPr>
            </w:pPr>
            <w:r>
              <w:rPr>
                <w:rFonts w:hint="eastAsia"/>
                <w:color w:val="auto"/>
                <w:szCs w:val="21"/>
              </w:rPr>
              <w:t>（1）</w:t>
            </w:r>
            <w:r>
              <w:rPr>
                <w:color w:val="auto"/>
                <w:szCs w:val="21"/>
                <w:highlight w:val="none"/>
              </w:rPr>
              <w:t>主变压器</w:t>
            </w:r>
            <w:r>
              <w:rPr>
                <w:rFonts w:hint="eastAsia"/>
                <w:color w:val="auto"/>
                <w:szCs w:val="21"/>
                <w:highlight w:val="none"/>
                <w:lang w:val="en-US" w:eastAsia="zh-CN"/>
              </w:rPr>
              <w:t>选用低噪声设备，</w:t>
            </w:r>
            <w:r>
              <w:rPr>
                <w:color w:val="auto"/>
                <w:szCs w:val="21"/>
                <w:highlight w:val="none"/>
              </w:rPr>
              <w:t>噪声声压级不超过</w:t>
            </w:r>
            <w:r>
              <w:rPr>
                <w:rFonts w:hint="eastAsia"/>
                <w:color w:val="auto"/>
                <w:szCs w:val="21"/>
                <w:highlight w:val="none"/>
                <w:lang w:val="en-US" w:eastAsia="zh-CN"/>
              </w:rPr>
              <w:t>60</w:t>
            </w:r>
            <w:r>
              <w:rPr>
                <w:color w:val="auto"/>
                <w:szCs w:val="21"/>
                <w:highlight w:val="none"/>
              </w:rPr>
              <w:t>dB（A）</w:t>
            </w:r>
            <w:r>
              <w:rPr>
                <w:rFonts w:hint="default" w:ascii="Times New Roman" w:hAnsi="Times New Roman" w:cs="Times New Roman"/>
                <w:color w:val="auto"/>
                <w:sz w:val="21"/>
                <w:szCs w:val="21"/>
                <w:highlight w:val="none"/>
              </w:rPr>
              <w:t>（距离主变压器2m处）</w:t>
            </w:r>
            <w:r>
              <w:rPr>
                <w:rFonts w:hint="eastAsia"/>
                <w:color w:val="auto"/>
                <w:szCs w:val="21"/>
                <w:highlight w:val="none"/>
              </w:rPr>
              <w:t>。</w:t>
            </w:r>
          </w:p>
          <w:p w14:paraId="3715142C">
            <w:pPr>
              <w:adjustRightInd w:val="0"/>
              <w:spacing w:line="360" w:lineRule="auto"/>
              <w:ind w:firstLine="420" w:firstLineChars="200"/>
              <w:rPr>
                <w:rFonts w:hint="default" w:ascii="Times New Roman" w:hAnsi="Times New Roman" w:cs="Times New Roman"/>
                <w:color w:val="auto"/>
                <w:szCs w:val="21"/>
                <w:highlight w:val="none"/>
              </w:rPr>
            </w:pPr>
            <w:r>
              <w:rPr>
                <w:rFonts w:hint="eastAsia"/>
                <w:color w:val="auto"/>
                <w:szCs w:val="21"/>
              </w:rPr>
              <w:t>（2）</w:t>
            </w:r>
            <w:r>
              <w:rPr>
                <w:rFonts w:hint="eastAsia"/>
                <w:color w:val="auto"/>
                <w:szCs w:val="21"/>
                <w:highlight w:val="none"/>
              </w:rPr>
              <w:t>合理布局，利用距离衰减噪声</w:t>
            </w:r>
            <w:r>
              <w:rPr>
                <w:rFonts w:hint="default" w:ascii="Times New Roman" w:hAnsi="Times New Roman" w:cs="Times New Roman"/>
                <w:color w:val="auto"/>
                <w:szCs w:val="21"/>
                <w:highlight w:val="none"/>
              </w:rPr>
              <w:t>。</w:t>
            </w:r>
          </w:p>
          <w:p w14:paraId="16760178">
            <w:pPr>
              <w:keepNext w:val="0"/>
              <w:keepLines w:val="0"/>
              <w:pageBreakBefore w:val="0"/>
              <w:widowControl w:val="0"/>
              <w:kinsoku/>
              <w:wordWrap/>
              <w:overflowPunct/>
              <w:topLinePunct w:val="0"/>
              <w:autoSpaceDE/>
              <w:autoSpaceDN/>
              <w:bidi w:val="0"/>
              <w:snapToGrid/>
              <w:spacing w:line="360" w:lineRule="auto"/>
              <w:ind w:firstLine="422" w:firstLineChars="200"/>
              <w:textAlignment w:val="auto"/>
              <w:rPr>
                <w:rFonts w:hAnsi="宋体"/>
                <w:b/>
                <w:color w:val="auto"/>
                <w:szCs w:val="21"/>
                <w:highlight w:val="none"/>
              </w:rPr>
            </w:pPr>
            <w:r>
              <w:rPr>
                <w:rFonts w:hint="eastAsia" w:hAnsi="宋体"/>
                <w:b/>
                <w:color w:val="auto"/>
                <w:szCs w:val="21"/>
                <w:highlight w:val="none"/>
              </w:rPr>
              <w:t>2、输电线路</w:t>
            </w:r>
          </w:p>
          <w:p w14:paraId="48B3693D">
            <w:pPr>
              <w:keepNext w:val="0"/>
              <w:keepLines w:val="0"/>
              <w:pageBreakBefore w:val="0"/>
              <w:widowControl w:val="0"/>
              <w:kinsoku/>
              <w:wordWrap/>
              <w:overflowPunct/>
              <w:topLinePunct w:val="0"/>
              <w:autoSpaceDE/>
              <w:autoSpaceDN/>
              <w:bidi w:val="0"/>
              <w:snapToGrid/>
              <w:spacing w:line="360" w:lineRule="auto"/>
              <w:ind w:firstLine="420" w:firstLineChars="200"/>
              <w:textAlignment w:val="auto"/>
              <w:rPr>
                <w:color w:val="auto"/>
                <w:szCs w:val="21"/>
                <w:highlight w:val="none"/>
              </w:rPr>
            </w:pPr>
            <w:r>
              <w:rPr>
                <w:rFonts w:hint="eastAsia"/>
                <w:color w:val="auto"/>
                <w:szCs w:val="21"/>
                <w:highlight w:val="none"/>
                <w:lang w:eastAsia="zh-CN"/>
              </w:rPr>
              <w:t>（</w:t>
            </w:r>
            <w:r>
              <w:rPr>
                <w:rFonts w:hint="eastAsia"/>
                <w:color w:val="auto"/>
                <w:szCs w:val="21"/>
                <w:highlight w:val="none"/>
                <w:lang w:val="en-US" w:eastAsia="zh-CN"/>
              </w:rPr>
              <w:t>1</w:t>
            </w:r>
            <w:r>
              <w:rPr>
                <w:rFonts w:hint="eastAsia"/>
                <w:color w:val="auto"/>
                <w:szCs w:val="21"/>
                <w:highlight w:val="none"/>
                <w:lang w:eastAsia="zh-CN"/>
              </w:rPr>
              <w:t>）</w:t>
            </w:r>
            <w:r>
              <w:rPr>
                <w:color w:val="auto"/>
                <w:szCs w:val="21"/>
                <w:highlight w:val="none"/>
              </w:rPr>
              <w:t>合理选择线路路径，避让集中居民点。</w:t>
            </w:r>
          </w:p>
          <w:p w14:paraId="27040873">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color w:val="auto"/>
                <w:szCs w:val="21"/>
                <w:highlight w:val="none"/>
                <w:lang w:eastAsia="zh-CN"/>
              </w:rPr>
            </w:pPr>
            <w:r>
              <w:rPr>
                <w:rFonts w:hint="eastAsia"/>
                <w:color w:val="auto"/>
                <w:szCs w:val="21"/>
                <w:highlight w:val="none"/>
                <w:lang w:eastAsia="zh-CN"/>
              </w:rPr>
              <w:t>（</w:t>
            </w:r>
            <w:r>
              <w:rPr>
                <w:rFonts w:hint="eastAsia"/>
                <w:color w:val="auto"/>
                <w:szCs w:val="21"/>
                <w:highlight w:val="none"/>
                <w:lang w:val="en-US" w:eastAsia="zh-CN"/>
              </w:rPr>
              <w:t>2</w:t>
            </w:r>
            <w:r>
              <w:rPr>
                <w:rFonts w:hint="eastAsia"/>
                <w:color w:val="auto"/>
                <w:szCs w:val="21"/>
                <w:highlight w:val="none"/>
                <w:lang w:eastAsia="zh-CN"/>
              </w:rPr>
              <w:t>）</w:t>
            </w:r>
            <w:r>
              <w:rPr>
                <w:color w:val="auto"/>
                <w:szCs w:val="21"/>
                <w:highlight w:val="none"/>
              </w:rPr>
              <w:t>合理选择导线截面积和相导线结构，降低线路的电晕噪声</w:t>
            </w:r>
            <w:r>
              <w:rPr>
                <w:rFonts w:hint="eastAsia"/>
                <w:color w:val="auto"/>
                <w:szCs w:val="21"/>
                <w:highlight w:val="none"/>
                <w:lang w:eastAsia="zh-CN"/>
              </w:rPr>
              <w:t>。</w:t>
            </w:r>
          </w:p>
          <w:p w14:paraId="5F2B21C9">
            <w:pPr>
              <w:pStyle w:val="24"/>
              <w:keepNext w:val="0"/>
              <w:keepLines w:val="0"/>
              <w:pageBreakBefore w:val="0"/>
              <w:widowControl w:val="0"/>
              <w:kinsoku/>
              <w:wordWrap/>
              <w:overflowPunct/>
              <w:topLinePunct w:val="0"/>
              <w:autoSpaceDE/>
              <w:autoSpaceDN/>
              <w:bidi w:val="0"/>
              <w:snapToGrid/>
              <w:spacing w:after="0" w:line="360" w:lineRule="auto"/>
              <w:ind w:left="0" w:leftChars="0" w:firstLine="420" w:firstLineChars="200"/>
              <w:textAlignment w:val="auto"/>
              <w:rPr>
                <w:rFonts w:hint="eastAsia" w:eastAsia="宋体"/>
                <w:color w:val="auto"/>
                <w:lang w:val="en-US" w:eastAsia="zh-CN"/>
              </w:rPr>
            </w:pPr>
            <w:r>
              <w:rPr>
                <w:rFonts w:hint="eastAsia"/>
                <w:color w:val="auto"/>
                <w:szCs w:val="21"/>
                <w:highlight w:val="none"/>
                <w:lang w:eastAsia="zh-CN"/>
              </w:rPr>
              <w:t>（</w:t>
            </w:r>
            <w:r>
              <w:rPr>
                <w:rFonts w:hint="eastAsia"/>
                <w:color w:val="auto"/>
                <w:szCs w:val="21"/>
                <w:highlight w:val="none"/>
                <w:lang w:val="en-US" w:eastAsia="zh-CN"/>
              </w:rPr>
              <w:t>3</w:t>
            </w:r>
            <w:r>
              <w:rPr>
                <w:rFonts w:hint="eastAsia"/>
                <w:color w:val="auto"/>
                <w:szCs w:val="21"/>
                <w:highlight w:val="none"/>
                <w:lang w:eastAsia="zh-CN"/>
              </w:rPr>
              <w:t>）</w:t>
            </w:r>
            <w:r>
              <w:rPr>
                <w:rFonts w:hint="eastAsia"/>
                <w:color w:val="auto"/>
                <w:szCs w:val="21"/>
              </w:rPr>
              <w:t>输电线路满足架设高度（在经过非居民区时架设档距中央最大弧垂处导线高度不低于6m，在经过居民区时架设档距中央最大弧垂处导线高度不低于7m</w:t>
            </w:r>
            <w:r>
              <w:rPr>
                <w:rFonts w:hint="eastAsia"/>
                <w:color w:val="auto"/>
                <w:szCs w:val="21"/>
                <w:lang w:eastAsia="zh-CN"/>
              </w:rPr>
              <w:t>。</w:t>
            </w:r>
            <w:r>
              <w:rPr>
                <w:rFonts w:hint="eastAsia"/>
                <w:color w:val="000000" w:themeColor="text1"/>
                <w:szCs w:val="21"/>
                <w:highlight w:val="none"/>
                <w:lang w:val="en-US" w:eastAsia="zh-CN"/>
                <w14:textFill>
                  <w14:solidFill>
                    <w14:schemeClr w14:val="tx1"/>
                  </w14:solidFill>
                </w14:textFill>
              </w:rPr>
              <w:t>线路</w:t>
            </w:r>
            <w:r>
              <w:rPr>
                <w:rFonts w:hint="default" w:ascii="Times New Roman" w:hAnsi="Times New Roman" w:cs="Times New Roman"/>
                <w:color w:val="000000" w:themeColor="text1"/>
                <w:szCs w:val="21"/>
                <w:highlight w:val="none"/>
                <w:lang w:val="en-US" w:eastAsia="zh-CN"/>
                <w14:textFill>
                  <w14:solidFill>
                    <w14:schemeClr w14:val="tx1"/>
                  </w14:solidFill>
                </w14:textFill>
              </w:rPr>
              <w:t>Ⅰ</w:t>
            </w:r>
            <w:r>
              <w:rPr>
                <w:rFonts w:hint="eastAsia"/>
                <w:color w:val="000000" w:themeColor="text1"/>
                <w:szCs w:val="21"/>
                <w:highlight w:val="none"/>
                <w:lang w:val="en-US" w:eastAsia="zh-CN"/>
                <w14:textFill>
                  <w14:solidFill>
                    <w14:schemeClr w14:val="tx1"/>
                  </w14:solidFill>
                </w14:textFill>
              </w:rPr>
              <w:t>利旧段</w:t>
            </w:r>
            <w:r>
              <w:rPr>
                <w:rFonts w:hint="default" w:ascii="Times New Roman" w:hAnsi="Times New Roman" w:cs="Times New Roman"/>
                <w:bCs/>
                <w:color w:val="000000" w:themeColor="text1"/>
                <w:szCs w:val="21"/>
                <w:highlight w:val="none"/>
                <w:lang w:eastAsia="zh-CN"/>
                <w14:textFill>
                  <w14:solidFill>
                    <w14:schemeClr w14:val="tx1"/>
                  </w14:solidFill>
                </w14:textFill>
              </w:rPr>
              <w:t>导线</w:t>
            </w:r>
            <w:r>
              <w:rPr>
                <w:rFonts w:hint="eastAsia" w:cs="Times New Roman"/>
                <w:bCs/>
                <w:color w:val="000000" w:themeColor="text1"/>
                <w:szCs w:val="21"/>
                <w:highlight w:val="none"/>
                <w:lang w:val="en-US" w:eastAsia="zh-CN"/>
                <w14:textFill>
                  <w14:solidFill>
                    <w14:schemeClr w14:val="tx1"/>
                  </w14:solidFill>
                </w14:textFill>
              </w:rPr>
              <w:t>设计</w:t>
            </w:r>
            <w:r>
              <w:rPr>
                <w:rFonts w:hint="default" w:ascii="Times New Roman" w:hAnsi="Times New Roman" w:cs="Times New Roman"/>
                <w:bCs/>
                <w:color w:val="000000" w:themeColor="text1"/>
                <w:szCs w:val="21"/>
                <w:highlight w:val="none"/>
                <w:lang w:eastAsia="zh-CN"/>
                <w14:textFill>
                  <w14:solidFill>
                    <w14:schemeClr w14:val="tx1"/>
                  </w14:solidFill>
                </w14:textFill>
              </w:rPr>
              <w:t>架设高度不低于</w:t>
            </w:r>
            <w:r>
              <w:rPr>
                <w:rFonts w:hint="eastAsia" w:cs="Times New Roman"/>
                <w:bCs/>
                <w:color w:val="000000" w:themeColor="text1"/>
                <w:szCs w:val="21"/>
                <w:highlight w:val="none"/>
                <w:lang w:val="en-US" w:eastAsia="zh-CN"/>
                <w14:textFill>
                  <w14:solidFill>
                    <w14:schemeClr w14:val="tx1"/>
                  </w14:solidFill>
                </w14:textFill>
              </w:rPr>
              <w:t>9</w:t>
            </w:r>
            <w:r>
              <w:rPr>
                <w:rFonts w:hint="default" w:ascii="Times New Roman" w:hAnsi="Times New Roman" w:cs="Times New Roman"/>
                <w:bCs/>
                <w:color w:val="000000" w:themeColor="text1"/>
                <w:szCs w:val="21"/>
                <w:highlight w:val="none"/>
                <w:lang w:eastAsia="zh-CN"/>
                <w14:textFill>
                  <w14:solidFill>
                    <w14:schemeClr w14:val="tx1"/>
                  </w14:solidFill>
                </w14:textFill>
              </w:rPr>
              <w:t>m</w:t>
            </w:r>
            <w:r>
              <w:rPr>
                <w:rFonts w:hint="eastAsia" w:ascii="Times New Roman" w:hAnsi="Times New Roman" w:cs="Times New Roman"/>
                <w:bCs/>
                <w:color w:val="000000" w:themeColor="text1"/>
                <w:szCs w:val="21"/>
                <w:highlight w:val="none"/>
                <w:lang w:eastAsia="zh-CN"/>
                <w14:textFill>
                  <w14:solidFill>
                    <w14:schemeClr w14:val="tx1"/>
                  </w14:solidFill>
                </w14:textFill>
              </w:rPr>
              <w:t>；</w:t>
            </w:r>
            <w:r>
              <w:rPr>
                <w:rFonts w:hint="eastAsia"/>
                <w:color w:val="auto"/>
                <w:szCs w:val="21"/>
                <w:lang w:eastAsia="zh-CN"/>
              </w:rPr>
              <w:t>跨越建筑物处导线与建筑物屋顶距离不低于5m</w:t>
            </w:r>
            <w:r>
              <w:rPr>
                <w:rFonts w:hint="eastAsia"/>
                <w:color w:val="auto"/>
                <w:szCs w:val="21"/>
              </w:rPr>
              <w:t>。</w:t>
            </w:r>
            <w:r>
              <w:rPr>
                <w:rFonts w:hint="eastAsia"/>
                <w:color w:val="auto"/>
                <w:szCs w:val="21"/>
                <w:lang w:eastAsia="zh-CN"/>
              </w:rPr>
              <w:t>）。</w:t>
            </w:r>
          </w:p>
          <w:p w14:paraId="0406B6C5">
            <w:pPr>
              <w:adjustRightInd w:val="0"/>
              <w:spacing w:line="360" w:lineRule="auto"/>
              <w:rPr>
                <w:rFonts w:eastAsia="黑体"/>
                <w:color w:val="auto"/>
                <w:szCs w:val="21"/>
              </w:rPr>
            </w:pPr>
            <w:r>
              <w:rPr>
                <w:rFonts w:hint="eastAsia" w:eastAsia="黑体"/>
                <w:color w:val="auto"/>
                <w:szCs w:val="21"/>
              </w:rPr>
              <w:t>三</w:t>
            </w:r>
            <w:r>
              <w:rPr>
                <w:rFonts w:eastAsia="黑体"/>
                <w:color w:val="auto"/>
                <w:szCs w:val="21"/>
              </w:rPr>
              <w:t>、固体废物</w:t>
            </w:r>
            <w:r>
              <w:rPr>
                <w:rFonts w:hint="eastAsia" w:eastAsia="黑体"/>
                <w:color w:val="auto"/>
                <w:szCs w:val="21"/>
              </w:rPr>
              <w:t>处置措施</w:t>
            </w:r>
          </w:p>
          <w:p w14:paraId="7E0FC147">
            <w:pPr>
              <w:adjustRightInd w:val="0"/>
              <w:spacing w:line="360" w:lineRule="auto"/>
              <w:ind w:firstLine="422" w:firstLineChars="200"/>
              <w:rPr>
                <w:b/>
                <w:color w:val="auto"/>
                <w:kern w:val="0"/>
                <w:szCs w:val="21"/>
              </w:rPr>
            </w:pPr>
            <w:r>
              <w:rPr>
                <w:rFonts w:hint="eastAsia"/>
                <w:b/>
                <w:color w:val="auto"/>
                <w:kern w:val="0"/>
                <w:szCs w:val="21"/>
              </w:rPr>
              <w:t>1、一般固废</w:t>
            </w:r>
          </w:p>
          <w:p w14:paraId="6B54B255">
            <w:pPr>
              <w:adjustRightInd w:val="0"/>
              <w:spacing w:line="360" w:lineRule="auto"/>
              <w:ind w:firstLine="420" w:firstLineChars="200"/>
              <w:rPr>
                <w:color w:val="auto"/>
              </w:rPr>
            </w:pPr>
            <w:r>
              <w:rPr>
                <w:rFonts w:hint="eastAsia"/>
                <w:color w:val="auto"/>
                <w:szCs w:val="21"/>
              </w:rPr>
              <w:t>本项目</w:t>
            </w:r>
            <w:r>
              <w:rPr>
                <w:rFonts w:hint="eastAsia"/>
                <w:color w:val="auto"/>
                <w:lang w:val="en-US" w:eastAsia="zh-CN"/>
              </w:rPr>
              <w:t>司城</w:t>
            </w:r>
            <w:r>
              <w:rPr>
                <w:rFonts w:hint="eastAsia"/>
                <w:color w:val="auto"/>
                <w:szCs w:val="21"/>
              </w:rPr>
              <w:t>110kV变电站</w:t>
            </w:r>
            <w:r>
              <w:rPr>
                <w:color w:val="auto"/>
              </w:rPr>
              <w:t>按无人值班站进行设计</w:t>
            </w:r>
            <w:r>
              <w:rPr>
                <w:rFonts w:hint="eastAsia"/>
                <w:color w:val="auto"/>
              </w:rPr>
              <w:t>，</w:t>
            </w:r>
            <w:r>
              <w:rPr>
                <w:rFonts w:hint="eastAsia"/>
                <w:color w:val="auto"/>
                <w:szCs w:val="21"/>
              </w:rPr>
              <w:t>建成后</w:t>
            </w:r>
            <w:r>
              <w:rPr>
                <w:rFonts w:hint="eastAsia"/>
                <w:bCs/>
                <w:color w:val="auto"/>
              </w:rPr>
              <w:t>仅</w:t>
            </w:r>
            <w:r>
              <w:rPr>
                <w:bCs/>
                <w:color w:val="auto"/>
              </w:rPr>
              <w:t>设置</w:t>
            </w:r>
            <w:r>
              <w:rPr>
                <w:rFonts w:hint="eastAsia"/>
                <w:color w:val="auto"/>
              </w:rPr>
              <w:t>1</w:t>
            </w:r>
            <w:r>
              <w:rPr>
                <w:color w:val="auto"/>
              </w:rPr>
              <w:t>名</w:t>
            </w:r>
            <w:r>
              <w:rPr>
                <w:rFonts w:hint="eastAsia"/>
                <w:color w:val="auto"/>
              </w:rPr>
              <w:t>门卫</w:t>
            </w:r>
            <w:r>
              <w:rPr>
                <w:color w:val="auto"/>
              </w:rPr>
              <w:t>常驻站内</w:t>
            </w:r>
            <w:r>
              <w:rPr>
                <w:rFonts w:hint="eastAsia"/>
                <w:color w:val="auto"/>
                <w:szCs w:val="21"/>
              </w:rPr>
              <w:t>，</w:t>
            </w:r>
            <w:r>
              <w:rPr>
                <w:color w:val="auto"/>
                <w:szCs w:val="21"/>
              </w:rPr>
              <w:t>产生的少量</w:t>
            </w:r>
            <w:r>
              <w:rPr>
                <w:rFonts w:hint="eastAsia"/>
                <w:color w:val="auto"/>
                <w:szCs w:val="21"/>
              </w:rPr>
              <w:t>生活垃圾经</w:t>
            </w:r>
            <w:r>
              <w:rPr>
                <w:rFonts w:hint="eastAsia"/>
                <w:color w:val="auto"/>
              </w:rPr>
              <w:t>门卫</w:t>
            </w:r>
            <w:r>
              <w:rPr>
                <w:rFonts w:hint="eastAsia"/>
                <w:color w:val="auto"/>
                <w:szCs w:val="21"/>
              </w:rPr>
              <w:t>自行收集后由当地环卫部门收集处理</w:t>
            </w:r>
            <w:r>
              <w:rPr>
                <w:color w:val="auto"/>
              </w:rPr>
              <w:t>。</w:t>
            </w:r>
          </w:p>
          <w:p w14:paraId="38D0F901">
            <w:pPr>
              <w:adjustRightInd w:val="0"/>
              <w:spacing w:line="360" w:lineRule="auto"/>
              <w:ind w:firstLine="422" w:firstLineChars="200"/>
              <w:rPr>
                <w:b/>
                <w:color w:val="auto"/>
                <w:kern w:val="0"/>
                <w:szCs w:val="21"/>
              </w:rPr>
            </w:pPr>
            <w:r>
              <w:rPr>
                <w:rFonts w:hint="eastAsia"/>
                <w:b/>
                <w:color w:val="auto"/>
                <w:kern w:val="0"/>
                <w:szCs w:val="21"/>
              </w:rPr>
              <w:t>2、废事故油</w:t>
            </w:r>
          </w:p>
          <w:p w14:paraId="6F7B0B2E">
            <w:pPr>
              <w:adjustRightInd w:val="0"/>
              <w:spacing w:line="360" w:lineRule="auto"/>
              <w:ind w:firstLine="420" w:firstLineChars="200"/>
              <w:rPr>
                <w:rFonts w:hint="default" w:eastAsia="宋体"/>
                <w:color w:val="auto"/>
                <w:kern w:val="0"/>
                <w:szCs w:val="21"/>
                <w:lang w:val="en-US" w:eastAsia="zh-CN"/>
              </w:rPr>
            </w:pPr>
            <w:r>
              <w:rPr>
                <w:color w:val="auto"/>
              </w:rPr>
              <w:t>变电站主变压器事故工况时产生事故油，主变压器下设有事故油坑，站内设有事故油池（</w:t>
            </w:r>
            <w:r>
              <w:rPr>
                <w:rFonts w:hint="eastAsia"/>
                <w:color w:val="auto"/>
              </w:rPr>
              <w:t>具有油水分离功能</w:t>
            </w:r>
            <w:r>
              <w:rPr>
                <w:color w:val="auto"/>
              </w:rPr>
              <w:t>）。</w:t>
            </w:r>
            <w:r>
              <w:rPr>
                <w:bCs/>
                <w:color w:val="auto"/>
              </w:rPr>
              <w:t>当出现事故时主变压器事故油进入事故油坑后通过事故油管引入事故油池，</w:t>
            </w:r>
            <w:r>
              <w:rPr>
                <w:rFonts w:hint="eastAsia"/>
                <w:color w:val="auto"/>
              </w:rPr>
              <w:t>其中事故油中可回收部分由建设单位回收再利用，不可回收部分（即废事故油）采用专用密封容器盛装后运送至国网巴中供电公司枣林危废暂存间</w:t>
            </w:r>
            <w:r>
              <w:rPr>
                <w:rFonts w:hint="eastAsia"/>
                <w:color w:val="auto"/>
                <w:lang w:eastAsia="zh-CN"/>
              </w:rPr>
              <w:t>，</w:t>
            </w:r>
            <w:r>
              <w:rPr>
                <w:rFonts w:hint="eastAsia"/>
                <w:color w:val="auto"/>
              </w:rPr>
              <w:t>定期交由有危险废物处置资质的单位进行处置，不外排。</w:t>
            </w:r>
          </w:p>
          <w:p w14:paraId="7403E547">
            <w:pPr>
              <w:spacing w:line="360" w:lineRule="auto"/>
              <w:ind w:firstLine="422" w:firstLineChars="200"/>
              <w:rPr>
                <w:b/>
                <w:color w:val="auto"/>
                <w:kern w:val="0"/>
                <w:szCs w:val="21"/>
              </w:rPr>
            </w:pPr>
            <w:r>
              <w:rPr>
                <w:rFonts w:hint="eastAsia"/>
                <w:b/>
                <w:color w:val="auto"/>
                <w:kern w:val="0"/>
                <w:szCs w:val="21"/>
              </w:rPr>
              <w:t>3、废铅蓄电池</w:t>
            </w:r>
          </w:p>
          <w:p w14:paraId="4776D1D6">
            <w:pPr>
              <w:spacing w:line="360" w:lineRule="auto"/>
              <w:ind w:firstLine="420" w:firstLineChars="200"/>
              <w:rPr>
                <w:rFonts w:hint="eastAsia" w:eastAsia="宋体"/>
                <w:color w:val="auto"/>
                <w:szCs w:val="22"/>
                <w:lang w:eastAsia="zh-CN"/>
              </w:rPr>
            </w:pPr>
            <w:r>
              <w:rPr>
                <w:rFonts w:hint="eastAsia"/>
                <w:color w:val="auto"/>
                <w:szCs w:val="22"/>
              </w:rPr>
              <w:t>建设单位在日常检修中不定期检测蓄电池电压，若性能满足要求则继续使用，对性能不达标的蓄电池，则进行</w:t>
            </w:r>
            <w:r>
              <w:rPr>
                <w:rFonts w:hint="default" w:ascii="Times New Roman" w:hAnsi="Times New Roman" w:cs="Times New Roman"/>
                <w:color w:val="auto"/>
                <w:szCs w:val="22"/>
                <w:highlight w:val="none"/>
              </w:rPr>
              <w:t>报废，报废的</w:t>
            </w:r>
            <w:r>
              <w:rPr>
                <w:rFonts w:hint="eastAsia" w:cs="Times New Roman"/>
                <w:color w:val="auto"/>
                <w:szCs w:val="22"/>
                <w:highlight w:val="none"/>
                <w:lang w:eastAsia="zh-CN"/>
              </w:rPr>
              <w:t>废铅蓄电池</w:t>
            </w:r>
            <w:r>
              <w:rPr>
                <w:rFonts w:hint="default" w:ascii="Times New Roman" w:hAnsi="Times New Roman" w:cs="Times New Roman"/>
                <w:color w:val="auto"/>
                <w:szCs w:val="22"/>
                <w:highlight w:val="none"/>
              </w:rPr>
              <w:t>按危险废物管理，产生后</w:t>
            </w:r>
            <w:r>
              <w:rPr>
                <w:rFonts w:hint="default" w:ascii="Times New Roman" w:hAnsi="Times New Roman" w:cs="Times New Roman"/>
                <w:bCs/>
                <w:color w:val="auto"/>
                <w:highlight w:val="none"/>
              </w:rPr>
              <w:t>随即委托相关单位日产日清，不在变电站内暂存</w:t>
            </w:r>
            <w:r>
              <w:rPr>
                <w:rFonts w:hint="eastAsia"/>
                <w:color w:val="auto"/>
                <w:szCs w:val="22"/>
              </w:rPr>
              <w:t>。</w:t>
            </w:r>
            <w:r>
              <w:rPr>
                <w:color w:val="auto"/>
                <w:szCs w:val="22"/>
              </w:rPr>
              <w:t>按照《危险废物转移管理办法》</w:t>
            </w:r>
            <w:r>
              <w:rPr>
                <w:rFonts w:hint="eastAsia"/>
                <w:color w:val="auto"/>
                <w:szCs w:val="22"/>
              </w:rPr>
              <w:t>有关规定，禁止在转移过程中擅自拆解、破碎、丢弃</w:t>
            </w:r>
            <w:r>
              <w:rPr>
                <w:rFonts w:hint="eastAsia"/>
                <w:color w:val="auto"/>
                <w:szCs w:val="22"/>
                <w:lang w:eastAsia="zh-CN"/>
              </w:rPr>
              <w:t>废铅蓄电池</w:t>
            </w:r>
            <w:r>
              <w:rPr>
                <w:rFonts w:hint="eastAsia"/>
                <w:color w:val="auto"/>
                <w:szCs w:val="22"/>
              </w:rPr>
              <w:t>。最终交</w:t>
            </w:r>
            <w:r>
              <w:rPr>
                <w:rFonts w:hint="eastAsia"/>
                <w:color w:val="auto"/>
                <w:szCs w:val="22"/>
                <w:lang w:val="en-US" w:eastAsia="zh-CN"/>
              </w:rPr>
              <w:t>由</w:t>
            </w:r>
            <w:r>
              <w:rPr>
                <w:color w:val="auto"/>
                <w:szCs w:val="22"/>
              </w:rPr>
              <w:t>相应危废处理资质的单位</w:t>
            </w:r>
            <w:r>
              <w:rPr>
                <w:rFonts w:hint="eastAsia"/>
                <w:color w:val="auto"/>
                <w:szCs w:val="22"/>
                <w:lang w:val="en-US" w:eastAsia="zh-CN"/>
              </w:rPr>
              <w:t>转运</w:t>
            </w:r>
            <w:r>
              <w:rPr>
                <w:rFonts w:hint="eastAsia"/>
                <w:color w:val="auto"/>
                <w:szCs w:val="22"/>
              </w:rPr>
              <w:t>处理</w:t>
            </w:r>
            <w:r>
              <w:rPr>
                <w:rFonts w:hint="eastAsia"/>
                <w:color w:val="auto"/>
                <w:szCs w:val="22"/>
                <w:lang w:eastAsia="zh-CN"/>
              </w:rPr>
              <w:t>。</w:t>
            </w:r>
          </w:p>
          <w:p w14:paraId="638428C0">
            <w:pPr>
              <w:spacing w:line="360" w:lineRule="auto"/>
              <w:rPr>
                <w:rFonts w:eastAsia="黑体"/>
                <w:color w:val="auto"/>
                <w:szCs w:val="21"/>
              </w:rPr>
            </w:pPr>
            <w:r>
              <w:rPr>
                <w:rFonts w:hint="eastAsia" w:eastAsia="黑体"/>
                <w:color w:val="auto"/>
                <w:szCs w:val="21"/>
              </w:rPr>
              <w:t>四、水环境保护措施</w:t>
            </w:r>
          </w:p>
          <w:p w14:paraId="524BE86D">
            <w:pPr>
              <w:spacing w:line="360" w:lineRule="auto"/>
              <w:ind w:firstLine="422" w:firstLineChars="200"/>
              <w:rPr>
                <w:b/>
                <w:color w:val="auto"/>
                <w:szCs w:val="21"/>
              </w:rPr>
            </w:pPr>
            <w:r>
              <w:rPr>
                <w:rFonts w:hint="eastAsia"/>
                <w:b/>
                <w:color w:val="auto"/>
                <w:szCs w:val="21"/>
              </w:rPr>
              <w:t>1、地表水环境保护措施</w:t>
            </w:r>
          </w:p>
          <w:p w14:paraId="1AF1D5EB">
            <w:pPr>
              <w:spacing w:line="360" w:lineRule="auto"/>
              <w:ind w:firstLine="420" w:firstLineChars="200"/>
              <w:rPr>
                <w:rFonts w:hint="eastAsia"/>
                <w:color w:val="auto"/>
              </w:rPr>
            </w:pPr>
            <w:r>
              <w:rPr>
                <w:rFonts w:hint="eastAsia"/>
                <w:bCs/>
                <w:color w:val="auto"/>
                <w:lang w:val="en-US" w:eastAsia="zh-CN"/>
              </w:rPr>
              <w:t>司城</w:t>
            </w:r>
            <w:r>
              <w:rPr>
                <w:rFonts w:hint="eastAsia"/>
                <w:color w:val="auto"/>
                <w:szCs w:val="21"/>
              </w:rPr>
              <w:t>110kV变电站</w:t>
            </w:r>
            <w:r>
              <w:rPr>
                <w:color w:val="auto"/>
                <w:szCs w:val="21"/>
              </w:rPr>
              <w:t>产生的少量</w:t>
            </w:r>
            <w:r>
              <w:rPr>
                <w:rFonts w:hint="eastAsia"/>
                <w:color w:val="auto"/>
                <w:szCs w:val="21"/>
              </w:rPr>
              <w:t>生活污水经化粪池处理后</w:t>
            </w:r>
            <w:r>
              <w:rPr>
                <w:rFonts w:hint="eastAsia"/>
                <w:color w:val="auto"/>
                <w:szCs w:val="21"/>
                <w:lang w:val="en-US" w:eastAsia="zh-CN"/>
              </w:rPr>
              <w:t>由运维单位定期清掏</w:t>
            </w:r>
            <w:r>
              <w:rPr>
                <w:rFonts w:hint="eastAsia"/>
                <w:color w:val="auto"/>
                <w:szCs w:val="21"/>
              </w:rPr>
              <w:t>，不外排</w:t>
            </w:r>
            <w:r>
              <w:rPr>
                <w:rFonts w:hint="eastAsia"/>
                <w:color w:val="auto"/>
              </w:rPr>
              <w:t>。输电线路投运后，无废污水产生。</w:t>
            </w:r>
          </w:p>
          <w:p w14:paraId="282AFEE1">
            <w:pPr>
              <w:spacing w:line="360" w:lineRule="auto"/>
              <w:ind w:firstLine="422" w:firstLineChars="200"/>
              <w:rPr>
                <w:b/>
                <w:color w:val="auto"/>
                <w:szCs w:val="21"/>
              </w:rPr>
            </w:pPr>
            <w:r>
              <w:rPr>
                <w:rFonts w:hint="eastAsia"/>
                <w:b/>
                <w:color w:val="auto"/>
                <w:szCs w:val="21"/>
              </w:rPr>
              <w:t>2、地下水环境保护措施</w:t>
            </w:r>
          </w:p>
          <w:p w14:paraId="62239DB1">
            <w:pPr>
              <w:spacing w:line="360" w:lineRule="auto"/>
              <w:ind w:firstLine="420" w:firstLineChars="200"/>
              <w:rPr>
                <w:color w:val="auto"/>
                <w:szCs w:val="21"/>
              </w:rPr>
            </w:pPr>
            <w:r>
              <w:rPr>
                <w:rFonts w:hAnsi="宋体"/>
                <w:color w:val="auto"/>
                <w:szCs w:val="21"/>
              </w:rPr>
              <w:t>将</w:t>
            </w:r>
            <w:r>
              <w:rPr>
                <w:rFonts w:hint="eastAsia" w:hAnsi="宋体"/>
                <w:color w:val="auto"/>
                <w:szCs w:val="21"/>
                <w:lang w:val="en-US" w:eastAsia="zh-CN"/>
              </w:rPr>
              <w:t>司城</w:t>
            </w:r>
            <w:r>
              <w:rPr>
                <w:rFonts w:hint="eastAsia"/>
                <w:color w:val="auto"/>
                <w:szCs w:val="21"/>
              </w:rPr>
              <w:t>110kV变电站</w:t>
            </w:r>
            <w:r>
              <w:rPr>
                <w:rFonts w:hint="eastAsia" w:hAnsi="宋体"/>
                <w:color w:val="auto"/>
                <w:szCs w:val="21"/>
              </w:rPr>
              <w:t>内</w:t>
            </w:r>
            <w:r>
              <w:rPr>
                <w:rFonts w:hAnsi="宋体"/>
                <w:color w:val="auto"/>
                <w:szCs w:val="21"/>
              </w:rPr>
              <w:t>生产功能单元所处的位置划分为重点防渗区、一般防渗区以及</w:t>
            </w:r>
            <w:r>
              <w:rPr>
                <w:rFonts w:hint="eastAsia" w:hAnsi="宋体"/>
                <w:color w:val="auto"/>
                <w:szCs w:val="21"/>
              </w:rPr>
              <w:t>简单</w:t>
            </w:r>
            <w:r>
              <w:rPr>
                <w:rFonts w:hAnsi="宋体"/>
                <w:color w:val="auto"/>
                <w:szCs w:val="21"/>
              </w:rPr>
              <w:t>防渗区三类地下水污染防治区域：</w:t>
            </w:r>
          </w:p>
          <w:p w14:paraId="1C0728A0">
            <w:pPr>
              <w:spacing w:line="360" w:lineRule="auto"/>
              <w:ind w:firstLine="420" w:firstLineChars="200"/>
              <w:rPr>
                <w:color w:val="auto"/>
                <w:szCs w:val="21"/>
              </w:rPr>
            </w:pPr>
            <w:r>
              <w:rPr>
                <w:rFonts w:hAnsi="宋体"/>
                <w:color w:val="auto"/>
                <w:szCs w:val="21"/>
              </w:rPr>
              <w:t>重点防渗区：</w:t>
            </w:r>
            <w:r>
              <w:rPr>
                <w:rFonts w:hint="eastAsia" w:hAnsi="宋体"/>
                <w:color w:val="auto"/>
                <w:szCs w:val="21"/>
              </w:rPr>
              <w:t>事故油池、排油管、事故油坑；</w:t>
            </w:r>
          </w:p>
          <w:p w14:paraId="208C68D2">
            <w:pPr>
              <w:spacing w:line="360" w:lineRule="auto"/>
              <w:ind w:firstLine="420" w:firstLineChars="200"/>
              <w:rPr>
                <w:color w:val="auto"/>
                <w:szCs w:val="21"/>
              </w:rPr>
            </w:pPr>
            <w:r>
              <w:rPr>
                <w:rFonts w:hAnsi="宋体"/>
                <w:color w:val="auto"/>
                <w:szCs w:val="21"/>
              </w:rPr>
              <w:t>一般防渗区：</w:t>
            </w:r>
            <w:r>
              <w:rPr>
                <w:rFonts w:hint="eastAsia" w:hAnsi="宋体"/>
                <w:color w:val="auto"/>
                <w:szCs w:val="21"/>
              </w:rPr>
              <w:t>配电</w:t>
            </w:r>
            <w:r>
              <w:rPr>
                <w:rFonts w:hint="eastAsia" w:hAnsi="宋体"/>
                <w:color w:val="auto"/>
                <w:szCs w:val="21"/>
                <w:lang w:val="en-US" w:eastAsia="zh-CN"/>
              </w:rPr>
              <w:t>装置室</w:t>
            </w:r>
            <w:r>
              <w:rPr>
                <w:rFonts w:hint="eastAsia" w:hAnsi="宋体"/>
                <w:color w:val="auto"/>
                <w:szCs w:val="21"/>
              </w:rPr>
              <w:t>、化粪池；</w:t>
            </w:r>
          </w:p>
          <w:p w14:paraId="4CFEE5B8">
            <w:pPr>
              <w:spacing w:line="360" w:lineRule="auto"/>
              <w:ind w:firstLine="420" w:firstLineChars="200"/>
              <w:rPr>
                <w:rFonts w:hint="eastAsia" w:hAnsi="宋体"/>
                <w:color w:val="auto"/>
                <w:szCs w:val="21"/>
              </w:rPr>
            </w:pPr>
            <w:r>
              <w:rPr>
                <w:rFonts w:hint="eastAsia" w:hAnsi="宋体"/>
                <w:color w:val="auto"/>
                <w:szCs w:val="21"/>
              </w:rPr>
              <w:t>简单防渗区：除事故油池、排油管、化粪池和</w:t>
            </w:r>
            <w:r>
              <w:rPr>
                <w:rFonts w:hint="eastAsia" w:hAnsi="宋体"/>
                <w:color w:val="auto"/>
                <w:szCs w:val="21"/>
                <w:lang w:eastAsia="zh-CN"/>
              </w:rPr>
              <w:t>配电装置室</w:t>
            </w:r>
            <w:r>
              <w:rPr>
                <w:rFonts w:hint="eastAsia" w:hAnsi="宋体"/>
                <w:color w:val="auto"/>
                <w:szCs w:val="21"/>
              </w:rPr>
              <w:t>之外的区域。</w:t>
            </w:r>
          </w:p>
          <w:p w14:paraId="05728734">
            <w:pPr>
              <w:spacing w:line="360" w:lineRule="auto"/>
              <w:rPr>
                <w:rFonts w:eastAsia="黑体"/>
                <w:color w:val="auto"/>
                <w:szCs w:val="21"/>
              </w:rPr>
            </w:pPr>
            <w:r>
              <w:rPr>
                <w:rFonts w:hint="eastAsia" w:eastAsia="黑体"/>
                <w:color w:val="auto"/>
                <w:szCs w:val="21"/>
              </w:rPr>
              <w:t>五</w:t>
            </w:r>
            <w:r>
              <w:rPr>
                <w:rFonts w:eastAsia="黑体"/>
                <w:color w:val="auto"/>
                <w:szCs w:val="21"/>
              </w:rPr>
              <w:t>、环境风险防范措施</w:t>
            </w:r>
          </w:p>
          <w:p w14:paraId="46EE876B">
            <w:pPr>
              <w:pStyle w:val="6"/>
              <w:spacing w:line="360" w:lineRule="auto"/>
              <w:rPr>
                <w:rFonts w:ascii="Times New Roman" w:hAnsi="Times New Roman"/>
                <w:color w:val="auto"/>
                <w:szCs w:val="21"/>
              </w:rPr>
            </w:pPr>
            <w:r>
              <w:rPr>
                <w:rFonts w:hint="default" w:ascii="Times New Roman" w:hAnsi="Times New Roman" w:cs="Times New Roman"/>
                <w:color w:val="000000" w:themeColor="text1"/>
                <w:szCs w:val="21"/>
                <w:highlight w:val="none"/>
                <w14:textFill>
                  <w14:solidFill>
                    <w14:schemeClr w14:val="tx1"/>
                  </w14:solidFill>
                </w14:textFill>
              </w:rPr>
              <w:t>本项目环境风险来源主要为变电站在事故情况下将有可能产生事故油（属危险废物），变电站内主变压器基础下，设计了事故油坑，油坑通过排油管与事故油池连接，在发生主变压器油泄漏时，泄漏绝缘油流入主变下的油坑，并通过排油管排入事故油池（有效容积不小于</w:t>
            </w:r>
            <w:r>
              <w:rPr>
                <w:rFonts w:hint="eastAsia" w:ascii="Times New Roman" w:hAnsi="Times New Roman" w:cs="Times New Roman"/>
                <w:color w:val="000000" w:themeColor="text1"/>
                <w:szCs w:val="21"/>
                <w:highlight w:val="none"/>
                <w:lang w:val="en-US" w:eastAsia="zh-CN"/>
                <w14:textFill>
                  <w14:solidFill>
                    <w14:schemeClr w14:val="tx1"/>
                  </w14:solidFill>
                </w14:textFill>
              </w:rPr>
              <w:t>30</w:t>
            </w:r>
            <w:r>
              <w:rPr>
                <w:rFonts w:hint="default" w:ascii="Times New Roman" w:hAnsi="Times New Roman" w:cs="Times New Roman"/>
                <w:color w:val="000000" w:themeColor="text1"/>
                <w:szCs w:val="21"/>
                <w:highlight w:val="none"/>
                <w14:textFill>
                  <w14:solidFill>
                    <w14:schemeClr w14:val="tx1"/>
                  </w14:solidFill>
                </w14:textFill>
              </w:rPr>
              <w:t>m</w:t>
            </w:r>
            <w:r>
              <w:rPr>
                <w:rFonts w:hint="default" w:ascii="Times New Roman" w:hAnsi="Times New Roman" w:cs="Times New Roman"/>
                <w:color w:val="000000" w:themeColor="text1"/>
                <w:szCs w:val="21"/>
                <w:highlight w:val="none"/>
                <w:vertAlign w:val="superscript"/>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事故废油交由有相关危废处理资质单位处理。事故油池的设计应根据《废矿物油回收利用污染控制技术规范》（HJ607-2011）设置，做到事故油池应远离火源布置，具有防风、防雨、防渗处理（防渗等级为重点防渗区，</w:t>
            </w:r>
            <w:r>
              <w:rPr>
                <w:rFonts w:hint="eastAsia" w:ascii="Times New Roman" w:hAnsi="Times New Roman" w:cs="Times New Roman"/>
                <w:color w:val="000000" w:themeColor="text1"/>
                <w:szCs w:val="21"/>
                <w:highlight w:val="none"/>
                <w:lang w:val="en-US" w:eastAsia="zh-CN"/>
                <w14:textFill>
                  <w14:solidFill>
                    <w14:schemeClr w14:val="tx1"/>
                  </w14:solidFill>
                </w14:textFill>
              </w:rPr>
              <w:t>防渗系数</w:t>
            </w:r>
            <w:r>
              <w:rPr>
                <w:rFonts w:hint="default" w:ascii="Times New Roman" w:hAnsi="Times New Roman" w:cs="Times New Roman"/>
                <w:color w:val="000000" w:themeColor="text1"/>
                <w:szCs w:val="21"/>
                <w:highlight w:val="none"/>
                <w14:textFill>
                  <w14:solidFill>
                    <w14:schemeClr w14:val="tx1"/>
                  </w14:solidFill>
                </w14:textFill>
              </w:rPr>
              <w:t>K≤1×10</w:t>
            </w:r>
            <w:r>
              <w:rPr>
                <w:rFonts w:hint="default" w:ascii="Times New Roman" w:hAnsi="Times New Roman" w:cs="Times New Roman"/>
                <w:color w:val="000000" w:themeColor="text1"/>
                <w:szCs w:val="21"/>
                <w:highlight w:val="none"/>
                <w:vertAlign w:val="superscript"/>
                <w14:textFill>
                  <w14:solidFill>
                    <w14:schemeClr w14:val="tx1"/>
                  </w14:solidFill>
                </w14:textFill>
              </w:rPr>
              <w:t>-</w:t>
            </w:r>
            <w:r>
              <w:rPr>
                <w:rFonts w:hint="eastAsia" w:ascii="Times New Roman" w:hAnsi="Times New Roman" w:cs="Times New Roman"/>
                <w:color w:val="000000" w:themeColor="text1"/>
                <w:szCs w:val="21"/>
                <w:highlight w:val="none"/>
                <w:vertAlign w:val="superscript"/>
                <w:lang w:val="en-US" w:eastAsia="zh-CN"/>
                <w14:textFill>
                  <w14:solidFill>
                    <w14:schemeClr w14:val="tx1"/>
                  </w14:solidFill>
                </w14:textFill>
              </w:rPr>
              <w:t>10</w:t>
            </w:r>
            <w:r>
              <w:rPr>
                <w:rFonts w:hint="default" w:ascii="Times New Roman" w:hAnsi="Times New Roman" w:cs="Times New Roman"/>
                <w:color w:val="000000" w:themeColor="text1"/>
                <w:szCs w:val="21"/>
                <w:highlight w:val="none"/>
                <w14:textFill>
                  <w14:solidFill>
                    <w14:schemeClr w14:val="tx1"/>
                  </w14:solidFill>
                </w14:textFill>
              </w:rPr>
              <w:t>cm/s）等功能，密闭时应设置呼吸孔，安装防护罩，防止杂质落入；事故油运输过程中应采用密闭容器进行转运，防止倾倒、溢流</w:t>
            </w:r>
            <w:r>
              <w:rPr>
                <w:rFonts w:hint="eastAsia" w:ascii="Times New Roman" w:hAnsi="Times New Roman"/>
                <w:color w:val="auto"/>
                <w:szCs w:val="21"/>
              </w:rPr>
              <w:t>。</w:t>
            </w:r>
          </w:p>
          <w:p w14:paraId="3451B375">
            <w:pPr>
              <w:spacing w:line="360" w:lineRule="auto"/>
              <w:rPr>
                <w:rFonts w:eastAsia="黑体"/>
                <w:color w:val="auto"/>
                <w:szCs w:val="21"/>
              </w:rPr>
            </w:pPr>
            <w:r>
              <w:rPr>
                <w:rFonts w:hint="eastAsia" w:eastAsia="黑体"/>
                <w:color w:val="auto"/>
                <w:szCs w:val="21"/>
              </w:rPr>
              <w:t>六</w:t>
            </w:r>
            <w:r>
              <w:rPr>
                <w:rFonts w:eastAsia="黑体"/>
                <w:color w:val="auto"/>
                <w:szCs w:val="21"/>
              </w:rPr>
              <w:t>、</w:t>
            </w:r>
            <w:r>
              <w:rPr>
                <w:rFonts w:hint="eastAsia" w:eastAsia="黑体"/>
                <w:color w:val="auto"/>
                <w:szCs w:val="21"/>
              </w:rPr>
              <w:t>生态环境保护措施</w:t>
            </w:r>
          </w:p>
          <w:p w14:paraId="203870B6">
            <w:pPr>
              <w:spacing w:line="360" w:lineRule="auto"/>
              <w:ind w:firstLine="420" w:firstLineChars="200"/>
              <w:rPr>
                <w:color w:val="auto"/>
                <w:szCs w:val="21"/>
              </w:rPr>
            </w:pPr>
            <w:r>
              <w:rPr>
                <w:rFonts w:hint="eastAsia"/>
                <w:color w:val="auto"/>
                <w:szCs w:val="21"/>
              </w:rPr>
              <w:t>输电线路塔基占地为永久性占地，输电线路走廊为临时性占地，施工结束后仍可进行农业耕作或绿化，不影响其原有的土地用途。在线路运行维护过程中应采取以下措施：</w:t>
            </w:r>
          </w:p>
          <w:p w14:paraId="27B905EB">
            <w:pPr>
              <w:spacing w:line="360" w:lineRule="auto"/>
              <w:ind w:firstLine="420" w:firstLineChars="200"/>
              <w:rPr>
                <w:color w:val="auto"/>
                <w:szCs w:val="21"/>
              </w:rPr>
            </w:pPr>
            <w:r>
              <w:rPr>
                <w:rFonts w:hint="eastAsia"/>
                <w:color w:val="auto"/>
                <w:szCs w:val="21"/>
              </w:rPr>
              <w:t>①对塔基处加强植被的抚育和管护。</w:t>
            </w:r>
          </w:p>
          <w:p w14:paraId="1B1FF9B7">
            <w:pPr>
              <w:spacing w:line="360" w:lineRule="auto"/>
              <w:ind w:firstLine="420" w:firstLineChars="200"/>
              <w:rPr>
                <w:color w:val="auto"/>
                <w:szCs w:val="21"/>
              </w:rPr>
            </w:pPr>
            <w:r>
              <w:rPr>
                <w:rFonts w:hint="eastAsia"/>
                <w:color w:val="auto"/>
                <w:szCs w:val="21"/>
              </w:rPr>
              <w:t>②在线路维护和检修中仅对影响安全运行的树木进行削枝，不进行砍伐。</w:t>
            </w:r>
          </w:p>
          <w:p w14:paraId="3F884E81">
            <w:pPr>
              <w:spacing w:line="360" w:lineRule="auto"/>
              <w:ind w:firstLine="420" w:firstLineChars="200"/>
              <w:rPr>
                <w:color w:val="auto"/>
                <w:szCs w:val="21"/>
              </w:rPr>
            </w:pPr>
            <w:r>
              <w:rPr>
                <w:rFonts w:hint="eastAsia"/>
                <w:color w:val="auto"/>
                <w:szCs w:val="21"/>
              </w:rPr>
              <w:t>③加强用火管理，制定火灾应急预案，在线路巡视时应避免带入火种，以免引发火灾，破坏植被。</w:t>
            </w:r>
          </w:p>
          <w:p w14:paraId="52B68F73">
            <w:pPr>
              <w:spacing w:line="360" w:lineRule="auto"/>
              <w:ind w:firstLine="420" w:firstLineChars="200"/>
              <w:rPr>
                <w:rFonts w:hint="eastAsia"/>
                <w:color w:val="auto"/>
                <w:szCs w:val="21"/>
              </w:rPr>
            </w:pPr>
            <w:r>
              <w:rPr>
                <w:rFonts w:hint="eastAsia"/>
                <w:color w:val="auto"/>
                <w:szCs w:val="21"/>
              </w:rPr>
              <w:t>④在线路巡视时应避免带入外来物种。</w:t>
            </w:r>
          </w:p>
          <w:p w14:paraId="1DD0801E">
            <w:pPr>
              <w:pStyle w:val="6"/>
              <w:spacing w:line="360" w:lineRule="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⑤维护人员在</w:t>
            </w:r>
            <w:r>
              <w:rPr>
                <w:rFonts w:hint="eastAsia" w:ascii="Times New Roman" w:hAnsi="Times New Roman" w:cs="Times New Roman"/>
                <w:color w:val="auto"/>
                <w:szCs w:val="21"/>
                <w:highlight w:val="none"/>
                <w:lang w:eastAsia="zh-CN"/>
              </w:rPr>
              <w:t>维护</w:t>
            </w:r>
            <w:r>
              <w:rPr>
                <w:rFonts w:hint="default" w:ascii="Times New Roman" w:hAnsi="Times New Roman" w:eastAsia="宋体" w:cs="Times New Roman"/>
                <w:color w:val="auto"/>
                <w:szCs w:val="21"/>
                <w:highlight w:val="none"/>
              </w:rPr>
              <w:t>巡线时应尽量选用已有道路或乡村道路，避免新开辟路径，减少对土地的占用和植被的破坏，鼓励使用无人机等对生态环境影响较小的方式进行巡线维护。</w:t>
            </w:r>
          </w:p>
          <w:p w14:paraId="49CA2FA0">
            <w:pPr>
              <w:spacing w:line="360" w:lineRule="auto"/>
              <w:ind w:firstLine="420" w:firstLineChars="200"/>
              <w:rPr>
                <w:rFonts w:hint="eastAsia"/>
                <w:color w:val="auto"/>
                <w:szCs w:val="21"/>
              </w:rPr>
            </w:pPr>
            <w:r>
              <w:rPr>
                <w:rFonts w:hint="default" w:ascii="Times New Roman" w:hAnsi="Times New Roman" w:eastAsia="宋体" w:cs="Times New Roman"/>
                <w:color w:val="auto"/>
                <w:szCs w:val="21"/>
                <w:highlight w:val="none"/>
              </w:rPr>
              <w:t>⑥项目建成投产后满足正常运营的同时，须保证输电线路下方不得改变原有土地利用类型，不得裸露地表、硬化或作其他用途，项目区内未涉及建设的空地区域，不得破坏原有植被和损毁地表</w:t>
            </w:r>
            <w:r>
              <w:rPr>
                <w:rFonts w:hint="default" w:ascii="Times New Roman" w:hAnsi="Times New Roman" w:eastAsia="宋体" w:cs="Times New Roman"/>
                <w:color w:val="auto"/>
                <w:szCs w:val="21"/>
                <w:highlight w:val="none"/>
                <w:lang w:eastAsia="zh-CN"/>
              </w:rPr>
              <w:t>。</w:t>
            </w:r>
          </w:p>
          <w:p w14:paraId="2CDDF1AF">
            <w:pPr>
              <w:spacing w:line="360" w:lineRule="auto"/>
              <w:ind w:firstLine="420" w:firstLineChars="200"/>
              <w:rPr>
                <w:bCs/>
                <w:color w:val="auto"/>
                <w:spacing w:val="10"/>
                <w:szCs w:val="21"/>
              </w:rPr>
            </w:pPr>
            <w:r>
              <w:rPr>
                <w:rFonts w:hAnsi="黑体" w:eastAsia="黑体"/>
                <w:color w:val="auto"/>
                <w:szCs w:val="21"/>
              </w:rPr>
              <w:t>综上分析，采用上述环保措施后，本项目运行产生的工频</w:t>
            </w:r>
            <w:r>
              <w:rPr>
                <w:rFonts w:hint="eastAsia" w:hAnsi="黑体" w:eastAsia="黑体"/>
                <w:color w:val="auto"/>
                <w:szCs w:val="21"/>
              </w:rPr>
              <w:t>电磁场</w:t>
            </w:r>
            <w:r>
              <w:rPr>
                <w:rFonts w:hAnsi="黑体" w:eastAsia="黑体"/>
                <w:color w:val="auto"/>
                <w:szCs w:val="21"/>
              </w:rPr>
              <w:t>均能满足相应评价标准要求；</w:t>
            </w:r>
            <w:r>
              <w:rPr>
                <w:rFonts w:hint="eastAsia" w:hAnsi="黑体" w:eastAsia="黑体"/>
                <w:color w:val="auto"/>
                <w:szCs w:val="21"/>
                <w:lang w:eastAsia="zh-CN"/>
              </w:rPr>
              <w:t>运行</w:t>
            </w:r>
            <w:r>
              <w:rPr>
                <w:rFonts w:hint="eastAsia" w:hAnsi="黑体" w:eastAsia="黑体"/>
                <w:color w:val="auto"/>
                <w:szCs w:val="21"/>
              </w:rPr>
              <w:t>期</w:t>
            </w:r>
            <w:r>
              <w:rPr>
                <w:rFonts w:hAnsi="黑体" w:eastAsia="黑体"/>
                <w:color w:val="auto"/>
                <w:szCs w:val="21"/>
              </w:rPr>
              <w:t>满足相应标准限值要求；采取相应的恢复生态手段</w:t>
            </w:r>
            <w:r>
              <w:rPr>
                <w:rFonts w:hint="eastAsia" w:hAnsi="黑体" w:eastAsia="黑体"/>
                <w:color w:val="auto"/>
                <w:szCs w:val="21"/>
              </w:rPr>
              <w:t>后</w:t>
            </w:r>
            <w:r>
              <w:rPr>
                <w:rFonts w:hAnsi="黑体" w:eastAsia="黑体"/>
                <w:color w:val="auto"/>
                <w:szCs w:val="21"/>
              </w:rPr>
              <w:t>建设对生态环境影响小。因此，本项目拟采取的环保措施合理、可行</w:t>
            </w:r>
            <w:r>
              <w:rPr>
                <w:color w:val="auto"/>
                <w:szCs w:val="21"/>
              </w:rPr>
              <w:t>。</w:t>
            </w:r>
          </w:p>
        </w:tc>
      </w:tr>
      <w:tr w14:paraId="0746A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4D77FD7E">
            <w:pPr>
              <w:jc w:val="center"/>
              <w:rPr>
                <w:bCs/>
                <w:color w:val="FF0000"/>
                <w:spacing w:val="10"/>
                <w:szCs w:val="21"/>
              </w:rPr>
            </w:pPr>
            <w:r>
              <w:rPr>
                <w:bCs/>
                <w:color w:val="auto"/>
                <w:szCs w:val="21"/>
              </w:rPr>
              <w:t>其他</w:t>
            </w:r>
          </w:p>
        </w:tc>
        <w:tc>
          <w:tcPr>
            <w:tcW w:w="8800" w:type="dxa"/>
            <w:vAlign w:val="center"/>
          </w:tcPr>
          <w:p w14:paraId="2EE84BA5">
            <w:pPr>
              <w:spacing w:line="360" w:lineRule="auto"/>
              <w:rPr>
                <w:rFonts w:eastAsia="黑体"/>
                <w:color w:val="auto"/>
                <w:szCs w:val="21"/>
              </w:rPr>
            </w:pPr>
            <w:r>
              <w:rPr>
                <w:rFonts w:eastAsia="黑体"/>
                <w:color w:val="auto"/>
                <w:szCs w:val="21"/>
              </w:rPr>
              <w:t>一、环境管理</w:t>
            </w:r>
          </w:p>
          <w:p w14:paraId="2533CB73">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为有效地进行环境管理工作，加强对项目各项环境保护措施的监测、检查和验收，建设单位及运行单位应</w:t>
            </w:r>
            <w:r>
              <w:rPr>
                <w:rFonts w:hint="eastAsia" w:cs="Times New Roman"/>
                <w:color w:val="000000" w:themeColor="text1"/>
                <w:szCs w:val="21"/>
                <w:highlight w:val="none"/>
                <w:lang w:eastAsia="zh-CN"/>
                <w14:textFill>
                  <w14:solidFill>
                    <w14:schemeClr w14:val="tx1"/>
                  </w14:solidFill>
                </w14:textFill>
              </w:rPr>
              <w:t>设立</w:t>
            </w:r>
            <w:r>
              <w:rPr>
                <w:rFonts w:hint="default" w:ascii="Times New Roman" w:hAnsi="Times New Roman" w:cs="Times New Roman"/>
                <w:color w:val="000000" w:themeColor="text1"/>
                <w:szCs w:val="21"/>
                <w:highlight w:val="none"/>
                <w14:textFill>
                  <w14:solidFill>
                    <w14:schemeClr w14:val="tx1"/>
                  </w14:solidFill>
                </w14:textFill>
              </w:rPr>
              <w:t>专门的环保工作人员，并着重做好环境管理工作，加强环保法规教育和技术培训，提高各级领导及广大职工的环保意识，组织落实各项环境监测计划、各项环境保护措施，积累环境资料，规范各项环境管理制度。</w:t>
            </w:r>
          </w:p>
          <w:p w14:paraId="6851AC55">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本项目的环境监测主要指项目竣工验收时在正常运行工况下的电磁场和噪声的监测，监测及分析方法按《交流输变电工程电磁环境监测方法（试行）》</w:t>
            </w:r>
            <w:r>
              <w:rPr>
                <w:rFonts w:hint="eastAsia"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HJ681-2013</w:t>
            </w:r>
            <w:r>
              <w:rPr>
                <w:rFonts w:hint="eastAsia"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中有关的规定执行。</w:t>
            </w:r>
          </w:p>
          <w:p w14:paraId="2DCA6906">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营运单位应建立完整的环境保护管理体系，实行分级负责制度，管理工作做到制度化，其具体职能为：</w:t>
            </w:r>
          </w:p>
          <w:p w14:paraId="57C1D0D8">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1、制定和实施各项环境监督管理计划；</w:t>
            </w:r>
          </w:p>
          <w:p w14:paraId="1FBC014D">
            <w:pPr>
              <w:spacing w:line="360" w:lineRule="auto"/>
              <w:ind w:firstLine="420" w:firstLineChars="20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2、建立工频电磁场环境监测数据档案；</w:t>
            </w:r>
          </w:p>
          <w:p w14:paraId="4B106C14">
            <w:pPr>
              <w:spacing w:line="360" w:lineRule="auto"/>
              <w:ind w:firstLine="420" w:firstLineChars="200"/>
              <w:rPr>
                <w:color w:val="auto"/>
                <w:szCs w:val="21"/>
              </w:rPr>
            </w:pPr>
            <w:r>
              <w:rPr>
                <w:rFonts w:hint="default" w:ascii="Times New Roman" w:hAnsi="Times New Roman" w:cs="Times New Roman"/>
                <w:color w:val="000000" w:themeColor="text1"/>
                <w:szCs w:val="21"/>
                <w:highlight w:val="none"/>
                <w14:textFill>
                  <w14:solidFill>
                    <w14:schemeClr w14:val="tx1"/>
                  </w14:solidFill>
                </w14:textFill>
              </w:rPr>
              <w:t>3、协调配合上级环保主管部门进行环境调查活动</w:t>
            </w:r>
            <w:r>
              <w:rPr>
                <w:color w:val="auto"/>
                <w:szCs w:val="21"/>
              </w:rPr>
              <w:t>。</w:t>
            </w:r>
          </w:p>
          <w:p w14:paraId="6BDCCEA3">
            <w:pPr>
              <w:spacing w:line="360" w:lineRule="auto"/>
              <w:rPr>
                <w:rFonts w:eastAsia="黑体"/>
                <w:color w:val="auto"/>
                <w:szCs w:val="21"/>
              </w:rPr>
            </w:pPr>
            <w:r>
              <w:rPr>
                <w:rFonts w:eastAsia="黑体"/>
                <w:color w:val="auto"/>
                <w:szCs w:val="21"/>
              </w:rPr>
              <w:t>二、监测计划</w:t>
            </w:r>
          </w:p>
          <w:p w14:paraId="46506C5D">
            <w:pPr>
              <w:spacing w:line="360" w:lineRule="auto"/>
              <w:ind w:firstLine="420" w:firstLineChars="200"/>
              <w:rPr>
                <w:color w:val="auto"/>
                <w:szCs w:val="21"/>
              </w:rPr>
            </w:pPr>
            <w:r>
              <w:rPr>
                <w:color w:val="auto"/>
                <w:szCs w:val="21"/>
              </w:rPr>
              <w:t>本项目的环境监测主要指项目竣工验收时在正常运行工况下的电磁场和噪声的监测，监测及分析方法按《交流输变电工程电磁环境监测方法（试行）》（HJ681-2013）、《声环境质量标准》（GB3096-2008）</w:t>
            </w:r>
            <w:r>
              <w:rPr>
                <w:rFonts w:hint="eastAsia"/>
                <w:color w:val="auto"/>
                <w:szCs w:val="21"/>
              </w:rPr>
              <w:t>、</w:t>
            </w:r>
            <w:r>
              <w:rPr>
                <w:color w:val="auto"/>
              </w:rPr>
              <w:t>《工业企业厂界环境噪声排放标准》（GB12348-2008）</w:t>
            </w:r>
            <w:r>
              <w:rPr>
                <w:rFonts w:hint="eastAsia"/>
                <w:color w:val="auto"/>
              </w:rPr>
              <w:t>、</w:t>
            </w:r>
            <w:r>
              <w:rPr>
                <w:rFonts w:hint="eastAsia"/>
                <w:color w:val="auto"/>
                <w:szCs w:val="21"/>
              </w:rPr>
              <w:t>《环境影响评价技术导则 输变电》（HJ 24-2020）、《建设项目竣工环境保护验收技术规范 输变电》（HJ 705-2020）</w:t>
            </w:r>
            <w:r>
              <w:rPr>
                <w:color w:val="auto"/>
                <w:szCs w:val="21"/>
              </w:rPr>
              <w:t>中有关的规定执行。本项目监测计划</w:t>
            </w:r>
            <w:r>
              <w:rPr>
                <w:rFonts w:hint="eastAsia"/>
                <w:color w:val="auto"/>
                <w:szCs w:val="21"/>
              </w:rPr>
              <w:t>详见下</w:t>
            </w:r>
            <w:r>
              <w:rPr>
                <w:color w:val="auto"/>
                <w:szCs w:val="21"/>
              </w:rPr>
              <w:t>表。</w:t>
            </w:r>
          </w:p>
          <w:p w14:paraId="50AF3D8F">
            <w:pPr>
              <w:jc w:val="center"/>
              <w:rPr>
                <w:rFonts w:eastAsia="黑体"/>
                <w:color w:val="auto"/>
                <w:szCs w:val="21"/>
              </w:rPr>
            </w:pPr>
            <w:r>
              <w:rPr>
                <w:rFonts w:eastAsia="黑体"/>
                <w:color w:val="auto"/>
                <w:szCs w:val="21"/>
              </w:rPr>
              <w:t>表5-1  监测计划表</w:t>
            </w:r>
          </w:p>
          <w:tbl>
            <w:tblPr>
              <w:tblStyle w:val="25"/>
              <w:tblW w:w="839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960"/>
              <w:gridCol w:w="2939"/>
              <w:gridCol w:w="1906"/>
              <w:gridCol w:w="1447"/>
            </w:tblGrid>
            <w:tr w14:paraId="28C13F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dxa"/>
                  <w:shd w:val="clear" w:color="auto" w:fill="auto"/>
                  <w:vAlign w:val="center"/>
                </w:tcPr>
                <w:p w14:paraId="11DFF5AB">
                  <w:pPr>
                    <w:jc w:val="center"/>
                    <w:rPr>
                      <w:color w:val="auto"/>
                      <w:sz w:val="18"/>
                      <w:szCs w:val="18"/>
                    </w:rPr>
                  </w:pPr>
                  <w:r>
                    <w:rPr>
                      <w:color w:val="auto"/>
                      <w:sz w:val="18"/>
                      <w:szCs w:val="18"/>
                    </w:rPr>
                    <w:t>监测内容</w:t>
                  </w:r>
                </w:p>
              </w:tc>
              <w:tc>
                <w:tcPr>
                  <w:tcW w:w="960" w:type="dxa"/>
                  <w:shd w:val="clear" w:color="auto" w:fill="auto"/>
                  <w:vAlign w:val="center"/>
                </w:tcPr>
                <w:p w14:paraId="00AB8BC6">
                  <w:pPr>
                    <w:jc w:val="center"/>
                    <w:rPr>
                      <w:color w:val="auto"/>
                      <w:sz w:val="18"/>
                      <w:szCs w:val="18"/>
                    </w:rPr>
                  </w:pPr>
                  <w:r>
                    <w:rPr>
                      <w:color w:val="auto"/>
                      <w:sz w:val="18"/>
                      <w:szCs w:val="18"/>
                    </w:rPr>
                    <w:t>监测项目</w:t>
                  </w:r>
                </w:p>
              </w:tc>
              <w:tc>
                <w:tcPr>
                  <w:tcW w:w="2939" w:type="dxa"/>
                  <w:shd w:val="clear" w:color="auto" w:fill="auto"/>
                  <w:vAlign w:val="center"/>
                </w:tcPr>
                <w:p w14:paraId="21E8018C">
                  <w:pPr>
                    <w:jc w:val="center"/>
                    <w:rPr>
                      <w:color w:val="auto"/>
                      <w:sz w:val="18"/>
                      <w:szCs w:val="18"/>
                    </w:rPr>
                  </w:pPr>
                  <w:r>
                    <w:rPr>
                      <w:color w:val="auto"/>
                      <w:sz w:val="18"/>
                      <w:szCs w:val="18"/>
                    </w:rPr>
                    <w:t>监测点位</w:t>
                  </w:r>
                </w:p>
              </w:tc>
              <w:tc>
                <w:tcPr>
                  <w:tcW w:w="1906" w:type="dxa"/>
                  <w:shd w:val="clear" w:color="auto" w:fill="auto"/>
                  <w:vAlign w:val="center"/>
                </w:tcPr>
                <w:p w14:paraId="20254449">
                  <w:pPr>
                    <w:jc w:val="center"/>
                    <w:rPr>
                      <w:color w:val="auto"/>
                      <w:sz w:val="18"/>
                      <w:szCs w:val="18"/>
                    </w:rPr>
                  </w:pPr>
                  <w:r>
                    <w:rPr>
                      <w:color w:val="auto"/>
                      <w:sz w:val="18"/>
                      <w:szCs w:val="18"/>
                    </w:rPr>
                    <w:t>监测方法</w:t>
                  </w:r>
                </w:p>
              </w:tc>
              <w:tc>
                <w:tcPr>
                  <w:tcW w:w="1447" w:type="dxa"/>
                  <w:shd w:val="clear" w:color="auto" w:fill="auto"/>
                  <w:vAlign w:val="center"/>
                </w:tcPr>
                <w:p w14:paraId="68C09897">
                  <w:pPr>
                    <w:jc w:val="center"/>
                    <w:rPr>
                      <w:color w:val="auto"/>
                      <w:sz w:val="18"/>
                      <w:szCs w:val="18"/>
                    </w:rPr>
                  </w:pPr>
                  <w:r>
                    <w:rPr>
                      <w:color w:val="auto"/>
                      <w:sz w:val="18"/>
                      <w:szCs w:val="18"/>
                    </w:rPr>
                    <w:t>监测频次</w:t>
                  </w:r>
                </w:p>
              </w:tc>
            </w:tr>
            <w:tr w14:paraId="1EFC13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43" w:type="dxa"/>
                  <w:shd w:val="clear" w:color="auto" w:fill="auto"/>
                  <w:vAlign w:val="center"/>
                </w:tcPr>
                <w:p w14:paraId="1D1A91F7">
                  <w:pPr>
                    <w:jc w:val="center"/>
                    <w:rPr>
                      <w:color w:val="auto"/>
                      <w:sz w:val="18"/>
                      <w:szCs w:val="18"/>
                    </w:rPr>
                  </w:pPr>
                  <w:r>
                    <w:rPr>
                      <w:color w:val="auto"/>
                      <w:sz w:val="18"/>
                      <w:szCs w:val="18"/>
                    </w:rPr>
                    <w:t>电磁环境监测</w:t>
                  </w:r>
                </w:p>
              </w:tc>
              <w:tc>
                <w:tcPr>
                  <w:tcW w:w="960" w:type="dxa"/>
                  <w:shd w:val="clear" w:color="auto" w:fill="auto"/>
                  <w:vAlign w:val="center"/>
                </w:tcPr>
                <w:p w14:paraId="75388236">
                  <w:pPr>
                    <w:jc w:val="center"/>
                    <w:rPr>
                      <w:color w:val="auto"/>
                      <w:sz w:val="18"/>
                      <w:szCs w:val="18"/>
                    </w:rPr>
                  </w:pPr>
                  <w:r>
                    <w:rPr>
                      <w:color w:val="auto"/>
                      <w:sz w:val="18"/>
                      <w:szCs w:val="18"/>
                    </w:rPr>
                    <w:t>工频电场</w:t>
                  </w:r>
                </w:p>
                <w:p w14:paraId="7C40B9FB">
                  <w:pPr>
                    <w:jc w:val="center"/>
                    <w:rPr>
                      <w:color w:val="auto"/>
                      <w:sz w:val="18"/>
                      <w:szCs w:val="18"/>
                    </w:rPr>
                  </w:pPr>
                  <w:r>
                    <w:rPr>
                      <w:color w:val="auto"/>
                      <w:sz w:val="18"/>
                      <w:szCs w:val="18"/>
                    </w:rPr>
                    <w:t>工频磁场</w:t>
                  </w:r>
                </w:p>
              </w:tc>
              <w:tc>
                <w:tcPr>
                  <w:tcW w:w="2939" w:type="dxa"/>
                  <w:shd w:val="clear" w:color="auto" w:fill="auto"/>
                  <w:vAlign w:val="center"/>
                </w:tcPr>
                <w:p w14:paraId="1DF3B0FE">
                  <w:pPr>
                    <w:jc w:val="center"/>
                    <w:rPr>
                      <w:color w:val="auto"/>
                      <w:sz w:val="18"/>
                      <w:szCs w:val="18"/>
                    </w:rPr>
                  </w:pPr>
                  <w:r>
                    <w:rPr>
                      <w:rFonts w:hint="eastAsia"/>
                      <w:color w:val="auto"/>
                      <w:sz w:val="18"/>
                      <w:szCs w:val="18"/>
                      <w:highlight w:val="none"/>
                      <w:lang w:val="en-US" w:eastAsia="zh-CN"/>
                    </w:rPr>
                    <w:t>司城110kV</w:t>
                  </w:r>
                  <w:r>
                    <w:rPr>
                      <w:rFonts w:hint="eastAsia"/>
                      <w:color w:val="auto"/>
                      <w:sz w:val="18"/>
                      <w:szCs w:val="18"/>
                      <w:highlight w:val="none"/>
                    </w:rPr>
                    <w:t>变电站</w:t>
                  </w:r>
                  <w:r>
                    <w:rPr>
                      <w:rFonts w:hint="eastAsia"/>
                      <w:color w:val="auto"/>
                      <w:sz w:val="18"/>
                      <w:szCs w:val="18"/>
                      <w:highlight w:val="none"/>
                      <w:lang w:val="en-US" w:eastAsia="zh-CN"/>
                    </w:rPr>
                    <w:t>站址四周</w:t>
                  </w:r>
                  <w:r>
                    <w:rPr>
                      <w:rFonts w:hint="eastAsia"/>
                      <w:color w:val="auto"/>
                      <w:sz w:val="18"/>
                      <w:szCs w:val="18"/>
                      <w:highlight w:val="none"/>
                    </w:rPr>
                    <w:t>；</w:t>
                  </w:r>
                  <w:r>
                    <w:rPr>
                      <w:rFonts w:hint="eastAsia"/>
                      <w:color w:val="auto"/>
                      <w:sz w:val="18"/>
                      <w:szCs w:val="18"/>
                      <w:highlight w:val="none"/>
                      <w:lang w:eastAsia="zh-CN"/>
                    </w:rPr>
                    <w:t>输电线路环境敏感目标处，</w:t>
                  </w:r>
                  <w:r>
                    <w:rPr>
                      <w:rFonts w:hint="default" w:ascii="Times New Roman" w:hAnsi="Times New Roman" w:eastAsia="宋体" w:cs="Times New Roman"/>
                      <w:color w:val="auto"/>
                      <w:sz w:val="18"/>
                      <w:szCs w:val="18"/>
                      <w:highlight w:val="none"/>
                      <w:lang w:val="en-US" w:eastAsia="zh-CN"/>
                    </w:rPr>
                    <w:t>并在</w:t>
                  </w:r>
                  <w:r>
                    <w:rPr>
                      <w:rFonts w:hint="eastAsia"/>
                      <w:color w:val="auto"/>
                      <w:sz w:val="18"/>
                      <w:szCs w:val="18"/>
                      <w:highlight w:val="none"/>
                      <w:lang w:eastAsia="zh-CN"/>
                    </w:rPr>
                    <w:t>输电线路</w:t>
                  </w:r>
                  <w:r>
                    <w:rPr>
                      <w:rFonts w:hint="default" w:ascii="Times New Roman" w:hAnsi="Times New Roman" w:eastAsia="宋体" w:cs="Times New Roman"/>
                      <w:color w:val="auto"/>
                      <w:sz w:val="18"/>
                      <w:szCs w:val="18"/>
                      <w:highlight w:val="none"/>
                      <w:lang w:val="en-US" w:eastAsia="zh-CN"/>
                    </w:rPr>
                    <w:t>具有条件侧设置</w:t>
                  </w:r>
                  <w:r>
                    <w:rPr>
                      <w:rFonts w:hint="default" w:ascii="Times New Roman" w:hAnsi="Times New Roman" w:eastAsia="宋体" w:cs="Times New Roman"/>
                      <w:color w:val="auto"/>
                      <w:sz w:val="18"/>
                      <w:szCs w:val="18"/>
                      <w:highlight w:val="none"/>
                      <w:lang w:eastAsia="zh-CN"/>
                    </w:rPr>
                    <w:t>电磁环境</w:t>
                  </w:r>
                  <w:r>
                    <w:rPr>
                      <w:rFonts w:hint="default" w:ascii="Times New Roman" w:hAnsi="Times New Roman" w:eastAsia="宋体" w:cs="Times New Roman"/>
                      <w:color w:val="auto"/>
                      <w:sz w:val="18"/>
                      <w:szCs w:val="18"/>
                      <w:highlight w:val="none"/>
                    </w:rPr>
                    <w:t>监测断面</w:t>
                  </w:r>
                  <w:r>
                    <w:rPr>
                      <w:rFonts w:hint="eastAsia"/>
                      <w:color w:val="auto"/>
                      <w:sz w:val="18"/>
                      <w:szCs w:val="18"/>
                      <w:highlight w:val="none"/>
                      <w:lang w:eastAsia="zh-CN"/>
                    </w:rPr>
                    <w:t>。</w:t>
                  </w:r>
                </w:p>
              </w:tc>
              <w:tc>
                <w:tcPr>
                  <w:tcW w:w="1906" w:type="dxa"/>
                  <w:shd w:val="clear" w:color="auto" w:fill="auto"/>
                  <w:vAlign w:val="center"/>
                </w:tcPr>
                <w:p w14:paraId="26B07683">
                  <w:pPr>
                    <w:jc w:val="center"/>
                    <w:rPr>
                      <w:color w:val="auto"/>
                      <w:sz w:val="18"/>
                      <w:szCs w:val="18"/>
                    </w:rPr>
                  </w:pPr>
                  <w:r>
                    <w:rPr>
                      <w:rFonts w:hint="default" w:ascii="Times New Roman" w:hAnsi="Times New Roman" w:cs="Times New Roman"/>
                      <w:color w:val="auto"/>
                      <w:sz w:val="18"/>
                      <w:szCs w:val="18"/>
                      <w:highlight w:val="none"/>
                    </w:rPr>
                    <w:t>HJ681-2013</w:t>
                  </w:r>
                  <w:r>
                    <w:rPr>
                      <w:rStyle w:val="32"/>
                      <w:rFonts w:hint="default" w:ascii="Times New Roman" w:hAnsi="Times New Roman" w:cs="Times New Roman"/>
                      <w:color w:val="auto"/>
                      <w:highlight w:val="none"/>
                    </w:rPr>
                    <w:t>、</w:t>
                  </w:r>
                  <w:r>
                    <w:rPr>
                      <w:rFonts w:hint="default" w:ascii="Times New Roman" w:hAnsi="Times New Roman" w:cs="Times New Roman"/>
                      <w:color w:val="auto"/>
                      <w:kern w:val="0"/>
                      <w:sz w:val="18"/>
                      <w:szCs w:val="18"/>
                      <w:highlight w:val="none"/>
                    </w:rPr>
                    <w:t>HJ705-2020</w:t>
                  </w:r>
                </w:p>
              </w:tc>
              <w:tc>
                <w:tcPr>
                  <w:tcW w:w="1447" w:type="dxa"/>
                  <w:vMerge w:val="restart"/>
                  <w:shd w:val="clear" w:color="auto" w:fill="auto"/>
                  <w:vAlign w:val="center"/>
                </w:tcPr>
                <w:p w14:paraId="4536B5EC">
                  <w:pPr>
                    <w:jc w:val="center"/>
                    <w:rPr>
                      <w:color w:val="auto"/>
                      <w:sz w:val="18"/>
                      <w:szCs w:val="18"/>
                    </w:rPr>
                  </w:pPr>
                  <w:r>
                    <w:rPr>
                      <w:rFonts w:hint="default" w:ascii="Times New Roman" w:hAnsi="Times New Roman" w:cs="Times New Roman"/>
                      <w:color w:val="auto"/>
                      <w:sz w:val="18"/>
                      <w:szCs w:val="18"/>
                      <w:highlight w:val="none"/>
                    </w:rPr>
                    <w:t>竣工环境保护验收监测1次</w:t>
                  </w:r>
                </w:p>
              </w:tc>
            </w:tr>
            <w:tr w14:paraId="1E0C79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dxa"/>
                  <w:shd w:val="clear" w:color="auto" w:fill="auto"/>
                  <w:vAlign w:val="center"/>
                </w:tcPr>
                <w:p w14:paraId="15DB62BB">
                  <w:pPr>
                    <w:jc w:val="center"/>
                    <w:rPr>
                      <w:color w:val="auto"/>
                      <w:sz w:val="18"/>
                      <w:szCs w:val="18"/>
                    </w:rPr>
                  </w:pPr>
                  <w:r>
                    <w:rPr>
                      <w:color w:val="auto"/>
                      <w:sz w:val="18"/>
                      <w:szCs w:val="18"/>
                    </w:rPr>
                    <w:t>声环境监测</w:t>
                  </w:r>
                </w:p>
              </w:tc>
              <w:tc>
                <w:tcPr>
                  <w:tcW w:w="960" w:type="dxa"/>
                  <w:shd w:val="clear" w:color="auto" w:fill="auto"/>
                  <w:vAlign w:val="center"/>
                </w:tcPr>
                <w:p w14:paraId="1DFA0261">
                  <w:pPr>
                    <w:jc w:val="center"/>
                    <w:rPr>
                      <w:color w:val="auto"/>
                      <w:sz w:val="18"/>
                      <w:szCs w:val="18"/>
                    </w:rPr>
                  </w:pPr>
                  <w:r>
                    <w:rPr>
                      <w:color w:val="auto"/>
                      <w:sz w:val="18"/>
                      <w:szCs w:val="18"/>
                    </w:rPr>
                    <w:t>等效连续A声级</w:t>
                  </w:r>
                </w:p>
              </w:tc>
              <w:tc>
                <w:tcPr>
                  <w:tcW w:w="2939" w:type="dxa"/>
                  <w:shd w:val="clear" w:color="auto" w:fill="auto"/>
                  <w:vAlign w:val="center"/>
                </w:tcPr>
                <w:p w14:paraId="51B67310">
                  <w:pPr>
                    <w:jc w:val="center"/>
                    <w:rPr>
                      <w:color w:val="auto"/>
                      <w:sz w:val="18"/>
                      <w:szCs w:val="18"/>
                    </w:rPr>
                  </w:pPr>
                  <w:r>
                    <w:rPr>
                      <w:rFonts w:hint="eastAsia"/>
                      <w:color w:val="auto"/>
                      <w:sz w:val="18"/>
                      <w:szCs w:val="18"/>
                      <w:highlight w:val="none"/>
                      <w:lang w:val="en-US" w:eastAsia="zh-CN"/>
                    </w:rPr>
                    <w:t>司城110kV</w:t>
                  </w:r>
                  <w:r>
                    <w:rPr>
                      <w:rFonts w:hint="eastAsia"/>
                      <w:color w:val="auto"/>
                      <w:sz w:val="18"/>
                      <w:szCs w:val="18"/>
                      <w:highlight w:val="none"/>
                    </w:rPr>
                    <w:t>变电站站界四周</w:t>
                  </w:r>
                  <w:r>
                    <w:rPr>
                      <w:rFonts w:hint="eastAsia"/>
                      <w:color w:val="auto"/>
                      <w:sz w:val="18"/>
                      <w:szCs w:val="18"/>
                      <w:highlight w:val="none"/>
                      <w:lang w:eastAsia="zh-CN"/>
                    </w:rPr>
                    <w:t>及环境敏感目标处</w:t>
                  </w:r>
                  <w:r>
                    <w:rPr>
                      <w:rFonts w:hint="eastAsia"/>
                      <w:color w:val="auto"/>
                      <w:sz w:val="18"/>
                      <w:szCs w:val="18"/>
                      <w:highlight w:val="none"/>
                    </w:rPr>
                    <w:t>；</w:t>
                  </w:r>
                  <w:r>
                    <w:rPr>
                      <w:rFonts w:hint="eastAsia"/>
                      <w:color w:val="auto"/>
                      <w:sz w:val="18"/>
                      <w:szCs w:val="18"/>
                      <w:highlight w:val="none"/>
                      <w:lang w:eastAsia="zh-CN"/>
                    </w:rPr>
                    <w:t>输电线路环境敏感目标处。</w:t>
                  </w:r>
                </w:p>
              </w:tc>
              <w:tc>
                <w:tcPr>
                  <w:tcW w:w="1906" w:type="dxa"/>
                  <w:shd w:val="clear" w:color="auto" w:fill="auto"/>
                  <w:vAlign w:val="center"/>
                </w:tcPr>
                <w:p w14:paraId="074847AD">
                  <w:pPr>
                    <w:jc w:val="center"/>
                    <w:rPr>
                      <w:rFonts w:hint="eastAsia"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GB12348-2008</w:t>
                  </w:r>
                  <w:r>
                    <w:rPr>
                      <w:rFonts w:hint="eastAsia" w:ascii="Times New Roman" w:hAnsi="Times New Roman" w:cs="Times New Roman"/>
                      <w:color w:val="auto"/>
                      <w:sz w:val="18"/>
                      <w:szCs w:val="18"/>
                      <w:highlight w:val="none"/>
                      <w:lang w:eastAsia="zh-CN"/>
                    </w:rPr>
                    <w:t>、</w:t>
                  </w:r>
                </w:p>
                <w:p w14:paraId="1747DC2D">
                  <w:pPr>
                    <w:jc w:val="center"/>
                    <w:rPr>
                      <w:color w:val="auto"/>
                      <w:sz w:val="18"/>
                      <w:szCs w:val="18"/>
                    </w:rPr>
                  </w:pPr>
                  <w:r>
                    <w:rPr>
                      <w:rFonts w:hint="default" w:ascii="Times New Roman" w:hAnsi="Times New Roman" w:cs="Times New Roman"/>
                      <w:color w:val="auto"/>
                      <w:kern w:val="0"/>
                      <w:sz w:val="18"/>
                      <w:szCs w:val="18"/>
                      <w:highlight w:val="none"/>
                    </w:rPr>
                    <w:t>GB3096-2008</w:t>
                  </w:r>
                </w:p>
              </w:tc>
              <w:tc>
                <w:tcPr>
                  <w:tcW w:w="1447" w:type="dxa"/>
                  <w:vMerge w:val="continue"/>
                  <w:shd w:val="clear" w:color="auto" w:fill="auto"/>
                  <w:vAlign w:val="center"/>
                </w:tcPr>
                <w:p w14:paraId="0BE9D0FC">
                  <w:pPr>
                    <w:jc w:val="center"/>
                    <w:rPr>
                      <w:color w:val="auto"/>
                      <w:sz w:val="18"/>
                      <w:szCs w:val="18"/>
                    </w:rPr>
                  </w:pPr>
                </w:p>
              </w:tc>
            </w:tr>
          </w:tbl>
          <w:p w14:paraId="0057EC73">
            <w:pPr>
              <w:spacing w:line="360" w:lineRule="auto"/>
              <w:rPr>
                <w:rFonts w:eastAsia="黑体"/>
                <w:color w:val="auto"/>
                <w:szCs w:val="21"/>
              </w:rPr>
            </w:pPr>
            <w:r>
              <w:rPr>
                <w:rFonts w:hint="eastAsia" w:eastAsia="黑体"/>
                <w:color w:val="auto"/>
                <w:szCs w:val="21"/>
              </w:rPr>
              <w:t>三</w:t>
            </w:r>
            <w:r>
              <w:rPr>
                <w:rFonts w:eastAsia="黑体"/>
                <w:color w:val="auto"/>
                <w:szCs w:val="21"/>
              </w:rPr>
              <w:t>、</w:t>
            </w:r>
            <w:r>
              <w:rPr>
                <w:rFonts w:hint="eastAsia" w:eastAsia="黑体"/>
                <w:color w:val="auto"/>
                <w:szCs w:val="21"/>
              </w:rPr>
              <w:t>竣工环保验收</w:t>
            </w:r>
          </w:p>
          <w:p w14:paraId="0E252C5F">
            <w:pPr>
              <w:spacing w:line="360" w:lineRule="auto"/>
              <w:ind w:firstLine="420" w:firstLineChars="200"/>
              <w:rPr>
                <w:rFonts w:hint="eastAsia"/>
                <w:color w:val="FF0000"/>
                <w:szCs w:val="21"/>
              </w:rPr>
            </w:pPr>
            <w:r>
              <w:rPr>
                <w:color w:val="auto"/>
                <w:szCs w:val="21"/>
              </w:rPr>
              <w:t>根据《建设项目环境保护管理条例》规定，建设项目需要配套建设的环保设施，必须与主体工程同时设计、同时施工、同时投产使用。本项目竣工后，建设单位应根据《建设项目竣工环境保护验收暂行办法》（国环规环评</w:t>
            </w:r>
            <w:r>
              <w:rPr>
                <w:rFonts w:hint="eastAsia"/>
                <w:color w:val="auto"/>
                <w:szCs w:val="21"/>
              </w:rPr>
              <w:t>〔</w:t>
            </w:r>
            <w:r>
              <w:rPr>
                <w:color w:val="auto"/>
                <w:szCs w:val="21"/>
              </w:rPr>
              <w:t>2017</w:t>
            </w:r>
            <w:r>
              <w:rPr>
                <w:rFonts w:hint="eastAsia"/>
                <w:color w:val="auto"/>
                <w:szCs w:val="21"/>
              </w:rPr>
              <w:t>〕</w:t>
            </w:r>
            <w:r>
              <w:rPr>
                <w:color w:val="auto"/>
                <w:szCs w:val="21"/>
              </w:rPr>
              <w:t>4号）相关规定，按照《建设项目竣工环境保护验收技术规范  输变电》（HJ705-2020）编制验收调查表</w:t>
            </w:r>
            <w:r>
              <w:rPr>
                <w:rFonts w:hint="eastAsia"/>
                <w:color w:val="auto"/>
                <w:szCs w:val="21"/>
              </w:rPr>
              <w:t>，验收合格后方可投入运营，并需在验收合格后在“全国建设项目竣工环境保护验收信息系统”进行公示备案</w:t>
            </w:r>
            <w:r>
              <w:rPr>
                <w:color w:val="auto"/>
                <w:szCs w:val="21"/>
              </w:rPr>
              <w:t>。</w:t>
            </w:r>
            <w:r>
              <w:rPr>
                <w:rFonts w:hint="eastAsia"/>
                <w:color w:val="auto"/>
                <w:szCs w:val="21"/>
              </w:rPr>
              <w:t>本项目竣工环境保护验收主要内容见下表。</w:t>
            </w:r>
          </w:p>
          <w:p w14:paraId="77A6F017">
            <w:pPr>
              <w:jc w:val="center"/>
              <w:rPr>
                <w:rFonts w:eastAsia="黑体"/>
                <w:color w:val="auto"/>
                <w:szCs w:val="21"/>
              </w:rPr>
            </w:pPr>
            <w:r>
              <w:rPr>
                <w:rFonts w:eastAsia="黑体"/>
                <w:color w:val="auto"/>
                <w:szCs w:val="21"/>
              </w:rPr>
              <w:t>表</w:t>
            </w:r>
            <w:r>
              <w:rPr>
                <w:rFonts w:hint="eastAsia" w:eastAsia="黑体"/>
                <w:color w:val="auto"/>
                <w:szCs w:val="21"/>
              </w:rPr>
              <w:t>5</w:t>
            </w:r>
            <w:r>
              <w:rPr>
                <w:rFonts w:eastAsia="黑体"/>
                <w:color w:val="auto"/>
                <w:szCs w:val="21"/>
              </w:rPr>
              <w:t>-</w:t>
            </w:r>
            <w:r>
              <w:rPr>
                <w:rFonts w:hint="eastAsia" w:eastAsia="黑体"/>
                <w:color w:val="auto"/>
                <w:szCs w:val="21"/>
              </w:rPr>
              <w:t>2</w:t>
            </w:r>
            <w:r>
              <w:rPr>
                <w:rFonts w:eastAsia="黑体"/>
                <w:color w:val="auto"/>
                <w:szCs w:val="21"/>
              </w:rPr>
              <w:t xml:space="preserve">  </w:t>
            </w:r>
            <w:r>
              <w:rPr>
                <w:rFonts w:hint="eastAsia" w:eastAsia="黑体"/>
                <w:color w:val="auto"/>
                <w:szCs w:val="21"/>
              </w:rPr>
              <w:t>本项目竣工环保验收主要内容</w:t>
            </w:r>
          </w:p>
          <w:tbl>
            <w:tblPr>
              <w:tblStyle w:val="26"/>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9"/>
              <w:gridCol w:w="2487"/>
              <w:gridCol w:w="5158"/>
            </w:tblGrid>
            <w:tr w14:paraId="399AF1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2849BC51">
                  <w:pPr>
                    <w:jc w:val="center"/>
                    <w:rPr>
                      <w:color w:val="auto"/>
                      <w:sz w:val="18"/>
                      <w:szCs w:val="18"/>
                    </w:rPr>
                  </w:pPr>
                  <w:r>
                    <w:rPr>
                      <w:rFonts w:hint="eastAsia"/>
                      <w:color w:val="auto"/>
                      <w:sz w:val="18"/>
                      <w:szCs w:val="18"/>
                    </w:rPr>
                    <w:t>序号</w:t>
                  </w:r>
                </w:p>
              </w:tc>
              <w:tc>
                <w:tcPr>
                  <w:tcW w:w="2520" w:type="dxa"/>
                  <w:tcBorders>
                    <w:tl2br w:val="nil"/>
                    <w:tr2bl w:val="nil"/>
                  </w:tcBorders>
                  <w:vAlign w:val="center"/>
                </w:tcPr>
                <w:p w14:paraId="1AF16524">
                  <w:pPr>
                    <w:jc w:val="center"/>
                    <w:rPr>
                      <w:color w:val="auto"/>
                      <w:sz w:val="18"/>
                      <w:szCs w:val="18"/>
                    </w:rPr>
                  </w:pPr>
                  <w:r>
                    <w:rPr>
                      <w:rFonts w:hint="eastAsia"/>
                      <w:color w:val="auto"/>
                      <w:sz w:val="18"/>
                      <w:szCs w:val="18"/>
                    </w:rPr>
                    <w:t>验收对象</w:t>
                  </w:r>
                </w:p>
              </w:tc>
              <w:tc>
                <w:tcPr>
                  <w:tcW w:w="5235" w:type="dxa"/>
                  <w:tcBorders>
                    <w:tl2br w:val="nil"/>
                    <w:tr2bl w:val="nil"/>
                  </w:tcBorders>
                  <w:vAlign w:val="center"/>
                </w:tcPr>
                <w:p w14:paraId="7DBB19AD">
                  <w:pPr>
                    <w:jc w:val="center"/>
                    <w:rPr>
                      <w:color w:val="auto"/>
                      <w:sz w:val="18"/>
                      <w:szCs w:val="18"/>
                    </w:rPr>
                  </w:pPr>
                  <w:r>
                    <w:rPr>
                      <w:rFonts w:hint="eastAsia"/>
                      <w:color w:val="auto"/>
                      <w:sz w:val="18"/>
                      <w:szCs w:val="18"/>
                    </w:rPr>
                    <w:t>验收内容</w:t>
                  </w:r>
                </w:p>
              </w:tc>
            </w:tr>
            <w:tr w14:paraId="0F7559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57D21AE5">
                  <w:pPr>
                    <w:jc w:val="center"/>
                    <w:rPr>
                      <w:color w:val="auto"/>
                      <w:sz w:val="18"/>
                      <w:szCs w:val="18"/>
                    </w:rPr>
                  </w:pPr>
                  <w:r>
                    <w:rPr>
                      <w:rFonts w:hint="eastAsia"/>
                      <w:color w:val="auto"/>
                      <w:sz w:val="18"/>
                      <w:szCs w:val="18"/>
                    </w:rPr>
                    <w:t>1</w:t>
                  </w:r>
                </w:p>
              </w:tc>
              <w:tc>
                <w:tcPr>
                  <w:tcW w:w="2520" w:type="dxa"/>
                  <w:tcBorders>
                    <w:tl2br w:val="nil"/>
                    <w:tr2bl w:val="nil"/>
                  </w:tcBorders>
                  <w:vAlign w:val="center"/>
                </w:tcPr>
                <w:p w14:paraId="67DAE2B4">
                  <w:pPr>
                    <w:jc w:val="center"/>
                    <w:rPr>
                      <w:color w:val="auto"/>
                      <w:sz w:val="18"/>
                      <w:szCs w:val="18"/>
                    </w:rPr>
                  </w:pPr>
                  <w:r>
                    <w:rPr>
                      <w:rFonts w:hint="eastAsia"/>
                      <w:color w:val="auto"/>
                      <w:sz w:val="18"/>
                      <w:szCs w:val="18"/>
                    </w:rPr>
                    <w:t>相关批复文件</w:t>
                  </w:r>
                </w:p>
              </w:tc>
              <w:tc>
                <w:tcPr>
                  <w:tcW w:w="5235" w:type="dxa"/>
                  <w:tcBorders>
                    <w:tl2br w:val="nil"/>
                    <w:tr2bl w:val="nil"/>
                  </w:tcBorders>
                  <w:vAlign w:val="center"/>
                </w:tcPr>
                <w:p w14:paraId="425FC378">
                  <w:pPr>
                    <w:jc w:val="center"/>
                    <w:rPr>
                      <w:color w:val="auto"/>
                      <w:sz w:val="18"/>
                      <w:szCs w:val="18"/>
                    </w:rPr>
                  </w:pPr>
                  <w:r>
                    <w:rPr>
                      <w:rFonts w:hint="eastAsia"/>
                      <w:color w:val="auto"/>
                      <w:sz w:val="18"/>
                      <w:szCs w:val="18"/>
                    </w:rPr>
                    <w:t>项目相关批复文件（包括环评批复、初步设计批复等）是否齐备。</w:t>
                  </w:r>
                </w:p>
              </w:tc>
            </w:tr>
            <w:tr w14:paraId="7C42BC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0517057A">
                  <w:pPr>
                    <w:jc w:val="center"/>
                    <w:rPr>
                      <w:color w:val="auto"/>
                      <w:sz w:val="18"/>
                      <w:szCs w:val="18"/>
                    </w:rPr>
                  </w:pPr>
                  <w:r>
                    <w:rPr>
                      <w:rFonts w:hint="eastAsia"/>
                      <w:color w:val="auto"/>
                      <w:sz w:val="18"/>
                      <w:szCs w:val="18"/>
                    </w:rPr>
                    <w:t>2</w:t>
                  </w:r>
                </w:p>
              </w:tc>
              <w:tc>
                <w:tcPr>
                  <w:tcW w:w="2520" w:type="dxa"/>
                  <w:tcBorders>
                    <w:tl2br w:val="nil"/>
                    <w:tr2bl w:val="nil"/>
                  </w:tcBorders>
                  <w:vAlign w:val="center"/>
                </w:tcPr>
                <w:p w14:paraId="0313E529">
                  <w:pPr>
                    <w:jc w:val="center"/>
                    <w:rPr>
                      <w:color w:val="auto"/>
                      <w:sz w:val="18"/>
                      <w:szCs w:val="18"/>
                    </w:rPr>
                  </w:pPr>
                  <w:r>
                    <w:rPr>
                      <w:rFonts w:hint="eastAsia"/>
                      <w:color w:val="auto"/>
                      <w:sz w:val="18"/>
                      <w:szCs w:val="18"/>
                    </w:rPr>
                    <w:t>核查项目内容</w:t>
                  </w:r>
                </w:p>
              </w:tc>
              <w:tc>
                <w:tcPr>
                  <w:tcW w:w="5235" w:type="dxa"/>
                  <w:tcBorders>
                    <w:tl2br w:val="nil"/>
                    <w:tr2bl w:val="nil"/>
                  </w:tcBorders>
                  <w:vAlign w:val="center"/>
                </w:tcPr>
                <w:p w14:paraId="6092F1F3">
                  <w:pPr>
                    <w:jc w:val="center"/>
                    <w:rPr>
                      <w:color w:val="auto"/>
                      <w:sz w:val="18"/>
                      <w:szCs w:val="18"/>
                    </w:rPr>
                  </w:pPr>
                  <w:r>
                    <w:rPr>
                      <w:rFonts w:hint="eastAsia"/>
                      <w:color w:val="auto"/>
                      <w:sz w:val="18"/>
                      <w:szCs w:val="18"/>
                    </w:rPr>
                    <w:t>核查项目内容及设计方案变化情况，以及由此造成的环境影响的变化情况，是否属于重大变更。</w:t>
                  </w:r>
                </w:p>
              </w:tc>
            </w:tr>
            <w:tr w14:paraId="6F3C36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155399FA">
                  <w:pPr>
                    <w:jc w:val="center"/>
                    <w:rPr>
                      <w:color w:val="auto"/>
                      <w:sz w:val="18"/>
                      <w:szCs w:val="18"/>
                    </w:rPr>
                  </w:pPr>
                  <w:r>
                    <w:rPr>
                      <w:rFonts w:hint="eastAsia"/>
                      <w:color w:val="auto"/>
                      <w:sz w:val="18"/>
                      <w:szCs w:val="18"/>
                    </w:rPr>
                    <w:t>3</w:t>
                  </w:r>
                </w:p>
              </w:tc>
              <w:tc>
                <w:tcPr>
                  <w:tcW w:w="2520" w:type="dxa"/>
                  <w:tcBorders>
                    <w:tl2br w:val="nil"/>
                    <w:tr2bl w:val="nil"/>
                  </w:tcBorders>
                  <w:vAlign w:val="center"/>
                </w:tcPr>
                <w:p w14:paraId="419D6777">
                  <w:pPr>
                    <w:jc w:val="center"/>
                    <w:rPr>
                      <w:color w:val="auto"/>
                      <w:sz w:val="18"/>
                      <w:szCs w:val="18"/>
                    </w:rPr>
                  </w:pPr>
                  <w:r>
                    <w:rPr>
                      <w:rFonts w:hint="eastAsia"/>
                      <w:color w:val="auto"/>
                      <w:sz w:val="18"/>
                      <w:szCs w:val="18"/>
                    </w:rPr>
                    <w:t>环保措施落实情况</w:t>
                  </w:r>
                </w:p>
              </w:tc>
              <w:tc>
                <w:tcPr>
                  <w:tcW w:w="5235" w:type="dxa"/>
                  <w:tcBorders>
                    <w:tl2br w:val="nil"/>
                    <w:tr2bl w:val="nil"/>
                  </w:tcBorders>
                  <w:vAlign w:val="center"/>
                </w:tcPr>
                <w:p w14:paraId="6A95174C">
                  <w:pPr>
                    <w:jc w:val="center"/>
                    <w:rPr>
                      <w:color w:val="auto"/>
                      <w:sz w:val="18"/>
                      <w:szCs w:val="18"/>
                    </w:rPr>
                  </w:pPr>
                  <w:r>
                    <w:rPr>
                      <w:rFonts w:hint="eastAsia"/>
                      <w:color w:val="auto"/>
                      <w:sz w:val="18"/>
                      <w:szCs w:val="18"/>
                    </w:rPr>
                    <w:t>核实项目环评文件及批复中各项环保措施、生态保护措施的落实情况及实施效果。</w:t>
                  </w:r>
                </w:p>
              </w:tc>
            </w:tr>
            <w:tr w14:paraId="56B667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65A258AC">
                  <w:pPr>
                    <w:jc w:val="center"/>
                    <w:rPr>
                      <w:color w:val="auto"/>
                      <w:sz w:val="18"/>
                      <w:szCs w:val="18"/>
                    </w:rPr>
                  </w:pPr>
                  <w:r>
                    <w:rPr>
                      <w:rFonts w:hint="eastAsia"/>
                      <w:color w:val="auto"/>
                      <w:sz w:val="18"/>
                      <w:szCs w:val="18"/>
                    </w:rPr>
                    <w:t>4</w:t>
                  </w:r>
                </w:p>
              </w:tc>
              <w:tc>
                <w:tcPr>
                  <w:tcW w:w="2520" w:type="dxa"/>
                  <w:tcBorders>
                    <w:tl2br w:val="nil"/>
                    <w:tr2bl w:val="nil"/>
                  </w:tcBorders>
                  <w:vAlign w:val="center"/>
                </w:tcPr>
                <w:p w14:paraId="007258DB">
                  <w:pPr>
                    <w:jc w:val="center"/>
                    <w:rPr>
                      <w:color w:val="auto"/>
                      <w:sz w:val="18"/>
                      <w:szCs w:val="18"/>
                    </w:rPr>
                  </w:pPr>
                  <w:r>
                    <w:rPr>
                      <w:rFonts w:hint="eastAsia"/>
                      <w:color w:val="auto"/>
                      <w:sz w:val="18"/>
                      <w:szCs w:val="18"/>
                    </w:rPr>
                    <w:t>敏感目标调查</w:t>
                  </w:r>
                </w:p>
              </w:tc>
              <w:tc>
                <w:tcPr>
                  <w:tcW w:w="5235" w:type="dxa"/>
                  <w:tcBorders>
                    <w:tl2br w:val="nil"/>
                    <w:tr2bl w:val="nil"/>
                  </w:tcBorders>
                  <w:vAlign w:val="center"/>
                </w:tcPr>
                <w:p w14:paraId="17BAA1BB">
                  <w:pPr>
                    <w:jc w:val="center"/>
                    <w:rPr>
                      <w:color w:val="auto"/>
                      <w:sz w:val="18"/>
                      <w:szCs w:val="18"/>
                    </w:rPr>
                  </w:pPr>
                  <w:r>
                    <w:rPr>
                      <w:rFonts w:hint="eastAsia"/>
                      <w:color w:val="auto"/>
                      <w:sz w:val="18"/>
                      <w:szCs w:val="18"/>
                    </w:rPr>
                    <w:t>核查环境敏感目标变化情况，调查是否有新增环境敏感点。</w:t>
                  </w:r>
                </w:p>
              </w:tc>
            </w:tr>
            <w:tr w14:paraId="32D361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017A944D">
                  <w:pPr>
                    <w:jc w:val="center"/>
                    <w:rPr>
                      <w:color w:val="auto"/>
                      <w:sz w:val="18"/>
                      <w:szCs w:val="18"/>
                    </w:rPr>
                  </w:pPr>
                  <w:r>
                    <w:rPr>
                      <w:rFonts w:hint="eastAsia"/>
                      <w:color w:val="auto"/>
                      <w:sz w:val="18"/>
                      <w:szCs w:val="18"/>
                    </w:rPr>
                    <w:t>5</w:t>
                  </w:r>
                </w:p>
              </w:tc>
              <w:tc>
                <w:tcPr>
                  <w:tcW w:w="2520" w:type="dxa"/>
                  <w:tcBorders>
                    <w:tl2br w:val="nil"/>
                    <w:tr2bl w:val="nil"/>
                  </w:tcBorders>
                  <w:vAlign w:val="center"/>
                </w:tcPr>
                <w:p w14:paraId="5CCA534E">
                  <w:pPr>
                    <w:jc w:val="center"/>
                    <w:rPr>
                      <w:color w:val="auto"/>
                      <w:sz w:val="18"/>
                      <w:szCs w:val="18"/>
                    </w:rPr>
                  </w:pPr>
                  <w:r>
                    <w:rPr>
                      <w:rFonts w:hint="eastAsia"/>
                      <w:color w:val="auto"/>
                      <w:sz w:val="18"/>
                      <w:szCs w:val="18"/>
                    </w:rPr>
                    <w:t>污染物达标排放情况</w:t>
                  </w:r>
                </w:p>
              </w:tc>
              <w:tc>
                <w:tcPr>
                  <w:tcW w:w="5235" w:type="dxa"/>
                  <w:tcBorders>
                    <w:tl2br w:val="nil"/>
                    <w:tr2bl w:val="nil"/>
                  </w:tcBorders>
                  <w:vAlign w:val="center"/>
                </w:tcPr>
                <w:p w14:paraId="5EAA91C4">
                  <w:pPr>
                    <w:jc w:val="center"/>
                    <w:rPr>
                      <w:color w:val="auto"/>
                      <w:sz w:val="18"/>
                      <w:szCs w:val="18"/>
                    </w:rPr>
                  </w:pPr>
                  <w:r>
                    <w:rPr>
                      <w:rFonts w:hint="eastAsia"/>
                      <w:color w:val="auto"/>
                      <w:sz w:val="18"/>
                      <w:szCs w:val="18"/>
                    </w:rPr>
                    <w:t>工频电场、工频磁场、噪声是否满足评价标准要求。</w:t>
                  </w:r>
                </w:p>
              </w:tc>
            </w:tr>
            <w:tr w14:paraId="6D4EA5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4C3F4146">
                  <w:pPr>
                    <w:jc w:val="center"/>
                    <w:rPr>
                      <w:color w:val="auto"/>
                      <w:sz w:val="18"/>
                      <w:szCs w:val="18"/>
                    </w:rPr>
                  </w:pPr>
                  <w:r>
                    <w:rPr>
                      <w:rFonts w:hint="eastAsia"/>
                      <w:color w:val="auto"/>
                      <w:sz w:val="18"/>
                      <w:szCs w:val="18"/>
                    </w:rPr>
                    <w:t>6</w:t>
                  </w:r>
                </w:p>
              </w:tc>
              <w:tc>
                <w:tcPr>
                  <w:tcW w:w="2520" w:type="dxa"/>
                  <w:tcBorders>
                    <w:tl2br w:val="nil"/>
                    <w:tr2bl w:val="nil"/>
                  </w:tcBorders>
                  <w:vAlign w:val="center"/>
                </w:tcPr>
                <w:p w14:paraId="00033C94">
                  <w:pPr>
                    <w:jc w:val="center"/>
                    <w:rPr>
                      <w:color w:val="auto"/>
                      <w:sz w:val="18"/>
                      <w:szCs w:val="18"/>
                    </w:rPr>
                  </w:pPr>
                  <w:r>
                    <w:rPr>
                      <w:rFonts w:hint="eastAsia"/>
                      <w:color w:val="auto"/>
                      <w:sz w:val="18"/>
                      <w:szCs w:val="18"/>
                    </w:rPr>
                    <w:t>环境敏感目标环境影响验证</w:t>
                  </w:r>
                </w:p>
              </w:tc>
              <w:tc>
                <w:tcPr>
                  <w:tcW w:w="5235" w:type="dxa"/>
                  <w:tcBorders>
                    <w:tl2br w:val="nil"/>
                    <w:tr2bl w:val="nil"/>
                  </w:tcBorders>
                  <w:vAlign w:val="center"/>
                </w:tcPr>
                <w:p w14:paraId="4525EB4F">
                  <w:pPr>
                    <w:jc w:val="center"/>
                    <w:rPr>
                      <w:color w:val="auto"/>
                      <w:sz w:val="18"/>
                      <w:szCs w:val="18"/>
                    </w:rPr>
                  </w:pPr>
                  <w:r>
                    <w:rPr>
                      <w:rFonts w:hint="eastAsia"/>
                      <w:color w:val="auto"/>
                      <w:sz w:val="18"/>
                      <w:szCs w:val="18"/>
                    </w:rPr>
                    <w:t>监测</w:t>
                  </w:r>
                  <w:r>
                    <w:rPr>
                      <w:rFonts w:hint="eastAsia"/>
                      <w:color w:val="auto"/>
                      <w:sz w:val="18"/>
                      <w:szCs w:val="18"/>
                      <w:lang w:eastAsia="zh-CN"/>
                    </w:rPr>
                    <w:t>环境敏感目标</w:t>
                  </w:r>
                  <w:r>
                    <w:rPr>
                      <w:rFonts w:hint="eastAsia"/>
                      <w:color w:val="auto"/>
                      <w:sz w:val="18"/>
                      <w:szCs w:val="18"/>
                    </w:rPr>
                    <w:t>的电磁环境、声环境是否满足标准要求。</w:t>
                  </w:r>
                </w:p>
              </w:tc>
            </w:tr>
            <w:tr w14:paraId="2D51D6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14" w:type="dxa"/>
                  <w:tcBorders>
                    <w:tl2br w:val="nil"/>
                    <w:tr2bl w:val="nil"/>
                  </w:tcBorders>
                  <w:vAlign w:val="center"/>
                </w:tcPr>
                <w:p w14:paraId="7D2BEB5C">
                  <w:pPr>
                    <w:jc w:val="center"/>
                    <w:rPr>
                      <w:color w:val="auto"/>
                      <w:sz w:val="18"/>
                      <w:szCs w:val="18"/>
                    </w:rPr>
                  </w:pPr>
                  <w:r>
                    <w:rPr>
                      <w:rFonts w:hint="eastAsia"/>
                      <w:color w:val="auto"/>
                      <w:sz w:val="18"/>
                      <w:szCs w:val="18"/>
                    </w:rPr>
                    <w:t>7</w:t>
                  </w:r>
                </w:p>
              </w:tc>
              <w:tc>
                <w:tcPr>
                  <w:tcW w:w="2520" w:type="dxa"/>
                  <w:tcBorders>
                    <w:tl2br w:val="nil"/>
                    <w:tr2bl w:val="nil"/>
                  </w:tcBorders>
                  <w:vAlign w:val="center"/>
                </w:tcPr>
                <w:p w14:paraId="4301C87A">
                  <w:pPr>
                    <w:jc w:val="center"/>
                    <w:rPr>
                      <w:color w:val="auto"/>
                      <w:sz w:val="18"/>
                      <w:szCs w:val="18"/>
                    </w:rPr>
                  </w:pPr>
                  <w:r>
                    <w:rPr>
                      <w:rFonts w:hint="eastAsia"/>
                      <w:color w:val="auto"/>
                      <w:sz w:val="18"/>
                      <w:szCs w:val="18"/>
                    </w:rPr>
                    <w:t>环保制度落实情况</w:t>
                  </w:r>
                </w:p>
              </w:tc>
              <w:tc>
                <w:tcPr>
                  <w:tcW w:w="5235" w:type="dxa"/>
                  <w:tcBorders>
                    <w:tl2br w:val="nil"/>
                    <w:tr2bl w:val="nil"/>
                  </w:tcBorders>
                  <w:vAlign w:val="center"/>
                </w:tcPr>
                <w:p w14:paraId="14AB8361">
                  <w:pPr>
                    <w:jc w:val="center"/>
                    <w:rPr>
                      <w:color w:val="auto"/>
                      <w:sz w:val="18"/>
                      <w:szCs w:val="18"/>
                    </w:rPr>
                  </w:pPr>
                  <w:r>
                    <w:rPr>
                      <w:rFonts w:hint="eastAsia"/>
                      <w:color w:val="auto"/>
                      <w:sz w:val="18"/>
                      <w:szCs w:val="18"/>
                    </w:rPr>
                    <w:t>环境影响评价制度及其他环境保护规章制度执行情况。</w:t>
                  </w:r>
                </w:p>
              </w:tc>
            </w:tr>
          </w:tbl>
          <w:p w14:paraId="27099A54">
            <w:pPr>
              <w:spacing w:line="360" w:lineRule="auto"/>
              <w:ind w:firstLine="420" w:firstLineChars="200"/>
              <w:rPr>
                <w:color w:val="FF0000"/>
                <w:szCs w:val="21"/>
              </w:rPr>
            </w:pPr>
          </w:p>
        </w:tc>
      </w:tr>
      <w:tr w14:paraId="3D6E29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498B01AA">
            <w:pPr>
              <w:jc w:val="center"/>
              <w:rPr>
                <w:bCs/>
                <w:color w:val="FF0000"/>
                <w:spacing w:val="10"/>
                <w:szCs w:val="21"/>
              </w:rPr>
            </w:pPr>
            <w:r>
              <w:rPr>
                <w:bCs/>
                <w:color w:val="auto"/>
                <w:szCs w:val="21"/>
              </w:rPr>
              <w:t>环保投资</w:t>
            </w:r>
          </w:p>
        </w:tc>
        <w:tc>
          <w:tcPr>
            <w:tcW w:w="8800" w:type="dxa"/>
          </w:tcPr>
          <w:p w14:paraId="387F21A6">
            <w:pPr>
              <w:spacing w:line="360" w:lineRule="auto"/>
              <w:ind w:firstLine="420" w:firstLineChars="200"/>
              <w:rPr>
                <w:color w:val="auto"/>
                <w:szCs w:val="21"/>
              </w:rPr>
            </w:pPr>
            <w:r>
              <w:rPr>
                <w:color w:val="auto"/>
                <w:szCs w:val="21"/>
              </w:rPr>
              <w:t>本项目总投资为</w:t>
            </w:r>
            <w:r>
              <w:rPr>
                <w:rFonts w:hint="eastAsia" w:cs="Times New Roman"/>
                <w:color w:val="auto"/>
                <w:szCs w:val="21"/>
                <w:lang w:val="en-US" w:eastAsia="zh-CN"/>
              </w:rPr>
              <w:t>13599</w:t>
            </w:r>
            <w:r>
              <w:rPr>
                <w:color w:val="auto"/>
                <w:szCs w:val="21"/>
              </w:rPr>
              <w:t>万元，其中环保投资共计</w:t>
            </w:r>
            <w:r>
              <w:rPr>
                <w:rFonts w:hint="eastAsia"/>
                <w:color w:val="auto"/>
                <w:szCs w:val="21"/>
                <w:lang w:val="en-US" w:eastAsia="zh-CN"/>
              </w:rPr>
              <w:t>177.5</w:t>
            </w:r>
            <w:r>
              <w:rPr>
                <w:color w:val="auto"/>
                <w:szCs w:val="21"/>
              </w:rPr>
              <w:t>万元，占项目总投资的</w:t>
            </w:r>
            <w:r>
              <w:rPr>
                <w:rFonts w:hint="eastAsia"/>
                <w:color w:val="auto"/>
                <w:szCs w:val="21"/>
                <w:lang w:val="en-US" w:eastAsia="zh-CN"/>
              </w:rPr>
              <w:t>1.31</w:t>
            </w:r>
            <w:r>
              <w:rPr>
                <w:color w:val="auto"/>
                <w:szCs w:val="21"/>
              </w:rPr>
              <w:t>%。本项目环保投资情况见</w:t>
            </w:r>
            <w:r>
              <w:rPr>
                <w:rFonts w:hint="eastAsia"/>
                <w:color w:val="auto"/>
                <w:szCs w:val="21"/>
              </w:rPr>
              <w:t>下</w:t>
            </w:r>
            <w:r>
              <w:rPr>
                <w:color w:val="auto"/>
                <w:szCs w:val="21"/>
              </w:rPr>
              <w:t>表。</w:t>
            </w:r>
          </w:p>
          <w:p w14:paraId="4195B0F2">
            <w:pPr>
              <w:jc w:val="center"/>
              <w:rPr>
                <w:rFonts w:eastAsia="黑体"/>
                <w:color w:val="auto"/>
                <w:szCs w:val="21"/>
              </w:rPr>
            </w:pPr>
            <w:r>
              <w:rPr>
                <w:rFonts w:eastAsia="黑体"/>
                <w:color w:val="auto"/>
                <w:szCs w:val="21"/>
              </w:rPr>
              <w:t>表5-</w:t>
            </w:r>
            <w:r>
              <w:rPr>
                <w:rFonts w:hint="eastAsia" w:eastAsia="黑体"/>
                <w:color w:val="auto"/>
                <w:szCs w:val="21"/>
              </w:rPr>
              <w:t>3</w:t>
            </w:r>
            <w:r>
              <w:rPr>
                <w:rFonts w:eastAsia="黑体"/>
                <w:color w:val="auto"/>
                <w:szCs w:val="21"/>
              </w:rPr>
              <w:t xml:space="preserve">  项目环保措施投资情况</w:t>
            </w:r>
          </w:p>
          <w:tbl>
            <w:tblPr>
              <w:tblStyle w:val="25"/>
              <w:tblW w:w="84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5"/>
              <w:gridCol w:w="2163"/>
              <w:gridCol w:w="2924"/>
              <w:gridCol w:w="961"/>
              <w:gridCol w:w="824"/>
              <w:gridCol w:w="887"/>
            </w:tblGrid>
            <w:tr w14:paraId="494090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vMerge w:val="restart"/>
                  <w:tcBorders>
                    <w:top w:val="double" w:color="auto" w:sz="4" w:space="0"/>
                    <w:left w:val="double" w:color="auto" w:sz="4" w:space="0"/>
                    <w:bottom w:val="single" w:color="auto" w:sz="4" w:space="0"/>
                    <w:right w:val="single" w:color="auto" w:sz="4" w:space="0"/>
                  </w:tcBorders>
                  <w:vAlign w:val="center"/>
                </w:tcPr>
                <w:p w14:paraId="7D00D68D">
                  <w:pPr>
                    <w:jc w:val="center"/>
                    <w:rPr>
                      <w:color w:val="auto"/>
                      <w:sz w:val="18"/>
                      <w:szCs w:val="18"/>
                    </w:rPr>
                  </w:pPr>
                  <w:r>
                    <w:rPr>
                      <w:rFonts w:hint="eastAsia"/>
                      <w:color w:val="auto"/>
                      <w:sz w:val="18"/>
                      <w:szCs w:val="18"/>
                    </w:rPr>
                    <w:t>项目</w:t>
                  </w:r>
                </w:p>
              </w:tc>
              <w:tc>
                <w:tcPr>
                  <w:tcW w:w="2924" w:type="dxa"/>
                  <w:vMerge w:val="restart"/>
                  <w:tcBorders>
                    <w:top w:val="double" w:color="auto" w:sz="4" w:space="0"/>
                    <w:left w:val="single" w:color="auto" w:sz="4" w:space="0"/>
                    <w:bottom w:val="single" w:color="auto" w:sz="4" w:space="0"/>
                    <w:right w:val="single" w:color="auto" w:sz="4" w:space="0"/>
                  </w:tcBorders>
                  <w:vAlign w:val="center"/>
                </w:tcPr>
                <w:p w14:paraId="67EA021C">
                  <w:pPr>
                    <w:jc w:val="center"/>
                    <w:rPr>
                      <w:color w:val="auto"/>
                      <w:sz w:val="18"/>
                      <w:szCs w:val="18"/>
                    </w:rPr>
                  </w:pPr>
                  <w:r>
                    <w:rPr>
                      <w:rFonts w:hint="eastAsia"/>
                      <w:color w:val="auto"/>
                      <w:sz w:val="18"/>
                      <w:szCs w:val="18"/>
                    </w:rPr>
                    <w:t>工程量</w:t>
                  </w:r>
                </w:p>
              </w:tc>
              <w:tc>
                <w:tcPr>
                  <w:tcW w:w="1785" w:type="dxa"/>
                  <w:gridSpan w:val="2"/>
                  <w:tcBorders>
                    <w:top w:val="double" w:color="auto" w:sz="4" w:space="0"/>
                    <w:left w:val="single" w:color="auto" w:sz="4" w:space="0"/>
                    <w:bottom w:val="single" w:color="auto" w:sz="4" w:space="0"/>
                    <w:right w:val="single" w:color="auto" w:sz="4" w:space="0"/>
                  </w:tcBorders>
                  <w:vAlign w:val="center"/>
                </w:tcPr>
                <w:p w14:paraId="02CE4F82">
                  <w:pPr>
                    <w:jc w:val="center"/>
                    <w:rPr>
                      <w:color w:val="auto"/>
                      <w:sz w:val="18"/>
                      <w:szCs w:val="18"/>
                    </w:rPr>
                  </w:pPr>
                  <w:r>
                    <w:rPr>
                      <w:rFonts w:hint="eastAsia"/>
                      <w:color w:val="auto"/>
                      <w:sz w:val="18"/>
                      <w:szCs w:val="18"/>
                    </w:rPr>
                    <w:t>投资（万元）</w:t>
                  </w:r>
                </w:p>
              </w:tc>
              <w:tc>
                <w:tcPr>
                  <w:tcW w:w="887" w:type="dxa"/>
                  <w:vMerge w:val="restart"/>
                  <w:tcBorders>
                    <w:top w:val="double" w:color="auto" w:sz="4" w:space="0"/>
                    <w:left w:val="single" w:color="auto" w:sz="4" w:space="0"/>
                    <w:bottom w:val="single" w:color="auto" w:sz="4" w:space="0"/>
                    <w:right w:val="double" w:color="auto" w:sz="4" w:space="0"/>
                  </w:tcBorders>
                  <w:vAlign w:val="center"/>
                </w:tcPr>
                <w:p w14:paraId="69BC225B">
                  <w:pPr>
                    <w:ind w:left="-63" w:leftChars="-30"/>
                    <w:jc w:val="center"/>
                    <w:rPr>
                      <w:color w:val="auto"/>
                      <w:sz w:val="18"/>
                      <w:szCs w:val="18"/>
                    </w:rPr>
                  </w:pPr>
                  <w:r>
                    <w:rPr>
                      <w:rFonts w:hint="eastAsia"/>
                      <w:color w:val="auto"/>
                      <w:sz w:val="18"/>
                      <w:szCs w:val="18"/>
                    </w:rPr>
                    <w:t>合计</w:t>
                  </w:r>
                </w:p>
                <w:p w14:paraId="3B3E549B">
                  <w:pPr>
                    <w:ind w:left="-63" w:leftChars="-30"/>
                    <w:jc w:val="center"/>
                    <w:rPr>
                      <w:color w:val="auto"/>
                      <w:sz w:val="18"/>
                      <w:szCs w:val="18"/>
                    </w:rPr>
                  </w:pPr>
                  <w:r>
                    <w:rPr>
                      <w:rFonts w:hint="eastAsia"/>
                      <w:color w:val="auto"/>
                      <w:sz w:val="18"/>
                      <w:szCs w:val="18"/>
                    </w:rPr>
                    <w:t>（万元）</w:t>
                  </w:r>
                </w:p>
              </w:tc>
            </w:tr>
            <w:tr w14:paraId="5593CD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vMerge w:val="continue"/>
                  <w:tcBorders>
                    <w:top w:val="single" w:color="auto" w:sz="12" w:space="0"/>
                    <w:left w:val="double" w:color="auto" w:sz="4" w:space="0"/>
                    <w:bottom w:val="single" w:color="auto" w:sz="4" w:space="0"/>
                    <w:right w:val="single" w:color="auto" w:sz="4" w:space="0"/>
                  </w:tcBorders>
                  <w:vAlign w:val="center"/>
                </w:tcPr>
                <w:p w14:paraId="2675E20F">
                  <w:pPr>
                    <w:widowControl/>
                    <w:jc w:val="left"/>
                    <w:rPr>
                      <w:color w:val="auto"/>
                      <w:sz w:val="18"/>
                      <w:szCs w:val="18"/>
                    </w:rPr>
                  </w:pPr>
                </w:p>
              </w:tc>
              <w:tc>
                <w:tcPr>
                  <w:tcW w:w="2924" w:type="dxa"/>
                  <w:vMerge w:val="continue"/>
                  <w:tcBorders>
                    <w:top w:val="single" w:color="auto" w:sz="12" w:space="0"/>
                    <w:left w:val="single" w:color="auto" w:sz="4" w:space="0"/>
                    <w:bottom w:val="single" w:color="auto" w:sz="4" w:space="0"/>
                    <w:right w:val="single" w:color="auto" w:sz="4" w:space="0"/>
                  </w:tcBorders>
                  <w:vAlign w:val="center"/>
                </w:tcPr>
                <w:p w14:paraId="6640D39D">
                  <w:pPr>
                    <w:widowControl/>
                    <w:jc w:val="left"/>
                    <w:rPr>
                      <w:color w:val="auto"/>
                      <w:sz w:val="18"/>
                      <w:szCs w:val="18"/>
                    </w:rPr>
                  </w:pPr>
                </w:p>
              </w:tc>
              <w:tc>
                <w:tcPr>
                  <w:tcW w:w="961" w:type="dxa"/>
                  <w:tcBorders>
                    <w:top w:val="single" w:color="auto" w:sz="4" w:space="0"/>
                    <w:left w:val="single" w:color="auto" w:sz="4" w:space="0"/>
                    <w:bottom w:val="single" w:color="auto" w:sz="4" w:space="0"/>
                    <w:right w:val="single" w:color="auto" w:sz="4" w:space="0"/>
                  </w:tcBorders>
                  <w:vAlign w:val="center"/>
                </w:tcPr>
                <w:p w14:paraId="52781854">
                  <w:pPr>
                    <w:ind w:left="-105" w:leftChars="-50" w:right="-105" w:rightChars="-50"/>
                    <w:jc w:val="center"/>
                    <w:rPr>
                      <w:color w:val="auto"/>
                      <w:sz w:val="18"/>
                      <w:szCs w:val="18"/>
                    </w:rPr>
                  </w:pPr>
                  <w:r>
                    <w:rPr>
                      <w:rFonts w:hint="eastAsia"/>
                      <w:color w:val="auto"/>
                      <w:sz w:val="18"/>
                      <w:szCs w:val="18"/>
                    </w:rPr>
                    <w:t>变电站</w:t>
                  </w:r>
                </w:p>
              </w:tc>
              <w:tc>
                <w:tcPr>
                  <w:tcW w:w="824" w:type="dxa"/>
                  <w:tcBorders>
                    <w:top w:val="single" w:color="auto" w:sz="4" w:space="0"/>
                    <w:left w:val="single" w:color="auto" w:sz="4" w:space="0"/>
                    <w:bottom w:val="single" w:color="auto" w:sz="4" w:space="0"/>
                    <w:right w:val="single" w:color="auto" w:sz="4" w:space="0"/>
                  </w:tcBorders>
                  <w:vAlign w:val="center"/>
                </w:tcPr>
                <w:p w14:paraId="338F8688">
                  <w:pPr>
                    <w:ind w:left="-105" w:leftChars="-50" w:right="-105" w:rightChars="-50"/>
                    <w:jc w:val="center"/>
                    <w:rPr>
                      <w:color w:val="auto"/>
                      <w:sz w:val="18"/>
                      <w:szCs w:val="18"/>
                    </w:rPr>
                  </w:pPr>
                  <w:r>
                    <w:rPr>
                      <w:rFonts w:hint="eastAsia"/>
                      <w:color w:val="auto"/>
                      <w:sz w:val="18"/>
                      <w:szCs w:val="18"/>
                    </w:rPr>
                    <w:t>线路</w:t>
                  </w:r>
                </w:p>
              </w:tc>
              <w:tc>
                <w:tcPr>
                  <w:tcW w:w="887" w:type="dxa"/>
                  <w:vMerge w:val="continue"/>
                  <w:tcBorders>
                    <w:top w:val="single" w:color="auto" w:sz="12" w:space="0"/>
                    <w:left w:val="single" w:color="auto" w:sz="4" w:space="0"/>
                    <w:bottom w:val="single" w:color="auto" w:sz="4" w:space="0"/>
                    <w:right w:val="double" w:color="auto" w:sz="4" w:space="0"/>
                  </w:tcBorders>
                  <w:vAlign w:val="center"/>
                </w:tcPr>
                <w:p w14:paraId="52A0DA89">
                  <w:pPr>
                    <w:widowControl/>
                    <w:jc w:val="left"/>
                    <w:rPr>
                      <w:color w:val="auto"/>
                      <w:sz w:val="18"/>
                      <w:szCs w:val="18"/>
                    </w:rPr>
                  </w:pPr>
                </w:p>
              </w:tc>
            </w:tr>
            <w:tr w14:paraId="13116C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5" w:type="dxa"/>
                  <w:vMerge w:val="restart"/>
                  <w:tcBorders>
                    <w:top w:val="single" w:color="auto" w:sz="4" w:space="0"/>
                    <w:left w:val="double" w:color="auto" w:sz="4" w:space="0"/>
                    <w:bottom w:val="single" w:color="auto" w:sz="4" w:space="0"/>
                    <w:right w:val="single" w:color="auto" w:sz="4" w:space="0"/>
                  </w:tcBorders>
                  <w:vAlign w:val="center"/>
                </w:tcPr>
                <w:p w14:paraId="4213D2E3">
                  <w:pPr>
                    <w:ind w:left="-126" w:leftChars="-60"/>
                    <w:jc w:val="center"/>
                    <w:rPr>
                      <w:color w:val="auto"/>
                      <w:sz w:val="18"/>
                      <w:szCs w:val="18"/>
                    </w:rPr>
                  </w:pPr>
                  <w:r>
                    <w:rPr>
                      <w:rFonts w:hint="eastAsia"/>
                      <w:color w:val="auto"/>
                      <w:sz w:val="18"/>
                      <w:szCs w:val="18"/>
                    </w:rPr>
                    <w:t>文明</w:t>
                  </w:r>
                </w:p>
                <w:p w14:paraId="400CD9B6">
                  <w:pPr>
                    <w:ind w:left="-126" w:leftChars="-60"/>
                    <w:jc w:val="center"/>
                    <w:rPr>
                      <w:color w:val="auto"/>
                      <w:sz w:val="18"/>
                      <w:szCs w:val="18"/>
                    </w:rPr>
                  </w:pPr>
                  <w:r>
                    <w:rPr>
                      <w:rFonts w:hint="eastAsia"/>
                      <w:color w:val="auto"/>
                      <w:sz w:val="18"/>
                      <w:szCs w:val="18"/>
                    </w:rPr>
                    <w:t>施工</w:t>
                  </w:r>
                </w:p>
              </w:tc>
              <w:tc>
                <w:tcPr>
                  <w:tcW w:w="2163" w:type="dxa"/>
                  <w:tcBorders>
                    <w:top w:val="single" w:color="auto" w:sz="4" w:space="0"/>
                    <w:left w:val="single" w:color="auto" w:sz="4" w:space="0"/>
                    <w:bottom w:val="single" w:color="auto" w:sz="4" w:space="0"/>
                    <w:right w:val="single" w:color="auto" w:sz="4" w:space="0"/>
                  </w:tcBorders>
                  <w:vAlign w:val="center"/>
                </w:tcPr>
                <w:p w14:paraId="0B18A8C6">
                  <w:pPr>
                    <w:ind w:left="-126" w:leftChars="-60"/>
                    <w:jc w:val="center"/>
                    <w:rPr>
                      <w:color w:val="auto"/>
                      <w:sz w:val="18"/>
                      <w:szCs w:val="18"/>
                    </w:rPr>
                  </w:pPr>
                  <w:r>
                    <w:rPr>
                      <w:rFonts w:hint="eastAsia"/>
                      <w:color w:val="auto"/>
                      <w:sz w:val="18"/>
                      <w:szCs w:val="18"/>
                    </w:rPr>
                    <w:t>环保培训</w:t>
                  </w:r>
                </w:p>
              </w:tc>
              <w:tc>
                <w:tcPr>
                  <w:tcW w:w="2924" w:type="dxa"/>
                  <w:tcBorders>
                    <w:top w:val="single" w:color="auto" w:sz="4" w:space="0"/>
                    <w:left w:val="single" w:color="auto" w:sz="4" w:space="0"/>
                    <w:bottom w:val="single" w:color="auto" w:sz="4" w:space="0"/>
                    <w:right w:val="single" w:color="auto" w:sz="4" w:space="0"/>
                  </w:tcBorders>
                  <w:vAlign w:val="center"/>
                </w:tcPr>
                <w:p w14:paraId="6463E9BB">
                  <w:pPr>
                    <w:jc w:val="center"/>
                    <w:rPr>
                      <w:color w:val="auto"/>
                      <w:sz w:val="18"/>
                      <w:szCs w:val="18"/>
                    </w:rPr>
                  </w:pPr>
                  <w:r>
                    <w:rPr>
                      <w:rFonts w:hint="eastAsia"/>
                      <w:color w:val="auto"/>
                      <w:sz w:val="18"/>
                      <w:szCs w:val="18"/>
                      <w:lang w:val="en-US" w:eastAsia="zh-CN"/>
                    </w:rPr>
                    <w:t>6</w:t>
                  </w:r>
                  <w:r>
                    <w:rPr>
                      <w:color w:val="auto"/>
                      <w:sz w:val="18"/>
                      <w:szCs w:val="18"/>
                    </w:rPr>
                    <w:t>0</w:t>
                  </w:r>
                  <w:r>
                    <w:rPr>
                      <w:rFonts w:hint="eastAsia"/>
                      <w:color w:val="auto"/>
                      <w:sz w:val="18"/>
                      <w:szCs w:val="18"/>
                    </w:rPr>
                    <w:t>人</w:t>
                  </w:r>
                </w:p>
              </w:tc>
              <w:tc>
                <w:tcPr>
                  <w:tcW w:w="961" w:type="dxa"/>
                  <w:tcBorders>
                    <w:top w:val="single" w:color="auto" w:sz="4" w:space="0"/>
                    <w:left w:val="single" w:color="auto" w:sz="4" w:space="0"/>
                    <w:bottom w:val="single" w:color="auto" w:sz="4" w:space="0"/>
                    <w:right w:val="single" w:color="auto" w:sz="4" w:space="0"/>
                  </w:tcBorders>
                  <w:vAlign w:val="center"/>
                </w:tcPr>
                <w:p w14:paraId="0D6F2622">
                  <w:pPr>
                    <w:jc w:val="center"/>
                    <w:rPr>
                      <w:rFonts w:hint="eastAsia" w:eastAsia="宋体"/>
                      <w:color w:val="auto"/>
                      <w:sz w:val="18"/>
                      <w:szCs w:val="18"/>
                      <w:lang w:val="en-US" w:eastAsia="zh-CN"/>
                    </w:rPr>
                  </w:pPr>
                  <w:r>
                    <w:rPr>
                      <w:color w:val="auto"/>
                      <w:sz w:val="18"/>
                      <w:szCs w:val="18"/>
                    </w:rPr>
                    <w:t>0.</w:t>
                  </w:r>
                  <w:r>
                    <w:rPr>
                      <w:rFonts w:hint="eastAsia"/>
                      <w:color w:val="auto"/>
                      <w:sz w:val="18"/>
                      <w:szCs w:val="18"/>
                      <w:lang w:val="en-US" w:eastAsia="zh-CN"/>
                    </w:rPr>
                    <w:t>5</w:t>
                  </w:r>
                </w:p>
              </w:tc>
              <w:tc>
                <w:tcPr>
                  <w:tcW w:w="824" w:type="dxa"/>
                  <w:tcBorders>
                    <w:top w:val="single" w:color="auto" w:sz="4" w:space="0"/>
                    <w:left w:val="single" w:color="auto" w:sz="4" w:space="0"/>
                    <w:bottom w:val="single" w:color="auto" w:sz="4" w:space="0"/>
                    <w:right w:val="single" w:color="auto" w:sz="4" w:space="0"/>
                  </w:tcBorders>
                  <w:vAlign w:val="center"/>
                </w:tcPr>
                <w:p w14:paraId="7C707169">
                  <w:pPr>
                    <w:jc w:val="center"/>
                    <w:rPr>
                      <w:rFonts w:hint="eastAsia" w:eastAsia="宋体"/>
                      <w:color w:val="auto"/>
                      <w:sz w:val="18"/>
                      <w:szCs w:val="18"/>
                      <w:lang w:eastAsia="zh-CN"/>
                    </w:rPr>
                  </w:pPr>
                  <w:r>
                    <w:rPr>
                      <w:color w:val="auto"/>
                      <w:sz w:val="18"/>
                      <w:szCs w:val="18"/>
                    </w:rPr>
                    <w:t>0.</w:t>
                  </w:r>
                  <w:r>
                    <w:rPr>
                      <w:rFonts w:hint="eastAsia"/>
                      <w:color w:val="auto"/>
                      <w:sz w:val="18"/>
                      <w:szCs w:val="18"/>
                      <w:lang w:val="en-US" w:eastAsia="zh-CN"/>
                    </w:rPr>
                    <w:t>5</w:t>
                  </w:r>
                </w:p>
              </w:tc>
              <w:tc>
                <w:tcPr>
                  <w:tcW w:w="887" w:type="dxa"/>
                  <w:tcBorders>
                    <w:top w:val="single" w:color="auto" w:sz="4" w:space="0"/>
                    <w:left w:val="single" w:color="auto" w:sz="4" w:space="0"/>
                    <w:bottom w:val="single" w:color="auto" w:sz="4" w:space="0"/>
                    <w:right w:val="double" w:color="auto" w:sz="4" w:space="0"/>
                  </w:tcBorders>
                  <w:vAlign w:val="center"/>
                </w:tcPr>
                <w:p w14:paraId="4CEE9971">
                  <w:pPr>
                    <w:jc w:val="center"/>
                    <w:rPr>
                      <w:rFonts w:hint="default" w:eastAsia="宋体"/>
                      <w:color w:val="auto"/>
                      <w:sz w:val="18"/>
                      <w:szCs w:val="18"/>
                      <w:lang w:val="en-US" w:eastAsia="zh-CN"/>
                    </w:rPr>
                  </w:pPr>
                  <w:r>
                    <w:rPr>
                      <w:rFonts w:hint="eastAsia"/>
                      <w:color w:val="auto"/>
                      <w:sz w:val="18"/>
                      <w:szCs w:val="18"/>
                      <w:lang w:val="en-US" w:eastAsia="zh-CN"/>
                    </w:rPr>
                    <w:t>1.0</w:t>
                  </w:r>
                </w:p>
              </w:tc>
            </w:tr>
            <w:tr w14:paraId="277893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5" w:type="dxa"/>
                  <w:vMerge w:val="continue"/>
                  <w:tcBorders>
                    <w:top w:val="single" w:color="auto" w:sz="4" w:space="0"/>
                    <w:left w:val="double" w:color="auto" w:sz="4" w:space="0"/>
                    <w:bottom w:val="single" w:color="auto" w:sz="4" w:space="0"/>
                    <w:right w:val="single" w:color="auto" w:sz="4" w:space="0"/>
                  </w:tcBorders>
                  <w:vAlign w:val="center"/>
                </w:tcPr>
                <w:p w14:paraId="403ADD50">
                  <w:pPr>
                    <w:widowControl/>
                    <w:jc w:val="left"/>
                    <w:rPr>
                      <w:color w:val="auto"/>
                      <w:sz w:val="18"/>
                      <w:szCs w:val="18"/>
                    </w:rPr>
                  </w:pPr>
                </w:p>
              </w:tc>
              <w:tc>
                <w:tcPr>
                  <w:tcW w:w="2163" w:type="dxa"/>
                  <w:tcBorders>
                    <w:top w:val="single" w:color="auto" w:sz="4" w:space="0"/>
                    <w:left w:val="single" w:color="auto" w:sz="4" w:space="0"/>
                    <w:bottom w:val="single" w:color="auto" w:sz="4" w:space="0"/>
                    <w:right w:val="single" w:color="auto" w:sz="4" w:space="0"/>
                  </w:tcBorders>
                  <w:vAlign w:val="center"/>
                </w:tcPr>
                <w:p w14:paraId="6698D2BE">
                  <w:pPr>
                    <w:ind w:left="-126" w:leftChars="-60"/>
                    <w:jc w:val="center"/>
                    <w:rPr>
                      <w:color w:val="auto"/>
                      <w:sz w:val="18"/>
                      <w:szCs w:val="18"/>
                    </w:rPr>
                  </w:pPr>
                  <w:r>
                    <w:rPr>
                      <w:rFonts w:hint="eastAsia"/>
                      <w:color w:val="auto"/>
                      <w:sz w:val="18"/>
                      <w:szCs w:val="18"/>
                    </w:rPr>
                    <w:t>固废处理</w:t>
                  </w:r>
                </w:p>
              </w:tc>
              <w:tc>
                <w:tcPr>
                  <w:tcW w:w="2924" w:type="dxa"/>
                  <w:tcBorders>
                    <w:top w:val="single" w:color="auto" w:sz="4" w:space="0"/>
                    <w:left w:val="single" w:color="auto" w:sz="4" w:space="0"/>
                    <w:bottom w:val="single" w:color="auto" w:sz="4" w:space="0"/>
                    <w:right w:val="single" w:color="auto" w:sz="4" w:space="0"/>
                  </w:tcBorders>
                  <w:vAlign w:val="center"/>
                </w:tcPr>
                <w:p w14:paraId="1284519F">
                  <w:pPr>
                    <w:jc w:val="center"/>
                    <w:rPr>
                      <w:color w:val="auto"/>
                      <w:sz w:val="18"/>
                      <w:szCs w:val="18"/>
                    </w:rPr>
                  </w:pPr>
                  <w:r>
                    <w:rPr>
                      <w:rFonts w:hint="eastAsia"/>
                      <w:color w:val="auto"/>
                      <w:sz w:val="18"/>
                      <w:szCs w:val="18"/>
                    </w:rPr>
                    <w:t>3</w:t>
                  </w:r>
                  <w:r>
                    <w:rPr>
                      <w:rFonts w:hint="eastAsia"/>
                      <w:color w:val="auto"/>
                      <w:sz w:val="18"/>
                      <w:szCs w:val="18"/>
                      <w:lang w:val="en-US" w:eastAsia="zh-CN"/>
                    </w:rPr>
                    <w:t>0</w:t>
                  </w:r>
                  <w:r>
                    <w:rPr>
                      <w:color w:val="auto"/>
                      <w:sz w:val="18"/>
                      <w:szCs w:val="18"/>
                    </w:rPr>
                    <w:t>kg/d</w:t>
                  </w:r>
                </w:p>
              </w:tc>
              <w:tc>
                <w:tcPr>
                  <w:tcW w:w="961" w:type="dxa"/>
                  <w:tcBorders>
                    <w:top w:val="single" w:color="auto" w:sz="4" w:space="0"/>
                    <w:left w:val="single" w:color="auto" w:sz="4" w:space="0"/>
                    <w:bottom w:val="single" w:color="auto" w:sz="4" w:space="0"/>
                    <w:right w:val="single" w:color="auto" w:sz="4" w:space="0"/>
                  </w:tcBorders>
                  <w:vAlign w:val="center"/>
                </w:tcPr>
                <w:p w14:paraId="17CA49DB">
                  <w:pPr>
                    <w:jc w:val="center"/>
                    <w:rPr>
                      <w:rFonts w:hint="eastAsia" w:eastAsia="宋体"/>
                      <w:color w:val="auto"/>
                      <w:sz w:val="18"/>
                      <w:szCs w:val="18"/>
                      <w:lang w:val="en-US" w:eastAsia="zh-CN"/>
                    </w:rPr>
                  </w:pPr>
                  <w:r>
                    <w:rPr>
                      <w:color w:val="auto"/>
                      <w:sz w:val="18"/>
                      <w:szCs w:val="18"/>
                    </w:rPr>
                    <w:t>0.</w:t>
                  </w:r>
                  <w:r>
                    <w:rPr>
                      <w:rFonts w:hint="eastAsia"/>
                      <w:color w:val="auto"/>
                      <w:sz w:val="18"/>
                      <w:szCs w:val="18"/>
                      <w:lang w:val="en-US" w:eastAsia="zh-CN"/>
                    </w:rPr>
                    <w:t>5</w:t>
                  </w:r>
                </w:p>
              </w:tc>
              <w:tc>
                <w:tcPr>
                  <w:tcW w:w="824" w:type="dxa"/>
                  <w:tcBorders>
                    <w:top w:val="single" w:color="auto" w:sz="4" w:space="0"/>
                    <w:left w:val="single" w:color="auto" w:sz="4" w:space="0"/>
                    <w:bottom w:val="single" w:color="auto" w:sz="4" w:space="0"/>
                    <w:right w:val="single" w:color="auto" w:sz="4" w:space="0"/>
                  </w:tcBorders>
                  <w:vAlign w:val="center"/>
                </w:tcPr>
                <w:p w14:paraId="5747E677">
                  <w:pPr>
                    <w:jc w:val="center"/>
                    <w:rPr>
                      <w:rFonts w:hint="eastAsia" w:eastAsia="宋体"/>
                      <w:color w:val="auto"/>
                      <w:sz w:val="18"/>
                      <w:szCs w:val="18"/>
                      <w:lang w:eastAsia="zh-CN"/>
                    </w:rPr>
                  </w:pPr>
                  <w:r>
                    <w:rPr>
                      <w:color w:val="auto"/>
                      <w:sz w:val="18"/>
                      <w:szCs w:val="18"/>
                    </w:rPr>
                    <w:t>0.</w:t>
                  </w:r>
                  <w:r>
                    <w:rPr>
                      <w:rFonts w:hint="eastAsia"/>
                      <w:color w:val="auto"/>
                      <w:sz w:val="18"/>
                      <w:szCs w:val="18"/>
                      <w:lang w:val="en-US" w:eastAsia="zh-CN"/>
                    </w:rPr>
                    <w:t>5</w:t>
                  </w:r>
                </w:p>
              </w:tc>
              <w:tc>
                <w:tcPr>
                  <w:tcW w:w="887" w:type="dxa"/>
                  <w:tcBorders>
                    <w:top w:val="single" w:color="auto" w:sz="4" w:space="0"/>
                    <w:left w:val="single" w:color="auto" w:sz="4" w:space="0"/>
                    <w:bottom w:val="single" w:color="auto" w:sz="4" w:space="0"/>
                    <w:right w:val="double" w:color="auto" w:sz="4" w:space="0"/>
                  </w:tcBorders>
                  <w:vAlign w:val="center"/>
                </w:tcPr>
                <w:p w14:paraId="0A67D623">
                  <w:pPr>
                    <w:jc w:val="center"/>
                    <w:rPr>
                      <w:rFonts w:hint="default" w:eastAsia="宋体"/>
                      <w:color w:val="auto"/>
                      <w:sz w:val="18"/>
                      <w:szCs w:val="18"/>
                      <w:lang w:val="en-US" w:eastAsia="zh-CN"/>
                    </w:rPr>
                  </w:pPr>
                  <w:r>
                    <w:rPr>
                      <w:rFonts w:hint="eastAsia"/>
                      <w:color w:val="auto"/>
                      <w:sz w:val="18"/>
                      <w:szCs w:val="18"/>
                      <w:lang w:val="en-US" w:eastAsia="zh-CN"/>
                    </w:rPr>
                    <w:t>1.0</w:t>
                  </w:r>
                </w:p>
              </w:tc>
            </w:tr>
            <w:tr w14:paraId="275B5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95" w:type="dxa"/>
                  <w:vMerge w:val="continue"/>
                  <w:tcBorders>
                    <w:top w:val="single" w:color="auto" w:sz="4" w:space="0"/>
                    <w:left w:val="double" w:color="auto" w:sz="4" w:space="0"/>
                    <w:bottom w:val="single" w:color="auto" w:sz="4" w:space="0"/>
                    <w:right w:val="single" w:color="auto" w:sz="4" w:space="0"/>
                  </w:tcBorders>
                  <w:vAlign w:val="center"/>
                </w:tcPr>
                <w:p w14:paraId="19911AEC">
                  <w:pPr>
                    <w:widowControl/>
                    <w:jc w:val="left"/>
                    <w:rPr>
                      <w:color w:val="auto"/>
                      <w:sz w:val="18"/>
                      <w:szCs w:val="18"/>
                    </w:rPr>
                  </w:pPr>
                </w:p>
              </w:tc>
              <w:tc>
                <w:tcPr>
                  <w:tcW w:w="2163" w:type="dxa"/>
                  <w:tcBorders>
                    <w:top w:val="single" w:color="auto" w:sz="4" w:space="0"/>
                    <w:left w:val="single" w:color="auto" w:sz="4" w:space="0"/>
                    <w:bottom w:val="single" w:color="auto" w:sz="4" w:space="0"/>
                    <w:right w:val="single" w:color="auto" w:sz="4" w:space="0"/>
                  </w:tcBorders>
                  <w:vAlign w:val="center"/>
                </w:tcPr>
                <w:p w14:paraId="119D0694">
                  <w:pPr>
                    <w:ind w:left="-126" w:leftChars="-60"/>
                    <w:jc w:val="center"/>
                    <w:rPr>
                      <w:color w:val="auto"/>
                      <w:sz w:val="18"/>
                      <w:szCs w:val="18"/>
                    </w:rPr>
                  </w:pPr>
                  <w:r>
                    <w:rPr>
                      <w:rFonts w:hint="eastAsia"/>
                      <w:color w:val="auto"/>
                      <w:sz w:val="18"/>
                      <w:szCs w:val="18"/>
                    </w:rPr>
                    <w:t>洒水降尘</w:t>
                  </w:r>
                </w:p>
              </w:tc>
              <w:tc>
                <w:tcPr>
                  <w:tcW w:w="2924" w:type="dxa"/>
                  <w:tcBorders>
                    <w:top w:val="single" w:color="auto" w:sz="4" w:space="0"/>
                    <w:left w:val="single" w:color="auto" w:sz="4" w:space="0"/>
                    <w:bottom w:val="single" w:color="auto" w:sz="4" w:space="0"/>
                    <w:right w:val="single" w:color="auto" w:sz="4" w:space="0"/>
                  </w:tcBorders>
                  <w:vAlign w:val="center"/>
                </w:tcPr>
                <w:p w14:paraId="52F55699">
                  <w:pPr>
                    <w:jc w:val="center"/>
                    <w:rPr>
                      <w:color w:val="auto"/>
                      <w:sz w:val="18"/>
                      <w:szCs w:val="18"/>
                    </w:rPr>
                  </w:pPr>
                  <w:r>
                    <w:rPr>
                      <w:color w:val="auto"/>
                      <w:sz w:val="18"/>
                      <w:szCs w:val="18"/>
                    </w:rPr>
                    <w:t>/</w:t>
                  </w:r>
                </w:p>
              </w:tc>
              <w:tc>
                <w:tcPr>
                  <w:tcW w:w="961" w:type="dxa"/>
                  <w:tcBorders>
                    <w:top w:val="single" w:color="auto" w:sz="4" w:space="0"/>
                    <w:left w:val="single" w:color="auto" w:sz="4" w:space="0"/>
                    <w:bottom w:val="single" w:color="auto" w:sz="4" w:space="0"/>
                    <w:right w:val="single" w:color="auto" w:sz="4" w:space="0"/>
                  </w:tcBorders>
                  <w:vAlign w:val="center"/>
                </w:tcPr>
                <w:p w14:paraId="4AE6AEC2">
                  <w:pPr>
                    <w:jc w:val="center"/>
                    <w:rPr>
                      <w:color w:val="auto"/>
                      <w:sz w:val="18"/>
                      <w:szCs w:val="18"/>
                    </w:rPr>
                  </w:pPr>
                  <w:r>
                    <w:rPr>
                      <w:rFonts w:hint="eastAsia"/>
                      <w:color w:val="auto"/>
                      <w:sz w:val="18"/>
                      <w:szCs w:val="18"/>
                      <w:lang w:val="en-US" w:eastAsia="zh-CN"/>
                    </w:rPr>
                    <w:t>4</w:t>
                  </w:r>
                  <w:r>
                    <w:rPr>
                      <w:rFonts w:hint="eastAsia"/>
                      <w:color w:val="auto"/>
                      <w:sz w:val="18"/>
                      <w:szCs w:val="18"/>
                    </w:rPr>
                    <w:t>.0</w:t>
                  </w:r>
                </w:p>
              </w:tc>
              <w:tc>
                <w:tcPr>
                  <w:tcW w:w="824" w:type="dxa"/>
                  <w:tcBorders>
                    <w:top w:val="single" w:color="auto" w:sz="4" w:space="0"/>
                    <w:left w:val="single" w:color="auto" w:sz="4" w:space="0"/>
                    <w:bottom w:val="single" w:color="auto" w:sz="4" w:space="0"/>
                    <w:right w:val="single" w:color="auto" w:sz="4" w:space="0"/>
                  </w:tcBorders>
                  <w:vAlign w:val="center"/>
                </w:tcPr>
                <w:p w14:paraId="7909D7A2">
                  <w:pPr>
                    <w:jc w:val="center"/>
                    <w:rPr>
                      <w:color w:val="auto"/>
                      <w:sz w:val="18"/>
                      <w:szCs w:val="18"/>
                    </w:rPr>
                  </w:pPr>
                  <w:r>
                    <w:rPr>
                      <w:rFonts w:hint="eastAsia"/>
                      <w:color w:val="auto"/>
                      <w:sz w:val="18"/>
                      <w:szCs w:val="18"/>
                      <w:lang w:val="en-US" w:eastAsia="zh-CN"/>
                    </w:rPr>
                    <w:t>2</w:t>
                  </w:r>
                  <w:r>
                    <w:rPr>
                      <w:color w:val="auto"/>
                      <w:sz w:val="18"/>
                      <w:szCs w:val="18"/>
                    </w:rPr>
                    <w:t>.0</w:t>
                  </w:r>
                </w:p>
              </w:tc>
              <w:tc>
                <w:tcPr>
                  <w:tcW w:w="887" w:type="dxa"/>
                  <w:tcBorders>
                    <w:top w:val="single" w:color="auto" w:sz="4" w:space="0"/>
                    <w:left w:val="single" w:color="auto" w:sz="4" w:space="0"/>
                    <w:bottom w:val="single" w:color="auto" w:sz="4" w:space="0"/>
                    <w:right w:val="double" w:color="auto" w:sz="4" w:space="0"/>
                  </w:tcBorders>
                  <w:vAlign w:val="center"/>
                </w:tcPr>
                <w:p w14:paraId="21F4FA7B">
                  <w:pPr>
                    <w:jc w:val="center"/>
                    <w:rPr>
                      <w:color w:val="auto"/>
                      <w:sz w:val="18"/>
                      <w:szCs w:val="18"/>
                    </w:rPr>
                  </w:pPr>
                  <w:r>
                    <w:rPr>
                      <w:rFonts w:hint="eastAsia"/>
                      <w:color w:val="auto"/>
                      <w:sz w:val="18"/>
                      <w:szCs w:val="18"/>
                      <w:lang w:val="en-US" w:eastAsia="zh-CN"/>
                    </w:rPr>
                    <w:t>6</w:t>
                  </w:r>
                  <w:r>
                    <w:rPr>
                      <w:color w:val="auto"/>
                      <w:sz w:val="18"/>
                      <w:szCs w:val="18"/>
                    </w:rPr>
                    <w:t>.0</w:t>
                  </w:r>
                </w:p>
              </w:tc>
            </w:tr>
            <w:tr w14:paraId="1A32A6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5" w:type="dxa"/>
                  <w:vMerge w:val="continue"/>
                  <w:tcBorders>
                    <w:top w:val="single" w:color="auto" w:sz="4" w:space="0"/>
                    <w:left w:val="double" w:color="auto" w:sz="4" w:space="0"/>
                    <w:bottom w:val="single" w:color="auto" w:sz="4" w:space="0"/>
                    <w:right w:val="single" w:color="auto" w:sz="4" w:space="0"/>
                  </w:tcBorders>
                  <w:vAlign w:val="center"/>
                </w:tcPr>
                <w:p w14:paraId="712A6E08">
                  <w:pPr>
                    <w:widowControl/>
                    <w:jc w:val="left"/>
                    <w:rPr>
                      <w:color w:val="auto"/>
                      <w:sz w:val="18"/>
                      <w:szCs w:val="18"/>
                    </w:rPr>
                  </w:pPr>
                </w:p>
              </w:tc>
              <w:tc>
                <w:tcPr>
                  <w:tcW w:w="2163" w:type="dxa"/>
                  <w:tcBorders>
                    <w:top w:val="single" w:color="auto" w:sz="4" w:space="0"/>
                    <w:left w:val="single" w:color="auto" w:sz="4" w:space="0"/>
                    <w:bottom w:val="single" w:color="auto" w:sz="4" w:space="0"/>
                    <w:right w:val="single" w:color="auto" w:sz="4" w:space="0"/>
                  </w:tcBorders>
                  <w:vAlign w:val="center"/>
                </w:tcPr>
                <w:p w14:paraId="5700558A">
                  <w:pPr>
                    <w:ind w:left="-126" w:leftChars="-60"/>
                    <w:jc w:val="center"/>
                    <w:rPr>
                      <w:color w:val="auto"/>
                      <w:sz w:val="18"/>
                      <w:szCs w:val="18"/>
                    </w:rPr>
                  </w:pPr>
                  <w:r>
                    <w:rPr>
                      <w:rFonts w:hint="eastAsia"/>
                      <w:color w:val="auto"/>
                      <w:sz w:val="18"/>
                      <w:szCs w:val="18"/>
                    </w:rPr>
                    <w:t>施工场地围栏</w:t>
                  </w:r>
                </w:p>
              </w:tc>
              <w:tc>
                <w:tcPr>
                  <w:tcW w:w="2924" w:type="dxa"/>
                  <w:tcBorders>
                    <w:top w:val="single" w:color="auto" w:sz="4" w:space="0"/>
                    <w:left w:val="single" w:color="auto" w:sz="4" w:space="0"/>
                    <w:bottom w:val="single" w:color="auto" w:sz="4" w:space="0"/>
                    <w:right w:val="single" w:color="auto" w:sz="4" w:space="0"/>
                  </w:tcBorders>
                  <w:vAlign w:val="center"/>
                </w:tcPr>
                <w:p w14:paraId="132BB0CD">
                  <w:pPr>
                    <w:jc w:val="center"/>
                    <w:rPr>
                      <w:color w:val="auto"/>
                      <w:sz w:val="18"/>
                      <w:szCs w:val="18"/>
                    </w:rPr>
                  </w:pPr>
                  <w:r>
                    <w:rPr>
                      <w:color w:val="auto"/>
                      <w:sz w:val="18"/>
                      <w:szCs w:val="18"/>
                    </w:rPr>
                    <w:t>/</w:t>
                  </w:r>
                </w:p>
              </w:tc>
              <w:tc>
                <w:tcPr>
                  <w:tcW w:w="961" w:type="dxa"/>
                  <w:tcBorders>
                    <w:top w:val="single" w:color="auto" w:sz="4" w:space="0"/>
                    <w:left w:val="single" w:color="auto" w:sz="4" w:space="0"/>
                    <w:bottom w:val="single" w:color="auto" w:sz="4" w:space="0"/>
                    <w:right w:val="single" w:color="auto" w:sz="4" w:space="0"/>
                  </w:tcBorders>
                  <w:vAlign w:val="center"/>
                </w:tcPr>
                <w:p w14:paraId="3B79E834">
                  <w:pPr>
                    <w:jc w:val="center"/>
                    <w:rPr>
                      <w:color w:val="auto"/>
                      <w:sz w:val="18"/>
                      <w:szCs w:val="18"/>
                    </w:rPr>
                  </w:pPr>
                  <w:r>
                    <w:rPr>
                      <w:rFonts w:hint="eastAsia"/>
                      <w:color w:val="auto"/>
                      <w:sz w:val="18"/>
                      <w:szCs w:val="18"/>
                      <w:lang w:val="en-US" w:eastAsia="zh-CN"/>
                    </w:rPr>
                    <w:t>4</w:t>
                  </w:r>
                  <w:r>
                    <w:rPr>
                      <w:rFonts w:hint="eastAsia"/>
                      <w:color w:val="auto"/>
                      <w:sz w:val="18"/>
                      <w:szCs w:val="18"/>
                    </w:rPr>
                    <w:t>.0</w:t>
                  </w:r>
                </w:p>
              </w:tc>
              <w:tc>
                <w:tcPr>
                  <w:tcW w:w="824" w:type="dxa"/>
                  <w:tcBorders>
                    <w:top w:val="single" w:color="auto" w:sz="4" w:space="0"/>
                    <w:left w:val="single" w:color="auto" w:sz="4" w:space="0"/>
                    <w:bottom w:val="single" w:color="auto" w:sz="4" w:space="0"/>
                    <w:right w:val="single" w:color="auto" w:sz="4" w:space="0"/>
                  </w:tcBorders>
                  <w:vAlign w:val="center"/>
                </w:tcPr>
                <w:p w14:paraId="46E600EB">
                  <w:pPr>
                    <w:jc w:val="center"/>
                    <w:rPr>
                      <w:rFonts w:hint="default" w:eastAsia="宋体"/>
                      <w:color w:val="auto"/>
                      <w:sz w:val="18"/>
                      <w:szCs w:val="18"/>
                      <w:lang w:val="en-US" w:eastAsia="zh-CN"/>
                    </w:rPr>
                  </w:pPr>
                  <w:r>
                    <w:rPr>
                      <w:rFonts w:hint="eastAsia"/>
                      <w:color w:val="auto"/>
                      <w:sz w:val="18"/>
                      <w:szCs w:val="18"/>
                      <w:lang w:val="en-US" w:eastAsia="zh-CN"/>
                    </w:rPr>
                    <w:t>1.5</w:t>
                  </w:r>
                </w:p>
              </w:tc>
              <w:tc>
                <w:tcPr>
                  <w:tcW w:w="887" w:type="dxa"/>
                  <w:tcBorders>
                    <w:top w:val="single" w:color="auto" w:sz="4" w:space="0"/>
                    <w:left w:val="single" w:color="auto" w:sz="4" w:space="0"/>
                    <w:bottom w:val="single" w:color="auto" w:sz="4" w:space="0"/>
                    <w:right w:val="double" w:color="auto" w:sz="4" w:space="0"/>
                  </w:tcBorders>
                  <w:vAlign w:val="center"/>
                </w:tcPr>
                <w:p w14:paraId="0A578828">
                  <w:pPr>
                    <w:jc w:val="center"/>
                    <w:rPr>
                      <w:color w:val="auto"/>
                      <w:sz w:val="18"/>
                      <w:szCs w:val="18"/>
                    </w:rPr>
                  </w:pPr>
                  <w:r>
                    <w:rPr>
                      <w:rFonts w:hint="eastAsia"/>
                      <w:color w:val="auto"/>
                      <w:sz w:val="18"/>
                      <w:szCs w:val="18"/>
                      <w:lang w:val="en-US" w:eastAsia="zh-CN"/>
                    </w:rPr>
                    <w:t>5</w:t>
                  </w:r>
                  <w:r>
                    <w:rPr>
                      <w:color w:val="auto"/>
                      <w:sz w:val="18"/>
                      <w:szCs w:val="18"/>
                    </w:rPr>
                    <w:t>.5</w:t>
                  </w:r>
                </w:p>
              </w:tc>
            </w:tr>
            <w:tr w14:paraId="04522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5" w:type="dxa"/>
                  <w:vMerge w:val="continue"/>
                  <w:tcBorders>
                    <w:top w:val="single" w:color="auto" w:sz="4" w:space="0"/>
                    <w:left w:val="double" w:color="auto" w:sz="4" w:space="0"/>
                    <w:bottom w:val="single" w:color="auto" w:sz="4" w:space="0"/>
                    <w:right w:val="single" w:color="auto" w:sz="4" w:space="0"/>
                  </w:tcBorders>
                  <w:vAlign w:val="center"/>
                </w:tcPr>
                <w:p w14:paraId="2C4008F7">
                  <w:pPr>
                    <w:widowControl/>
                    <w:jc w:val="left"/>
                    <w:rPr>
                      <w:color w:val="auto"/>
                      <w:sz w:val="18"/>
                      <w:szCs w:val="18"/>
                    </w:rPr>
                  </w:pPr>
                </w:p>
              </w:tc>
              <w:tc>
                <w:tcPr>
                  <w:tcW w:w="2163" w:type="dxa"/>
                  <w:tcBorders>
                    <w:top w:val="single" w:color="auto" w:sz="4" w:space="0"/>
                    <w:left w:val="single" w:color="auto" w:sz="4" w:space="0"/>
                    <w:bottom w:val="single" w:color="auto" w:sz="4" w:space="0"/>
                    <w:right w:val="single" w:color="auto" w:sz="4" w:space="0"/>
                  </w:tcBorders>
                  <w:vAlign w:val="center"/>
                </w:tcPr>
                <w:p w14:paraId="332F5FF8">
                  <w:pPr>
                    <w:ind w:left="-126" w:leftChars="-60"/>
                    <w:jc w:val="center"/>
                    <w:rPr>
                      <w:color w:val="auto"/>
                      <w:sz w:val="18"/>
                      <w:szCs w:val="18"/>
                    </w:rPr>
                  </w:pPr>
                  <w:r>
                    <w:rPr>
                      <w:rFonts w:hint="eastAsia"/>
                      <w:color w:val="auto"/>
                      <w:sz w:val="18"/>
                      <w:szCs w:val="18"/>
                    </w:rPr>
                    <w:t>施工废水处理</w:t>
                  </w:r>
                </w:p>
              </w:tc>
              <w:tc>
                <w:tcPr>
                  <w:tcW w:w="2924" w:type="dxa"/>
                  <w:tcBorders>
                    <w:top w:val="single" w:color="auto" w:sz="4" w:space="0"/>
                    <w:left w:val="single" w:color="auto" w:sz="4" w:space="0"/>
                    <w:bottom w:val="single" w:color="auto" w:sz="4" w:space="0"/>
                    <w:right w:val="single" w:color="auto" w:sz="4" w:space="0"/>
                  </w:tcBorders>
                  <w:vAlign w:val="center"/>
                </w:tcPr>
                <w:p w14:paraId="12481E04">
                  <w:pPr>
                    <w:jc w:val="center"/>
                    <w:rPr>
                      <w:color w:val="auto"/>
                      <w:sz w:val="18"/>
                      <w:szCs w:val="18"/>
                    </w:rPr>
                  </w:pPr>
                  <w:r>
                    <w:rPr>
                      <w:rFonts w:hint="eastAsia"/>
                      <w:color w:val="auto"/>
                      <w:sz w:val="18"/>
                      <w:szCs w:val="18"/>
                      <w:lang w:val="en-US" w:eastAsia="zh-CN"/>
                    </w:rPr>
                    <w:t>2</w:t>
                  </w:r>
                  <w:r>
                    <w:rPr>
                      <w:color w:val="auto"/>
                      <w:sz w:val="18"/>
                      <w:szCs w:val="18"/>
                    </w:rPr>
                    <w:t>m</w:t>
                  </w:r>
                  <w:r>
                    <w:rPr>
                      <w:color w:val="auto"/>
                      <w:sz w:val="18"/>
                      <w:szCs w:val="18"/>
                      <w:vertAlign w:val="superscript"/>
                    </w:rPr>
                    <w:t>3</w:t>
                  </w:r>
                  <w:r>
                    <w:rPr>
                      <w:color w:val="auto"/>
                      <w:sz w:val="18"/>
                      <w:szCs w:val="18"/>
                    </w:rPr>
                    <w:t>/d</w:t>
                  </w:r>
                </w:p>
              </w:tc>
              <w:tc>
                <w:tcPr>
                  <w:tcW w:w="961" w:type="dxa"/>
                  <w:tcBorders>
                    <w:top w:val="single" w:color="auto" w:sz="4" w:space="0"/>
                    <w:left w:val="single" w:color="auto" w:sz="4" w:space="0"/>
                    <w:bottom w:val="single" w:color="auto" w:sz="4" w:space="0"/>
                    <w:right w:val="single" w:color="auto" w:sz="4" w:space="0"/>
                  </w:tcBorders>
                  <w:vAlign w:val="center"/>
                </w:tcPr>
                <w:p w14:paraId="2BB28CF6">
                  <w:pPr>
                    <w:jc w:val="center"/>
                    <w:rPr>
                      <w:rFonts w:hint="default" w:eastAsia="宋体"/>
                      <w:color w:val="auto"/>
                      <w:sz w:val="18"/>
                      <w:szCs w:val="18"/>
                      <w:lang w:val="en-US" w:eastAsia="zh-CN"/>
                    </w:rPr>
                  </w:pPr>
                  <w:r>
                    <w:rPr>
                      <w:rFonts w:hint="eastAsia"/>
                      <w:color w:val="auto"/>
                      <w:sz w:val="18"/>
                      <w:szCs w:val="18"/>
                      <w:lang w:val="en-US" w:eastAsia="zh-CN"/>
                    </w:rPr>
                    <w:t>1.5</w:t>
                  </w:r>
                </w:p>
              </w:tc>
              <w:tc>
                <w:tcPr>
                  <w:tcW w:w="824" w:type="dxa"/>
                  <w:tcBorders>
                    <w:top w:val="single" w:color="auto" w:sz="4" w:space="0"/>
                    <w:left w:val="single" w:color="auto" w:sz="4" w:space="0"/>
                    <w:bottom w:val="single" w:color="auto" w:sz="4" w:space="0"/>
                    <w:right w:val="single" w:color="auto" w:sz="4" w:space="0"/>
                  </w:tcBorders>
                  <w:vAlign w:val="center"/>
                </w:tcPr>
                <w:p w14:paraId="54192086">
                  <w:pPr>
                    <w:jc w:val="center"/>
                    <w:rPr>
                      <w:color w:val="auto"/>
                      <w:sz w:val="18"/>
                      <w:szCs w:val="18"/>
                    </w:rPr>
                  </w:pPr>
                  <w:r>
                    <w:rPr>
                      <w:rFonts w:hint="eastAsia"/>
                      <w:color w:val="auto"/>
                      <w:sz w:val="18"/>
                      <w:szCs w:val="18"/>
                    </w:rPr>
                    <w:t>/</w:t>
                  </w:r>
                </w:p>
              </w:tc>
              <w:tc>
                <w:tcPr>
                  <w:tcW w:w="887" w:type="dxa"/>
                  <w:tcBorders>
                    <w:top w:val="single" w:color="auto" w:sz="4" w:space="0"/>
                    <w:left w:val="single" w:color="auto" w:sz="4" w:space="0"/>
                    <w:bottom w:val="single" w:color="auto" w:sz="4" w:space="0"/>
                    <w:right w:val="double" w:color="auto" w:sz="4" w:space="0"/>
                  </w:tcBorders>
                  <w:vAlign w:val="center"/>
                </w:tcPr>
                <w:p w14:paraId="201A69FC">
                  <w:pPr>
                    <w:jc w:val="center"/>
                    <w:rPr>
                      <w:rFonts w:hint="default" w:eastAsia="宋体"/>
                      <w:color w:val="auto"/>
                      <w:sz w:val="18"/>
                      <w:szCs w:val="18"/>
                      <w:lang w:val="en-US" w:eastAsia="zh-CN"/>
                    </w:rPr>
                  </w:pPr>
                  <w:r>
                    <w:rPr>
                      <w:rFonts w:hint="eastAsia"/>
                      <w:color w:val="auto"/>
                      <w:sz w:val="18"/>
                      <w:szCs w:val="18"/>
                      <w:lang w:val="en-US" w:eastAsia="zh-CN"/>
                    </w:rPr>
                    <w:t>1.5</w:t>
                  </w:r>
                </w:p>
              </w:tc>
            </w:tr>
            <w:tr w14:paraId="275A57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95" w:type="dxa"/>
                  <w:vMerge w:val="continue"/>
                  <w:tcBorders>
                    <w:top w:val="single" w:color="auto" w:sz="4" w:space="0"/>
                    <w:left w:val="double" w:color="auto" w:sz="4" w:space="0"/>
                    <w:bottom w:val="single" w:color="auto" w:sz="4" w:space="0"/>
                    <w:right w:val="single" w:color="auto" w:sz="4" w:space="0"/>
                  </w:tcBorders>
                  <w:vAlign w:val="center"/>
                </w:tcPr>
                <w:p w14:paraId="7E77D186">
                  <w:pPr>
                    <w:widowControl/>
                    <w:jc w:val="left"/>
                    <w:rPr>
                      <w:color w:val="FF0000"/>
                      <w:sz w:val="18"/>
                      <w:szCs w:val="18"/>
                    </w:rPr>
                  </w:pPr>
                </w:p>
              </w:tc>
              <w:tc>
                <w:tcPr>
                  <w:tcW w:w="2163" w:type="dxa"/>
                  <w:tcBorders>
                    <w:top w:val="single" w:color="auto" w:sz="4" w:space="0"/>
                    <w:left w:val="single" w:color="auto" w:sz="4" w:space="0"/>
                    <w:bottom w:val="single" w:color="auto" w:sz="4" w:space="0"/>
                    <w:right w:val="single" w:color="auto" w:sz="4" w:space="0"/>
                  </w:tcBorders>
                  <w:vAlign w:val="center"/>
                </w:tcPr>
                <w:p w14:paraId="3AE15373">
                  <w:pPr>
                    <w:ind w:left="-126" w:leftChars="-60"/>
                    <w:jc w:val="center"/>
                    <w:rPr>
                      <w:color w:val="auto"/>
                      <w:sz w:val="18"/>
                      <w:szCs w:val="18"/>
                    </w:rPr>
                  </w:pPr>
                  <w:r>
                    <w:rPr>
                      <w:rFonts w:hint="eastAsia"/>
                      <w:color w:val="auto"/>
                      <w:sz w:val="18"/>
                      <w:szCs w:val="18"/>
                    </w:rPr>
                    <w:t>施工人员生活污水</w:t>
                  </w:r>
                </w:p>
              </w:tc>
              <w:tc>
                <w:tcPr>
                  <w:tcW w:w="2924" w:type="dxa"/>
                  <w:tcBorders>
                    <w:top w:val="single" w:color="auto" w:sz="4" w:space="0"/>
                    <w:left w:val="single" w:color="auto" w:sz="4" w:space="0"/>
                    <w:bottom w:val="single" w:color="auto" w:sz="4" w:space="0"/>
                    <w:right w:val="single" w:color="auto" w:sz="4" w:space="0"/>
                  </w:tcBorders>
                  <w:vAlign w:val="center"/>
                </w:tcPr>
                <w:p w14:paraId="09360948">
                  <w:pPr>
                    <w:jc w:val="center"/>
                    <w:rPr>
                      <w:color w:val="auto"/>
                      <w:sz w:val="18"/>
                      <w:szCs w:val="18"/>
                    </w:rPr>
                  </w:pPr>
                  <w:r>
                    <w:rPr>
                      <w:rFonts w:hint="eastAsia"/>
                      <w:color w:val="auto"/>
                      <w:sz w:val="18"/>
                      <w:szCs w:val="18"/>
                      <w:highlight w:val="none"/>
                      <w:lang w:val="en-US" w:eastAsia="zh-CN"/>
                    </w:rPr>
                    <w:t>拟建变电站处设置施工旱厕，其余施工处</w:t>
                  </w:r>
                  <w:r>
                    <w:rPr>
                      <w:rFonts w:hint="eastAsia"/>
                      <w:color w:val="auto"/>
                      <w:sz w:val="18"/>
                      <w:szCs w:val="18"/>
                      <w:highlight w:val="none"/>
                    </w:rPr>
                    <w:t>依托现有污水处理设施。</w:t>
                  </w:r>
                </w:p>
              </w:tc>
              <w:tc>
                <w:tcPr>
                  <w:tcW w:w="961" w:type="dxa"/>
                  <w:tcBorders>
                    <w:top w:val="single" w:color="auto" w:sz="4" w:space="0"/>
                    <w:left w:val="single" w:color="auto" w:sz="4" w:space="0"/>
                    <w:bottom w:val="single" w:color="auto" w:sz="4" w:space="0"/>
                    <w:right w:val="single" w:color="auto" w:sz="4" w:space="0"/>
                  </w:tcBorders>
                  <w:vAlign w:val="center"/>
                </w:tcPr>
                <w:p w14:paraId="6A075A4D">
                  <w:pPr>
                    <w:jc w:val="center"/>
                    <w:rPr>
                      <w:rFonts w:hint="default" w:eastAsia="宋体"/>
                      <w:color w:val="auto"/>
                      <w:sz w:val="18"/>
                      <w:szCs w:val="18"/>
                      <w:lang w:val="en-US" w:eastAsia="zh-CN"/>
                    </w:rPr>
                  </w:pPr>
                  <w:r>
                    <w:rPr>
                      <w:rFonts w:hint="eastAsia"/>
                      <w:color w:val="auto"/>
                      <w:sz w:val="18"/>
                      <w:szCs w:val="18"/>
                      <w:lang w:val="en-US" w:eastAsia="zh-CN"/>
                    </w:rPr>
                    <w:t>0.5</w:t>
                  </w:r>
                </w:p>
              </w:tc>
              <w:tc>
                <w:tcPr>
                  <w:tcW w:w="824" w:type="dxa"/>
                  <w:tcBorders>
                    <w:top w:val="single" w:color="auto" w:sz="4" w:space="0"/>
                    <w:left w:val="single" w:color="auto" w:sz="4" w:space="0"/>
                    <w:bottom w:val="single" w:color="auto" w:sz="4" w:space="0"/>
                    <w:right w:val="single" w:color="auto" w:sz="4" w:space="0"/>
                  </w:tcBorders>
                  <w:vAlign w:val="center"/>
                </w:tcPr>
                <w:p w14:paraId="556955F5">
                  <w:pPr>
                    <w:jc w:val="center"/>
                    <w:rPr>
                      <w:color w:val="auto"/>
                      <w:sz w:val="18"/>
                      <w:szCs w:val="18"/>
                    </w:rPr>
                  </w:pPr>
                  <w:r>
                    <w:rPr>
                      <w:rFonts w:hint="eastAsia"/>
                      <w:color w:val="auto"/>
                      <w:sz w:val="18"/>
                      <w:szCs w:val="18"/>
                    </w:rPr>
                    <w:t>依托</w:t>
                  </w:r>
                </w:p>
              </w:tc>
              <w:tc>
                <w:tcPr>
                  <w:tcW w:w="887" w:type="dxa"/>
                  <w:tcBorders>
                    <w:top w:val="single" w:color="auto" w:sz="4" w:space="0"/>
                    <w:left w:val="single" w:color="auto" w:sz="4" w:space="0"/>
                    <w:bottom w:val="single" w:color="auto" w:sz="4" w:space="0"/>
                    <w:right w:val="double" w:color="auto" w:sz="4" w:space="0"/>
                  </w:tcBorders>
                  <w:vAlign w:val="center"/>
                </w:tcPr>
                <w:p w14:paraId="78A3FBC1">
                  <w:pPr>
                    <w:jc w:val="center"/>
                    <w:rPr>
                      <w:rFonts w:hint="default" w:eastAsia="宋体"/>
                      <w:color w:val="auto"/>
                      <w:sz w:val="18"/>
                      <w:szCs w:val="18"/>
                      <w:lang w:val="en-US" w:eastAsia="zh-CN"/>
                    </w:rPr>
                  </w:pPr>
                  <w:r>
                    <w:rPr>
                      <w:rFonts w:hint="eastAsia"/>
                      <w:color w:val="auto"/>
                      <w:sz w:val="18"/>
                      <w:szCs w:val="18"/>
                      <w:lang w:val="en-US" w:eastAsia="zh-CN"/>
                    </w:rPr>
                    <w:t>0.5</w:t>
                  </w:r>
                </w:p>
              </w:tc>
            </w:tr>
            <w:tr w14:paraId="700735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tcBorders>
                    <w:top w:val="single" w:color="auto" w:sz="4" w:space="0"/>
                    <w:left w:val="double" w:color="auto" w:sz="4" w:space="0"/>
                    <w:bottom w:val="single" w:color="auto" w:sz="4" w:space="0"/>
                    <w:right w:val="single" w:color="auto" w:sz="4" w:space="0"/>
                  </w:tcBorders>
                  <w:vAlign w:val="center"/>
                </w:tcPr>
                <w:p w14:paraId="4894806E">
                  <w:pPr>
                    <w:ind w:left="-126" w:leftChars="-60"/>
                    <w:jc w:val="center"/>
                    <w:rPr>
                      <w:color w:val="auto"/>
                      <w:sz w:val="18"/>
                      <w:szCs w:val="18"/>
                    </w:rPr>
                  </w:pPr>
                  <w:r>
                    <w:rPr>
                      <w:rFonts w:hint="eastAsia"/>
                      <w:color w:val="auto"/>
                      <w:sz w:val="18"/>
                      <w:szCs w:val="18"/>
                    </w:rPr>
                    <w:t>生活污水处理设施（化粪池）</w:t>
                  </w:r>
                </w:p>
              </w:tc>
              <w:tc>
                <w:tcPr>
                  <w:tcW w:w="2924" w:type="dxa"/>
                  <w:tcBorders>
                    <w:top w:val="single" w:color="auto" w:sz="4" w:space="0"/>
                    <w:left w:val="single" w:color="auto" w:sz="4" w:space="0"/>
                    <w:bottom w:val="single" w:color="auto" w:sz="4" w:space="0"/>
                    <w:right w:val="single" w:color="auto" w:sz="4" w:space="0"/>
                  </w:tcBorders>
                  <w:vAlign w:val="center"/>
                </w:tcPr>
                <w:p w14:paraId="11432470">
                  <w:pPr>
                    <w:jc w:val="center"/>
                    <w:rPr>
                      <w:color w:val="auto"/>
                      <w:sz w:val="18"/>
                      <w:szCs w:val="18"/>
                    </w:rPr>
                  </w:pPr>
                  <w:r>
                    <w:rPr>
                      <w:rFonts w:hint="eastAsia"/>
                      <w:color w:val="auto"/>
                      <w:sz w:val="18"/>
                      <w:szCs w:val="18"/>
                    </w:rPr>
                    <w:t>容积为</w:t>
                  </w:r>
                  <w:r>
                    <w:rPr>
                      <w:color w:val="auto"/>
                      <w:sz w:val="18"/>
                      <w:szCs w:val="18"/>
                    </w:rPr>
                    <w:t>2m</w:t>
                  </w:r>
                  <w:r>
                    <w:rPr>
                      <w:color w:val="auto"/>
                      <w:sz w:val="18"/>
                      <w:szCs w:val="18"/>
                      <w:vertAlign w:val="superscript"/>
                    </w:rPr>
                    <w:t>3</w:t>
                  </w:r>
                </w:p>
              </w:tc>
              <w:tc>
                <w:tcPr>
                  <w:tcW w:w="961" w:type="dxa"/>
                  <w:tcBorders>
                    <w:top w:val="single" w:color="auto" w:sz="4" w:space="0"/>
                    <w:left w:val="single" w:color="auto" w:sz="4" w:space="0"/>
                    <w:bottom w:val="single" w:color="auto" w:sz="4" w:space="0"/>
                    <w:right w:val="single" w:color="auto" w:sz="4" w:space="0"/>
                  </w:tcBorders>
                  <w:vAlign w:val="center"/>
                </w:tcPr>
                <w:p w14:paraId="58FCAF6F">
                  <w:pPr>
                    <w:jc w:val="center"/>
                    <w:rPr>
                      <w:color w:val="auto"/>
                      <w:sz w:val="18"/>
                      <w:szCs w:val="18"/>
                    </w:rPr>
                  </w:pPr>
                  <w:r>
                    <w:rPr>
                      <w:rFonts w:hint="eastAsia"/>
                      <w:color w:val="auto"/>
                      <w:sz w:val="18"/>
                      <w:szCs w:val="18"/>
                      <w:lang w:val="en-US" w:eastAsia="zh-CN"/>
                    </w:rPr>
                    <w:t>2</w:t>
                  </w:r>
                  <w:r>
                    <w:rPr>
                      <w:rFonts w:hint="eastAsia"/>
                      <w:color w:val="auto"/>
                      <w:sz w:val="18"/>
                      <w:szCs w:val="18"/>
                    </w:rPr>
                    <w:t>.0</w:t>
                  </w:r>
                </w:p>
              </w:tc>
              <w:tc>
                <w:tcPr>
                  <w:tcW w:w="824" w:type="dxa"/>
                  <w:tcBorders>
                    <w:top w:val="single" w:color="auto" w:sz="4" w:space="0"/>
                    <w:left w:val="single" w:color="auto" w:sz="4" w:space="0"/>
                    <w:bottom w:val="single" w:color="auto" w:sz="4" w:space="0"/>
                    <w:right w:val="single" w:color="auto" w:sz="4" w:space="0"/>
                  </w:tcBorders>
                  <w:vAlign w:val="center"/>
                </w:tcPr>
                <w:p w14:paraId="590B2387">
                  <w:pPr>
                    <w:jc w:val="center"/>
                    <w:rPr>
                      <w:color w:val="auto"/>
                      <w:sz w:val="18"/>
                      <w:szCs w:val="18"/>
                    </w:rPr>
                  </w:pPr>
                  <w:r>
                    <w:rPr>
                      <w:rFonts w:hint="eastAsia"/>
                      <w:color w:val="auto"/>
                      <w:sz w:val="18"/>
                      <w:szCs w:val="18"/>
                    </w:rPr>
                    <w:t>/</w:t>
                  </w:r>
                </w:p>
              </w:tc>
              <w:tc>
                <w:tcPr>
                  <w:tcW w:w="887" w:type="dxa"/>
                  <w:tcBorders>
                    <w:top w:val="single" w:color="auto" w:sz="4" w:space="0"/>
                    <w:left w:val="single" w:color="auto" w:sz="4" w:space="0"/>
                    <w:bottom w:val="single" w:color="auto" w:sz="4" w:space="0"/>
                    <w:right w:val="double" w:color="auto" w:sz="4" w:space="0"/>
                  </w:tcBorders>
                  <w:vAlign w:val="center"/>
                </w:tcPr>
                <w:p w14:paraId="0FB72E42">
                  <w:pPr>
                    <w:jc w:val="center"/>
                    <w:rPr>
                      <w:color w:val="auto"/>
                      <w:sz w:val="18"/>
                      <w:szCs w:val="18"/>
                    </w:rPr>
                  </w:pPr>
                  <w:r>
                    <w:rPr>
                      <w:rFonts w:hint="eastAsia"/>
                      <w:color w:val="auto"/>
                      <w:sz w:val="18"/>
                      <w:szCs w:val="18"/>
                      <w:lang w:val="en-US" w:eastAsia="zh-CN"/>
                    </w:rPr>
                    <w:t>2</w:t>
                  </w:r>
                  <w:r>
                    <w:rPr>
                      <w:rFonts w:hint="eastAsia"/>
                      <w:color w:val="auto"/>
                      <w:sz w:val="18"/>
                      <w:szCs w:val="18"/>
                    </w:rPr>
                    <w:t>.0</w:t>
                  </w:r>
                </w:p>
              </w:tc>
            </w:tr>
            <w:tr w14:paraId="5A1486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tcBorders>
                    <w:top w:val="single" w:color="auto" w:sz="4" w:space="0"/>
                    <w:left w:val="double" w:color="auto" w:sz="4" w:space="0"/>
                    <w:right w:val="single" w:color="auto" w:sz="4" w:space="0"/>
                  </w:tcBorders>
                  <w:vAlign w:val="center"/>
                </w:tcPr>
                <w:p w14:paraId="6948DE5C">
                  <w:pPr>
                    <w:ind w:left="-126" w:leftChars="-60"/>
                    <w:jc w:val="center"/>
                    <w:rPr>
                      <w:color w:val="auto"/>
                      <w:sz w:val="18"/>
                      <w:szCs w:val="18"/>
                    </w:rPr>
                  </w:pPr>
                  <w:r>
                    <w:rPr>
                      <w:rFonts w:hint="eastAsia"/>
                      <w:color w:val="auto"/>
                      <w:sz w:val="18"/>
                      <w:szCs w:val="18"/>
                    </w:rPr>
                    <w:t>事故油池及配套设施</w:t>
                  </w:r>
                </w:p>
              </w:tc>
              <w:tc>
                <w:tcPr>
                  <w:tcW w:w="2924" w:type="dxa"/>
                  <w:tcBorders>
                    <w:top w:val="single" w:color="auto" w:sz="4" w:space="0"/>
                    <w:left w:val="single" w:color="auto" w:sz="4" w:space="0"/>
                    <w:bottom w:val="single" w:color="auto" w:sz="4" w:space="0"/>
                    <w:right w:val="single" w:color="auto" w:sz="4" w:space="0"/>
                  </w:tcBorders>
                  <w:vAlign w:val="center"/>
                </w:tcPr>
                <w:p w14:paraId="2D1EAFF9">
                  <w:pPr>
                    <w:ind w:left="-107" w:leftChars="-51" w:right="-107" w:rightChars="-51"/>
                    <w:jc w:val="center"/>
                    <w:rPr>
                      <w:color w:val="auto"/>
                      <w:sz w:val="18"/>
                      <w:szCs w:val="18"/>
                    </w:rPr>
                  </w:pPr>
                  <w:r>
                    <w:rPr>
                      <w:rFonts w:hint="eastAsia"/>
                      <w:color w:val="auto"/>
                      <w:sz w:val="18"/>
                      <w:szCs w:val="18"/>
                    </w:rPr>
                    <w:t>事故油池</w:t>
                  </w:r>
                  <w:r>
                    <w:rPr>
                      <w:rFonts w:hint="eastAsia"/>
                      <w:color w:val="auto"/>
                      <w:sz w:val="18"/>
                      <w:szCs w:val="18"/>
                      <w:lang w:val="en-US" w:eastAsia="zh-CN"/>
                    </w:rPr>
                    <w:t>有效</w:t>
                  </w:r>
                  <w:r>
                    <w:rPr>
                      <w:rFonts w:hint="eastAsia"/>
                      <w:color w:val="auto"/>
                      <w:sz w:val="18"/>
                      <w:szCs w:val="18"/>
                    </w:rPr>
                    <w:t>容积为30</w:t>
                  </w:r>
                  <w:r>
                    <w:rPr>
                      <w:color w:val="auto"/>
                      <w:sz w:val="18"/>
                      <w:szCs w:val="18"/>
                    </w:rPr>
                    <w:t>m</w:t>
                  </w:r>
                  <w:r>
                    <w:rPr>
                      <w:color w:val="auto"/>
                      <w:sz w:val="18"/>
                      <w:szCs w:val="18"/>
                      <w:vertAlign w:val="superscript"/>
                    </w:rPr>
                    <w:t>3</w:t>
                  </w:r>
                </w:p>
              </w:tc>
              <w:tc>
                <w:tcPr>
                  <w:tcW w:w="961" w:type="dxa"/>
                  <w:tcBorders>
                    <w:top w:val="single" w:color="auto" w:sz="4" w:space="0"/>
                    <w:left w:val="single" w:color="auto" w:sz="4" w:space="0"/>
                    <w:bottom w:val="single" w:color="auto" w:sz="4" w:space="0"/>
                    <w:right w:val="single" w:color="auto" w:sz="4" w:space="0"/>
                  </w:tcBorders>
                  <w:vAlign w:val="center"/>
                </w:tcPr>
                <w:p w14:paraId="4C505815">
                  <w:pPr>
                    <w:jc w:val="center"/>
                    <w:rPr>
                      <w:rFonts w:hint="eastAsia" w:eastAsia="宋体"/>
                      <w:color w:val="auto"/>
                      <w:sz w:val="18"/>
                      <w:szCs w:val="18"/>
                      <w:lang w:eastAsia="zh-CN"/>
                    </w:rPr>
                  </w:pPr>
                  <w:r>
                    <w:rPr>
                      <w:rFonts w:hint="eastAsia"/>
                      <w:color w:val="auto"/>
                      <w:sz w:val="18"/>
                      <w:szCs w:val="18"/>
                    </w:rPr>
                    <w:t>2</w:t>
                  </w:r>
                  <w:r>
                    <w:rPr>
                      <w:rFonts w:hint="eastAsia"/>
                      <w:color w:val="auto"/>
                      <w:sz w:val="18"/>
                      <w:szCs w:val="18"/>
                      <w:lang w:val="en-US" w:eastAsia="zh-CN"/>
                    </w:rPr>
                    <w:t>5</w:t>
                  </w:r>
                </w:p>
              </w:tc>
              <w:tc>
                <w:tcPr>
                  <w:tcW w:w="824" w:type="dxa"/>
                  <w:tcBorders>
                    <w:top w:val="single" w:color="auto" w:sz="4" w:space="0"/>
                    <w:left w:val="single" w:color="auto" w:sz="4" w:space="0"/>
                    <w:bottom w:val="single" w:color="auto" w:sz="4" w:space="0"/>
                    <w:right w:val="single" w:color="auto" w:sz="4" w:space="0"/>
                  </w:tcBorders>
                  <w:vAlign w:val="center"/>
                </w:tcPr>
                <w:p w14:paraId="252DF81A">
                  <w:pPr>
                    <w:jc w:val="center"/>
                    <w:rPr>
                      <w:color w:val="auto"/>
                      <w:sz w:val="18"/>
                      <w:szCs w:val="18"/>
                    </w:rPr>
                  </w:pPr>
                  <w:r>
                    <w:rPr>
                      <w:rFonts w:hint="eastAsia"/>
                      <w:color w:val="auto"/>
                      <w:sz w:val="18"/>
                      <w:szCs w:val="18"/>
                    </w:rPr>
                    <w:t>/</w:t>
                  </w:r>
                </w:p>
              </w:tc>
              <w:tc>
                <w:tcPr>
                  <w:tcW w:w="887" w:type="dxa"/>
                  <w:tcBorders>
                    <w:top w:val="single" w:color="auto" w:sz="4" w:space="0"/>
                    <w:left w:val="single" w:color="auto" w:sz="4" w:space="0"/>
                    <w:bottom w:val="single" w:color="auto" w:sz="4" w:space="0"/>
                    <w:right w:val="double" w:color="auto" w:sz="4" w:space="0"/>
                  </w:tcBorders>
                  <w:vAlign w:val="center"/>
                </w:tcPr>
                <w:p w14:paraId="4397FBAD">
                  <w:pPr>
                    <w:jc w:val="center"/>
                    <w:rPr>
                      <w:rFonts w:hint="eastAsia" w:eastAsia="宋体"/>
                      <w:color w:val="auto"/>
                      <w:sz w:val="18"/>
                      <w:szCs w:val="18"/>
                      <w:lang w:eastAsia="zh-CN"/>
                    </w:rPr>
                  </w:pPr>
                  <w:r>
                    <w:rPr>
                      <w:rFonts w:hint="eastAsia"/>
                      <w:color w:val="auto"/>
                      <w:sz w:val="18"/>
                      <w:szCs w:val="18"/>
                    </w:rPr>
                    <w:t>2</w:t>
                  </w:r>
                  <w:r>
                    <w:rPr>
                      <w:rFonts w:hint="eastAsia"/>
                      <w:color w:val="auto"/>
                      <w:sz w:val="18"/>
                      <w:szCs w:val="18"/>
                      <w:lang w:val="en-US" w:eastAsia="zh-CN"/>
                    </w:rPr>
                    <w:t>5</w:t>
                  </w:r>
                </w:p>
              </w:tc>
            </w:tr>
            <w:tr w14:paraId="56B19C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tcBorders>
                    <w:top w:val="single" w:color="auto" w:sz="4" w:space="0"/>
                    <w:left w:val="double" w:color="auto" w:sz="4" w:space="0"/>
                    <w:bottom w:val="single" w:color="auto" w:sz="4" w:space="0"/>
                    <w:right w:val="single" w:color="auto" w:sz="4" w:space="0"/>
                  </w:tcBorders>
                  <w:vAlign w:val="center"/>
                </w:tcPr>
                <w:p w14:paraId="081C8EE4">
                  <w:pPr>
                    <w:ind w:left="-126" w:leftChars="-60"/>
                    <w:jc w:val="center"/>
                    <w:rPr>
                      <w:color w:val="auto"/>
                      <w:sz w:val="18"/>
                      <w:szCs w:val="18"/>
                    </w:rPr>
                  </w:pPr>
                  <w:r>
                    <w:rPr>
                      <w:rFonts w:hint="eastAsia"/>
                      <w:color w:val="auto"/>
                      <w:sz w:val="18"/>
                      <w:szCs w:val="18"/>
                    </w:rPr>
                    <w:t>变电站噪声治理</w:t>
                  </w:r>
                </w:p>
              </w:tc>
              <w:tc>
                <w:tcPr>
                  <w:tcW w:w="2924" w:type="dxa"/>
                  <w:tcBorders>
                    <w:top w:val="single" w:color="auto" w:sz="4" w:space="0"/>
                    <w:left w:val="single" w:color="auto" w:sz="4" w:space="0"/>
                    <w:bottom w:val="single" w:color="auto" w:sz="4" w:space="0"/>
                    <w:right w:val="single" w:color="auto" w:sz="4" w:space="0"/>
                  </w:tcBorders>
                  <w:vAlign w:val="center"/>
                </w:tcPr>
                <w:p w14:paraId="0E1F92E9">
                  <w:pPr>
                    <w:ind w:left="-107" w:leftChars="-51" w:right="-107" w:rightChars="-51"/>
                    <w:jc w:val="center"/>
                    <w:rPr>
                      <w:color w:val="auto"/>
                      <w:sz w:val="18"/>
                      <w:szCs w:val="18"/>
                    </w:rPr>
                  </w:pPr>
                  <w:r>
                    <w:rPr>
                      <w:rFonts w:hint="eastAsia"/>
                      <w:color w:val="auto"/>
                      <w:sz w:val="18"/>
                      <w:szCs w:val="18"/>
                    </w:rPr>
                    <w:t>选用低噪声设备等</w:t>
                  </w:r>
                </w:p>
              </w:tc>
              <w:tc>
                <w:tcPr>
                  <w:tcW w:w="961" w:type="dxa"/>
                  <w:tcBorders>
                    <w:top w:val="single" w:color="auto" w:sz="4" w:space="0"/>
                    <w:left w:val="single" w:color="auto" w:sz="4" w:space="0"/>
                    <w:bottom w:val="single" w:color="auto" w:sz="4" w:space="0"/>
                    <w:right w:val="single" w:color="auto" w:sz="4" w:space="0"/>
                  </w:tcBorders>
                  <w:vAlign w:val="center"/>
                </w:tcPr>
                <w:p w14:paraId="600FFA49">
                  <w:pPr>
                    <w:jc w:val="center"/>
                    <w:rPr>
                      <w:color w:val="auto"/>
                      <w:sz w:val="18"/>
                      <w:szCs w:val="18"/>
                    </w:rPr>
                  </w:pPr>
                  <w:r>
                    <w:rPr>
                      <w:rFonts w:hint="eastAsia"/>
                      <w:color w:val="auto"/>
                      <w:sz w:val="18"/>
                      <w:szCs w:val="18"/>
                    </w:rPr>
                    <w:t>计入主体工程</w:t>
                  </w:r>
                </w:p>
              </w:tc>
              <w:tc>
                <w:tcPr>
                  <w:tcW w:w="824" w:type="dxa"/>
                  <w:tcBorders>
                    <w:top w:val="single" w:color="auto" w:sz="4" w:space="0"/>
                    <w:left w:val="single" w:color="auto" w:sz="4" w:space="0"/>
                    <w:bottom w:val="single" w:color="auto" w:sz="4" w:space="0"/>
                    <w:right w:val="single" w:color="auto" w:sz="4" w:space="0"/>
                  </w:tcBorders>
                  <w:vAlign w:val="center"/>
                </w:tcPr>
                <w:p w14:paraId="7ED74C2C">
                  <w:pPr>
                    <w:jc w:val="center"/>
                    <w:rPr>
                      <w:color w:val="auto"/>
                      <w:sz w:val="18"/>
                      <w:szCs w:val="18"/>
                    </w:rPr>
                  </w:pPr>
                  <w:r>
                    <w:rPr>
                      <w:color w:val="auto"/>
                      <w:sz w:val="18"/>
                      <w:szCs w:val="18"/>
                    </w:rPr>
                    <w:t>/</w:t>
                  </w:r>
                </w:p>
              </w:tc>
              <w:tc>
                <w:tcPr>
                  <w:tcW w:w="887" w:type="dxa"/>
                  <w:tcBorders>
                    <w:top w:val="single" w:color="auto" w:sz="4" w:space="0"/>
                    <w:left w:val="single" w:color="auto" w:sz="4" w:space="0"/>
                    <w:bottom w:val="single" w:color="auto" w:sz="4" w:space="0"/>
                    <w:right w:val="double" w:color="auto" w:sz="4" w:space="0"/>
                  </w:tcBorders>
                  <w:vAlign w:val="center"/>
                </w:tcPr>
                <w:p w14:paraId="23C1BB29">
                  <w:pPr>
                    <w:ind w:left="-63" w:leftChars="-30"/>
                    <w:jc w:val="center"/>
                    <w:rPr>
                      <w:color w:val="auto"/>
                      <w:sz w:val="18"/>
                      <w:szCs w:val="18"/>
                    </w:rPr>
                  </w:pPr>
                  <w:r>
                    <w:rPr>
                      <w:rFonts w:hint="eastAsia"/>
                      <w:color w:val="auto"/>
                      <w:sz w:val="18"/>
                      <w:szCs w:val="18"/>
                    </w:rPr>
                    <w:t>计入主体工程</w:t>
                  </w:r>
                </w:p>
              </w:tc>
            </w:tr>
            <w:tr w14:paraId="5E03C8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tcBorders>
                    <w:top w:val="single" w:color="auto" w:sz="4" w:space="0"/>
                    <w:left w:val="double" w:color="auto" w:sz="4" w:space="0"/>
                    <w:bottom w:val="single" w:color="auto" w:sz="4" w:space="0"/>
                    <w:right w:val="single" w:color="auto" w:sz="4" w:space="0"/>
                  </w:tcBorders>
                  <w:vAlign w:val="center"/>
                </w:tcPr>
                <w:p w14:paraId="686B50B2">
                  <w:pPr>
                    <w:ind w:left="-126" w:leftChars="-60"/>
                    <w:jc w:val="center"/>
                    <w:rPr>
                      <w:color w:val="auto"/>
                      <w:sz w:val="18"/>
                      <w:szCs w:val="18"/>
                    </w:rPr>
                  </w:pPr>
                  <w:r>
                    <w:rPr>
                      <w:rFonts w:hint="eastAsia"/>
                      <w:color w:val="auto"/>
                      <w:sz w:val="18"/>
                      <w:szCs w:val="18"/>
                    </w:rPr>
                    <w:t>废铅蓄电池处理费</w:t>
                  </w:r>
                </w:p>
              </w:tc>
              <w:tc>
                <w:tcPr>
                  <w:tcW w:w="2924" w:type="dxa"/>
                  <w:tcBorders>
                    <w:top w:val="single" w:color="auto" w:sz="4" w:space="0"/>
                    <w:left w:val="single" w:color="auto" w:sz="4" w:space="0"/>
                    <w:bottom w:val="single" w:color="auto" w:sz="4" w:space="0"/>
                    <w:right w:val="single" w:color="auto" w:sz="4" w:space="0"/>
                  </w:tcBorders>
                  <w:vAlign w:val="center"/>
                </w:tcPr>
                <w:p w14:paraId="699C2690">
                  <w:pPr>
                    <w:ind w:left="-107" w:leftChars="-51" w:right="-107" w:rightChars="-51"/>
                    <w:jc w:val="center"/>
                    <w:rPr>
                      <w:color w:val="auto"/>
                      <w:sz w:val="18"/>
                      <w:szCs w:val="18"/>
                    </w:rPr>
                  </w:pPr>
                  <w:r>
                    <w:rPr>
                      <w:rFonts w:hint="eastAsia"/>
                      <w:color w:val="auto"/>
                      <w:sz w:val="18"/>
                      <w:szCs w:val="18"/>
                      <w:lang w:val="en-US" w:eastAsia="zh-CN"/>
                    </w:rPr>
                    <w:t>约</w:t>
                  </w:r>
                  <w:r>
                    <w:rPr>
                      <w:rFonts w:hint="eastAsia"/>
                      <w:color w:val="auto"/>
                      <w:sz w:val="18"/>
                      <w:szCs w:val="18"/>
                    </w:rPr>
                    <w:t>104只</w:t>
                  </w:r>
                </w:p>
              </w:tc>
              <w:tc>
                <w:tcPr>
                  <w:tcW w:w="961" w:type="dxa"/>
                  <w:tcBorders>
                    <w:top w:val="single" w:color="auto" w:sz="4" w:space="0"/>
                    <w:left w:val="single" w:color="auto" w:sz="4" w:space="0"/>
                    <w:bottom w:val="single" w:color="auto" w:sz="4" w:space="0"/>
                    <w:right w:val="single" w:color="auto" w:sz="4" w:space="0"/>
                  </w:tcBorders>
                  <w:vAlign w:val="center"/>
                </w:tcPr>
                <w:p w14:paraId="569628E4">
                  <w:pPr>
                    <w:jc w:val="center"/>
                    <w:rPr>
                      <w:color w:val="auto"/>
                      <w:sz w:val="18"/>
                      <w:szCs w:val="18"/>
                    </w:rPr>
                  </w:pPr>
                  <w:r>
                    <w:rPr>
                      <w:rFonts w:hint="eastAsia"/>
                      <w:color w:val="auto"/>
                      <w:sz w:val="18"/>
                      <w:szCs w:val="18"/>
                      <w:lang w:val="en-US" w:eastAsia="zh-CN"/>
                    </w:rPr>
                    <w:t>纳入工程运行费用</w:t>
                  </w:r>
                </w:p>
              </w:tc>
              <w:tc>
                <w:tcPr>
                  <w:tcW w:w="824" w:type="dxa"/>
                  <w:tcBorders>
                    <w:top w:val="single" w:color="auto" w:sz="4" w:space="0"/>
                    <w:left w:val="single" w:color="auto" w:sz="4" w:space="0"/>
                    <w:bottom w:val="single" w:color="auto" w:sz="4" w:space="0"/>
                    <w:right w:val="single" w:color="auto" w:sz="4" w:space="0"/>
                  </w:tcBorders>
                  <w:vAlign w:val="center"/>
                </w:tcPr>
                <w:p w14:paraId="3737F007">
                  <w:pPr>
                    <w:jc w:val="center"/>
                    <w:rPr>
                      <w:color w:val="auto"/>
                      <w:sz w:val="18"/>
                      <w:szCs w:val="18"/>
                    </w:rPr>
                  </w:pPr>
                  <w:r>
                    <w:rPr>
                      <w:rFonts w:hint="eastAsia"/>
                      <w:color w:val="auto"/>
                      <w:sz w:val="18"/>
                      <w:szCs w:val="18"/>
                    </w:rPr>
                    <w:t>/</w:t>
                  </w:r>
                </w:p>
              </w:tc>
              <w:tc>
                <w:tcPr>
                  <w:tcW w:w="887" w:type="dxa"/>
                  <w:tcBorders>
                    <w:top w:val="single" w:color="auto" w:sz="4" w:space="0"/>
                    <w:left w:val="single" w:color="auto" w:sz="4" w:space="0"/>
                    <w:bottom w:val="single" w:color="auto" w:sz="4" w:space="0"/>
                    <w:right w:val="double" w:color="auto" w:sz="4" w:space="0"/>
                  </w:tcBorders>
                  <w:vAlign w:val="center"/>
                </w:tcPr>
                <w:p w14:paraId="7989B169">
                  <w:pPr>
                    <w:ind w:left="-63" w:leftChars="-30"/>
                    <w:jc w:val="center"/>
                    <w:rPr>
                      <w:color w:val="auto"/>
                      <w:sz w:val="18"/>
                      <w:szCs w:val="18"/>
                    </w:rPr>
                  </w:pPr>
                  <w:r>
                    <w:rPr>
                      <w:rFonts w:hint="eastAsia"/>
                      <w:color w:val="auto"/>
                      <w:sz w:val="18"/>
                      <w:szCs w:val="18"/>
                      <w:lang w:val="en-US" w:eastAsia="zh-CN"/>
                    </w:rPr>
                    <w:t>纳入工程运行费用</w:t>
                  </w:r>
                </w:p>
              </w:tc>
            </w:tr>
            <w:tr w14:paraId="6D799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tcBorders>
                    <w:top w:val="single" w:color="auto" w:sz="4" w:space="0"/>
                    <w:left w:val="double" w:color="auto" w:sz="4" w:space="0"/>
                    <w:bottom w:val="single" w:color="auto" w:sz="4" w:space="0"/>
                    <w:right w:val="single" w:color="auto" w:sz="4" w:space="0"/>
                  </w:tcBorders>
                  <w:vAlign w:val="center"/>
                </w:tcPr>
                <w:p w14:paraId="3544A087">
                  <w:pPr>
                    <w:ind w:left="-126" w:leftChars="-60"/>
                    <w:jc w:val="center"/>
                    <w:rPr>
                      <w:color w:val="auto"/>
                      <w:sz w:val="18"/>
                      <w:szCs w:val="18"/>
                    </w:rPr>
                  </w:pPr>
                  <w:r>
                    <w:rPr>
                      <w:rFonts w:hint="eastAsia"/>
                      <w:color w:val="auto"/>
                      <w:sz w:val="18"/>
                      <w:szCs w:val="18"/>
                    </w:rPr>
                    <w:t>生态保护：植被恢复、水土保持等</w:t>
                  </w:r>
                </w:p>
              </w:tc>
              <w:tc>
                <w:tcPr>
                  <w:tcW w:w="2924" w:type="dxa"/>
                  <w:tcBorders>
                    <w:top w:val="single" w:color="auto" w:sz="4" w:space="0"/>
                    <w:left w:val="single" w:color="auto" w:sz="4" w:space="0"/>
                    <w:bottom w:val="single" w:color="auto" w:sz="4" w:space="0"/>
                    <w:right w:val="single" w:color="auto" w:sz="4" w:space="0"/>
                  </w:tcBorders>
                  <w:vAlign w:val="center"/>
                </w:tcPr>
                <w:p w14:paraId="5342AEEA">
                  <w:pPr>
                    <w:ind w:left="-107" w:leftChars="-51" w:right="-107" w:rightChars="-51"/>
                    <w:jc w:val="center"/>
                    <w:rPr>
                      <w:color w:val="auto"/>
                      <w:sz w:val="18"/>
                      <w:szCs w:val="18"/>
                    </w:rPr>
                  </w:pPr>
                  <w:r>
                    <w:rPr>
                      <w:color w:val="auto"/>
                      <w:sz w:val="18"/>
                      <w:szCs w:val="18"/>
                    </w:rPr>
                    <w:t>/</w:t>
                  </w:r>
                </w:p>
              </w:tc>
              <w:tc>
                <w:tcPr>
                  <w:tcW w:w="961" w:type="dxa"/>
                  <w:tcBorders>
                    <w:top w:val="single" w:color="auto" w:sz="4" w:space="0"/>
                    <w:left w:val="single" w:color="auto" w:sz="4" w:space="0"/>
                    <w:bottom w:val="single" w:color="auto" w:sz="4" w:space="0"/>
                    <w:right w:val="single" w:color="auto" w:sz="4" w:space="0"/>
                  </w:tcBorders>
                  <w:vAlign w:val="center"/>
                </w:tcPr>
                <w:p w14:paraId="3133617B">
                  <w:pPr>
                    <w:jc w:val="center"/>
                    <w:rPr>
                      <w:rFonts w:hint="default" w:eastAsia="宋体"/>
                      <w:color w:val="auto"/>
                      <w:sz w:val="18"/>
                      <w:szCs w:val="18"/>
                      <w:lang w:val="en-US" w:eastAsia="zh-CN"/>
                    </w:rPr>
                  </w:pPr>
                  <w:r>
                    <w:rPr>
                      <w:rFonts w:hint="eastAsia"/>
                      <w:color w:val="auto"/>
                      <w:sz w:val="18"/>
                      <w:szCs w:val="18"/>
                      <w:lang w:val="en-US" w:eastAsia="zh-CN"/>
                    </w:rPr>
                    <w:t>48</w:t>
                  </w:r>
                </w:p>
              </w:tc>
              <w:tc>
                <w:tcPr>
                  <w:tcW w:w="824" w:type="dxa"/>
                  <w:tcBorders>
                    <w:top w:val="single" w:color="auto" w:sz="4" w:space="0"/>
                    <w:left w:val="single" w:color="auto" w:sz="4" w:space="0"/>
                    <w:bottom w:val="single" w:color="auto" w:sz="4" w:space="0"/>
                    <w:right w:val="single" w:color="auto" w:sz="4" w:space="0"/>
                  </w:tcBorders>
                  <w:vAlign w:val="center"/>
                </w:tcPr>
                <w:p w14:paraId="50F645D6">
                  <w:pPr>
                    <w:jc w:val="center"/>
                    <w:rPr>
                      <w:rFonts w:hint="default" w:eastAsia="宋体"/>
                      <w:color w:val="auto"/>
                      <w:sz w:val="18"/>
                      <w:szCs w:val="18"/>
                      <w:lang w:val="en-US" w:eastAsia="zh-CN"/>
                    </w:rPr>
                  </w:pPr>
                  <w:r>
                    <w:rPr>
                      <w:rFonts w:hint="eastAsia"/>
                      <w:color w:val="auto"/>
                      <w:sz w:val="18"/>
                      <w:szCs w:val="18"/>
                      <w:lang w:val="en-US" w:eastAsia="zh-CN"/>
                    </w:rPr>
                    <w:t>87</w:t>
                  </w:r>
                </w:p>
              </w:tc>
              <w:tc>
                <w:tcPr>
                  <w:tcW w:w="887" w:type="dxa"/>
                  <w:tcBorders>
                    <w:top w:val="single" w:color="auto" w:sz="4" w:space="0"/>
                    <w:left w:val="single" w:color="auto" w:sz="4" w:space="0"/>
                    <w:bottom w:val="single" w:color="auto" w:sz="4" w:space="0"/>
                    <w:right w:val="double" w:color="auto" w:sz="4" w:space="0"/>
                  </w:tcBorders>
                  <w:vAlign w:val="center"/>
                </w:tcPr>
                <w:p w14:paraId="255B39DE">
                  <w:pPr>
                    <w:ind w:left="-63" w:leftChars="-30"/>
                    <w:jc w:val="center"/>
                    <w:rPr>
                      <w:rFonts w:hint="default" w:eastAsia="宋体"/>
                      <w:color w:val="auto"/>
                      <w:sz w:val="18"/>
                      <w:szCs w:val="18"/>
                      <w:lang w:val="en-US" w:eastAsia="zh-CN"/>
                    </w:rPr>
                  </w:pPr>
                  <w:r>
                    <w:rPr>
                      <w:rFonts w:hint="eastAsia"/>
                      <w:color w:val="auto"/>
                      <w:sz w:val="18"/>
                      <w:szCs w:val="18"/>
                      <w:lang w:val="en-US" w:eastAsia="zh-CN"/>
                    </w:rPr>
                    <w:t>135</w:t>
                  </w:r>
                </w:p>
              </w:tc>
            </w:tr>
            <w:tr w14:paraId="46647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8" w:type="dxa"/>
                  <w:gridSpan w:val="2"/>
                  <w:tcBorders>
                    <w:top w:val="single" w:color="auto" w:sz="4" w:space="0"/>
                    <w:left w:val="double" w:color="auto" w:sz="4" w:space="0"/>
                    <w:bottom w:val="single" w:color="auto" w:sz="4" w:space="0"/>
                    <w:right w:val="single" w:color="auto" w:sz="4" w:space="0"/>
                  </w:tcBorders>
                  <w:vAlign w:val="center"/>
                </w:tcPr>
                <w:p w14:paraId="251C9750">
                  <w:pPr>
                    <w:ind w:left="-126" w:leftChars="-60"/>
                    <w:jc w:val="center"/>
                    <w:rPr>
                      <w:rFonts w:hint="default"/>
                      <w:color w:val="auto"/>
                      <w:sz w:val="18"/>
                      <w:szCs w:val="18"/>
                      <w:lang w:val="en-US" w:eastAsia="zh-CN"/>
                    </w:rPr>
                  </w:pPr>
                  <w:r>
                    <w:rPr>
                      <w:rFonts w:hint="eastAsia"/>
                      <w:color w:val="auto"/>
                      <w:sz w:val="18"/>
                      <w:szCs w:val="18"/>
                      <w:lang w:val="en-US" w:eastAsia="zh-CN"/>
                    </w:rPr>
                    <w:t>分区防渗</w:t>
                  </w:r>
                </w:p>
              </w:tc>
              <w:tc>
                <w:tcPr>
                  <w:tcW w:w="2924" w:type="dxa"/>
                  <w:tcBorders>
                    <w:top w:val="single" w:color="auto" w:sz="4" w:space="0"/>
                    <w:left w:val="single" w:color="auto" w:sz="4" w:space="0"/>
                    <w:bottom w:val="single" w:color="auto" w:sz="4" w:space="0"/>
                    <w:right w:val="single" w:color="auto" w:sz="4" w:space="0"/>
                  </w:tcBorders>
                  <w:vAlign w:val="center"/>
                </w:tcPr>
                <w:p w14:paraId="06EE6907">
                  <w:pPr>
                    <w:ind w:left="-126" w:leftChars="-60"/>
                    <w:jc w:val="left"/>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重点防渗区：事故油池、排油管及下方区域、事故油坑；</w:t>
                  </w:r>
                </w:p>
                <w:p w14:paraId="34B6187B">
                  <w:pPr>
                    <w:ind w:left="-126" w:leftChars="-60"/>
                    <w:jc w:val="left"/>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一般防渗区：</w:t>
                  </w:r>
                  <w:r>
                    <w:rPr>
                      <w:rFonts w:hint="eastAsia" w:cs="Times New Roman"/>
                      <w:color w:val="auto"/>
                      <w:sz w:val="18"/>
                      <w:szCs w:val="18"/>
                      <w:lang w:val="en-US" w:eastAsia="zh-CN"/>
                    </w:rPr>
                    <w:t>配电装置室</w:t>
                  </w:r>
                  <w:r>
                    <w:rPr>
                      <w:rFonts w:hint="eastAsia" w:ascii="Times New Roman" w:hAnsi="Times New Roman" w:eastAsia="宋体" w:cs="Times New Roman"/>
                      <w:color w:val="auto"/>
                      <w:sz w:val="18"/>
                      <w:szCs w:val="18"/>
                      <w:lang w:val="en-US" w:eastAsia="zh-CN"/>
                    </w:rPr>
                    <w:t>、化粪池；</w:t>
                  </w:r>
                </w:p>
                <w:p w14:paraId="71079628">
                  <w:pPr>
                    <w:ind w:left="-126" w:leftChars="-60"/>
                    <w:jc w:val="left"/>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简单防渗区：除事故油池、排油管及下方区域、事故油坑、化粪池和</w:t>
                  </w:r>
                  <w:r>
                    <w:rPr>
                      <w:rFonts w:hint="eastAsia" w:cs="Times New Roman"/>
                      <w:color w:val="auto"/>
                      <w:sz w:val="18"/>
                      <w:szCs w:val="18"/>
                      <w:lang w:val="en-US" w:eastAsia="zh-CN"/>
                    </w:rPr>
                    <w:t>配电装置室</w:t>
                  </w:r>
                  <w:r>
                    <w:rPr>
                      <w:rFonts w:hint="eastAsia" w:ascii="Times New Roman" w:hAnsi="Times New Roman" w:eastAsia="宋体" w:cs="Times New Roman"/>
                      <w:color w:val="auto"/>
                      <w:sz w:val="18"/>
                      <w:szCs w:val="18"/>
                      <w:lang w:val="en-US" w:eastAsia="zh-CN"/>
                    </w:rPr>
                    <w:t>之外的区域。</w:t>
                  </w:r>
                </w:p>
              </w:tc>
              <w:tc>
                <w:tcPr>
                  <w:tcW w:w="961" w:type="dxa"/>
                  <w:tcBorders>
                    <w:top w:val="single" w:color="auto" w:sz="4" w:space="0"/>
                    <w:left w:val="single" w:color="auto" w:sz="4" w:space="0"/>
                    <w:bottom w:val="single" w:color="auto" w:sz="4" w:space="0"/>
                    <w:right w:val="single" w:color="auto" w:sz="4" w:space="0"/>
                  </w:tcBorders>
                  <w:vAlign w:val="center"/>
                </w:tcPr>
                <w:p w14:paraId="74A2668F">
                  <w:pPr>
                    <w:jc w:val="center"/>
                    <w:rPr>
                      <w:rFonts w:hint="default"/>
                      <w:color w:val="auto"/>
                      <w:sz w:val="18"/>
                      <w:szCs w:val="18"/>
                      <w:lang w:val="en-US" w:eastAsia="zh-CN"/>
                    </w:rPr>
                  </w:pPr>
                  <w:r>
                    <w:rPr>
                      <w:rFonts w:hint="eastAsia"/>
                      <w:color w:val="auto"/>
                      <w:sz w:val="18"/>
                      <w:szCs w:val="18"/>
                    </w:rPr>
                    <w:t>计入主体工程</w:t>
                  </w:r>
                </w:p>
              </w:tc>
              <w:tc>
                <w:tcPr>
                  <w:tcW w:w="824" w:type="dxa"/>
                  <w:tcBorders>
                    <w:top w:val="single" w:color="auto" w:sz="4" w:space="0"/>
                    <w:left w:val="single" w:color="auto" w:sz="4" w:space="0"/>
                    <w:bottom w:val="single" w:color="auto" w:sz="4" w:space="0"/>
                    <w:right w:val="single" w:color="auto" w:sz="4" w:space="0"/>
                  </w:tcBorders>
                  <w:vAlign w:val="center"/>
                </w:tcPr>
                <w:p w14:paraId="5C2DA462">
                  <w:pPr>
                    <w:jc w:val="center"/>
                    <w:rPr>
                      <w:rFonts w:hint="default"/>
                      <w:color w:val="auto"/>
                      <w:sz w:val="18"/>
                      <w:szCs w:val="18"/>
                      <w:lang w:val="en-US" w:eastAsia="zh-CN"/>
                    </w:rPr>
                  </w:pPr>
                  <w:r>
                    <w:rPr>
                      <w:rFonts w:hint="eastAsia"/>
                      <w:color w:val="auto"/>
                      <w:sz w:val="18"/>
                      <w:szCs w:val="18"/>
                      <w:lang w:val="en-US" w:eastAsia="zh-CN"/>
                    </w:rPr>
                    <w:t>/</w:t>
                  </w:r>
                </w:p>
              </w:tc>
              <w:tc>
                <w:tcPr>
                  <w:tcW w:w="887" w:type="dxa"/>
                  <w:tcBorders>
                    <w:top w:val="single" w:color="auto" w:sz="4" w:space="0"/>
                    <w:left w:val="single" w:color="auto" w:sz="4" w:space="0"/>
                    <w:bottom w:val="single" w:color="auto" w:sz="4" w:space="0"/>
                    <w:right w:val="double" w:color="auto" w:sz="4" w:space="0"/>
                  </w:tcBorders>
                  <w:vAlign w:val="center"/>
                </w:tcPr>
                <w:p w14:paraId="46EA9D72">
                  <w:pPr>
                    <w:ind w:left="-63" w:leftChars="-30"/>
                    <w:jc w:val="center"/>
                    <w:rPr>
                      <w:rFonts w:hint="default"/>
                      <w:color w:val="auto"/>
                      <w:sz w:val="18"/>
                      <w:szCs w:val="18"/>
                      <w:lang w:val="en-US" w:eastAsia="zh-CN"/>
                    </w:rPr>
                  </w:pPr>
                  <w:r>
                    <w:rPr>
                      <w:rFonts w:hint="eastAsia"/>
                      <w:color w:val="auto"/>
                      <w:sz w:val="18"/>
                      <w:szCs w:val="18"/>
                    </w:rPr>
                    <w:t>计入主体工程</w:t>
                  </w:r>
                </w:p>
              </w:tc>
            </w:tr>
            <w:tr w14:paraId="4D7331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67" w:type="dxa"/>
                  <w:gridSpan w:val="5"/>
                  <w:tcBorders>
                    <w:top w:val="single" w:color="auto" w:sz="4" w:space="0"/>
                    <w:left w:val="double" w:color="auto" w:sz="4" w:space="0"/>
                    <w:bottom w:val="double" w:color="auto" w:sz="4" w:space="0"/>
                    <w:right w:val="single" w:color="auto" w:sz="4" w:space="0"/>
                  </w:tcBorders>
                  <w:vAlign w:val="center"/>
                </w:tcPr>
                <w:p w14:paraId="2906A30F">
                  <w:pPr>
                    <w:jc w:val="center"/>
                    <w:rPr>
                      <w:color w:val="auto"/>
                      <w:sz w:val="18"/>
                      <w:szCs w:val="18"/>
                    </w:rPr>
                  </w:pPr>
                  <w:r>
                    <w:rPr>
                      <w:rFonts w:hint="eastAsia"/>
                      <w:color w:val="auto"/>
                      <w:sz w:val="18"/>
                      <w:szCs w:val="18"/>
                    </w:rPr>
                    <w:t>合计</w:t>
                  </w:r>
                </w:p>
              </w:tc>
              <w:tc>
                <w:tcPr>
                  <w:tcW w:w="887" w:type="dxa"/>
                  <w:tcBorders>
                    <w:top w:val="single" w:color="auto" w:sz="4" w:space="0"/>
                    <w:left w:val="single" w:color="auto" w:sz="4" w:space="0"/>
                    <w:bottom w:val="double" w:color="auto" w:sz="4" w:space="0"/>
                    <w:right w:val="double" w:color="auto" w:sz="4" w:space="0"/>
                  </w:tcBorders>
                  <w:vAlign w:val="center"/>
                </w:tcPr>
                <w:p w14:paraId="6CD4F1D3">
                  <w:pPr>
                    <w:ind w:left="-126" w:leftChars="-60"/>
                    <w:jc w:val="center"/>
                    <w:rPr>
                      <w:rFonts w:hint="default" w:eastAsia="宋体"/>
                      <w:color w:val="auto"/>
                      <w:sz w:val="18"/>
                      <w:szCs w:val="18"/>
                      <w:lang w:val="en-US" w:eastAsia="zh-CN"/>
                    </w:rPr>
                  </w:pPr>
                  <w:r>
                    <w:rPr>
                      <w:rFonts w:hint="eastAsia"/>
                      <w:color w:val="auto"/>
                      <w:sz w:val="18"/>
                      <w:szCs w:val="18"/>
                      <w:lang w:val="en-US" w:eastAsia="zh-CN"/>
                    </w:rPr>
                    <w:t>177.5</w:t>
                  </w:r>
                </w:p>
              </w:tc>
            </w:tr>
          </w:tbl>
          <w:p w14:paraId="5A3698EF">
            <w:pPr>
              <w:adjustRightInd w:val="0"/>
              <w:snapToGrid w:val="0"/>
              <w:rPr>
                <w:bCs/>
                <w:color w:val="FF0000"/>
                <w:spacing w:val="10"/>
                <w:szCs w:val="21"/>
              </w:rPr>
            </w:pPr>
          </w:p>
        </w:tc>
      </w:tr>
    </w:tbl>
    <w:p w14:paraId="14C82058">
      <w:pPr>
        <w:rPr>
          <w:color w:val="FF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1EFDB8A">
      <w:pPr>
        <w:pStyle w:val="22"/>
        <w:spacing w:before="0" w:beforeAutospacing="0" w:after="0" w:afterAutospacing="0" w:line="360" w:lineRule="auto"/>
        <w:jc w:val="center"/>
        <w:outlineLvl w:val="0"/>
        <w:rPr>
          <w:rFonts w:ascii="Times New Roman" w:hAnsi="Times New Roman" w:eastAsia="黑体"/>
          <w:snapToGrid w:val="0"/>
          <w:color w:val="auto"/>
          <w:sz w:val="30"/>
          <w:szCs w:val="30"/>
        </w:rPr>
      </w:pPr>
      <w:bookmarkStart w:id="42" w:name="_Toc63026909"/>
      <w:r>
        <w:rPr>
          <w:rFonts w:ascii="Times New Roman" w:hAnsi="Times New Roman" w:eastAsia="黑体"/>
          <w:snapToGrid w:val="0"/>
          <w:color w:val="auto"/>
          <w:sz w:val="30"/>
          <w:szCs w:val="30"/>
        </w:rPr>
        <w:t>六、主要环境保护措施监督检查清单</w:t>
      </w:r>
      <w:bookmarkEnd w:id="42"/>
    </w:p>
    <w:tbl>
      <w:tblPr>
        <w:tblStyle w:val="25"/>
        <w:tblW w:w="558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3120"/>
        <w:gridCol w:w="1560"/>
        <w:gridCol w:w="2694"/>
        <w:gridCol w:w="1400"/>
      </w:tblGrid>
      <w:tr w14:paraId="3250C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restart"/>
            <w:tcBorders>
              <w:tl2br w:val="single" w:color="auto" w:sz="4" w:space="0"/>
            </w:tcBorders>
          </w:tcPr>
          <w:p w14:paraId="13B751FD">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bookmarkStart w:id="43" w:name="_Toc63026703"/>
            <w:r>
              <w:rPr>
                <w:rFonts w:hint="default" w:ascii="Times New Roman" w:hAnsi="Times New Roman" w:eastAsia="黑体" w:cs="Times New Roman"/>
                <w:color w:val="000000" w:themeColor="text1"/>
                <w:szCs w:val="21"/>
                <w:highlight w:val="none"/>
                <w14:textFill>
                  <w14:solidFill>
                    <w14:schemeClr w14:val="tx1"/>
                  </w14:solidFill>
                </w14:textFill>
              </w:rPr>
              <w:t>内容</w:t>
            </w:r>
            <w:bookmarkEnd w:id="43"/>
          </w:p>
          <w:p w14:paraId="26FC0285">
            <w:pPr>
              <w:wordWrap w:val="0"/>
              <w:rPr>
                <w:rFonts w:hint="default" w:ascii="Times New Roman" w:hAnsi="Times New Roman" w:eastAsia="黑体" w:cs="Times New Roman"/>
                <w:color w:val="000000" w:themeColor="text1"/>
                <w:szCs w:val="21"/>
                <w:highlight w:val="none"/>
                <w14:textFill>
                  <w14:solidFill>
                    <w14:schemeClr w14:val="tx1"/>
                  </w14:solidFill>
                </w14:textFill>
              </w:rPr>
            </w:pPr>
            <w:bookmarkStart w:id="44" w:name="_Toc63026704"/>
            <w:r>
              <w:rPr>
                <w:rFonts w:hint="default" w:ascii="Times New Roman" w:hAnsi="Times New Roman" w:eastAsia="黑体" w:cs="Times New Roman"/>
                <w:color w:val="000000" w:themeColor="text1"/>
                <w:szCs w:val="21"/>
                <w:highlight w:val="none"/>
                <w14:textFill>
                  <w14:solidFill>
                    <w14:schemeClr w14:val="tx1"/>
                  </w14:solidFill>
                </w14:textFill>
              </w:rPr>
              <w:t>要素</w:t>
            </w:r>
            <w:bookmarkEnd w:id="44"/>
          </w:p>
        </w:tc>
        <w:tc>
          <w:tcPr>
            <w:tcW w:w="2457" w:type="pct"/>
            <w:gridSpan w:val="2"/>
            <w:vAlign w:val="center"/>
          </w:tcPr>
          <w:p w14:paraId="75382A73">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bookmarkStart w:id="45" w:name="_Toc63026705"/>
            <w:r>
              <w:rPr>
                <w:rFonts w:hint="default" w:ascii="Times New Roman" w:hAnsi="Times New Roman" w:eastAsia="黑体" w:cs="Times New Roman"/>
                <w:color w:val="000000" w:themeColor="text1"/>
                <w:szCs w:val="21"/>
                <w:highlight w:val="none"/>
                <w14:textFill>
                  <w14:solidFill>
                    <w14:schemeClr w14:val="tx1"/>
                  </w14:solidFill>
                </w14:textFill>
              </w:rPr>
              <w:t>施工期</w:t>
            </w:r>
            <w:bookmarkEnd w:id="45"/>
          </w:p>
        </w:tc>
        <w:tc>
          <w:tcPr>
            <w:tcW w:w="2149" w:type="pct"/>
            <w:gridSpan w:val="2"/>
            <w:vAlign w:val="center"/>
          </w:tcPr>
          <w:p w14:paraId="5E641D01">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bookmarkStart w:id="46" w:name="_Toc63026706"/>
            <w:r>
              <w:rPr>
                <w:rFonts w:hint="default" w:ascii="Times New Roman" w:hAnsi="Times New Roman" w:eastAsia="黑体" w:cs="Times New Roman"/>
                <w:color w:val="000000" w:themeColor="text1"/>
                <w:szCs w:val="21"/>
                <w:highlight w:val="none"/>
                <w14:textFill>
                  <w14:solidFill>
                    <w14:schemeClr w14:val="tx1"/>
                  </w14:solidFill>
                </w14:textFill>
              </w:rPr>
              <w:t>运营期</w:t>
            </w:r>
            <w:bookmarkEnd w:id="46"/>
          </w:p>
        </w:tc>
      </w:tr>
      <w:tr w14:paraId="0EB920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Pr>
          <w:p w14:paraId="3D343E31">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p>
        </w:tc>
        <w:tc>
          <w:tcPr>
            <w:tcW w:w="1638" w:type="pct"/>
            <w:vAlign w:val="center"/>
          </w:tcPr>
          <w:p w14:paraId="4BF2CB8D">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bookmarkStart w:id="47" w:name="_Toc63026707"/>
            <w:r>
              <w:rPr>
                <w:rFonts w:hint="default" w:ascii="Times New Roman" w:hAnsi="Times New Roman" w:eastAsia="黑体" w:cs="Times New Roman"/>
                <w:color w:val="000000" w:themeColor="text1"/>
                <w:szCs w:val="21"/>
                <w:highlight w:val="none"/>
                <w14:textFill>
                  <w14:solidFill>
                    <w14:schemeClr w14:val="tx1"/>
                  </w14:solidFill>
                </w14:textFill>
              </w:rPr>
              <w:t>环境保护措施</w:t>
            </w:r>
            <w:bookmarkEnd w:id="47"/>
          </w:p>
        </w:tc>
        <w:tc>
          <w:tcPr>
            <w:tcW w:w="819" w:type="pct"/>
            <w:vAlign w:val="center"/>
          </w:tcPr>
          <w:p w14:paraId="0C7B25CD">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bookmarkStart w:id="48" w:name="_Toc63026708"/>
            <w:r>
              <w:rPr>
                <w:rFonts w:hint="default" w:ascii="Times New Roman" w:hAnsi="Times New Roman" w:eastAsia="黑体" w:cs="Times New Roman"/>
                <w:color w:val="000000" w:themeColor="text1"/>
                <w:szCs w:val="21"/>
                <w:highlight w:val="none"/>
                <w14:textFill>
                  <w14:solidFill>
                    <w14:schemeClr w14:val="tx1"/>
                  </w14:solidFill>
                </w14:textFill>
              </w:rPr>
              <w:t>验收要求</w:t>
            </w:r>
            <w:bookmarkEnd w:id="48"/>
          </w:p>
        </w:tc>
        <w:tc>
          <w:tcPr>
            <w:tcW w:w="1414" w:type="pct"/>
            <w:vAlign w:val="center"/>
          </w:tcPr>
          <w:p w14:paraId="2A470D1E">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bookmarkStart w:id="49" w:name="_Toc63026709"/>
            <w:r>
              <w:rPr>
                <w:rFonts w:hint="default" w:ascii="Times New Roman" w:hAnsi="Times New Roman" w:eastAsia="黑体" w:cs="Times New Roman"/>
                <w:color w:val="000000" w:themeColor="text1"/>
                <w:szCs w:val="21"/>
                <w:highlight w:val="none"/>
                <w14:textFill>
                  <w14:solidFill>
                    <w14:schemeClr w14:val="tx1"/>
                  </w14:solidFill>
                </w14:textFill>
              </w:rPr>
              <w:t>环境保护措施</w:t>
            </w:r>
            <w:bookmarkEnd w:id="49"/>
          </w:p>
        </w:tc>
        <w:tc>
          <w:tcPr>
            <w:tcW w:w="735" w:type="pct"/>
            <w:vAlign w:val="center"/>
          </w:tcPr>
          <w:p w14:paraId="0293A043">
            <w:pPr>
              <w:wordWrap w:val="0"/>
              <w:jc w:val="center"/>
              <w:rPr>
                <w:rFonts w:hint="default" w:ascii="Times New Roman" w:hAnsi="Times New Roman" w:eastAsia="黑体" w:cs="Times New Roman"/>
                <w:color w:val="000000" w:themeColor="text1"/>
                <w:szCs w:val="21"/>
                <w:highlight w:val="none"/>
                <w14:textFill>
                  <w14:solidFill>
                    <w14:schemeClr w14:val="tx1"/>
                  </w14:solidFill>
                </w14:textFill>
              </w:rPr>
            </w:pPr>
            <w:bookmarkStart w:id="50" w:name="_Toc63026710"/>
            <w:r>
              <w:rPr>
                <w:rFonts w:hint="default" w:ascii="Times New Roman" w:hAnsi="Times New Roman" w:eastAsia="黑体" w:cs="Times New Roman"/>
                <w:color w:val="000000" w:themeColor="text1"/>
                <w:szCs w:val="21"/>
                <w:highlight w:val="none"/>
                <w14:textFill>
                  <w14:solidFill>
                    <w14:schemeClr w14:val="tx1"/>
                  </w14:solidFill>
                </w14:textFill>
              </w:rPr>
              <w:t>验收要求</w:t>
            </w:r>
            <w:bookmarkEnd w:id="50"/>
          </w:p>
        </w:tc>
      </w:tr>
      <w:tr w14:paraId="5D3C84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1F5538BA">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陆生生态</w:t>
            </w:r>
          </w:p>
        </w:tc>
        <w:tc>
          <w:tcPr>
            <w:tcW w:w="1638" w:type="pct"/>
            <w:vAlign w:val="center"/>
          </w:tcPr>
          <w:p w14:paraId="776A18B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1、变电站</w:t>
            </w:r>
          </w:p>
          <w:p w14:paraId="7FDF58B0">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w:t>
            </w:r>
            <w:r>
              <w:rPr>
                <w:rFonts w:hint="default" w:ascii="Times New Roman" w:hAnsi="Times New Roman" w:cs="Times New Roman"/>
                <w:color w:val="000000" w:themeColor="text1"/>
                <w:szCs w:val="21"/>
                <w:highlight w:val="none"/>
                <w:lang w:val="en-US" w:eastAsia="zh-CN"/>
                <w14:textFill>
                  <w14:solidFill>
                    <w14:schemeClr w14:val="tx1"/>
                  </w14:solidFill>
                </w14:textFill>
              </w:rPr>
              <w:t>施工活动集中在征地范围内</w:t>
            </w:r>
            <w:r>
              <w:rPr>
                <w:rFonts w:hint="default" w:ascii="Times New Roman" w:hAnsi="Times New Roman" w:cs="Times New Roman"/>
                <w:color w:val="000000" w:themeColor="text1"/>
                <w:szCs w:val="21"/>
                <w:highlight w:val="none"/>
                <w14:textFill>
                  <w14:solidFill>
                    <w14:schemeClr w14:val="tx1"/>
                  </w14:solidFill>
                </w14:textFill>
              </w:rPr>
              <w:t>。</w:t>
            </w:r>
          </w:p>
          <w:p w14:paraId="57F0B7F0">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w:t>
            </w:r>
            <w:r>
              <w:rPr>
                <w:rFonts w:hint="default" w:ascii="Times New Roman" w:hAnsi="Times New Roman" w:cs="Times New Roman"/>
                <w:color w:val="000000" w:themeColor="text1"/>
                <w:szCs w:val="21"/>
                <w:highlight w:val="none"/>
                <w:lang w:val="en-US" w:eastAsia="zh-CN"/>
                <w14:textFill>
                  <w14:solidFill>
                    <w14:schemeClr w14:val="tx1"/>
                  </w14:solidFill>
                </w14:textFill>
              </w:rPr>
              <w:t>站区四周设置浆砌块石排水沟及边坡，并在边坡上进行绿化</w:t>
            </w:r>
            <w:r>
              <w:rPr>
                <w:rFonts w:hint="default" w:ascii="Times New Roman" w:hAnsi="Times New Roman" w:cs="Times New Roman"/>
                <w:color w:val="000000" w:themeColor="text1"/>
                <w:szCs w:val="21"/>
                <w:highlight w:val="none"/>
                <w14:textFill>
                  <w14:solidFill>
                    <w14:schemeClr w14:val="tx1"/>
                  </w14:solidFill>
                </w14:textFill>
              </w:rPr>
              <w:t>。</w:t>
            </w:r>
          </w:p>
          <w:p w14:paraId="2A0BBDD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w:t>
            </w:r>
            <w:r>
              <w:rPr>
                <w:rFonts w:hint="default" w:ascii="Times New Roman" w:hAnsi="Times New Roman" w:cs="Times New Roman"/>
                <w:color w:val="000000" w:themeColor="text1"/>
                <w:szCs w:val="21"/>
                <w:highlight w:val="none"/>
                <w:lang w:val="en-US" w:eastAsia="zh-CN"/>
                <w14:textFill>
                  <w14:solidFill>
                    <w14:schemeClr w14:val="tx1"/>
                  </w14:solidFill>
                </w14:textFill>
              </w:rPr>
              <w:t>施工前应先建围挡和排水沟，减少地表径流侵蚀</w:t>
            </w:r>
            <w:r>
              <w:rPr>
                <w:rFonts w:hint="default" w:ascii="Times New Roman" w:hAnsi="Times New Roman" w:cs="Times New Roman"/>
                <w:color w:val="000000" w:themeColor="text1"/>
                <w:szCs w:val="21"/>
                <w:highlight w:val="none"/>
                <w14:textFill>
                  <w14:solidFill>
                    <w14:schemeClr w14:val="tx1"/>
                  </w14:solidFill>
                </w14:textFill>
              </w:rPr>
              <w:t>。</w:t>
            </w:r>
          </w:p>
          <w:p w14:paraId="30C403F8">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w:t>
            </w:r>
            <w:r>
              <w:rPr>
                <w:rFonts w:hint="default" w:ascii="Times New Roman" w:hAnsi="Times New Roman" w:cs="Times New Roman"/>
                <w:color w:val="000000" w:themeColor="text1"/>
                <w:szCs w:val="21"/>
                <w:highlight w:val="none"/>
                <w:lang w:val="en-US" w:eastAsia="zh-CN"/>
                <w14:textFill>
                  <w14:solidFill>
                    <w14:schemeClr w14:val="tx1"/>
                  </w14:solidFill>
                </w14:textFill>
              </w:rPr>
              <w:t>施工前对站址区域进行表土剥离，将表层的熟土和下部的生土分开堆放，并对剥离的表土进行养护，供后期复耕或绿化使用</w:t>
            </w:r>
            <w:r>
              <w:rPr>
                <w:rFonts w:hint="default" w:ascii="Times New Roman" w:hAnsi="Times New Roman" w:cs="Times New Roman"/>
                <w:color w:val="000000" w:themeColor="text1"/>
                <w:szCs w:val="21"/>
                <w:highlight w:val="none"/>
                <w14:textFill>
                  <w14:solidFill>
                    <w14:schemeClr w14:val="tx1"/>
                  </w14:solidFill>
                </w14:textFill>
              </w:rPr>
              <w:t>。</w:t>
            </w:r>
          </w:p>
          <w:p w14:paraId="3485FCD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w:t>
            </w:r>
            <w:r>
              <w:rPr>
                <w:rFonts w:hint="default" w:ascii="Times New Roman" w:hAnsi="Times New Roman" w:cs="Times New Roman"/>
                <w:color w:val="000000" w:themeColor="text1"/>
                <w:szCs w:val="21"/>
                <w:highlight w:val="none"/>
                <w:lang w:val="en-US" w:eastAsia="zh-CN"/>
                <w14:textFill>
                  <w14:solidFill>
                    <w14:schemeClr w14:val="tx1"/>
                  </w14:solidFill>
                </w14:textFill>
              </w:rPr>
              <w:t>变电站站区土石方挖填平衡，不对外弃土</w:t>
            </w:r>
            <w:r>
              <w:rPr>
                <w:rFonts w:hint="default" w:ascii="Times New Roman" w:hAnsi="Times New Roman" w:cs="Times New Roman"/>
                <w:color w:val="000000" w:themeColor="text1"/>
                <w:szCs w:val="21"/>
                <w:highlight w:val="none"/>
                <w14:textFill>
                  <w14:solidFill>
                    <w14:schemeClr w14:val="tx1"/>
                  </w14:solidFill>
                </w14:textFill>
              </w:rPr>
              <w:t>。</w:t>
            </w:r>
          </w:p>
          <w:p w14:paraId="7EE2FD0D">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⑥避开雨季施工，减少雨水对场地开挖面的冲刷造成水土流失。</w:t>
            </w:r>
          </w:p>
          <w:p w14:paraId="16C15F4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⑦变电站施工期应设置临时建筑材料的堆放场地，及时做好临时堆放场地的植被防护措施。变电站施工结束后，对破坏的现场植被（草皮）及时进行恢复，可消除工程建设产生的生态环境影响。</w:t>
            </w:r>
          </w:p>
          <w:p w14:paraId="55450347">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2、输电线路</w:t>
            </w:r>
          </w:p>
          <w:p w14:paraId="7E5B9A2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（1）主体工程</w:t>
            </w:r>
          </w:p>
          <w:p w14:paraId="0EAEB4BA">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①按设计规程需要砍伐的树，应留下树根及灌木草丛</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5C3806FD">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②基础施工时根据基础形式尽量减少开挖量，保护地质稳定性。施工完毕后，应尽快进行植被恢复</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723A2B3E">
            <w:pPr>
              <w:wordWrap w:val="0"/>
              <w:adjustRightInd w:val="0"/>
              <w:rPr>
                <w:rFonts w:hint="default" w:ascii="Times New Roman" w:hAnsi="Times New Roman"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③铁塔设计时采用全方位高低腿铁塔和高低基础配合使用，在土质条件适宜的情况下，优先采用挖孔桩基础，减少基坑开挖量及平台开挖量；</w:t>
            </w:r>
          </w:p>
          <w:p w14:paraId="0FAD80C9">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④</w:t>
            </w:r>
            <w:r>
              <w:rPr>
                <w:rFonts w:hint="default" w:ascii="Times New Roman" w:hAnsi="Times New Roman" w:cs="Times New Roman"/>
                <w:color w:val="000000" w:themeColor="text1"/>
                <w:szCs w:val="21"/>
                <w:highlight w:val="none"/>
                <w14:textFill>
                  <w14:solidFill>
                    <w14:schemeClr w14:val="tx1"/>
                  </w14:solidFill>
                </w14:textFill>
              </w:rPr>
              <w:t>施工采取张力放紧线，放紧线时间宜安排在农作物收获以后，减少农作物的损失</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712CE0EF">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⑤</w:t>
            </w:r>
            <w:r>
              <w:rPr>
                <w:rFonts w:hint="default" w:ascii="Times New Roman" w:hAnsi="Times New Roman" w:cs="Times New Roman"/>
                <w:color w:val="000000" w:themeColor="text1"/>
                <w:szCs w:val="21"/>
                <w:highlight w:val="none"/>
                <w14:textFill>
                  <w14:solidFill>
                    <w14:schemeClr w14:val="tx1"/>
                  </w14:solidFill>
                </w14:textFill>
              </w:rPr>
              <w:t>施工用房应利用现有房屋设施，减少临时建房占地引起的水土流失量。</w:t>
            </w:r>
          </w:p>
          <w:p w14:paraId="03A5CA22">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（2）塔基</w:t>
            </w:r>
          </w:p>
          <w:p w14:paraId="38F01F0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塔基基位设置应避开不良地质段，合理确定基面范围。施工时应优先采用原状土基础，采用全方位主柱加高基础。</w:t>
            </w:r>
          </w:p>
          <w:p w14:paraId="6A32391F">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①基面开挖</w:t>
            </w:r>
          </w:p>
          <w:p w14:paraId="1EF08258">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凡能开挖成型的基坑，均采用以“坑壁”代替基础底模板方式开挖，减少开挖量。对位于边坡等地质条件差的塔位，基础施工禁用爆破方式，应采用人工开挖。为保护表土资源，提高线路各施工区复耕或植被恢复效果，主体工程设计考虑在各场地施工前，对具有表土剥离条件的土地进行表土剥离。剥离表土集中堆放于塔基施工区，与基础开挖土方分开堆存，待施工后期覆土。根据施工实际条件，新建变电站开挖区域、新修汽运道路开挖区域主要采取机械表土剥离，塔基占地区域部分采取人工表土剥离，采用汽车或人力运输方式运至各个塔基施工临时占地范围内，并布设临时挡护、遮盖、排水等措施，避免暴雨冲刷使土壤大量流失，回填时应保证表土下方土块有足够的隔水层。为防止表土层底部为漏水层，在施工时应注意高程的控制，并配合平整进行表层覆土。</w:t>
            </w:r>
          </w:p>
          <w:p w14:paraId="5A90AA72">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②基坑回填</w:t>
            </w:r>
          </w:p>
          <w:p w14:paraId="01A725BD">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基坑回填后应在地面堆筑0.5m厚的防沉土堆，其范围同基坑上口尺寸。</w:t>
            </w:r>
          </w:p>
          <w:p w14:paraId="4319AAA5">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③岩体表面保护（护面）</w:t>
            </w:r>
          </w:p>
          <w:p w14:paraId="4D943572">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对于个别强风化、岩层裸露、表层破碎，水土极易受雨水冲刷产生流失的塔位，根据塔位情况在清除表层破碎岩屑后，用M7.5砂浆抹面防护。保护范围为塔位表面破坏面积。</w:t>
            </w:r>
          </w:p>
          <w:p w14:paraId="52824678">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（3）临时占地施工期的生态保护措施</w:t>
            </w:r>
          </w:p>
          <w:p w14:paraId="4477E62C">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①施工时应尽量避开雨天。在雨天动土时，应采取塑料布或土工布覆盖易受降雨冲刷的裸露地表等临时措施</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516913B5">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②施工完成后应及时清理残留在原地表上的砂石残余料及混凝土</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0BB99D00">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③严格控制施工作业带区域，尽量减少临时占地；</w:t>
            </w:r>
          </w:p>
          <w:p w14:paraId="6CA29D34">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④采用合理安排施工方式，采取“分层开挖、分层堆放、按层回填、分段开挖、分段恢复”，减少土地裸露时间；</w:t>
            </w:r>
          </w:p>
          <w:p w14:paraId="74A33523">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⑤对于临时堆土场应设置拦挡、遮盖措施，避免雨水冲刷造成水土流失；严禁随意砍伐、破坏工程区域内外的植被</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4DC8FF33">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⑥</w:t>
            </w:r>
            <w:r>
              <w:rPr>
                <w:rFonts w:hint="eastAsia"/>
                <w:color w:val="000000" w:themeColor="text1"/>
                <w:szCs w:val="21"/>
                <w:highlight w:val="none"/>
                <w14:textFill>
                  <w14:solidFill>
                    <w14:schemeClr w14:val="tx1"/>
                  </w14:solidFill>
                </w14:textFill>
              </w:rPr>
              <w:t>施工完毕后及时做好迹地恢复</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尽量采用当地乡土树草种原则完善植被保护和恢复措施</w:t>
            </w:r>
            <w:r>
              <w:rPr>
                <w:rFonts w:hint="eastAsia"/>
                <w:color w:val="000000" w:themeColor="text1"/>
                <w:szCs w:val="21"/>
                <w:highlight w:val="none"/>
                <w14:textFill>
                  <w14:solidFill>
                    <w14:schemeClr w14:val="tx1"/>
                  </w14:solidFill>
                </w14:textFill>
              </w:rPr>
              <w:t>，不得引入外来物种。</w:t>
            </w:r>
            <w:r>
              <w:rPr>
                <w:rFonts w:hint="eastAsia"/>
                <w:color w:val="000000" w:themeColor="text1"/>
                <w:szCs w:val="21"/>
                <w:highlight w:val="none"/>
                <w:lang w:val="en-US" w:eastAsia="zh-CN"/>
                <w14:textFill>
                  <w14:solidFill>
                    <w14:schemeClr w14:val="tx1"/>
                  </w14:solidFill>
                </w14:textFill>
              </w:rPr>
              <w:t>针对施工期设置的施工道路，施工结束移除钢板后，应重点评估土壤的板结程度和肥力状况，如果土壤被重型设备碾压得异常坚硬，就需要用旋耕机等设备进行深度翻松（通常不小于30厘米），以恢复其透气性和透水性，然后将原表层种植土回填，采用当地乡土树草种完善植被保护和恢复措施</w:t>
            </w:r>
            <w:r>
              <w:rPr>
                <w:rFonts w:hint="default" w:ascii="Times New Roman" w:hAnsi="Times New Roman" w:cs="Times New Roman"/>
                <w:color w:val="000000" w:themeColor="text1"/>
                <w:szCs w:val="21"/>
                <w:highlight w:val="none"/>
                <w14:textFill>
                  <w14:solidFill>
                    <w14:schemeClr w14:val="tx1"/>
                  </w14:solidFill>
                </w14:textFill>
              </w:rPr>
              <w:t>。</w:t>
            </w:r>
          </w:p>
          <w:p w14:paraId="449FEAA8">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⑦本项目线路Ⅱ距老虎洞沟饮用水源保护区最近距离为70m，保护区范围内禁止设置牵张场与跨越场，减少施工活动干扰；禁止在饮用水水源保护区内设置取土场、弃土场、料场、施工营地等施工临时设施。</w:t>
            </w:r>
          </w:p>
          <w:p w14:paraId="33C90190">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（4）植物保护措施</w:t>
            </w:r>
          </w:p>
          <w:p w14:paraId="0C8297B4">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①施工临时占地选用植被稀疏的区域，以减少对草本植被的临时占压</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06072833">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②塔基施工临时占地应选择在塔基附近平坦、植被稀疏地带，使用前铺设彩条布或其他铺垫物，以减少土地平整导致的水土流失和植被破坏</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7C8409F0">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③施工便道：尽量选择作物稀疏处，以减少作物破坏，同时施工过程中不能随意下道行驶或另开辟便道，降低施工活动对周围地表和植被的扰动</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施工结束后，应对施工道路</w:t>
            </w:r>
            <w:r>
              <w:rPr>
                <w:rFonts w:hint="default" w:ascii="Times New Roman" w:hAnsi="Times New Roman" w:cs="Times New Roman"/>
                <w:color w:val="000000" w:themeColor="text1"/>
                <w:szCs w:val="21"/>
                <w:highlight w:val="none"/>
                <w:lang w:val="en-US" w:eastAsia="zh-CN"/>
                <w14:textFill>
                  <w14:solidFill>
                    <w14:schemeClr w14:val="tx1"/>
                  </w14:solidFill>
                </w14:textFill>
              </w:rPr>
              <w:t>修筑、</w:t>
            </w:r>
            <w:r>
              <w:rPr>
                <w:rFonts w:hint="default" w:ascii="Times New Roman" w:hAnsi="Times New Roman" w:cs="Times New Roman"/>
                <w:color w:val="000000" w:themeColor="text1"/>
                <w:szCs w:val="21"/>
                <w:highlight w:val="none"/>
                <w14:textFill>
                  <w14:solidFill>
                    <w14:schemeClr w14:val="tx1"/>
                  </w14:solidFill>
                </w14:textFill>
              </w:rPr>
              <w:t>拓宽区域进行表土回覆和植被恢复</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2792AA94">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④施工结束后，应及时清理施工现场，对施工过程中产生的生活垃圾等固体废物，应集中收集装袋，并在结束施工时带出施工区域，不得随意丢弃于施工区域的绿化带中，避免对植被的正常生长发育产生不良影响</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79898B74">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⑤对塔基施工基面遗留的弃土进行及时清理，对硬化地面进行翻松后植被恢复</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731E05A8">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⑥禁止施工人员在施工过程中带入外来物种，保护原有生态环境。</w:t>
            </w:r>
          </w:p>
          <w:p w14:paraId="1C0A3430">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（5）动物保护措施</w:t>
            </w:r>
          </w:p>
          <w:p w14:paraId="6D80C3B8">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①严格控制最小施工范围，保护好小型兽类的生存环境</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455EF452">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②对工程废物和施工人员的生活垃圾进行彻底清理，尽量避免生活垃圾为鼠类等疫源性兽类提供生活环境，避免疫源性兽类</w:t>
            </w:r>
            <w:r>
              <w:rPr>
                <w:rFonts w:hint="default" w:ascii="Times New Roman" w:hAnsi="Times New Roman" w:cs="Times New Roman"/>
                <w:color w:val="000000" w:themeColor="text1"/>
                <w:szCs w:val="21"/>
                <w:highlight w:val="none"/>
                <w:lang w:eastAsia="zh-CN"/>
                <w14:textFill>
                  <w14:solidFill>
                    <w14:schemeClr w14:val="tx1"/>
                  </w14:solidFill>
                </w14:textFill>
              </w:rPr>
              <w:t>种群暴发；</w:t>
            </w:r>
          </w:p>
          <w:p w14:paraId="6990723E">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③严防燃油及油污、废水泄漏对土壤环境造成污染</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6DA848A8">
            <w:pPr>
              <w:wordWrap w:val="0"/>
              <w:adjustRightInd w:val="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④对工程废物要及时运出妥善处理，防止遗留物对环境造成污染</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0048EFF3">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⑤冬春季节施工发现冬眠的蛇窝及其他动物冬眠地，应采取措施将其安全移至远离工区的相似生境中。</w:t>
            </w:r>
          </w:p>
        </w:tc>
        <w:tc>
          <w:tcPr>
            <w:tcW w:w="819" w:type="pct"/>
            <w:vAlign w:val="center"/>
          </w:tcPr>
          <w:p w14:paraId="052D6D41">
            <w:pPr>
              <w:wordWrap w:val="0"/>
              <w:adjustRightInd w:val="0"/>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施工期的表土防护、植被恢复、多余土方的处置、水土保持等保护措施均得到落实，未对陆生生态产生明显影响</w:t>
            </w:r>
            <w:r>
              <w:rPr>
                <w:rFonts w:hint="eastAsia" w:ascii="Times New Roman" w:hAnsi="Times New Roman" w:cs="Times New Roman"/>
                <w:color w:val="000000" w:themeColor="text1"/>
                <w:szCs w:val="21"/>
                <w:highlight w:val="none"/>
                <w:lang w:eastAsia="zh-CN"/>
                <w14:textFill>
                  <w14:solidFill>
                    <w14:schemeClr w14:val="tx1"/>
                  </w14:solidFill>
                </w14:textFill>
              </w:rPr>
              <w:t>。</w:t>
            </w:r>
          </w:p>
        </w:tc>
        <w:tc>
          <w:tcPr>
            <w:tcW w:w="1414" w:type="pct"/>
            <w:vAlign w:val="center"/>
          </w:tcPr>
          <w:p w14:paraId="3D5DC604">
            <w:pPr>
              <w:wordWrap w:val="0"/>
              <w:adjustRightInd w:val="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①对塔基处加强植被的抚育和管护。</w:t>
            </w:r>
          </w:p>
          <w:p w14:paraId="47D402B4">
            <w:pPr>
              <w:wordWrap w:val="0"/>
              <w:adjustRightInd w:val="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②在线路维护和检修中仅对影响安全运行的树木进行削枝，不进行砍伐。</w:t>
            </w:r>
          </w:p>
          <w:p w14:paraId="6FCCB694">
            <w:pPr>
              <w:wordWrap w:val="0"/>
              <w:adjustRightInd w:val="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③加强用火管理，制定火灾应急预案，在线路巡视时应避免带入火种，以免引发火灾，破坏植被。</w:t>
            </w:r>
          </w:p>
          <w:p w14:paraId="349BA74E">
            <w:pPr>
              <w:wordWrap w:val="0"/>
              <w:adjustRightInd w:val="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④在线路巡视时应避免带入外来物种。</w:t>
            </w:r>
          </w:p>
          <w:p w14:paraId="4FB80CFE">
            <w:pPr>
              <w:wordWrap w:val="0"/>
              <w:adjustRightInd w:val="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⑤维护人员在维护巡线时应尽量选用已有道路或乡村道路，避免新开辟路径，减少对土地的占用和植被的破坏，鼓励使用无人机等对生态环境影响较小的方式进行巡线维护。</w:t>
            </w:r>
          </w:p>
          <w:p w14:paraId="014D78BD">
            <w:pPr>
              <w:wordWrap w:val="0"/>
              <w:adjustRightInd w:val="0"/>
              <w:jc w:val="both"/>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⑥项目建成投产后满足正常运营的同时，须保证输电线路下方不得改变原有土地利用类型，不得裸露地表、硬化或作其他用途，项目区内未涉及建设的空地区域，不得破坏原有植被和损毁地表。</w:t>
            </w:r>
          </w:p>
        </w:tc>
        <w:tc>
          <w:tcPr>
            <w:tcW w:w="735" w:type="pct"/>
            <w:vAlign w:val="center"/>
          </w:tcPr>
          <w:p w14:paraId="39AD032C">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eastAsiaTheme="minorEastAsia"/>
                <w:color w:val="000000" w:themeColor="text1"/>
                <w:szCs w:val="21"/>
                <w:highlight w:val="none"/>
                <w14:textFill>
                  <w14:solidFill>
                    <w14:schemeClr w14:val="tx1"/>
                  </w14:solidFill>
                </w14:textFill>
              </w:rPr>
              <w:t>塔基处植被恢复良好</w:t>
            </w:r>
          </w:p>
        </w:tc>
      </w:tr>
      <w:tr w14:paraId="4C895B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091BF67B">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水生生态</w:t>
            </w:r>
          </w:p>
        </w:tc>
        <w:tc>
          <w:tcPr>
            <w:tcW w:w="1638" w:type="pct"/>
            <w:vAlign w:val="center"/>
          </w:tcPr>
          <w:p w14:paraId="3F0D4276">
            <w:pPr>
              <w:wordWrap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819" w:type="pct"/>
            <w:vAlign w:val="center"/>
          </w:tcPr>
          <w:p w14:paraId="289AE116">
            <w:pPr>
              <w:wordWrap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1414" w:type="pct"/>
            <w:vAlign w:val="center"/>
          </w:tcPr>
          <w:p w14:paraId="5DF3629B">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735" w:type="pct"/>
            <w:vAlign w:val="center"/>
          </w:tcPr>
          <w:p w14:paraId="08F3568B">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r>
      <w:tr w14:paraId="6DE09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158561C6">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地表水环境</w:t>
            </w:r>
          </w:p>
        </w:tc>
        <w:tc>
          <w:tcPr>
            <w:tcW w:w="1638" w:type="pct"/>
            <w:vAlign w:val="center"/>
          </w:tcPr>
          <w:p w14:paraId="1A5BF9FD">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施工单位应严格执行《建设工程施工地文明施工及环境管理暂行规定》，对施工废水进行妥善处理，施工设备冲洗废水经沉淀池沉淀处理后用于施工现场的洒水降尘，不外排，施工过程产生的泥浆废水利用施工临时场地设置的沉淀池处理后用于施工现场的洒水降尘，不外排。严禁施工废水乱排、乱流，做到文明施工。</w:t>
            </w:r>
          </w:p>
          <w:p w14:paraId="48025E77">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司城110kV变电站新建工程施工人员产生的生活污水通过设置施工旱厕收集后用作农肥使用，不外排；输电线路施工人员产生的生活污水相对较少且分散，依托租用民房已有污水处理设施处理，处理后用作农肥，不外排。</w:t>
            </w:r>
          </w:p>
          <w:p w14:paraId="4E5FA50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③合理选择架线位置，采取一档跨越河流，并采用飞艇或无人机放线方式，不在水域范围内立塔，且不涉水施工。</w:t>
            </w:r>
          </w:p>
        </w:tc>
        <w:tc>
          <w:tcPr>
            <w:tcW w:w="819" w:type="pct"/>
            <w:vAlign w:val="center"/>
          </w:tcPr>
          <w:p w14:paraId="3AC453AB">
            <w:pPr>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不外排</w:t>
            </w:r>
          </w:p>
        </w:tc>
        <w:tc>
          <w:tcPr>
            <w:tcW w:w="1414" w:type="pct"/>
            <w:vAlign w:val="center"/>
          </w:tcPr>
          <w:p w14:paraId="70ACC299">
            <w:pP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司城110kV变电站产生的少量生活污水经化粪池处理后由运维单位定期清掏，不外排。输电线路投运后，无废污水产生。</w:t>
            </w:r>
          </w:p>
        </w:tc>
        <w:tc>
          <w:tcPr>
            <w:tcW w:w="735" w:type="pct"/>
            <w:vAlign w:val="center"/>
          </w:tcPr>
          <w:p w14:paraId="2074F4C7">
            <w:pPr>
              <w:wordWrap w:val="0"/>
              <w:jc w:val="center"/>
              <w:rPr>
                <w:rFonts w:hint="default" w:ascii="Times New Roman" w:hAnsi="Times New Roman" w:cs="Times New Roman"/>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不外排</w:t>
            </w:r>
          </w:p>
        </w:tc>
      </w:tr>
      <w:tr w14:paraId="1551E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413F5EA0">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地下水及土壤环境</w:t>
            </w:r>
          </w:p>
        </w:tc>
        <w:tc>
          <w:tcPr>
            <w:tcW w:w="1638" w:type="pct"/>
            <w:vAlign w:val="center"/>
          </w:tcPr>
          <w:p w14:paraId="3B7321F6">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819" w:type="pct"/>
            <w:vAlign w:val="center"/>
          </w:tcPr>
          <w:p w14:paraId="042AD5D8">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1414" w:type="pct"/>
            <w:vAlign w:val="center"/>
          </w:tcPr>
          <w:p w14:paraId="49D64ECB">
            <w:pP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将司城110kV变电站内生产功能单元所处的位置划分为重点防渗区、一般防渗区以及简单防渗区三类地下水污染防治区域：</w:t>
            </w:r>
          </w:p>
          <w:p w14:paraId="34169FF3">
            <w:pP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重点防渗区：事故油池、排油管、事故油坑；</w:t>
            </w:r>
          </w:p>
          <w:p w14:paraId="0024564E">
            <w:pP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一般防渗区：配电装置室、化粪池；</w:t>
            </w:r>
          </w:p>
          <w:p w14:paraId="0542D9E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简单防渗区：除事故油池、排油管、化粪池和配电装置室之外的区域。</w:t>
            </w:r>
          </w:p>
        </w:tc>
        <w:tc>
          <w:tcPr>
            <w:tcW w:w="735" w:type="pct"/>
            <w:vAlign w:val="center"/>
          </w:tcPr>
          <w:p w14:paraId="68E0FB02">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不影响区域的地下水环境</w:t>
            </w:r>
          </w:p>
        </w:tc>
      </w:tr>
      <w:tr w14:paraId="37551D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74A4041A">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声环境</w:t>
            </w:r>
          </w:p>
        </w:tc>
        <w:tc>
          <w:tcPr>
            <w:tcW w:w="1638" w:type="pct"/>
            <w:vAlign w:val="center"/>
          </w:tcPr>
          <w:p w14:paraId="28F389EA">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1、变电站</w:t>
            </w:r>
          </w:p>
          <w:p w14:paraId="1353A01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合理安排施工机械作业时间和施工工序，缩短高噪声、高振动作业时间，尽量降低施工机械对周围环境形成噪声影响。合理安排施工时间，禁止在夜间（22:00～次日6:00）和中高考期间进行产生环境噪声污染的施工作业，因特殊需要必须连续施工作业的，应当取得地方人民政府住房和城乡建设、生态环境主管部门或者地方人民政府指定的部门的证明，并在施工现场显著位置公示或者以其他方式公告附近居民。</w:t>
            </w:r>
          </w:p>
          <w:p w14:paraId="2140A37F">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选用低噪声的机械设备和工法，并做好设备维护工作，按操作规范操作机械设备，尽量减少碰撞噪声，在施工现场装卸建筑材料的，应当采取减轻噪声的作业方式，对工人进行环保方面的教育。尽量少用哨子、钟、笛等指挥作业。</w:t>
            </w:r>
          </w:p>
          <w:p w14:paraId="56B000F7">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③施工前先修筑围挡，并尽快修建围墙。</w:t>
            </w:r>
          </w:p>
          <w:p w14:paraId="32D8BF6D">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④避免碾压机械、挖土机等高噪声设备同时施工。</w:t>
            </w:r>
          </w:p>
          <w:p w14:paraId="05121342">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⑤尽可能将高噪声源强施工机具布置在站址中央区域，远离站界。</w:t>
            </w:r>
          </w:p>
          <w:p w14:paraId="693A26BD">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⑥文明施工，在装卸、搬运钢管、模板等时严禁抛掷。</w:t>
            </w:r>
          </w:p>
          <w:p w14:paraId="5CB2D824">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⑦</w:t>
            </w:r>
            <w:r>
              <w:rPr>
                <w:rFonts w:hint="default" w:ascii="Times New Roman" w:hAnsi="Times New Roman" w:cs="Times New Roman"/>
                <w:color w:val="000000" w:themeColor="text1"/>
                <w:szCs w:val="21"/>
                <w:highlight w:val="none"/>
                <w14:textFill>
                  <w14:solidFill>
                    <w14:schemeClr w14:val="tx1"/>
                  </w14:solidFill>
                </w14:textFill>
              </w:rPr>
              <w:t>在施工工作面铺设草袋等，以减少车辆与路面摩擦产生噪声；</w:t>
            </w:r>
            <w:r>
              <w:rPr>
                <w:rFonts w:hint="eastAsia" w:cs="Times New Roman"/>
                <w:color w:val="000000" w:themeColor="text1"/>
                <w:szCs w:val="21"/>
                <w:highlight w:val="none"/>
                <w:lang w:val="en-US" w:eastAsia="zh-CN"/>
                <w14:textFill>
                  <w14:solidFill>
                    <w14:schemeClr w14:val="tx1"/>
                  </w14:solidFill>
                </w14:textFill>
              </w:rPr>
              <w:t>⑧</w:t>
            </w:r>
            <w:r>
              <w:rPr>
                <w:rFonts w:hint="default" w:ascii="Times New Roman" w:hAnsi="Times New Roman" w:cs="Times New Roman"/>
                <w:color w:val="000000" w:themeColor="text1"/>
                <w:szCs w:val="21"/>
                <w:highlight w:val="none"/>
                <w14:textFill>
                  <w14:solidFill>
                    <w14:schemeClr w14:val="tx1"/>
                  </w14:solidFill>
                </w14:textFill>
              </w:rPr>
              <w:t>适当限制大型载重车的车速，尤其进入噪声敏感区时应限速；</w:t>
            </w:r>
            <w:r>
              <w:rPr>
                <w:rFonts w:hint="eastAsia" w:cs="Times New Roman"/>
                <w:color w:val="000000" w:themeColor="text1"/>
                <w:szCs w:val="21"/>
                <w:highlight w:val="none"/>
                <w:lang w:val="en-US" w:eastAsia="zh-CN"/>
                <w14:textFill>
                  <w14:solidFill>
                    <w14:schemeClr w14:val="tx1"/>
                  </w14:solidFill>
                </w14:textFill>
              </w:rPr>
              <w:t>⑨</w:t>
            </w:r>
            <w:r>
              <w:rPr>
                <w:rFonts w:hint="default" w:ascii="Times New Roman" w:hAnsi="Times New Roman" w:cs="Times New Roman"/>
                <w:color w:val="000000" w:themeColor="text1"/>
                <w:szCs w:val="21"/>
                <w:highlight w:val="none"/>
                <w14:textFill>
                  <w14:solidFill>
                    <w14:schemeClr w14:val="tx1"/>
                  </w14:solidFill>
                </w14:textFill>
              </w:rPr>
              <w:t>对运输车辆定期维修、养护；</w:t>
            </w:r>
            <w:r>
              <w:rPr>
                <w:rFonts w:hint="eastAsia" w:cs="Times New Roman"/>
                <w:color w:val="000000" w:themeColor="text1"/>
                <w:szCs w:val="21"/>
                <w:highlight w:val="none"/>
                <w:lang w:val="en-US" w:eastAsia="zh-CN"/>
                <w14:textFill>
                  <w14:solidFill>
                    <w14:schemeClr w14:val="tx1"/>
                  </w14:solidFill>
                </w14:textFill>
              </w:rPr>
              <w:t>⑩</w:t>
            </w:r>
            <w:r>
              <w:rPr>
                <w:rFonts w:hint="default" w:ascii="Times New Roman" w:hAnsi="Times New Roman" w:cs="Times New Roman"/>
                <w:color w:val="000000" w:themeColor="text1"/>
                <w:szCs w:val="21"/>
                <w:highlight w:val="none"/>
                <w14:textFill>
                  <w14:solidFill>
                    <w14:schemeClr w14:val="tx1"/>
                  </w14:solidFill>
                </w14:textFill>
              </w:rPr>
              <w:t>合理安排运输路线和时间，运输车辆临近敏感点时低速行驶、禁止鸣笛；加强与周围居民沟通，防止扰民纠纷。</w:t>
            </w:r>
          </w:p>
          <w:p w14:paraId="49D5CC6C">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2、输电线路</w:t>
            </w:r>
          </w:p>
          <w:p w14:paraId="0765438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①选用低噪声施工设备，并采取有效的减振、隔声等措施；</w:t>
            </w:r>
          </w:p>
          <w:p w14:paraId="6A6F2FBC">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②施工单位在施工过程中应合理进行施工总平布置，将主要高噪声作业点置于场地中央，充分利用施工场地的距离衰减作用缓解噪声影响，确保施工噪声场界处实现达标排放；</w:t>
            </w:r>
          </w:p>
          <w:p w14:paraId="3BBA881F">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③文明施工，在装卸、搬运钢管、模板等时严禁抛掷。</w:t>
            </w:r>
          </w:p>
          <w:p w14:paraId="63EB2026">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合理安排施工时间，夜间22:00至次日06:00及中高考期间严禁施工，杜绝出现夜间施工噪声污染影响。因特殊需要必须连续施工作业的，应当取得地方人民政府住房和城乡建设、生态环境主管部门或者地方人民政府指定的部门的证明，并在施工现场显著位置公示或者以其他方式公告附近居民。</w:t>
            </w:r>
          </w:p>
        </w:tc>
        <w:tc>
          <w:tcPr>
            <w:tcW w:w="819" w:type="pct"/>
            <w:vAlign w:val="center"/>
          </w:tcPr>
          <w:p w14:paraId="7249493D">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达标排放，满足</w:t>
            </w:r>
            <w:r>
              <w:rPr>
                <w:rFonts w:hint="default" w:ascii="Times New Roman" w:hAnsi="Times New Roman" w:cs="Times New Roman"/>
                <w:color w:val="auto"/>
                <w:highlight w:val="none"/>
              </w:rPr>
              <w:t>《建筑施工噪声排放标准》(GB12523-2025)</w:t>
            </w:r>
            <w:r>
              <w:rPr>
                <w:rFonts w:hint="default" w:ascii="Times New Roman" w:hAnsi="Times New Roman" w:cs="Times New Roman"/>
                <w:color w:val="000000" w:themeColor="text1"/>
                <w:szCs w:val="21"/>
                <w:highlight w:val="none"/>
                <w14:textFill>
                  <w14:solidFill>
                    <w14:schemeClr w14:val="tx1"/>
                  </w14:solidFill>
                </w14:textFill>
              </w:rPr>
              <w:t>要求，同时不扰民。</w:t>
            </w:r>
          </w:p>
        </w:tc>
        <w:tc>
          <w:tcPr>
            <w:tcW w:w="1414" w:type="pct"/>
            <w:vAlign w:val="center"/>
          </w:tcPr>
          <w:p w14:paraId="310DECAA">
            <w:pPr>
              <w:wordWrap w:val="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变电站</w:t>
            </w:r>
          </w:p>
          <w:p w14:paraId="7A026CD4">
            <w:pPr>
              <w:wordWrap w:val="0"/>
              <w:rPr>
                <w:rFonts w:hint="eastAsia"/>
                <w:color w:val="000000" w:themeColor="text1"/>
                <w:szCs w:val="21"/>
                <w:highlight w:val="none"/>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①</w:t>
            </w:r>
            <w:r>
              <w:rPr>
                <w:rFonts w:hint="eastAsia"/>
                <w:color w:val="000000" w:themeColor="text1"/>
                <w:szCs w:val="21"/>
                <w:highlight w:val="none"/>
                <w14:textFill>
                  <w14:solidFill>
                    <w14:schemeClr w14:val="tx1"/>
                  </w14:solidFill>
                </w14:textFill>
              </w:rPr>
              <w:t>主变压器</w:t>
            </w:r>
            <w:r>
              <w:rPr>
                <w:rFonts w:hint="eastAsia"/>
                <w:color w:val="000000" w:themeColor="text1"/>
                <w:szCs w:val="21"/>
                <w:highlight w:val="none"/>
                <w:lang w:val="en-US" w:eastAsia="zh-CN"/>
                <w14:textFill>
                  <w14:solidFill>
                    <w14:schemeClr w14:val="tx1"/>
                  </w14:solidFill>
                </w14:textFill>
              </w:rPr>
              <w:t>选用低噪声设备，</w:t>
            </w:r>
            <w:r>
              <w:rPr>
                <w:rFonts w:hint="eastAsia"/>
                <w:color w:val="000000" w:themeColor="text1"/>
                <w:szCs w:val="21"/>
                <w:highlight w:val="none"/>
                <w14:textFill>
                  <w14:solidFill>
                    <w14:schemeClr w14:val="tx1"/>
                  </w14:solidFill>
                </w14:textFill>
              </w:rPr>
              <w:t>噪声声压级不超过</w:t>
            </w:r>
            <w:r>
              <w:rPr>
                <w:rFonts w:hint="eastAsia"/>
                <w:color w:val="000000" w:themeColor="text1"/>
                <w:szCs w:val="21"/>
                <w:highlight w:val="none"/>
                <w:lang w:val="en-US" w:eastAsia="zh-CN"/>
                <w14:textFill>
                  <w14:solidFill>
                    <w14:schemeClr w14:val="tx1"/>
                  </w14:solidFill>
                </w14:textFill>
              </w:rPr>
              <w:t>60</w:t>
            </w:r>
            <w:r>
              <w:rPr>
                <w:rFonts w:hint="eastAsia"/>
                <w:color w:val="000000" w:themeColor="text1"/>
                <w:szCs w:val="21"/>
                <w:highlight w:val="none"/>
                <w14:textFill>
                  <w14:solidFill>
                    <w14:schemeClr w14:val="tx1"/>
                  </w14:solidFill>
                </w14:textFill>
              </w:rPr>
              <w:t>dB（A）（距离主变压器2m处）。</w:t>
            </w:r>
          </w:p>
          <w:p w14:paraId="19D47F23">
            <w:pPr>
              <w:wordWrap w:val="0"/>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②</w:t>
            </w:r>
            <w:r>
              <w:rPr>
                <w:rFonts w:hint="eastAsia"/>
                <w:color w:val="000000" w:themeColor="text1"/>
                <w:szCs w:val="21"/>
                <w:highlight w:val="none"/>
                <w14:textFill>
                  <w14:solidFill>
                    <w14:schemeClr w14:val="tx1"/>
                  </w14:solidFill>
                </w14:textFill>
              </w:rPr>
              <w:t>合理布局，利用距离衰减噪声</w:t>
            </w:r>
            <w:r>
              <w:rPr>
                <w:rFonts w:hint="eastAsia"/>
                <w:color w:val="000000" w:themeColor="text1"/>
                <w:szCs w:val="21"/>
                <w:highlight w:val="none"/>
                <w:lang w:eastAsia="zh-CN"/>
                <w14:textFill>
                  <w14:solidFill>
                    <w14:schemeClr w14:val="tx1"/>
                  </w14:solidFill>
                </w14:textFill>
              </w:rPr>
              <w:t>。</w:t>
            </w:r>
          </w:p>
          <w:p w14:paraId="74622BFC">
            <w:pPr>
              <w:wordWrap w:val="0"/>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输电线路</w:t>
            </w:r>
          </w:p>
          <w:p w14:paraId="40D59E2D">
            <w:pPr>
              <w:wordWrap w:val="0"/>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①</w:t>
            </w:r>
            <w:r>
              <w:rPr>
                <w:rFonts w:hint="eastAsia"/>
                <w:color w:val="000000" w:themeColor="text1"/>
                <w:szCs w:val="21"/>
                <w:highlight w:val="none"/>
                <w:lang w:eastAsia="zh-CN"/>
                <w14:textFill>
                  <w14:solidFill>
                    <w14:schemeClr w14:val="tx1"/>
                  </w14:solidFill>
                </w14:textFill>
              </w:rPr>
              <w:t>合理选择线路路径，避让集中居民点。</w:t>
            </w:r>
          </w:p>
          <w:p w14:paraId="18766D9D">
            <w:pPr>
              <w:wordWrap w:val="0"/>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②</w:t>
            </w:r>
            <w:r>
              <w:rPr>
                <w:rFonts w:hint="eastAsia"/>
                <w:color w:val="000000" w:themeColor="text1"/>
                <w:szCs w:val="21"/>
                <w:highlight w:val="none"/>
                <w:lang w:eastAsia="zh-CN"/>
                <w14:textFill>
                  <w14:solidFill>
                    <w14:schemeClr w14:val="tx1"/>
                  </w14:solidFill>
                </w14:textFill>
              </w:rPr>
              <w:t>合理选择导线截面积和相导线结构，降低线路的电晕噪声。</w:t>
            </w:r>
          </w:p>
          <w:p w14:paraId="29EE7787">
            <w:pPr>
              <w:wordWrap w:val="0"/>
              <w:rPr>
                <w:rFonts w:hint="default" w:ascii="Times New Roman" w:hAnsi="Times New Roman" w:cs="Times New Roman"/>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③</w:t>
            </w:r>
            <w:r>
              <w:rPr>
                <w:rFonts w:hint="eastAsia"/>
                <w:color w:val="000000" w:themeColor="text1"/>
                <w:szCs w:val="21"/>
                <w:highlight w:val="none"/>
                <w:lang w:eastAsia="zh-CN"/>
                <w14:textFill>
                  <w14:solidFill>
                    <w14:schemeClr w14:val="tx1"/>
                  </w14:solidFill>
                </w14:textFill>
              </w:rPr>
              <w:t>输电线路满足架设高度</w:t>
            </w:r>
            <w:r>
              <w:rPr>
                <w:rFonts w:hint="eastAsia"/>
                <w:color w:val="auto"/>
                <w:szCs w:val="21"/>
              </w:rPr>
              <w:t>（在经过非居民区时架设档距中央最大弧垂处导线高度不低于6m，在经过居民区时架设档距中央最大弧垂处导线高度不低于7m</w:t>
            </w:r>
            <w:r>
              <w:rPr>
                <w:rFonts w:hint="eastAsia"/>
                <w:color w:val="auto"/>
                <w:szCs w:val="21"/>
                <w:lang w:eastAsia="zh-CN"/>
              </w:rPr>
              <w:t>。</w:t>
            </w:r>
            <w:r>
              <w:rPr>
                <w:rFonts w:hint="eastAsia"/>
                <w:color w:val="000000" w:themeColor="text1"/>
                <w:szCs w:val="21"/>
                <w:highlight w:val="none"/>
                <w:lang w:val="en-US" w:eastAsia="zh-CN"/>
                <w14:textFill>
                  <w14:solidFill>
                    <w14:schemeClr w14:val="tx1"/>
                  </w14:solidFill>
                </w14:textFill>
              </w:rPr>
              <w:t>线路</w:t>
            </w:r>
            <w:r>
              <w:rPr>
                <w:rFonts w:hint="default" w:ascii="Times New Roman" w:hAnsi="Times New Roman" w:cs="Times New Roman"/>
                <w:color w:val="000000" w:themeColor="text1"/>
                <w:szCs w:val="21"/>
                <w:highlight w:val="none"/>
                <w:lang w:val="en-US" w:eastAsia="zh-CN"/>
                <w14:textFill>
                  <w14:solidFill>
                    <w14:schemeClr w14:val="tx1"/>
                  </w14:solidFill>
                </w14:textFill>
              </w:rPr>
              <w:t>Ⅰ</w:t>
            </w:r>
            <w:r>
              <w:rPr>
                <w:rFonts w:hint="eastAsia"/>
                <w:color w:val="000000" w:themeColor="text1"/>
                <w:szCs w:val="21"/>
                <w:highlight w:val="none"/>
                <w:lang w:val="en-US" w:eastAsia="zh-CN"/>
                <w14:textFill>
                  <w14:solidFill>
                    <w14:schemeClr w14:val="tx1"/>
                  </w14:solidFill>
                </w14:textFill>
              </w:rPr>
              <w:t>利旧段</w:t>
            </w:r>
            <w:r>
              <w:rPr>
                <w:rFonts w:hint="default" w:ascii="Times New Roman" w:hAnsi="Times New Roman" w:cs="Times New Roman"/>
                <w:bCs/>
                <w:color w:val="000000" w:themeColor="text1"/>
                <w:szCs w:val="21"/>
                <w:highlight w:val="none"/>
                <w:lang w:eastAsia="zh-CN"/>
                <w14:textFill>
                  <w14:solidFill>
                    <w14:schemeClr w14:val="tx1"/>
                  </w14:solidFill>
                </w14:textFill>
              </w:rPr>
              <w:t>导线</w:t>
            </w:r>
            <w:r>
              <w:rPr>
                <w:rFonts w:hint="eastAsia" w:cs="Times New Roman"/>
                <w:bCs/>
                <w:color w:val="000000" w:themeColor="text1"/>
                <w:szCs w:val="21"/>
                <w:highlight w:val="none"/>
                <w:lang w:val="en-US" w:eastAsia="zh-CN"/>
                <w14:textFill>
                  <w14:solidFill>
                    <w14:schemeClr w14:val="tx1"/>
                  </w14:solidFill>
                </w14:textFill>
              </w:rPr>
              <w:t>设计</w:t>
            </w:r>
            <w:r>
              <w:rPr>
                <w:rFonts w:hint="default" w:ascii="Times New Roman" w:hAnsi="Times New Roman" w:cs="Times New Roman"/>
                <w:bCs/>
                <w:color w:val="000000" w:themeColor="text1"/>
                <w:szCs w:val="21"/>
                <w:highlight w:val="none"/>
                <w:lang w:eastAsia="zh-CN"/>
                <w14:textFill>
                  <w14:solidFill>
                    <w14:schemeClr w14:val="tx1"/>
                  </w14:solidFill>
                </w14:textFill>
              </w:rPr>
              <w:t>架设高度不低于</w:t>
            </w:r>
            <w:r>
              <w:rPr>
                <w:rFonts w:hint="eastAsia" w:cs="Times New Roman"/>
                <w:bCs/>
                <w:color w:val="000000" w:themeColor="text1"/>
                <w:szCs w:val="21"/>
                <w:highlight w:val="none"/>
                <w:lang w:val="en-US" w:eastAsia="zh-CN"/>
                <w14:textFill>
                  <w14:solidFill>
                    <w14:schemeClr w14:val="tx1"/>
                  </w14:solidFill>
                </w14:textFill>
              </w:rPr>
              <w:t>9</w:t>
            </w:r>
            <w:r>
              <w:rPr>
                <w:rFonts w:hint="default" w:ascii="Times New Roman" w:hAnsi="Times New Roman" w:cs="Times New Roman"/>
                <w:bCs/>
                <w:color w:val="000000" w:themeColor="text1"/>
                <w:szCs w:val="21"/>
                <w:highlight w:val="none"/>
                <w:lang w:eastAsia="zh-CN"/>
                <w14:textFill>
                  <w14:solidFill>
                    <w14:schemeClr w14:val="tx1"/>
                  </w14:solidFill>
                </w14:textFill>
              </w:rPr>
              <w:t>m</w:t>
            </w:r>
            <w:r>
              <w:rPr>
                <w:rFonts w:hint="eastAsia" w:ascii="Times New Roman" w:hAnsi="Times New Roman" w:cs="Times New Roman"/>
                <w:bCs/>
                <w:color w:val="000000" w:themeColor="text1"/>
                <w:szCs w:val="21"/>
                <w:highlight w:val="none"/>
                <w:lang w:eastAsia="zh-CN"/>
                <w14:textFill>
                  <w14:solidFill>
                    <w14:schemeClr w14:val="tx1"/>
                  </w14:solidFill>
                </w14:textFill>
              </w:rPr>
              <w:t>；</w:t>
            </w:r>
            <w:r>
              <w:rPr>
                <w:rFonts w:hint="eastAsia"/>
                <w:color w:val="auto"/>
                <w:szCs w:val="21"/>
                <w:lang w:eastAsia="zh-CN"/>
              </w:rPr>
              <w:t>跨越建筑物处导线与建筑物屋顶距离不低于5m）</w:t>
            </w:r>
            <w:r>
              <w:rPr>
                <w:rFonts w:hint="eastAsia"/>
                <w:color w:val="000000" w:themeColor="text1"/>
                <w:szCs w:val="21"/>
                <w:highlight w:val="none"/>
                <w:lang w:eastAsia="zh-CN"/>
                <w14:textFill>
                  <w14:solidFill>
                    <w14:schemeClr w14:val="tx1"/>
                  </w14:solidFill>
                </w14:textFill>
              </w:rPr>
              <w:t>。</w:t>
            </w:r>
          </w:p>
        </w:tc>
        <w:tc>
          <w:tcPr>
            <w:tcW w:w="735" w:type="pct"/>
            <w:vAlign w:val="center"/>
          </w:tcPr>
          <w:p w14:paraId="18BD8659">
            <w:pPr>
              <w:wordWrap w:val="0"/>
              <w:adjustRightInd w:val="0"/>
              <w:rPr>
                <w:rFonts w:hint="eastAsia" w:ascii="Times New Roman" w:hAnsi="Times New Roman" w:eastAsia="宋体" w:cs="Times New Roman"/>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详见第三章“评价标准”</w:t>
            </w:r>
          </w:p>
        </w:tc>
      </w:tr>
      <w:tr w14:paraId="27313B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5C375FE7">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振动</w:t>
            </w:r>
          </w:p>
        </w:tc>
        <w:tc>
          <w:tcPr>
            <w:tcW w:w="1638" w:type="pct"/>
            <w:vAlign w:val="center"/>
          </w:tcPr>
          <w:p w14:paraId="2B4C76CF">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819" w:type="pct"/>
            <w:vAlign w:val="center"/>
          </w:tcPr>
          <w:p w14:paraId="6AEBAC15">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1414" w:type="pct"/>
            <w:vAlign w:val="center"/>
          </w:tcPr>
          <w:p w14:paraId="45E51758">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735" w:type="pct"/>
            <w:vAlign w:val="center"/>
          </w:tcPr>
          <w:p w14:paraId="6AB4F59A">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r>
      <w:tr w14:paraId="3AF69E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92" w:type="pct"/>
            <w:vAlign w:val="center"/>
          </w:tcPr>
          <w:p w14:paraId="3CF65C8F">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大气环境</w:t>
            </w:r>
          </w:p>
        </w:tc>
        <w:tc>
          <w:tcPr>
            <w:tcW w:w="1638" w:type="pct"/>
            <w:vAlign w:val="center"/>
          </w:tcPr>
          <w:p w14:paraId="50C6F8D4">
            <w:pPr>
              <w:numPr>
                <w:ilvl w:val="0"/>
                <w:numId w:val="0"/>
              </w:num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eastAsia" w:ascii="Times New Roman" w:hAnsi="Times New Roman" w:cs="Times New Roman"/>
                <w:color w:val="000000" w:themeColor="text1"/>
                <w:szCs w:val="21"/>
                <w:highlight w:val="none"/>
                <w:lang w:val="en-US" w:eastAsia="zh-CN"/>
                <w14:textFill>
                  <w14:solidFill>
                    <w14:schemeClr w14:val="tx1"/>
                  </w14:solidFill>
                </w14:textFill>
              </w:rPr>
              <w:t>1</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施工场地扬尘防治措施</w:t>
            </w:r>
          </w:p>
          <w:p w14:paraId="76F3D261">
            <w:pPr>
              <w:numPr>
                <w:ilvl w:val="0"/>
                <w:numId w:val="0"/>
              </w:num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①施工单位应当制定具体的施工扬尘污染防治实施方案，落实施工扬尘污染防治措施，按照有关规定使用扬尘污染防治费用；</w:t>
            </w:r>
          </w:p>
          <w:p w14:paraId="77FCA8BB">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②合理组织施工，尽量避免扬尘二次污染；</w:t>
            </w:r>
          </w:p>
          <w:p w14:paraId="2B12C380">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③运输车辆限制车速；</w:t>
            </w:r>
          </w:p>
          <w:p w14:paraId="5C4C3A3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④应使用商品混凝土；</w:t>
            </w:r>
          </w:p>
          <w:p w14:paraId="3A9D1B3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⑤施工过程中，建设单位应当对裸露地面进行覆盖；暂时不能开工的建设用地超过三个月的，应当进行绿化、铺装或者遮盖；</w:t>
            </w:r>
          </w:p>
          <w:p w14:paraId="15C9B29E">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⑥土方施工、主体施工等时，采取洒水、喷淋、冲洗、湿法工艺等降尘措施；</w:t>
            </w:r>
          </w:p>
          <w:p w14:paraId="327134AA">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⑦施工过程中，应当加强对施工现场和物料运输的管理，管控料堆和余方堆放，对易起尘的临时堆土应采用密闭式防尘布（网）进行苫盖，施工面集中且有条件的地方宜采取洒水降尘等有效措施；</w:t>
            </w:r>
          </w:p>
          <w:p w14:paraId="430B4106">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⑧建设单位应在施工合同中确定扬尘污染防治目标及施工单位扬尘污染防治责任，施工作业人员上岗前，施工单位应组织以国家法律法规、技术规范、管理制度和操作规程为主要内容的扬尘防治入场教育培训和考核等；</w:t>
            </w:r>
          </w:p>
          <w:p w14:paraId="66DB4963">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⑨施工过程中，施工单位应落实扬尘管理责任人，加强施工扬尘防治，积极配合上级环境主管部门的监管工作。</w:t>
            </w:r>
          </w:p>
          <w:p w14:paraId="748BE315">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（2）运输扬尘防治措施</w:t>
            </w:r>
          </w:p>
          <w:p w14:paraId="71CA1C77">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①对施工材料、建筑垃圾等运输车辆应采用密闭式防尘布（网）进行苫盖，严格控制装载量，装载的高度不得超过车辆</w:t>
            </w:r>
            <w:r>
              <w:rPr>
                <w:rFonts w:hint="eastAsia" w:cs="Times New Roman"/>
                <w:color w:val="000000" w:themeColor="text1"/>
                <w:szCs w:val="21"/>
                <w:highlight w:val="none"/>
                <w:lang w:eastAsia="zh-CN"/>
                <w14:textFill>
                  <w14:solidFill>
                    <w14:schemeClr w14:val="tx1"/>
                  </w14:solidFill>
                </w14:textFill>
              </w:rPr>
              <w:t>挡板</w:t>
            </w:r>
            <w:r>
              <w:rPr>
                <w:rFonts w:hint="default" w:ascii="Times New Roman" w:hAnsi="Times New Roman" w:cs="Times New Roman"/>
                <w:color w:val="000000" w:themeColor="text1"/>
                <w:szCs w:val="21"/>
                <w:highlight w:val="none"/>
                <w14:textFill>
                  <w14:solidFill>
                    <w14:schemeClr w14:val="tx1"/>
                  </w14:solidFill>
                </w14:textFill>
              </w:rPr>
              <w:t>，防止撒落；</w:t>
            </w:r>
          </w:p>
          <w:p w14:paraId="49D5CF3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②运输车辆经过村庄应减速缓行，严禁超速；</w:t>
            </w:r>
          </w:p>
          <w:p w14:paraId="6C42A8B5">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③运输路线尽量避免穿越人口集中区、商业繁华区等敏感地段。</w:t>
            </w:r>
          </w:p>
          <w:p w14:paraId="34D9942C">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（3）燃油废气的消减与控制</w:t>
            </w:r>
          </w:p>
          <w:p w14:paraId="409E140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施工期间，运输车辆大部分使用汽（柴）油作为燃料，尾气产生量与污染物含量相对较高，为了减轻尾气对周围环境的影响，施工单位应采取如下措施进行尾气控制：</w:t>
            </w:r>
          </w:p>
          <w:p w14:paraId="3DF3DE9B">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①选用尾气排放达到国家规定的排放标准的施工车辆、施工机械，使用优质燃料；</w:t>
            </w:r>
          </w:p>
          <w:p w14:paraId="49C8697F">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②运输线路尽量不穿越人群集中居住区。</w:t>
            </w:r>
          </w:p>
        </w:tc>
        <w:tc>
          <w:tcPr>
            <w:tcW w:w="819" w:type="pct"/>
            <w:vAlign w:val="center"/>
          </w:tcPr>
          <w:p w14:paraId="71152D5D">
            <w:pPr>
              <w:wordWrap w:val="0"/>
              <w:adjustRightInd w:val="0"/>
              <w:rPr>
                <w:rFonts w:hint="eastAsia" w:ascii="Times New Roman" w:hAnsi="Times New Roman" w:eastAsia="宋体" w:cs="Times New Roman"/>
                <w:bCs/>
                <w:color w:val="000000" w:themeColor="text1"/>
                <w:szCs w:val="21"/>
                <w:highlight w:val="none"/>
                <w:lang w:eastAsia="zh-CN"/>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满足《四川省施工场地扬尘排放标准》（DB51/2682-2020）</w:t>
            </w:r>
            <w:r>
              <w:rPr>
                <w:rFonts w:hint="eastAsia" w:cs="Times New Roman"/>
                <w:bCs/>
                <w:color w:val="000000" w:themeColor="text1"/>
                <w:szCs w:val="21"/>
                <w:highlight w:val="none"/>
                <w:lang w:val="en-US" w:eastAsia="zh-CN"/>
                <w14:textFill>
                  <w14:solidFill>
                    <w14:schemeClr w14:val="tx1"/>
                  </w14:solidFill>
                </w14:textFill>
              </w:rPr>
              <w:t>与</w:t>
            </w:r>
            <w:r>
              <w:rPr>
                <w:rFonts w:hint="eastAsia"/>
                <w:bCs/>
                <w:color w:val="000000" w:themeColor="text1"/>
                <w:szCs w:val="21"/>
                <w:highlight w:val="none"/>
                <w14:textFill>
                  <w14:solidFill>
                    <w14:schemeClr w14:val="tx1"/>
                  </w14:solidFill>
                </w14:textFill>
              </w:rPr>
              <w:t>《大气污染物综合排放标准》（GB16297-1996）中</w:t>
            </w:r>
            <w:r>
              <w:rPr>
                <w:rFonts w:hint="default" w:ascii="Times New Roman" w:hAnsi="Times New Roman" w:cs="Times New Roman"/>
                <w:bCs/>
                <w:color w:val="000000" w:themeColor="text1"/>
                <w:szCs w:val="21"/>
                <w:highlight w:val="none"/>
                <w14:textFill>
                  <w14:solidFill>
                    <w14:schemeClr w14:val="tx1"/>
                  </w14:solidFill>
                </w14:textFill>
              </w:rPr>
              <w:t>标准限值要求</w:t>
            </w:r>
            <w:r>
              <w:rPr>
                <w:rFonts w:hint="eastAsia" w:cs="Times New Roman"/>
                <w:bCs/>
                <w:color w:val="000000" w:themeColor="text1"/>
                <w:szCs w:val="21"/>
                <w:highlight w:val="none"/>
                <w:lang w:eastAsia="zh-CN"/>
                <w14:textFill>
                  <w14:solidFill>
                    <w14:schemeClr w14:val="tx1"/>
                  </w14:solidFill>
                </w14:textFill>
              </w:rPr>
              <w:t>。</w:t>
            </w:r>
          </w:p>
        </w:tc>
        <w:tc>
          <w:tcPr>
            <w:tcW w:w="1414" w:type="pct"/>
            <w:vAlign w:val="center"/>
          </w:tcPr>
          <w:p w14:paraId="584C7982">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735" w:type="pct"/>
            <w:vAlign w:val="center"/>
          </w:tcPr>
          <w:p w14:paraId="74837839">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r>
      <w:tr w14:paraId="4A6731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65978E74">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固体废物</w:t>
            </w:r>
          </w:p>
        </w:tc>
        <w:tc>
          <w:tcPr>
            <w:tcW w:w="1638" w:type="pct"/>
            <w:vAlign w:val="center"/>
          </w:tcPr>
          <w:p w14:paraId="5104DA74">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①本项目变电站工程可以做到土石方平衡，线路工程产生余方就地进行平整回填，本项目不设置弃土场、取土场。</w:t>
            </w:r>
          </w:p>
          <w:p w14:paraId="5060BFBA">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②施工场地应及时进行清理和固体废物清运，不得丢弃在施工现场。</w:t>
            </w:r>
          </w:p>
          <w:p w14:paraId="34F5B358">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③生活垃圾集中收集后交由环卫统一清运，为避免施工垃圾及生活垃圾对环境造成影响，在工程施工前应做好施工机构及施工人员的环保培训。明确要求施工过程中的建筑垃圾及生活垃圾应分别收集堆放，其中建筑垃圾可回收部分回收利用，不能回收利用的部分运至指定的市政建筑垃圾堆场处置。</w:t>
            </w:r>
          </w:p>
        </w:tc>
        <w:tc>
          <w:tcPr>
            <w:tcW w:w="819" w:type="pct"/>
            <w:vAlign w:val="center"/>
          </w:tcPr>
          <w:p w14:paraId="11C62D40">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各类固体废物分类收集处置</w:t>
            </w:r>
          </w:p>
        </w:tc>
        <w:tc>
          <w:tcPr>
            <w:tcW w:w="1414" w:type="pct"/>
            <w:vAlign w:val="center"/>
          </w:tcPr>
          <w:p w14:paraId="6BD187FA">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①</w:t>
            </w:r>
            <w:r>
              <w:rPr>
                <w:rFonts w:hint="default" w:ascii="Times New Roman" w:hAnsi="Times New Roman" w:cs="Times New Roman"/>
                <w:color w:val="000000" w:themeColor="text1"/>
                <w:szCs w:val="21"/>
                <w:highlight w:val="none"/>
                <w14:textFill>
                  <w14:solidFill>
                    <w14:schemeClr w14:val="tx1"/>
                  </w14:solidFill>
                </w14:textFill>
              </w:rPr>
              <w:t>一般固废</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本项目司城110kV变电站按无人值班站进行设计，建成后仅设置1名门卫常驻站内，产生的少量生活垃圾经门卫自行收集后由当地环卫部门收集处理。</w:t>
            </w:r>
          </w:p>
          <w:p w14:paraId="6B214C28">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②</w:t>
            </w:r>
            <w:r>
              <w:rPr>
                <w:rFonts w:hint="default" w:ascii="Times New Roman" w:hAnsi="Times New Roman" w:cs="Times New Roman"/>
                <w:color w:val="000000" w:themeColor="text1"/>
                <w:szCs w:val="21"/>
                <w:highlight w:val="none"/>
                <w14:textFill>
                  <w14:solidFill>
                    <w14:schemeClr w14:val="tx1"/>
                  </w14:solidFill>
                </w14:textFill>
              </w:rPr>
              <w:t>废事故油</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变电站主变压器事故工况时产生事故油，主变压器下设有事故油坑，站内设有事故油池（具有油水分离功能）。当出现事故时主变压器事故油进入事故油坑后通过事故油管引入事故油池，其中事故油中可回收部分由建设单位回收再利用，不可回收部分（即废事故油）采用专用密封容器盛装后运送至国网巴中供电公司枣林危废暂存间，定期交由有危险废物处置资质的单位进行处置，不外排。</w:t>
            </w:r>
          </w:p>
          <w:p w14:paraId="2DE0172F">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③</w:t>
            </w:r>
            <w:r>
              <w:rPr>
                <w:rFonts w:hint="default" w:ascii="Times New Roman" w:hAnsi="Times New Roman" w:cs="Times New Roman"/>
                <w:color w:val="000000" w:themeColor="text1"/>
                <w:szCs w:val="21"/>
                <w:highlight w:val="none"/>
                <w14:textFill>
                  <w14:solidFill>
                    <w14:schemeClr w14:val="tx1"/>
                  </w14:solidFill>
                </w14:textFill>
              </w:rPr>
              <w:t>废铅蓄电池</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建设单位在日常检修中不定期检测蓄电池电压，若性能满足要求则继续使用，对性能不达标的蓄电池，则进行报废，报废的废铅蓄电池按危险废物管理，产生后随即委托相关单位日产日清，不在变电站内暂存。按照《危险废物转移管理办法》有关规定，禁止在转移过程中擅自拆解、破碎、丢弃废铅蓄电池。最终交由相应危废处理资质的单位转运处理。</w:t>
            </w:r>
          </w:p>
        </w:tc>
        <w:tc>
          <w:tcPr>
            <w:tcW w:w="735" w:type="pct"/>
            <w:vAlign w:val="center"/>
          </w:tcPr>
          <w:p w14:paraId="39103DD6">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各类固体废物均不外排，并得到有效处置</w:t>
            </w:r>
          </w:p>
        </w:tc>
      </w:tr>
      <w:tr w14:paraId="3E0D6D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3CD479FA">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电磁环境</w:t>
            </w:r>
          </w:p>
        </w:tc>
        <w:tc>
          <w:tcPr>
            <w:tcW w:w="1638" w:type="pct"/>
            <w:vAlign w:val="center"/>
          </w:tcPr>
          <w:p w14:paraId="389A568F">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819" w:type="pct"/>
            <w:vAlign w:val="center"/>
          </w:tcPr>
          <w:p w14:paraId="2D027E0E">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1414" w:type="pct"/>
            <w:vAlign w:val="center"/>
          </w:tcPr>
          <w:p w14:paraId="4065217B">
            <w:pP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变电站：</w:t>
            </w:r>
          </w:p>
          <w:p w14:paraId="72ED5FF0">
            <w:pPr>
              <w:wordWrap w:val="0"/>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①将变电站内电气设备接地，以减小电磁场场强。</w:t>
            </w:r>
          </w:p>
          <w:p w14:paraId="04AB0D67">
            <w:pPr>
              <w:wordWrap w:val="0"/>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②配电装置采用HGIS组合电器，将各类开关、连线母线组合密封起来，可以大大减少占地，并且对工频电场、工频磁场有很好的屏蔽作用。</w:t>
            </w:r>
          </w:p>
          <w:p w14:paraId="51011C50">
            <w:pPr>
              <w:wordWrap w:val="0"/>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③站内平行导线的相序排列避免同相布置，尽量减少同相母线交叉与相同转角布置，可以减少电磁环境影响。</w:t>
            </w:r>
          </w:p>
          <w:p w14:paraId="102069D0">
            <w:pPr>
              <w:wordWrap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输电线路：</w:t>
            </w:r>
          </w:p>
          <w:p w14:paraId="1CC52F00">
            <w:pPr>
              <w:wordWrap w:val="0"/>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①新建110kV输电线路工程评价范围内有居民存在，110kV输电线路在经过非居民区时架设档距中央最大弧垂处导线高度不低于6m，在经过居民区时架设档距中央最大弧垂处导线高度不低于7m。线路Ⅰ利旧段导线设计架设高度不低于9m；跨越建筑物处导线与建筑物屋顶距离不低于5m。</w:t>
            </w:r>
          </w:p>
          <w:p w14:paraId="25D98699">
            <w:pPr>
              <w:wordWrap w:val="0"/>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②新建双回塔单边挂线段现有的导线排列方式为垂直排列，未来与另一侧预留线路可形成垂直逆相序排列。</w:t>
            </w:r>
          </w:p>
          <w:p w14:paraId="5E5B2729">
            <w:pPr>
              <w:wordWrap w:val="0"/>
              <w:rPr>
                <w:rFonts w:hint="eastAsia"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③线路选择时尽量避开敏感点，在与其它电力线、通信线、公路等交叉跨越时严格按规程要求留有净空距离。</w:t>
            </w:r>
          </w:p>
          <w:p w14:paraId="5DC99E2C">
            <w:pPr>
              <w:wordWrap w:val="0"/>
              <w:rPr>
                <w:rFonts w:hint="default" w:ascii="Times New Roman" w:hAnsi="Times New Roman"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④合理选择导线截面积和相导线结构，降低线路的电磁环境影响。</w:t>
            </w:r>
          </w:p>
        </w:tc>
        <w:tc>
          <w:tcPr>
            <w:tcW w:w="735" w:type="pct"/>
            <w:vAlign w:val="center"/>
          </w:tcPr>
          <w:p w14:paraId="1A39CA0F">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变电站四周和输电线路沿线电场强度≤4</w:t>
            </w:r>
            <w:r>
              <w:rPr>
                <w:rFonts w:hint="eastAsia" w:ascii="Times New Roman" w:hAnsi="Times New Roman" w:cs="Times New Roman"/>
                <w:color w:val="000000" w:themeColor="text1"/>
                <w:szCs w:val="21"/>
                <w:highlight w:val="none"/>
                <w:lang w:val="en-US" w:eastAsia="zh-CN"/>
                <w14:textFill>
                  <w14:solidFill>
                    <w14:schemeClr w14:val="tx1"/>
                  </w14:solidFill>
                </w14:textFill>
              </w:rPr>
              <w:t>000</w:t>
            </w:r>
            <w:r>
              <w:rPr>
                <w:rFonts w:hint="default" w:ascii="Times New Roman" w:hAnsi="Times New Roman" w:cs="Times New Roman"/>
                <w:color w:val="000000" w:themeColor="text1"/>
                <w:szCs w:val="21"/>
                <w:highlight w:val="none"/>
                <w14:textFill>
                  <w14:solidFill>
                    <w14:schemeClr w14:val="tx1"/>
                  </w14:solidFill>
                </w14:textFill>
              </w:rPr>
              <w:t>V/m，磁感应强度≤100μT</w:t>
            </w:r>
          </w:p>
        </w:tc>
      </w:tr>
      <w:tr w14:paraId="07A5E6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662ED225">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环境风险</w:t>
            </w:r>
          </w:p>
        </w:tc>
        <w:tc>
          <w:tcPr>
            <w:tcW w:w="1638" w:type="pct"/>
            <w:vAlign w:val="center"/>
          </w:tcPr>
          <w:p w14:paraId="340E0DE8">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819" w:type="pct"/>
            <w:vAlign w:val="center"/>
          </w:tcPr>
          <w:p w14:paraId="39670C73">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1414" w:type="pct"/>
            <w:vAlign w:val="center"/>
          </w:tcPr>
          <w:p w14:paraId="77FA25B1">
            <w:pPr>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①事故油池容积不小于</w:t>
            </w:r>
            <w:r>
              <w:rPr>
                <w:rFonts w:hint="eastAsia" w:ascii="Times New Roman" w:hAnsi="Times New Roman" w:cs="Times New Roman"/>
                <w:color w:val="000000" w:themeColor="text1"/>
                <w:szCs w:val="21"/>
                <w:highlight w:val="none"/>
                <w:lang w:val="en-US" w:eastAsia="zh-CN"/>
                <w14:textFill>
                  <w14:solidFill>
                    <w14:schemeClr w14:val="tx1"/>
                  </w14:solidFill>
                </w14:textFill>
              </w:rPr>
              <w:t>30</w:t>
            </w:r>
            <w:r>
              <w:rPr>
                <w:rFonts w:hint="default" w:ascii="Times New Roman" w:hAnsi="Times New Roman" w:cs="Times New Roman"/>
                <w:color w:val="000000" w:themeColor="text1"/>
                <w:szCs w:val="21"/>
                <w:highlight w:val="none"/>
                <w14:textFill>
                  <w14:solidFill>
                    <w14:schemeClr w14:val="tx1"/>
                  </w14:solidFill>
                </w14:textFill>
              </w:rPr>
              <w:t>m</w:t>
            </w:r>
            <w:r>
              <w:rPr>
                <w:rFonts w:hint="default" w:ascii="Times New Roman" w:hAnsi="Times New Roman" w:cs="Times New Roman"/>
                <w:color w:val="000000" w:themeColor="text1"/>
                <w:szCs w:val="21"/>
                <w:highlight w:val="none"/>
                <w:vertAlign w:val="superscript"/>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w:t>
            </w:r>
          </w:p>
          <w:p w14:paraId="263099BE">
            <w:pPr>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②每台主变事故油坑容积不小于5m</w:t>
            </w:r>
            <w:r>
              <w:rPr>
                <w:rFonts w:hint="default" w:ascii="Times New Roman" w:hAnsi="Times New Roman" w:cs="Times New Roman"/>
                <w:color w:val="000000" w:themeColor="text1"/>
                <w:szCs w:val="21"/>
                <w:highlight w:val="none"/>
                <w:vertAlign w:val="superscript"/>
                <w14:textFill>
                  <w14:solidFill>
                    <w14:schemeClr w14:val="tx1"/>
                  </w14:solidFill>
                </w14:textFill>
              </w:rPr>
              <w:t>3</w:t>
            </w:r>
            <w:r>
              <w:rPr>
                <w:rFonts w:hint="default" w:ascii="Times New Roman" w:hAnsi="Times New Roman" w:cs="Times New Roman"/>
                <w:color w:val="000000" w:themeColor="text1"/>
                <w:szCs w:val="21"/>
                <w:highlight w:val="none"/>
                <w14:textFill>
                  <w14:solidFill>
                    <w14:schemeClr w14:val="tx1"/>
                  </w14:solidFill>
                </w14:textFill>
              </w:rPr>
              <w:t>。</w:t>
            </w:r>
          </w:p>
        </w:tc>
        <w:tc>
          <w:tcPr>
            <w:tcW w:w="735" w:type="pct"/>
            <w:vAlign w:val="center"/>
          </w:tcPr>
          <w:p w14:paraId="0313F778">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满足《火力发电厂与变电站设计防火标准》（GB50229-2019）的相关要求</w:t>
            </w:r>
          </w:p>
        </w:tc>
      </w:tr>
      <w:tr w14:paraId="7D15B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362DD919">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环境监测</w:t>
            </w:r>
          </w:p>
        </w:tc>
        <w:tc>
          <w:tcPr>
            <w:tcW w:w="1638" w:type="pct"/>
            <w:vAlign w:val="center"/>
          </w:tcPr>
          <w:p w14:paraId="69913A8D">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819" w:type="pct"/>
            <w:vAlign w:val="center"/>
          </w:tcPr>
          <w:p w14:paraId="52C7F25A">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1414" w:type="pct"/>
            <w:vAlign w:val="center"/>
          </w:tcPr>
          <w:p w14:paraId="3EEF71A4">
            <w:pPr>
              <w:wordWrap w:val="0"/>
              <w:adjustRightInd w:val="0"/>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项目竣工验收时在正常运行工况下的电磁场和噪声的监测</w:t>
            </w:r>
            <w:r>
              <w:rPr>
                <w:rFonts w:hint="eastAsia" w:ascii="Times New Roman" w:hAnsi="Times New Roman" w:cs="Times New Roman"/>
                <w:color w:val="000000" w:themeColor="text1"/>
                <w:szCs w:val="21"/>
                <w:highlight w:val="none"/>
                <w:lang w:eastAsia="zh-CN"/>
                <w14:textFill>
                  <w14:solidFill>
                    <w14:schemeClr w14:val="tx1"/>
                  </w14:solidFill>
                </w14:textFill>
              </w:rPr>
              <w:t>。</w:t>
            </w:r>
          </w:p>
        </w:tc>
        <w:tc>
          <w:tcPr>
            <w:tcW w:w="735" w:type="pct"/>
            <w:vAlign w:val="center"/>
          </w:tcPr>
          <w:p w14:paraId="6002ED01">
            <w:pPr>
              <w:wordWrap w:val="0"/>
              <w:adjustRightInd w:val="0"/>
              <w:rPr>
                <w:rFonts w:hint="default" w:ascii="Times New Roman" w:hAnsi="Times New Roman" w:cs="Times New Roman"/>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详见第三章“评价标准”</w:t>
            </w:r>
          </w:p>
        </w:tc>
      </w:tr>
      <w:tr w14:paraId="4215FC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0E038A7F">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其他</w:t>
            </w:r>
          </w:p>
        </w:tc>
        <w:tc>
          <w:tcPr>
            <w:tcW w:w="1638" w:type="pct"/>
            <w:vAlign w:val="center"/>
          </w:tcPr>
          <w:p w14:paraId="59FD039B">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819" w:type="pct"/>
            <w:vAlign w:val="center"/>
          </w:tcPr>
          <w:p w14:paraId="7404F99B">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1414" w:type="pct"/>
            <w:vAlign w:val="center"/>
          </w:tcPr>
          <w:p w14:paraId="335663CC">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c>
          <w:tcPr>
            <w:tcW w:w="735" w:type="pct"/>
            <w:vAlign w:val="center"/>
          </w:tcPr>
          <w:p w14:paraId="3DD51A47">
            <w:pPr>
              <w:wordWrap w:val="0"/>
              <w:adjustRightInd w:val="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w:t>
            </w:r>
          </w:p>
        </w:tc>
      </w:tr>
    </w:tbl>
    <w:p w14:paraId="660DF01F">
      <w:pPr>
        <w:rPr>
          <w:color w:val="FF0000"/>
        </w:rPr>
      </w:pPr>
    </w:p>
    <w:p w14:paraId="434CBBBE">
      <w:pPr>
        <w:rPr>
          <w:color w:val="FF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47AC23B">
      <w:pPr>
        <w:pStyle w:val="22"/>
        <w:spacing w:before="0" w:beforeAutospacing="0" w:after="0" w:afterAutospacing="0" w:line="360" w:lineRule="auto"/>
        <w:jc w:val="center"/>
        <w:outlineLvl w:val="0"/>
        <w:rPr>
          <w:rFonts w:ascii="Times New Roman" w:hAnsi="Times New Roman" w:eastAsia="黑体"/>
          <w:snapToGrid w:val="0"/>
          <w:color w:val="auto"/>
          <w:sz w:val="30"/>
          <w:szCs w:val="30"/>
        </w:rPr>
      </w:pPr>
      <w:bookmarkStart w:id="51" w:name="_Toc63026910"/>
      <w:r>
        <w:rPr>
          <w:rFonts w:ascii="Times New Roman" w:hAnsi="Times New Roman" w:eastAsia="黑体"/>
          <w:snapToGrid w:val="0"/>
          <w:color w:val="auto"/>
          <w:sz w:val="30"/>
          <w:szCs w:val="30"/>
        </w:rPr>
        <w:t>七、结论</w:t>
      </w:r>
      <w:bookmarkEnd w:id="51"/>
    </w:p>
    <w:tbl>
      <w:tblPr>
        <w:tblStyle w:val="2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1BF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4E7B108">
            <w:pPr>
              <w:spacing w:line="360" w:lineRule="auto"/>
              <w:ind w:firstLine="420" w:firstLineChars="200"/>
              <w:rPr>
                <w:color w:val="auto"/>
                <w:szCs w:val="21"/>
              </w:rPr>
            </w:pPr>
            <w:r>
              <w:rPr>
                <w:rFonts w:hint="eastAsia" w:eastAsia="黑体"/>
                <w:color w:val="auto"/>
                <w:szCs w:val="21"/>
              </w:rPr>
              <w:t>本项目</w:t>
            </w:r>
            <w:r>
              <w:rPr>
                <w:rFonts w:eastAsia="黑体"/>
                <w:color w:val="auto"/>
                <w:szCs w:val="21"/>
              </w:rPr>
              <w:t>的建设</w:t>
            </w:r>
            <w:r>
              <w:rPr>
                <w:rFonts w:hint="eastAsia" w:eastAsia="黑体"/>
                <w:color w:val="auto"/>
                <w:szCs w:val="21"/>
              </w:rPr>
              <w:t>是为了</w:t>
            </w:r>
            <w:r>
              <w:rPr>
                <w:rFonts w:eastAsia="黑体"/>
                <w:color w:val="auto"/>
                <w:szCs w:val="21"/>
              </w:rPr>
              <w:t>满足</w:t>
            </w:r>
            <w:r>
              <w:rPr>
                <w:rFonts w:hint="eastAsia" w:eastAsia="黑体"/>
                <w:color w:val="auto"/>
                <w:szCs w:val="21"/>
              </w:rPr>
              <w:t>区域</w:t>
            </w:r>
            <w:r>
              <w:rPr>
                <w:rFonts w:eastAsia="黑体"/>
                <w:color w:val="auto"/>
                <w:szCs w:val="21"/>
              </w:rPr>
              <w:t>用电需要，对当地经济建设和社会发展有重要意义。本项目建设及运营的技术成熟、可靠；工程区域及评价范围的声、生态、电磁等环境质量现状较好，没有制约本工程建设的环境要素。本项目选址选线已得到相关部门的同意，满足当地城乡建设规划要求；本工程属</w:t>
            </w:r>
            <w:r>
              <w:rPr>
                <w:rFonts w:hint="eastAsia" w:eastAsia="黑体"/>
                <w:color w:val="auto"/>
                <w:szCs w:val="21"/>
              </w:rPr>
              <w:t>《产业结构调整指导目录（20</w:t>
            </w:r>
            <w:r>
              <w:rPr>
                <w:rFonts w:hint="eastAsia" w:eastAsia="黑体"/>
                <w:color w:val="auto"/>
                <w:szCs w:val="21"/>
                <w:lang w:val="en-US" w:eastAsia="zh-CN"/>
              </w:rPr>
              <w:t>24</w:t>
            </w:r>
            <w:r>
              <w:rPr>
                <w:rFonts w:hint="eastAsia" w:eastAsia="黑体"/>
                <w:color w:val="auto"/>
                <w:szCs w:val="21"/>
              </w:rPr>
              <w:t>年本）》</w:t>
            </w:r>
            <w:r>
              <w:rPr>
                <w:rFonts w:eastAsia="黑体"/>
                <w:color w:val="auto"/>
                <w:szCs w:val="21"/>
              </w:rPr>
              <w:t>明确的鼓励类项目，符合国家现行产业政策。本项工程施工期的环境影响较小，对工程运营期可能产生的工频电场、工频磁场和噪声等主要环境影响，均满足相关评价标准，同时可采取相应环保措施予以缓解或消除。通过认真落实“报告表”和项目设计中提出的各项环保措施要求，可缓解或消除工程建设可能产生的不利环境影响。从环境保护角度分析，</w:t>
            </w:r>
            <w:r>
              <w:rPr>
                <w:rFonts w:hint="eastAsia" w:eastAsia="黑体"/>
                <w:color w:val="auto"/>
                <w:szCs w:val="21"/>
                <w:lang w:val="en-US" w:eastAsia="zh-CN"/>
              </w:rPr>
              <w:t>巴中恩阳司城</w:t>
            </w:r>
            <w:r>
              <w:rPr>
                <w:rFonts w:hint="eastAsia" w:eastAsia="黑体"/>
                <w:color w:val="auto"/>
                <w:szCs w:val="21"/>
                <w:lang w:eastAsia="zh-CN"/>
              </w:rPr>
              <w:t>110</w:t>
            </w:r>
            <w:r>
              <w:rPr>
                <w:rFonts w:hint="eastAsia" w:eastAsia="黑体"/>
                <w:color w:val="auto"/>
                <w:szCs w:val="21"/>
                <w:lang w:val="en-US" w:eastAsia="zh-CN"/>
              </w:rPr>
              <w:t>千伏</w:t>
            </w:r>
            <w:r>
              <w:rPr>
                <w:rFonts w:hint="eastAsia" w:eastAsia="黑体"/>
                <w:color w:val="auto"/>
                <w:szCs w:val="21"/>
                <w:lang w:eastAsia="zh-CN"/>
              </w:rPr>
              <w:t>输变电工程</w:t>
            </w:r>
            <w:r>
              <w:rPr>
                <w:rFonts w:eastAsia="黑体"/>
                <w:color w:val="auto"/>
                <w:szCs w:val="21"/>
              </w:rPr>
              <w:t>的建设是可行的。</w:t>
            </w:r>
          </w:p>
          <w:p w14:paraId="24FFD260">
            <w:pPr>
              <w:spacing w:line="360" w:lineRule="auto"/>
              <w:rPr>
                <w:color w:val="auto"/>
                <w:szCs w:val="21"/>
              </w:rPr>
            </w:pPr>
          </w:p>
          <w:p w14:paraId="5C525A2D">
            <w:pPr>
              <w:spacing w:line="360" w:lineRule="auto"/>
              <w:rPr>
                <w:color w:val="auto"/>
                <w:szCs w:val="21"/>
              </w:rPr>
            </w:pPr>
          </w:p>
          <w:p w14:paraId="34A3ADFB">
            <w:pPr>
              <w:spacing w:line="360" w:lineRule="auto"/>
              <w:rPr>
                <w:color w:val="auto"/>
                <w:szCs w:val="21"/>
              </w:rPr>
            </w:pPr>
          </w:p>
          <w:p w14:paraId="72476FF2">
            <w:pPr>
              <w:spacing w:line="360" w:lineRule="auto"/>
              <w:rPr>
                <w:color w:val="auto"/>
                <w:szCs w:val="21"/>
              </w:rPr>
            </w:pPr>
          </w:p>
          <w:p w14:paraId="7E5AA782">
            <w:pPr>
              <w:spacing w:line="360" w:lineRule="auto"/>
              <w:rPr>
                <w:color w:val="auto"/>
                <w:szCs w:val="21"/>
              </w:rPr>
            </w:pPr>
          </w:p>
          <w:p w14:paraId="4F8FDC8D">
            <w:pPr>
              <w:spacing w:line="360" w:lineRule="auto"/>
              <w:rPr>
                <w:color w:val="auto"/>
                <w:szCs w:val="21"/>
              </w:rPr>
            </w:pPr>
          </w:p>
          <w:p w14:paraId="33F1D8EA">
            <w:pPr>
              <w:spacing w:line="360" w:lineRule="auto"/>
              <w:rPr>
                <w:color w:val="auto"/>
                <w:szCs w:val="21"/>
              </w:rPr>
            </w:pPr>
          </w:p>
          <w:p w14:paraId="51598932">
            <w:pPr>
              <w:spacing w:line="360" w:lineRule="auto"/>
              <w:rPr>
                <w:color w:val="auto"/>
                <w:szCs w:val="21"/>
              </w:rPr>
            </w:pPr>
          </w:p>
          <w:p w14:paraId="66DD9D5D">
            <w:pPr>
              <w:spacing w:line="360" w:lineRule="auto"/>
              <w:rPr>
                <w:color w:val="auto"/>
                <w:szCs w:val="21"/>
              </w:rPr>
            </w:pPr>
          </w:p>
          <w:p w14:paraId="3A72D238">
            <w:pPr>
              <w:spacing w:line="360" w:lineRule="auto"/>
              <w:rPr>
                <w:color w:val="auto"/>
                <w:szCs w:val="21"/>
              </w:rPr>
            </w:pPr>
          </w:p>
          <w:p w14:paraId="49FFC94A">
            <w:pPr>
              <w:spacing w:line="360" w:lineRule="auto"/>
              <w:rPr>
                <w:color w:val="auto"/>
                <w:szCs w:val="21"/>
              </w:rPr>
            </w:pPr>
          </w:p>
          <w:p w14:paraId="4A553B61">
            <w:pPr>
              <w:spacing w:line="360" w:lineRule="auto"/>
              <w:rPr>
                <w:color w:val="auto"/>
                <w:szCs w:val="21"/>
              </w:rPr>
            </w:pPr>
          </w:p>
          <w:p w14:paraId="3D480543">
            <w:pPr>
              <w:spacing w:line="360" w:lineRule="auto"/>
              <w:rPr>
                <w:color w:val="auto"/>
                <w:szCs w:val="21"/>
              </w:rPr>
            </w:pPr>
          </w:p>
          <w:p w14:paraId="69694BBC">
            <w:pPr>
              <w:spacing w:line="360" w:lineRule="auto"/>
              <w:rPr>
                <w:color w:val="auto"/>
                <w:szCs w:val="21"/>
              </w:rPr>
            </w:pPr>
          </w:p>
          <w:p w14:paraId="747D0BCB">
            <w:pPr>
              <w:spacing w:line="360" w:lineRule="auto"/>
              <w:rPr>
                <w:color w:val="auto"/>
                <w:szCs w:val="21"/>
              </w:rPr>
            </w:pPr>
          </w:p>
          <w:p w14:paraId="2C5EA249">
            <w:pPr>
              <w:spacing w:line="360" w:lineRule="auto"/>
              <w:rPr>
                <w:color w:val="auto"/>
                <w:szCs w:val="21"/>
              </w:rPr>
            </w:pPr>
          </w:p>
          <w:p w14:paraId="3F2806DC">
            <w:pPr>
              <w:rPr>
                <w:color w:val="auto"/>
                <w:szCs w:val="21"/>
              </w:rPr>
            </w:pPr>
          </w:p>
          <w:p w14:paraId="1F505D57">
            <w:pPr>
              <w:rPr>
                <w:color w:val="auto"/>
                <w:szCs w:val="21"/>
              </w:rPr>
            </w:pPr>
          </w:p>
          <w:p w14:paraId="63CF97D1">
            <w:pPr>
              <w:rPr>
                <w:color w:val="auto"/>
                <w:szCs w:val="21"/>
              </w:rPr>
            </w:pPr>
          </w:p>
          <w:p w14:paraId="1177F9DB">
            <w:pPr>
              <w:rPr>
                <w:color w:val="auto"/>
                <w:szCs w:val="21"/>
              </w:rPr>
            </w:pPr>
          </w:p>
        </w:tc>
      </w:tr>
    </w:tbl>
    <w:p w14:paraId="4B2DBEA9">
      <w:pPr>
        <w:rPr>
          <w:color w:val="FF0000"/>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D8908A-7757-4FBC-9D48-ABCF8C29927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2" w:fontKey="{2847F223-D600-494A-B575-03C784D878CD}"/>
  </w:font>
  <w:font w:name="Calibri">
    <w:panose1 w:val="020F0502020204030204"/>
    <w:charset w:val="00"/>
    <w:family w:val="swiss"/>
    <w:pitch w:val="default"/>
    <w:sig w:usb0="E00002FF" w:usb1="4000ACFF" w:usb2="00000001" w:usb3="00000000" w:csb0="2000019F" w:csb1="00000000"/>
    <w:embedRegular r:id="rId3" w:fontKey="{F5A9D73F-B5CB-4EF8-BA5C-7397A9504ACB}"/>
  </w:font>
  <w:font w:name="仿宋_GB2312">
    <w:panose1 w:val="02010609030101010101"/>
    <w:charset w:val="86"/>
    <w:family w:val="modern"/>
    <w:pitch w:val="default"/>
    <w:sig w:usb0="00000001" w:usb1="080E0000" w:usb2="00000000" w:usb3="00000000" w:csb0="00040000" w:csb1="00000000"/>
    <w:embedRegular r:id="rId4" w:fontKey="{0B040D9D-DBA0-42E3-9982-261ED4E4BE79}"/>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embedRegular r:id="rId5" w:fontKey="{6ECC515A-B2C6-479E-A224-021349D0EF5B}"/>
  </w:font>
  <w:font w:name="方正小标宋简体">
    <w:panose1 w:val="03000509000000000000"/>
    <w:charset w:val="86"/>
    <w:family w:val="auto"/>
    <w:pitch w:val="default"/>
    <w:sig w:usb0="00000001" w:usb1="080E0000" w:usb2="00000000" w:usb3="00000000" w:csb0="00040000" w:csb1="00000000"/>
    <w:embedRegular r:id="rId6" w:fontKey="{D650CEF4-CCE1-4BD4-9119-FB546FD1A798}"/>
  </w:font>
  <w:font w:name="楷体">
    <w:panose1 w:val="02010609060101010101"/>
    <w:charset w:val="86"/>
    <w:family w:val="modern"/>
    <w:pitch w:val="default"/>
    <w:sig w:usb0="800002BF" w:usb1="38CF7CFA" w:usb2="00000016" w:usb3="00000000" w:csb0="00040001" w:csb1="00000000"/>
    <w:embedRegular r:id="rId7" w:fontKey="{D6C62036-EB20-40BC-A7E0-B2005AAA27B5}"/>
  </w:font>
  <w:font w:name="楷体_GB2312">
    <w:panose1 w:val="02010609030101010101"/>
    <w:charset w:val="86"/>
    <w:family w:val="modern"/>
    <w:pitch w:val="default"/>
    <w:sig w:usb0="00000001" w:usb1="080E0000" w:usb2="00000000" w:usb3="00000000" w:csb0="00040000" w:csb1="00000000"/>
    <w:embedRegular r:id="rId8" w:fontKey="{7F0E88E5-D0B3-458B-8B05-BF0A088A4E8D}"/>
  </w:font>
  <w:font w:name="Wingdings 2">
    <w:panose1 w:val="05020102010507070707"/>
    <w:charset w:val="02"/>
    <w:family w:val="roman"/>
    <w:pitch w:val="default"/>
    <w:sig w:usb0="00000000" w:usb1="00000000" w:usb2="00000000" w:usb3="00000000" w:csb0="80000000" w:csb1="00000000"/>
    <w:embedRegular r:id="rId9" w:fontKey="{D2214C81-7CB4-4C3B-BEDD-10E0D1117C71}"/>
  </w:font>
  <w:font w:name="等线">
    <w:panose1 w:val="02010600030101010101"/>
    <w:charset w:val="86"/>
    <w:family w:val="auto"/>
    <w:pitch w:val="default"/>
    <w:sig w:usb0="A00002BF" w:usb1="38CF7CFA" w:usb2="00000016" w:usb3="00000000" w:csb0="0004000F" w:csb1="00000000"/>
    <w:embedRegular r:id="rId10" w:fontKey="{0FC4497D-EE5A-49C8-A5E4-238B6CA439D7}"/>
  </w:font>
  <w:font w:name="WPSEMBED1">
    <w:panose1 w:val="05020102010507070707"/>
    <w:charset w:val="00"/>
    <w:family w:val="auto"/>
    <w:pitch w:val="default"/>
    <w:sig w:usb0="00000000" w:usb1="00000000" w:usb2="00000000" w:usb3="00000000" w:csb0="80000000" w:csb1="00000000"/>
  </w:font>
  <w:font w:name="Gulim">
    <w:panose1 w:val="020B0600000101010101"/>
    <w:charset w:val="81"/>
    <w:family w:val="auto"/>
    <w:pitch w:val="default"/>
    <w:sig w:usb0="B00002AF" w:usb1="69D77CFB" w:usb2="00000030" w:usb3="00000000" w:csb0="4008009F" w:csb1="DFD70000"/>
  </w:font>
  <w:font w:name="WPSEMBED2">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B65B2">
    <w:pPr>
      <w:pStyle w:val="16"/>
      <w:framePr w:wrap="around" w:vAnchor="text" w:hAnchor="margin" w:xAlign="center" w:y="1"/>
      <w:rPr>
        <w:rStyle w:val="29"/>
      </w:rPr>
    </w:pPr>
    <w:r>
      <w:fldChar w:fldCharType="begin"/>
    </w:r>
    <w:r>
      <w:rPr>
        <w:rStyle w:val="29"/>
      </w:rPr>
      <w:instrText xml:space="preserve">PAGE  </w:instrText>
    </w:r>
    <w:r>
      <w:fldChar w:fldCharType="end"/>
    </w:r>
  </w:p>
  <w:p w14:paraId="1627C5F4">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23FD3">
    <w:pPr>
      <w:pStyle w:val="16"/>
      <w:jc w:val="center"/>
    </w:pPr>
  </w:p>
  <w:p w14:paraId="78A09FCC">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08680965"/>
    </w:sdtPr>
    <w:sdtContent>
      <w:p w14:paraId="65462658">
        <w:pPr>
          <w:pStyle w:val="16"/>
          <w:jc w:val="center"/>
        </w:pPr>
        <w:r>
          <w:fldChar w:fldCharType="begin"/>
        </w:r>
        <w:r>
          <w:instrText xml:space="preserve">PAGE   \* MERGEFORMAT</w:instrText>
        </w:r>
        <w:r>
          <w:fldChar w:fldCharType="separate"/>
        </w:r>
        <w:r>
          <w:rPr>
            <w:lang w:val="zh-CN"/>
          </w:rPr>
          <w:t>117</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55EE8">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7BBC4B"/>
    <w:multiLevelType w:val="singleLevel"/>
    <w:tmpl w:val="A27BBC4B"/>
    <w:lvl w:ilvl="0" w:tentative="0">
      <w:start w:val="1"/>
      <w:numFmt w:val="decimal"/>
      <w:suff w:val="nothing"/>
      <w:lvlText w:val="%1、"/>
      <w:lvlJc w:val="left"/>
    </w:lvl>
  </w:abstractNum>
  <w:abstractNum w:abstractNumId="1">
    <w:nsid w:val="A64F1537"/>
    <w:multiLevelType w:val="singleLevel"/>
    <w:tmpl w:val="A64F1537"/>
    <w:lvl w:ilvl="0" w:tentative="0">
      <w:start w:val="4"/>
      <w:numFmt w:val="decimal"/>
      <w:suff w:val="nothing"/>
      <w:lvlText w:val="%1）"/>
      <w:lvlJc w:val="left"/>
    </w:lvl>
  </w:abstractNum>
  <w:abstractNum w:abstractNumId="2">
    <w:nsid w:val="AC801BFA"/>
    <w:multiLevelType w:val="singleLevel"/>
    <w:tmpl w:val="AC801BFA"/>
    <w:lvl w:ilvl="0" w:tentative="0">
      <w:start w:val="1"/>
      <w:numFmt w:val="decimal"/>
      <w:suff w:val="nothing"/>
      <w:lvlText w:val="%1、"/>
      <w:lvlJc w:val="left"/>
    </w:lvl>
  </w:abstractNum>
  <w:abstractNum w:abstractNumId="3">
    <w:nsid w:val="C20292A8"/>
    <w:multiLevelType w:val="singleLevel"/>
    <w:tmpl w:val="C20292A8"/>
    <w:lvl w:ilvl="0" w:tentative="0">
      <w:start w:val="1"/>
      <w:numFmt w:val="decimal"/>
      <w:suff w:val="nothing"/>
      <w:lvlText w:val="%1、"/>
      <w:lvlJc w:val="left"/>
    </w:lvl>
  </w:abstractNum>
  <w:abstractNum w:abstractNumId="4">
    <w:nsid w:val="C74721BE"/>
    <w:multiLevelType w:val="singleLevel"/>
    <w:tmpl w:val="C74721BE"/>
    <w:lvl w:ilvl="0" w:tentative="0">
      <w:start w:val="1"/>
      <w:numFmt w:val="decimal"/>
      <w:suff w:val="nothing"/>
      <w:lvlText w:val="%1、"/>
      <w:lvlJc w:val="left"/>
    </w:lvl>
  </w:abstractNum>
  <w:abstractNum w:abstractNumId="5">
    <w:nsid w:val="C9B9552A"/>
    <w:multiLevelType w:val="singleLevel"/>
    <w:tmpl w:val="C9B9552A"/>
    <w:lvl w:ilvl="0" w:tentative="0">
      <w:start w:val="1"/>
      <w:numFmt w:val="decimal"/>
      <w:suff w:val="nothing"/>
      <w:lvlText w:val="%1、"/>
      <w:lvlJc w:val="left"/>
    </w:lvl>
  </w:abstractNum>
  <w:abstractNum w:abstractNumId="6">
    <w:nsid w:val="CDD9BA69"/>
    <w:multiLevelType w:val="singleLevel"/>
    <w:tmpl w:val="CDD9BA69"/>
    <w:lvl w:ilvl="0" w:tentative="0">
      <w:start w:val="1"/>
      <w:numFmt w:val="decimal"/>
      <w:suff w:val="nothing"/>
      <w:lvlText w:val="%1、"/>
      <w:lvlJc w:val="left"/>
    </w:lvl>
  </w:abstractNum>
  <w:abstractNum w:abstractNumId="7">
    <w:nsid w:val="E6DCA0A7"/>
    <w:multiLevelType w:val="singleLevel"/>
    <w:tmpl w:val="E6DCA0A7"/>
    <w:lvl w:ilvl="0" w:tentative="0">
      <w:start w:val="1"/>
      <w:numFmt w:val="decimal"/>
      <w:suff w:val="nothing"/>
      <w:lvlText w:val="%1、"/>
      <w:lvlJc w:val="left"/>
    </w:lvl>
  </w:abstractNum>
  <w:abstractNum w:abstractNumId="8">
    <w:nsid w:val="0BC228DE"/>
    <w:multiLevelType w:val="singleLevel"/>
    <w:tmpl w:val="0BC228DE"/>
    <w:lvl w:ilvl="0" w:tentative="0">
      <w:start w:val="1"/>
      <w:numFmt w:val="decimal"/>
      <w:suff w:val="nothing"/>
      <w:lvlText w:val="%1、"/>
      <w:lvlJc w:val="left"/>
    </w:lvl>
  </w:abstractNum>
  <w:abstractNum w:abstractNumId="9">
    <w:nsid w:val="0D4E7964"/>
    <w:multiLevelType w:val="singleLevel"/>
    <w:tmpl w:val="0D4E7964"/>
    <w:lvl w:ilvl="0" w:tentative="0">
      <w:start w:val="1"/>
      <w:numFmt w:val="decimal"/>
      <w:suff w:val="nothing"/>
      <w:lvlText w:val="%1、"/>
      <w:lvlJc w:val="left"/>
    </w:lvl>
  </w:abstractNum>
  <w:abstractNum w:abstractNumId="10">
    <w:nsid w:val="0D8A456D"/>
    <w:multiLevelType w:val="singleLevel"/>
    <w:tmpl w:val="0D8A456D"/>
    <w:lvl w:ilvl="0" w:tentative="0">
      <w:start w:val="1"/>
      <w:numFmt w:val="decimal"/>
      <w:suff w:val="nothing"/>
      <w:lvlText w:val="%1、"/>
      <w:lvlJc w:val="left"/>
    </w:lvl>
  </w:abstractNum>
  <w:abstractNum w:abstractNumId="11">
    <w:nsid w:val="184013E8"/>
    <w:multiLevelType w:val="singleLevel"/>
    <w:tmpl w:val="184013E8"/>
    <w:lvl w:ilvl="0" w:tentative="0">
      <w:start w:val="1"/>
      <w:numFmt w:val="decimal"/>
      <w:suff w:val="nothing"/>
      <w:lvlText w:val="%1、"/>
      <w:lvlJc w:val="left"/>
    </w:lvl>
  </w:abstractNum>
  <w:abstractNum w:abstractNumId="12">
    <w:nsid w:val="207DB527"/>
    <w:multiLevelType w:val="singleLevel"/>
    <w:tmpl w:val="207DB527"/>
    <w:lvl w:ilvl="0" w:tentative="0">
      <w:start w:val="1"/>
      <w:numFmt w:val="decimal"/>
      <w:suff w:val="nothing"/>
      <w:lvlText w:val="%1、"/>
      <w:lvlJc w:val="left"/>
    </w:lvl>
  </w:abstractNum>
  <w:abstractNum w:abstractNumId="13">
    <w:nsid w:val="2B2AC744"/>
    <w:multiLevelType w:val="singleLevel"/>
    <w:tmpl w:val="2B2AC744"/>
    <w:lvl w:ilvl="0" w:tentative="0">
      <w:start w:val="1"/>
      <w:numFmt w:val="decimal"/>
      <w:suff w:val="nothing"/>
      <w:lvlText w:val="%1、"/>
      <w:lvlJc w:val="left"/>
    </w:lvl>
  </w:abstractNum>
  <w:abstractNum w:abstractNumId="14">
    <w:nsid w:val="2E8A1E16"/>
    <w:multiLevelType w:val="singleLevel"/>
    <w:tmpl w:val="2E8A1E16"/>
    <w:lvl w:ilvl="0" w:tentative="0">
      <w:start w:val="1"/>
      <w:numFmt w:val="decimal"/>
      <w:suff w:val="nothing"/>
      <w:lvlText w:val="%1、"/>
      <w:lvlJc w:val="left"/>
    </w:lvl>
  </w:abstractNum>
  <w:abstractNum w:abstractNumId="15">
    <w:nsid w:val="32AB8B66"/>
    <w:multiLevelType w:val="singleLevel"/>
    <w:tmpl w:val="32AB8B66"/>
    <w:lvl w:ilvl="0" w:tentative="0">
      <w:start w:val="1"/>
      <w:numFmt w:val="decimal"/>
      <w:suff w:val="nothing"/>
      <w:lvlText w:val="%1、"/>
      <w:lvlJc w:val="left"/>
    </w:lvl>
  </w:abstractNum>
  <w:abstractNum w:abstractNumId="16">
    <w:nsid w:val="48ADFBCA"/>
    <w:multiLevelType w:val="singleLevel"/>
    <w:tmpl w:val="48ADFBCA"/>
    <w:lvl w:ilvl="0" w:tentative="0">
      <w:start w:val="1"/>
      <w:numFmt w:val="decimal"/>
      <w:suff w:val="nothing"/>
      <w:lvlText w:val="%1、"/>
      <w:lvlJc w:val="left"/>
    </w:lvl>
  </w:abstractNum>
  <w:abstractNum w:abstractNumId="17">
    <w:nsid w:val="50AF454B"/>
    <w:multiLevelType w:val="multilevel"/>
    <w:tmpl w:val="50AF454B"/>
    <w:lvl w:ilvl="0" w:tentative="0">
      <w:start w:val="1"/>
      <w:numFmt w:val="decimal"/>
      <w:suff w:val="space"/>
      <w:lvlText w:val="%1"/>
      <w:lvlJc w:val="left"/>
      <w:pPr>
        <w:ind w:left="0" w:firstLine="0"/>
      </w:pPr>
      <w:rPr>
        <w:rFonts w:hint="default" w:ascii="Times New Roman" w:hAnsi="Times New Roman" w:eastAsia="仿宋_GB2312" w:cs="仿宋_GB2312"/>
        <w:b/>
        <w:bCs/>
        <w:sz w:val="32"/>
        <w:szCs w:val="32"/>
      </w:rPr>
    </w:lvl>
    <w:lvl w:ilvl="1" w:tentative="0">
      <w:start w:val="1"/>
      <w:numFmt w:val="decimal"/>
      <w:pStyle w:val="3"/>
      <w:lvlText w:val="%1.%2"/>
      <w:lvlJc w:val="left"/>
      <w:pPr>
        <w:ind w:left="575" w:hanging="575"/>
      </w:pPr>
      <w:rPr>
        <w:rFonts w:hint="default" w:ascii="Times New Roman" w:hAnsi="Times New Roman" w:eastAsia="仿宋_GB2312" w:cs="仿宋_GB2312"/>
        <w:b/>
        <w:bCs/>
        <w:sz w:val="30"/>
        <w:szCs w:val="30"/>
      </w:rPr>
    </w:lvl>
    <w:lvl w:ilvl="2" w:tentative="0">
      <w:start w:val="1"/>
      <w:numFmt w:val="decimal"/>
      <w:lvlText w:val="%1.%2.%3"/>
      <w:lvlJc w:val="left"/>
      <w:pPr>
        <w:ind w:left="720" w:hanging="720"/>
      </w:pPr>
      <w:rPr>
        <w:rFonts w:hint="default" w:ascii="Times New Roman" w:hAnsi="Times New Roman" w:eastAsia="仿宋_GB2312" w:cs="仿宋_GB2312"/>
        <w:b/>
        <w:bCs/>
        <w:sz w:val="28"/>
        <w:szCs w:val="28"/>
      </w:rPr>
    </w:lvl>
    <w:lvl w:ilvl="3" w:tentative="0">
      <w:start w:val="1"/>
      <w:numFmt w:val="decimal"/>
      <w:lvlText w:val="%1.%2.%3.%4"/>
      <w:lvlJc w:val="left"/>
      <w:pPr>
        <w:ind w:left="864" w:hanging="864"/>
      </w:pPr>
      <w:rPr>
        <w:rFonts w:hint="default" w:ascii="Times New Roman" w:hAnsi="Times New Roman" w:eastAsia="仿宋_GB2312" w:cs="仿宋_GB2312"/>
        <w:b/>
        <w:bCs/>
        <w:sz w:val="24"/>
        <w:szCs w:val="24"/>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8">
    <w:nsid w:val="532B16E3"/>
    <w:multiLevelType w:val="singleLevel"/>
    <w:tmpl w:val="532B16E3"/>
    <w:lvl w:ilvl="0" w:tentative="0">
      <w:start w:val="1"/>
      <w:numFmt w:val="decimal"/>
      <w:suff w:val="nothing"/>
      <w:lvlText w:val="%1、"/>
      <w:lvlJc w:val="left"/>
    </w:lvl>
  </w:abstractNum>
  <w:abstractNum w:abstractNumId="19">
    <w:nsid w:val="5A0C468E"/>
    <w:multiLevelType w:val="singleLevel"/>
    <w:tmpl w:val="5A0C468E"/>
    <w:lvl w:ilvl="0" w:tentative="0">
      <w:start w:val="1"/>
      <w:numFmt w:val="decimal"/>
      <w:suff w:val="nothing"/>
      <w:lvlText w:val="%1、"/>
      <w:lvlJc w:val="left"/>
    </w:lvl>
  </w:abstractNum>
  <w:abstractNum w:abstractNumId="20">
    <w:nsid w:val="5A46B709"/>
    <w:multiLevelType w:val="singleLevel"/>
    <w:tmpl w:val="5A46B709"/>
    <w:lvl w:ilvl="0" w:tentative="0">
      <w:start w:val="1"/>
      <w:numFmt w:val="decimal"/>
      <w:suff w:val="nothing"/>
      <w:lvlText w:val="%1、"/>
      <w:lvlJc w:val="left"/>
    </w:lvl>
  </w:abstractNum>
  <w:abstractNum w:abstractNumId="21">
    <w:nsid w:val="7AFDC6BB"/>
    <w:multiLevelType w:val="singleLevel"/>
    <w:tmpl w:val="7AFDC6BB"/>
    <w:lvl w:ilvl="0" w:tentative="0">
      <w:start w:val="1"/>
      <w:numFmt w:val="decimal"/>
      <w:suff w:val="nothing"/>
      <w:lvlText w:val="%1、"/>
      <w:lvlJc w:val="left"/>
    </w:lvl>
  </w:abstractNum>
  <w:abstractNum w:abstractNumId="22">
    <w:nsid w:val="7D1FCB39"/>
    <w:multiLevelType w:val="singleLevel"/>
    <w:tmpl w:val="7D1FCB39"/>
    <w:lvl w:ilvl="0" w:tentative="0">
      <w:start w:val="1"/>
      <w:numFmt w:val="decimal"/>
      <w:suff w:val="nothing"/>
      <w:lvlText w:val="%1、"/>
      <w:lvlJc w:val="left"/>
    </w:lvl>
  </w:abstractNum>
  <w:abstractNum w:abstractNumId="23">
    <w:nsid w:val="7F736AA2"/>
    <w:multiLevelType w:val="singleLevel"/>
    <w:tmpl w:val="7F736AA2"/>
    <w:lvl w:ilvl="0" w:tentative="0">
      <w:start w:val="1"/>
      <w:numFmt w:val="decimal"/>
      <w:suff w:val="nothing"/>
      <w:lvlText w:val="%1、"/>
      <w:lvlJc w:val="left"/>
    </w:lvl>
  </w:abstractNum>
  <w:num w:numId="1">
    <w:abstractNumId w:val="17"/>
  </w:num>
  <w:num w:numId="2">
    <w:abstractNumId w:val="12"/>
  </w:num>
  <w:num w:numId="3">
    <w:abstractNumId w:val="16"/>
  </w:num>
  <w:num w:numId="4">
    <w:abstractNumId w:val="2"/>
  </w:num>
  <w:num w:numId="5">
    <w:abstractNumId w:val="23"/>
  </w:num>
  <w:num w:numId="6">
    <w:abstractNumId w:val="9"/>
  </w:num>
  <w:num w:numId="7">
    <w:abstractNumId w:val="20"/>
  </w:num>
  <w:num w:numId="8">
    <w:abstractNumId w:val="22"/>
  </w:num>
  <w:num w:numId="9">
    <w:abstractNumId w:val="18"/>
  </w:num>
  <w:num w:numId="10">
    <w:abstractNumId w:val="6"/>
  </w:num>
  <w:num w:numId="11">
    <w:abstractNumId w:val="8"/>
  </w:num>
  <w:num w:numId="12">
    <w:abstractNumId w:val="11"/>
  </w:num>
  <w:num w:numId="13">
    <w:abstractNumId w:val="21"/>
  </w:num>
  <w:num w:numId="14">
    <w:abstractNumId w:val="4"/>
  </w:num>
  <w:num w:numId="15">
    <w:abstractNumId w:val="15"/>
  </w:num>
  <w:num w:numId="16">
    <w:abstractNumId w:val="10"/>
  </w:num>
  <w:num w:numId="17">
    <w:abstractNumId w:val="0"/>
  </w:num>
  <w:num w:numId="18">
    <w:abstractNumId w:val="5"/>
  </w:num>
  <w:num w:numId="19">
    <w:abstractNumId w:val="3"/>
  </w:num>
  <w:num w:numId="20">
    <w:abstractNumId w:val="14"/>
  </w:num>
  <w:num w:numId="21">
    <w:abstractNumId w:val="13"/>
  </w:num>
  <w:num w:numId="22">
    <w:abstractNumId w:val="7"/>
  </w:num>
  <w:num w:numId="23">
    <w:abstractNumId w:val="1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5NmZhZDNlZWMyNTcyNmZlOWI5YjliNDI4NTIwY2MifQ=="/>
  </w:docVars>
  <w:rsids>
    <w:rsidRoot w:val="00172A27"/>
    <w:rsid w:val="00000A4A"/>
    <w:rsid w:val="00002243"/>
    <w:rsid w:val="00003619"/>
    <w:rsid w:val="00003734"/>
    <w:rsid w:val="0000412E"/>
    <w:rsid w:val="0000580B"/>
    <w:rsid w:val="0000710E"/>
    <w:rsid w:val="00007AF9"/>
    <w:rsid w:val="00007E35"/>
    <w:rsid w:val="00010FD8"/>
    <w:rsid w:val="0001100C"/>
    <w:rsid w:val="00011BA3"/>
    <w:rsid w:val="00012346"/>
    <w:rsid w:val="00013076"/>
    <w:rsid w:val="000138B8"/>
    <w:rsid w:val="000150BD"/>
    <w:rsid w:val="00015923"/>
    <w:rsid w:val="0001755B"/>
    <w:rsid w:val="00024303"/>
    <w:rsid w:val="000255FA"/>
    <w:rsid w:val="0002633A"/>
    <w:rsid w:val="000272B1"/>
    <w:rsid w:val="00030C6C"/>
    <w:rsid w:val="00031917"/>
    <w:rsid w:val="000336EE"/>
    <w:rsid w:val="00033C5A"/>
    <w:rsid w:val="00034A00"/>
    <w:rsid w:val="00034EC2"/>
    <w:rsid w:val="0003520B"/>
    <w:rsid w:val="00036401"/>
    <w:rsid w:val="00036925"/>
    <w:rsid w:val="00040DAE"/>
    <w:rsid w:val="000429C3"/>
    <w:rsid w:val="00042D98"/>
    <w:rsid w:val="000453F8"/>
    <w:rsid w:val="000455FE"/>
    <w:rsid w:val="00047990"/>
    <w:rsid w:val="0005069C"/>
    <w:rsid w:val="0005159C"/>
    <w:rsid w:val="00052012"/>
    <w:rsid w:val="000532FE"/>
    <w:rsid w:val="0005403B"/>
    <w:rsid w:val="000564F9"/>
    <w:rsid w:val="0006135D"/>
    <w:rsid w:val="000616BA"/>
    <w:rsid w:val="000621EB"/>
    <w:rsid w:val="00062EE1"/>
    <w:rsid w:val="0006354C"/>
    <w:rsid w:val="00063E23"/>
    <w:rsid w:val="000644DE"/>
    <w:rsid w:val="00066AD4"/>
    <w:rsid w:val="00067735"/>
    <w:rsid w:val="00070C81"/>
    <w:rsid w:val="00071EC9"/>
    <w:rsid w:val="00071F00"/>
    <w:rsid w:val="000733A9"/>
    <w:rsid w:val="00073AC2"/>
    <w:rsid w:val="00076659"/>
    <w:rsid w:val="0007737C"/>
    <w:rsid w:val="0008128D"/>
    <w:rsid w:val="00082295"/>
    <w:rsid w:val="00083518"/>
    <w:rsid w:val="000852CB"/>
    <w:rsid w:val="00087504"/>
    <w:rsid w:val="00090CF9"/>
    <w:rsid w:val="00091528"/>
    <w:rsid w:val="0009199D"/>
    <w:rsid w:val="00093D19"/>
    <w:rsid w:val="0009434A"/>
    <w:rsid w:val="00094729"/>
    <w:rsid w:val="00095935"/>
    <w:rsid w:val="0009672F"/>
    <w:rsid w:val="000A00D8"/>
    <w:rsid w:val="000A2A4D"/>
    <w:rsid w:val="000A3FAF"/>
    <w:rsid w:val="000A43D6"/>
    <w:rsid w:val="000A5011"/>
    <w:rsid w:val="000A59D1"/>
    <w:rsid w:val="000A6720"/>
    <w:rsid w:val="000A6C33"/>
    <w:rsid w:val="000A6E17"/>
    <w:rsid w:val="000B0D46"/>
    <w:rsid w:val="000B1820"/>
    <w:rsid w:val="000B1B85"/>
    <w:rsid w:val="000B2709"/>
    <w:rsid w:val="000B2A6D"/>
    <w:rsid w:val="000B46EE"/>
    <w:rsid w:val="000B4EE0"/>
    <w:rsid w:val="000B7738"/>
    <w:rsid w:val="000C0100"/>
    <w:rsid w:val="000C06B6"/>
    <w:rsid w:val="000C09AD"/>
    <w:rsid w:val="000C230E"/>
    <w:rsid w:val="000C3430"/>
    <w:rsid w:val="000C36D4"/>
    <w:rsid w:val="000C48A2"/>
    <w:rsid w:val="000C7397"/>
    <w:rsid w:val="000C77DF"/>
    <w:rsid w:val="000C7ABC"/>
    <w:rsid w:val="000D0039"/>
    <w:rsid w:val="000D13D2"/>
    <w:rsid w:val="000D2527"/>
    <w:rsid w:val="000D6733"/>
    <w:rsid w:val="000E0006"/>
    <w:rsid w:val="000E2E4B"/>
    <w:rsid w:val="000E3465"/>
    <w:rsid w:val="000E3787"/>
    <w:rsid w:val="000E4C07"/>
    <w:rsid w:val="000E4E08"/>
    <w:rsid w:val="000E6461"/>
    <w:rsid w:val="000E7241"/>
    <w:rsid w:val="000F200D"/>
    <w:rsid w:val="000F259C"/>
    <w:rsid w:val="000F28DF"/>
    <w:rsid w:val="000F33B1"/>
    <w:rsid w:val="000F69D0"/>
    <w:rsid w:val="000F712A"/>
    <w:rsid w:val="00102A2A"/>
    <w:rsid w:val="00102AAE"/>
    <w:rsid w:val="001067B2"/>
    <w:rsid w:val="00106975"/>
    <w:rsid w:val="00110AA4"/>
    <w:rsid w:val="0011152F"/>
    <w:rsid w:val="001120D6"/>
    <w:rsid w:val="0011431D"/>
    <w:rsid w:val="00114722"/>
    <w:rsid w:val="00114937"/>
    <w:rsid w:val="00116927"/>
    <w:rsid w:val="00116AB9"/>
    <w:rsid w:val="00120E25"/>
    <w:rsid w:val="001218EC"/>
    <w:rsid w:val="001228AC"/>
    <w:rsid w:val="00123222"/>
    <w:rsid w:val="00123C25"/>
    <w:rsid w:val="0012521C"/>
    <w:rsid w:val="001255CD"/>
    <w:rsid w:val="001301C8"/>
    <w:rsid w:val="00130941"/>
    <w:rsid w:val="0013113E"/>
    <w:rsid w:val="00132C30"/>
    <w:rsid w:val="0013494E"/>
    <w:rsid w:val="00134AD1"/>
    <w:rsid w:val="00136B9D"/>
    <w:rsid w:val="00137B52"/>
    <w:rsid w:val="00137B96"/>
    <w:rsid w:val="001413E5"/>
    <w:rsid w:val="00142E75"/>
    <w:rsid w:val="001430ED"/>
    <w:rsid w:val="0014436E"/>
    <w:rsid w:val="00145C4C"/>
    <w:rsid w:val="00146A68"/>
    <w:rsid w:val="001521C7"/>
    <w:rsid w:val="001522C3"/>
    <w:rsid w:val="00152898"/>
    <w:rsid w:val="00152D67"/>
    <w:rsid w:val="00153313"/>
    <w:rsid w:val="001547FD"/>
    <w:rsid w:val="00155E62"/>
    <w:rsid w:val="00156450"/>
    <w:rsid w:val="001606B5"/>
    <w:rsid w:val="0016182B"/>
    <w:rsid w:val="0016290F"/>
    <w:rsid w:val="00162FFD"/>
    <w:rsid w:val="00163E28"/>
    <w:rsid w:val="00164B84"/>
    <w:rsid w:val="001720CC"/>
    <w:rsid w:val="00172A27"/>
    <w:rsid w:val="001754FE"/>
    <w:rsid w:val="001759FE"/>
    <w:rsid w:val="00175FD7"/>
    <w:rsid w:val="001769A4"/>
    <w:rsid w:val="00181DC2"/>
    <w:rsid w:val="0018510A"/>
    <w:rsid w:val="00190366"/>
    <w:rsid w:val="0019044B"/>
    <w:rsid w:val="00190F9D"/>
    <w:rsid w:val="001965C1"/>
    <w:rsid w:val="001A03B6"/>
    <w:rsid w:val="001A1592"/>
    <w:rsid w:val="001A66E7"/>
    <w:rsid w:val="001A6CA6"/>
    <w:rsid w:val="001A6E61"/>
    <w:rsid w:val="001B2A0F"/>
    <w:rsid w:val="001B4656"/>
    <w:rsid w:val="001B48C1"/>
    <w:rsid w:val="001B4C7F"/>
    <w:rsid w:val="001B5DE8"/>
    <w:rsid w:val="001C2F03"/>
    <w:rsid w:val="001C3A36"/>
    <w:rsid w:val="001C53F6"/>
    <w:rsid w:val="001C6F1E"/>
    <w:rsid w:val="001D16C9"/>
    <w:rsid w:val="001D5027"/>
    <w:rsid w:val="001D622F"/>
    <w:rsid w:val="001D65A5"/>
    <w:rsid w:val="001D661C"/>
    <w:rsid w:val="001D77BA"/>
    <w:rsid w:val="001D78D1"/>
    <w:rsid w:val="001E173D"/>
    <w:rsid w:val="001E1A19"/>
    <w:rsid w:val="001E1DA1"/>
    <w:rsid w:val="001E26AE"/>
    <w:rsid w:val="001E47CE"/>
    <w:rsid w:val="001E5687"/>
    <w:rsid w:val="001E6D4B"/>
    <w:rsid w:val="001F0C90"/>
    <w:rsid w:val="001F2BA9"/>
    <w:rsid w:val="001F4958"/>
    <w:rsid w:val="001F5B9F"/>
    <w:rsid w:val="001F6948"/>
    <w:rsid w:val="001F737A"/>
    <w:rsid w:val="001F7940"/>
    <w:rsid w:val="00201165"/>
    <w:rsid w:val="0020223F"/>
    <w:rsid w:val="0021015D"/>
    <w:rsid w:val="00212272"/>
    <w:rsid w:val="00214CA6"/>
    <w:rsid w:val="002157DE"/>
    <w:rsid w:val="0022026C"/>
    <w:rsid w:val="002205BB"/>
    <w:rsid w:val="002220D6"/>
    <w:rsid w:val="002225A6"/>
    <w:rsid w:val="002230E7"/>
    <w:rsid w:val="00223A36"/>
    <w:rsid w:val="0022436E"/>
    <w:rsid w:val="002255FF"/>
    <w:rsid w:val="002302BE"/>
    <w:rsid w:val="00231679"/>
    <w:rsid w:val="002327DE"/>
    <w:rsid w:val="00232CF8"/>
    <w:rsid w:val="00232D34"/>
    <w:rsid w:val="00233375"/>
    <w:rsid w:val="0023381C"/>
    <w:rsid w:val="00234A5A"/>
    <w:rsid w:val="002362AB"/>
    <w:rsid w:val="00237A6E"/>
    <w:rsid w:val="00242549"/>
    <w:rsid w:val="00242605"/>
    <w:rsid w:val="00243382"/>
    <w:rsid w:val="002515BD"/>
    <w:rsid w:val="00252C2C"/>
    <w:rsid w:val="00254469"/>
    <w:rsid w:val="00255F0E"/>
    <w:rsid w:val="00257A5B"/>
    <w:rsid w:val="00257EAC"/>
    <w:rsid w:val="00260B6F"/>
    <w:rsid w:val="00261936"/>
    <w:rsid w:val="00261E9B"/>
    <w:rsid w:val="00261F73"/>
    <w:rsid w:val="0026676E"/>
    <w:rsid w:val="00267757"/>
    <w:rsid w:val="002704D3"/>
    <w:rsid w:val="0027129C"/>
    <w:rsid w:val="00271E95"/>
    <w:rsid w:val="002726B4"/>
    <w:rsid w:val="0027648B"/>
    <w:rsid w:val="0028076E"/>
    <w:rsid w:val="00280C40"/>
    <w:rsid w:val="002811BE"/>
    <w:rsid w:val="002816D0"/>
    <w:rsid w:val="00282307"/>
    <w:rsid w:val="00283690"/>
    <w:rsid w:val="00286603"/>
    <w:rsid w:val="002923B6"/>
    <w:rsid w:val="002944B5"/>
    <w:rsid w:val="00295C95"/>
    <w:rsid w:val="00295D55"/>
    <w:rsid w:val="00297756"/>
    <w:rsid w:val="002A2D85"/>
    <w:rsid w:val="002A34D8"/>
    <w:rsid w:val="002A39C4"/>
    <w:rsid w:val="002A3FCE"/>
    <w:rsid w:val="002A57B4"/>
    <w:rsid w:val="002B03A6"/>
    <w:rsid w:val="002B19F3"/>
    <w:rsid w:val="002B3901"/>
    <w:rsid w:val="002B4EB4"/>
    <w:rsid w:val="002B5015"/>
    <w:rsid w:val="002B734C"/>
    <w:rsid w:val="002C28D1"/>
    <w:rsid w:val="002C3876"/>
    <w:rsid w:val="002C3A96"/>
    <w:rsid w:val="002C4CF9"/>
    <w:rsid w:val="002C4E2E"/>
    <w:rsid w:val="002C78AD"/>
    <w:rsid w:val="002C7B1E"/>
    <w:rsid w:val="002D15F5"/>
    <w:rsid w:val="002D2783"/>
    <w:rsid w:val="002D3117"/>
    <w:rsid w:val="002D47E6"/>
    <w:rsid w:val="002D65F9"/>
    <w:rsid w:val="002D66B8"/>
    <w:rsid w:val="002D7FA2"/>
    <w:rsid w:val="002E1203"/>
    <w:rsid w:val="002E5234"/>
    <w:rsid w:val="002E5638"/>
    <w:rsid w:val="002E794C"/>
    <w:rsid w:val="002E7C36"/>
    <w:rsid w:val="002F1495"/>
    <w:rsid w:val="002F4781"/>
    <w:rsid w:val="002F4D97"/>
    <w:rsid w:val="002F558C"/>
    <w:rsid w:val="002F5651"/>
    <w:rsid w:val="002F56C5"/>
    <w:rsid w:val="002F63C8"/>
    <w:rsid w:val="00304273"/>
    <w:rsid w:val="00304FBD"/>
    <w:rsid w:val="00305F48"/>
    <w:rsid w:val="003060B7"/>
    <w:rsid w:val="00313ACB"/>
    <w:rsid w:val="003141D0"/>
    <w:rsid w:val="003149F5"/>
    <w:rsid w:val="00315936"/>
    <w:rsid w:val="00316026"/>
    <w:rsid w:val="00316EC9"/>
    <w:rsid w:val="0031750B"/>
    <w:rsid w:val="00320173"/>
    <w:rsid w:val="00322C71"/>
    <w:rsid w:val="00326769"/>
    <w:rsid w:val="00326DD3"/>
    <w:rsid w:val="00330280"/>
    <w:rsid w:val="003302E8"/>
    <w:rsid w:val="0033243B"/>
    <w:rsid w:val="00332FB2"/>
    <w:rsid w:val="003408FD"/>
    <w:rsid w:val="003409DA"/>
    <w:rsid w:val="00341A0B"/>
    <w:rsid w:val="00341E35"/>
    <w:rsid w:val="003441B3"/>
    <w:rsid w:val="0034450B"/>
    <w:rsid w:val="00344704"/>
    <w:rsid w:val="00345214"/>
    <w:rsid w:val="00346F58"/>
    <w:rsid w:val="003476AE"/>
    <w:rsid w:val="00350DEF"/>
    <w:rsid w:val="00351063"/>
    <w:rsid w:val="0035214A"/>
    <w:rsid w:val="00352675"/>
    <w:rsid w:val="00354E59"/>
    <w:rsid w:val="00356CAD"/>
    <w:rsid w:val="00360C1C"/>
    <w:rsid w:val="0036141E"/>
    <w:rsid w:val="00361A17"/>
    <w:rsid w:val="0036313A"/>
    <w:rsid w:val="003638B6"/>
    <w:rsid w:val="00363D22"/>
    <w:rsid w:val="00366275"/>
    <w:rsid w:val="00366FC3"/>
    <w:rsid w:val="00367074"/>
    <w:rsid w:val="00373B62"/>
    <w:rsid w:val="0037693B"/>
    <w:rsid w:val="0037788A"/>
    <w:rsid w:val="00380300"/>
    <w:rsid w:val="0038106F"/>
    <w:rsid w:val="00381AB6"/>
    <w:rsid w:val="00382BB4"/>
    <w:rsid w:val="0038412F"/>
    <w:rsid w:val="0039336C"/>
    <w:rsid w:val="003941F4"/>
    <w:rsid w:val="00395426"/>
    <w:rsid w:val="00395BF6"/>
    <w:rsid w:val="00395D3C"/>
    <w:rsid w:val="0039651E"/>
    <w:rsid w:val="0039716F"/>
    <w:rsid w:val="0039731C"/>
    <w:rsid w:val="003A0ECC"/>
    <w:rsid w:val="003A1564"/>
    <w:rsid w:val="003A1F09"/>
    <w:rsid w:val="003A3F19"/>
    <w:rsid w:val="003A42FA"/>
    <w:rsid w:val="003A4F95"/>
    <w:rsid w:val="003A6926"/>
    <w:rsid w:val="003A6CAA"/>
    <w:rsid w:val="003A6D70"/>
    <w:rsid w:val="003A70FF"/>
    <w:rsid w:val="003A7ACF"/>
    <w:rsid w:val="003A7F8F"/>
    <w:rsid w:val="003B0E65"/>
    <w:rsid w:val="003B23F4"/>
    <w:rsid w:val="003B2608"/>
    <w:rsid w:val="003B3ABF"/>
    <w:rsid w:val="003B608F"/>
    <w:rsid w:val="003B6DFB"/>
    <w:rsid w:val="003B764D"/>
    <w:rsid w:val="003C0BB3"/>
    <w:rsid w:val="003C2C62"/>
    <w:rsid w:val="003C309F"/>
    <w:rsid w:val="003C3BE4"/>
    <w:rsid w:val="003C68C4"/>
    <w:rsid w:val="003C6F9D"/>
    <w:rsid w:val="003C7077"/>
    <w:rsid w:val="003D0FAA"/>
    <w:rsid w:val="003D1008"/>
    <w:rsid w:val="003D1211"/>
    <w:rsid w:val="003D28A4"/>
    <w:rsid w:val="003D2ACB"/>
    <w:rsid w:val="003D7066"/>
    <w:rsid w:val="003D74EE"/>
    <w:rsid w:val="003E606D"/>
    <w:rsid w:val="003F0256"/>
    <w:rsid w:val="003F0F26"/>
    <w:rsid w:val="003F2D8B"/>
    <w:rsid w:val="003F3B46"/>
    <w:rsid w:val="003F469D"/>
    <w:rsid w:val="003F6279"/>
    <w:rsid w:val="003F66CE"/>
    <w:rsid w:val="003F7685"/>
    <w:rsid w:val="003F79B8"/>
    <w:rsid w:val="003F7C25"/>
    <w:rsid w:val="00401ED4"/>
    <w:rsid w:val="00405472"/>
    <w:rsid w:val="00406C63"/>
    <w:rsid w:val="004108D4"/>
    <w:rsid w:val="00412DD8"/>
    <w:rsid w:val="00414730"/>
    <w:rsid w:val="00414871"/>
    <w:rsid w:val="00414F7F"/>
    <w:rsid w:val="004156FE"/>
    <w:rsid w:val="004206AF"/>
    <w:rsid w:val="00420847"/>
    <w:rsid w:val="00420C04"/>
    <w:rsid w:val="004213B4"/>
    <w:rsid w:val="004227E0"/>
    <w:rsid w:val="00422B43"/>
    <w:rsid w:val="00425EEE"/>
    <w:rsid w:val="004267AF"/>
    <w:rsid w:val="0042707F"/>
    <w:rsid w:val="0043059D"/>
    <w:rsid w:val="00430ED9"/>
    <w:rsid w:val="00430F18"/>
    <w:rsid w:val="0043139E"/>
    <w:rsid w:val="00432031"/>
    <w:rsid w:val="00432909"/>
    <w:rsid w:val="00433881"/>
    <w:rsid w:val="004346C4"/>
    <w:rsid w:val="00434CFD"/>
    <w:rsid w:val="00437C3D"/>
    <w:rsid w:val="004421A3"/>
    <w:rsid w:val="00443337"/>
    <w:rsid w:val="004450DE"/>
    <w:rsid w:val="004451F6"/>
    <w:rsid w:val="00446BB1"/>
    <w:rsid w:val="00446D4B"/>
    <w:rsid w:val="00447527"/>
    <w:rsid w:val="004478FF"/>
    <w:rsid w:val="004509E3"/>
    <w:rsid w:val="004517C1"/>
    <w:rsid w:val="00455C42"/>
    <w:rsid w:val="0045678D"/>
    <w:rsid w:val="004569C6"/>
    <w:rsid w:val="00456DD0"/>
    <w:rsid w:val="00460105"/>
    <w:rsid w:val="004612F4"/>
    <w:rsid w:val="00461392"/>
    <w:rsid w:val="00462130"/>
    <w:rsid w:val="004624CE"/>
    <w:rsid w:val="00463733"/>
    <w:rsid w:val="0046550B"/>
    <w:rsid w:val="00470447"/>
    <w:rsid w:val="00471EE2"/>
    <w:rsid w:val="004728FE"/>
    <w:rsid w:val="00472C8A"/>
    <w:rsid w:val="0047390F"/>
    <w:rsid w:val="00476FE0"/>
    <w:rsid w:val="00477A98"/>
    <w:rsid w:val="004801AB"/>
    <w:rsid w:val="00480ECB"/>
    <w:rsid w:val="00481E37"/>
    <w:rsid w:val="00487C88"/>
    <w:rsid w:val="00491034"/>
    <w:rsid w:val="00491C37"/>
    <w:rsid w:val="00491E3F"/>
    <w:rsid w:val="00493191"/>
    <w:rsid w:val="00493F16"/>
    <w:rsid w:val="0049416F"/>
    <w:rsid w:val="00494455"/>
    <w:rsid w:val="00496EF4"/>
    <w:rsid w:val="00497B4D"/>
    <w:rsid w:val="004A015B"/>
    <w:rsid w:val="004A0E32"/>
    <w:rsid w:val="004A1A9F"/>
    <w:rsid w:val="004A255B"/>
    <w:rsid w:val="004A6591"/>
    <w:rsid w:val="004B14D5"/>
    <w:rsid w:val="004B1658"/>
    <w:rsid w:val="004B17B7"/>
    <w:rsid w:val="004B1A9E"/>
    <w:rsid w:val="004B1F2C"/>
    <w:rsid w:val="004B2993"/>
    <w:rsid w:val="004B4440"/>
    <w:rsid w:val="004B4AEF"/>
    <w:rsid w:val="004B4DFD"/>
    <w:rsid w:val="004B6449"/>
    <w:rsid w:val="004B74E6"/>
    <w:rsid w:val="004C0C95"/>
    <w:rsid w:val="004C130E"/>
    <w:rsid w:val="004C159E"/>
    <w:rsid w:val="004C15AB"/>
    <w:rsid w:val="004C33BB"/>
    <w:rsid w:val="004C4D6C"/>
    <w:rsid w:val="004C4EBE"/>
    <w:rsid w:val="004C6193"/>
    <w:rsid w:val="004C6CD7"/>
    <w:rsid w:val="004D028C"/>
    <w:rsid w:val="004D05BA"/>
    <w:rsid w:val="004D0600"/>
    <w:rsid w:val="004D0D5F"/>
    <w:rsid w:val="004D102C"/>
    <w:rsid w:val="004D1D0E"/>
    <w:rsid w:val="004D1D4C"/>
    <w:rsid w:val="004D4AEB"/>
    <w:rsid w:val="004D5FB8"/>
    <w:rsid w:val="004E23E2"/>
    <w:rsid w:val="004E28CF"/>
    <w:rsid w:val="004E435E"/>
    <w:rsid w:val="004E4826"/>
    <w:rsid w:val="004E553C"/>
    <w:rsid w:val="004E557D"/>
    <w:rsid w:val="004E64A4"/>
    <w:rsid w:val="004E6D09"/>
    <w:rsid w:val="004E7888"/>
    <w:rsid w:val="004F08F6"/>
    <w:rsid w:val="004F0E89"/>
    <w:rsid w:val="004F111B"/>
    <w:rsid w:val="004F1FAB"/>
    <w:rsid w:val="004F3D78"/>
    <w:rsid w:val="004F510D"/>
    <w:rsid w:val="004F74F2"/>
    <w:rsid w:val="004F7A87"/>
    <w:rsid w:val="00500C07"/>
    <w:rsid w:val="00501F36"/>
    <w:rsid w:val="00501F7C"/>
    <w:rsid w:val="00503C72"/>
    <w:rsid w:val="005048E2"/>
    <w:rsid w:val="00504D1C"/>
    <w:rsid w:val="0050523C"/>
    <w:rsid w:val="00505C7D"/>
    <w:rsid w:val="005065E8"/>
    <w:rsid w:val="00507951"/>
    <w:rsid w:val="0051029D"/>
    <w:rsid w:val="00511080"/>
    <w:rsid w:val="005115EE"/>
    <w:rsid w:val="005130CA"/>
    <w:rsid w:val="00515624"/>
    <w:rsid w:val="00517151"/>
    <w:rsid w:val="005172A8"/>
    <w:rsid w:val="005173FE"/>
    <w:rsid w:val="005214FF"/>
    <w:rsid w:val="00521618"/>
    <w:rsid w:val="00521742"/>
    <w:rsid w:val="00521B90"/>
    <w:rsid w:val="00524C16"/>
    <w:rsid w:val="005260DB"/>
    <w:rsid w:val="00530179"/>
    <w:rsid w:val="00530180"/>
    <w:rsid w:val="005316B1"/>
    <w:rsid w:val="0053298B"/>
    <w:rsid w:val="005350A6"/>
    <w:rsid w:val="00541107"/>
    <w:rsid w:val="00541EFF"/>
    <w:rsid w:val="00542520"/>
    <w:rsid w:val="00544905"/>
    <w:rsid w:val="0054590E"/>
    <w:rsid w:val="00546849"/>
    <w:rsid w:val="00546E72"/>
    <w:rsid w:val="00547753"/>
    <w:rsid w:val="0055088F"/>
    <w:rsid w:val="00551C4E"/>
    <w:rsid w:val="005600CD"/>
    <w:rsid w:val="00561947"/>
    <w:rsid w:val="00562160"/>
    <w:rsid w:val="00563592"/>
    <w:rsid w:val="00565963"/>
    <w:rsid w:val="0056623D"/>
    <w:rsid w:val="005662D9"/>
    <w:rsid w:val="00566B9E"/>
    <w:rsid w:val="0056764C"/>
    <w:rsid w:val="00570BCE"/>
    <w:rsid w:val="0057121B"/>
    <w:rsid w:val="0057208C"/>
    <w:rsid w:val="005722B3"/>
    <w:rsid w:val="00573236"/>
    <w:rsid w:val="00573882"/>
    <w:rsid w:val="00575C85"/>
    <w:rsid w:val="005766D7"/>
    <w:rsid w:val="00577F01"/>
    <w:rsid w:val="00581044"/>
    <w:rsid w:val="00585346"/>
    <w:rsid w:val="00585450"/>
    <w:rsid w:val="005854A8"/>
    <w:rsid w:val="005863E5"/>
    <w:rsid w:val="00586AE3"/>
    <w:rsid w:val="00586C0E"/>
    <w:rsid w:val="0059128C"/>
    <w:rsid w:val="00591EF1"/>
    <w:rsid w:val="00592594"/>
    <w:rsid w:val="00593552"/>
    <w:rsid w:val="0059589D"/>
    <w:rsid w:val="00597D5B"/>
    <w:rsid w:val="005A1178"/>
    <w:rsid w:val="005A37F5"/>
    <w:rsid w:val="005A7527"/>
    <w:rsid w:val="005B1663"/>
    <w:rsid w:val="005B4989"/>
    <w:rsid w:val="005B4CCF"/>
    <w:rsid w:val="005B5BB1"/>
    <w:rsid w:val="005B6E33"/>
    <w:rsid w:val="005B716C"/>
    <w:rsid w:val="005B74A6"/>
    <w:rsid w:val="005B7BCD"/>
    <w:rsid w:val="005B7F4C"/>
    <w:rsid w:val="005C0AA1"/>
    <w:rsid w:val="005C1491"/>
    <w:rsid w:val="005C1649"/>
    <w:rsid w:val="005C1BA3"/>
    <w:rsid w:val="005C225B"/>
    <w:rsid w:val="005C2BFC"/>
    <w:rsid w:val="005C5023"/>
    <w:rsid w:val="005C587D"/>
    <w:rsid w:val="005C59F9"/>
    <w:rsid w:val="005C6104"/>
    <w:rsid w:val="005C735F"/>
    <w:rsid w:val="005D0138"/>
    <w:rsid w:val="005D1E51"/>
    <w:rsid w:val="005D1FC3"/>
    <w:rsid w:val="005D2072"/>
    <w:rsid w:val="005D25D6"/>
    <w:rsid w:val="005D549C"/>
    <w:rsid w:val="005D554F"/>
    <w:rsid w:val="005D6BF9"/>
    <w:rsid w:val="005D7449"/>
    <w:rsid w:val="005D77E5"/>
    <w:rsid w:val="005E040E"/>
    <w:rsid w:val="005E0D24"/>
    <w:rsid w:val="005E112E"/>
    <w:rsid w:val="005E16B1"/>
    <w:rsid w:val="005E2051"/>
    <w:rsid w:val="005E3AE5"/>
    <w:rsid w:val="005E3E4D"/>
    <w:rsid w:val="005E4509"/>
    <w:rsid w:val="005E489B"/>
    <w:rsid w:val="005E5B0A"/>
    <w:rsid w:val="005E6F0D"/>
    <w:rsid w:val="005E6FCE"/>
    <w:rsid w:val="005E7479"/>
    <w:rsid w:val="005F036F"/>
    <w:rsid w:val="005F08E8"/>
    <w:rsid w:val="005F1332"/>
    <w:rsid w:val="005F15F5"/>
    <w:rsid w:val="005F2619"/>
    <w:rsid w:val="005F2EBF"/>
    <w:rsid w:val="005F3C3A"/>
    <w:rsid w:val="005F47D3"/>
    <w:rsid w:val="005F481F"/>
    <w:rsid w:val="005F4E3C"/>
    <w:rsid w:val="005F52DE"/>
    <w:rsid w:val="005F63E7"/>
    <w:rsid w:val="005F7070"/>
    <w:rsid w:val="005F734E"/>
    <w:rsid w:val="005F7617"/>
    <w:rsid w:val="00603826"/>
    <w:rsid w:val="00605FB0"/>
    <w:rsid w:val="006069E2"/>
    <w:rsid w:val="00606CA8"/>
    <w:rsid w:val="00607A77"/>
    <w:rsid w:val="00611D32"/>
    <w:rsid w:val="00612111"/>
    <w:rsid w:val="0061379C"/>
    <w:rsid w:val="006138A8"/>
    <w:rsid w:val="00613B11"/>
    <w:rsid w:val="0061444B"/>
    <w:rsid w:val="0061485A"/>
    <w:rsid w:val="00615C0F"/>
    <w:rsid w:val="00616993"/>
    <w:rsid w:val="00616DC5"/>
    <w:rsid w:val="00617BD9"/>
    <w:rsid w:val="00617D10"/>
    <w:rsid w:val="0062174D"/>
    <w:rsid w:val="0062272F"/>
    <w:rsid w:val="00622ADA"/>
    <w:rsid w:val="00624044"/>
    <w:rsid w:val="00624589"/>
    <w:rsid w:val="0062588B"/>
    <w:rsid w:val="00626D11"/>
    <w:rsid w:val="00630C35"/>
    <w:rsid w:val="0063182E"/>
    <w:rsid w:val="006329FF"/>
    <w:rsid w:val="00632F5D"/>
    <w:rsid w:val="00632F77"/>
    <w:rsid w:val="0063426F"/>
    <w:rsid w:val="00635156"/>
    <w:rsid w:val="006351EE"/>
    <w:rsid w:val="00635889"/>
    <w:rsid w:val="00635BED"/>
    <w:rsid w:val="00635D27"/>
    <w:rsid w:val="006362F4"/>
    <w:rsid w:val="00640440"/>
    <w:rsid w:val="006419EA"/>
    <w:rsid w:val="00641FC3"/>
    <w:rsid w:val="006437B1"/>
    <w:rsid w:val="00645176"/>
    <w:rsid w:val="00647F5E"/>
    <w:rsid w:val="00652C5C"/>
    <w:rsid w:val="00656BAA"/>
    <w:rsid w:val="00657F57"/>
    <w:rsid w:val="0066073D"/>
    <w:rsid w:val="00662AFF"/>
    <w:rsid w:val="006631D3"/>
    <w:rsid w:val="006635DD"/>
    <w:rsid w:val="00664309"/>
    <w:rsid w:val="0066497E"/>
    <w:rsid w:val="00665A94"/>
    <w:rsid w:val="00665BAD"/>
    <w:rsid w:val="00667FAF"/>
    <w:rsid w:val="00671FD6"/>
    <w:rsid w:val="00674928"/>
    <w:rsid w:val="006749CE"/>
    <w:rsid w:val="00674F25"/>
    <w:rsid w:val="00675A90"/>
    <w:rsid w:val="0067775C"/>
    <w:rsid w:val="00677893"/>
    <w:rsid w:val="00681E49"/>
    <w:rsid w:val="00682145"/>
    <w:rsid w:val="006825A4"/>
    <w:rsid w:val="00682DDE"/>
    <w:rsid w:val="00683347"/>
    <w:rsid w:val="00684988"/>
    <w:rsid w:val="006873E8"/>
    <w:rsid w:val="006877F7"/>
    <w:rsid w:val="00690A54"/>
    <w:rsid w:val="006911F9"/>
    <w:rsid w:val="0069279C"/>
    <w:rsid w:val="00692DF4"/>
    <w:rsid w:val="00692E9C"/>
    <w:rsid w:val="00693B4B"/>
    <w:rsid w:val="00695A04"/>
    <w:rsid w:val="006965D8"/>
    <w:rsid w:val="006979BA"/>
    <w:rsid w:val="006A08DE"/>
    <w:rsid w:val="006A0A44"/>
    <w:rsid w:val="006A0F84"/>
    <w:rsid w:val="006A15F2"/>
    <w:rsid w:val="006A402B"/>
    <w:rsid w:val="006A4FA3"/>
    <w:rsid w:val="006A507E"/>
    <w:rsid w:val="006A5371"/>
    <w:rsid w:val="006A5B05"/>
    <w:rsid w:val="006B364F"/>
    <w:rsid w:val="006B439B"/>
    <w:rsid w:val="006B75F7"/>
    <w:rsid w:val="006C12BB"/>
    <w:rsid w:val="006C2BBF"/>
    <w:rsid w:val="006C3657"/>
    <w:rsid w:val="006C78AF"/>
    <w:rsid w:val="006D508A"/>
    <w:rsid w:val="006D7327"/>
    <w:rsid w:val="006D73BB"/>
    <w:rsid w:val="006E07C8"/>
    <w:rsid w:val="006E1158"/>
    <w:rsid w:val="006E1435"/>
    <w:rsid w:val="006E15CD"/>
    <w:rsid w:val="006E191D"/>
    <w:rsid w:val="006E1FA8"/>
    <w:rsid w:val="006E3A4E"/>
    <w:rsid w:val="006E5360"/>
    <w:rsid w:val="006E5866"/>
    <w:rsid w:val="006E6BB4"/>
    <w:rsid w:val="006E767D"/>
    <w:rsid w:val="006F1962"/>
    <w:rsid w:val="006F331F"/>
    <w:rsid w:val="006F3D73"/>
    <w:rsid w:val="006F46E5"/>
    <w:rsid w:val="006F5345"/>
    <w:rsid w:val="006F6713"/>
    <w:rsid w:val="006F769C"/>
    <w:rsid w:val="006F7843"/>
    <w:rsid w:val="006F7B23"/>
    <w:rsid w:val="00700D70"/>
    <w:rsid w:val="007038B9"/>
    <w:rsid w:val="00703E4A"/>
    <w:rsid w:val="00703EF8"/>
    <w:rsid w:val="007049C9"/>
    <w:rsid w:val="00704B37"/>
    <w:rsid w:val="0070687B"/>
    <w:rsid w:val="007109E8"/>
    <w:rsid w:val="00711DAF"/>
    <w:rsid w:val="00713070"/>
    <w:rsid w:val="00713A65"/>
    <w:rsid w:val="00715B4E"/>
    <w:rsid w:val="00716588"/>
    <w:rsid w:val="00716E1B"/>
    <w:rsid w:val="00717272"/>
    <w:rsid w:val="00717C9D"/>
    <w:rsid w:val="00720BC3"/>
    <w:rsid w:val="00721F97"/>
    <w:rsid w:val="007228BF"/>
    <w:rsid w:val="0072325F"/>
    <w:rsid w:val="007234C0"/>
    <w:rsid w:val="0072412F"/>
    <w:rsid w:val="00730E20"/>
    <w:rsid w:val="00731F2D"/>
    <w:rsid w:val="00732886"/>
    <w:rsid w:val="0073311E"/>
    <w:rsid w:val="007331DB"/>
    <w:rsid w:val="007340E0"/>
    <w:rsid w:val="007344A4"/>
    <w:rsid w:val="00734D5C"/>
    <w:rsid w:val="00736757"/>
    <w:rsid w:val="00737ADC"/>
    <w:rsid w:val="00740867"/>
    <w:rsid w:val="00740B4F"/>
    <w:rsid w:val="00741505"/>
    <w:rsid w:val="00741734"/>
    <w:rsid w:val="00741C61"/>
    <w:rsid w:val="00743B65"/>
    <w:rsid w:val="00744A58"/>
    <w:rsid w:val="00745474"/>
    <w:rsid w:val="00745AB9"/>
    <w:rsid w:val="00747741"/>
    <w:rsid w:val="00750425"/>
    <w:rsid w:val="007519C6"/>
    <w:rsid w:val="007525D9"/>
    <w:rsid w:val="00752E8D"/>
    <w:rsid w:val="0075351D"/>
    <w:rsid w:val="00754F25"/>
    <w:rsid w:val="007565A4"/>
    <w:rsid w:val="007567A7"/>
    <w:rsid w:val="00756C37"/>
    <w:rsid w:val="007606C4"/>
    <w:rsid w:val="00760CA5"/>
    <w:rsid w:val="007622B7"/>
    <w:rsid w:val="00762F3E"/>
    <w:rsid w:val="0076321C"/>
    <w:rsid w:val="00763620"/>
    <w:rsid w:val="00763782"/>
    <w:rsid w:val="00763F8B"/>
    <w:rsid w:val="00764568"/>
    <w:rsid w:val="00765ABB"/>
    <w:rsid w:val="00766051"/>
    <w:rsid w:val="007662B3"/>
    <w:rsid w:val="00766635"/>
    <w:rsid w:val="007666EC"/>
    <w:rsid w:val="0077060F"/>
    <w:rsid w:val="00772463"/>
    <w:rsid w:val="00773788"/>
    <w:rsid w:val="007737BD"/>
    <w:rsid w:val="00774BEE"/>
    <w:rsid w:val="00775B18"/>
    <w:rsid w:val="00776546"/>
    <w:rsid w:val="00781C92"/>
    <w:rsid w:val="00782C84"/>
    <w:rsid w:val="00782FB5"/>
    <w:rsid w:val="007831DB"/>
    <w:rsid w:val="00783239"/>
    <w:rsid w:val="007836BC"/>
    <w:rsid w:val="00784645"/>
    <w:rsid w:val="00784D0C"/>
    <w:rsid w:val="0078741D"/>
    <w:rsid w:val="00787A20"/>
    <w:rsid w:val="00787CC7"/>
    <w:rsid w:val="0079024A"/>
    <w:rsid w:val="00790CFD"/>
    <w:rsid w:val="00790D9A"/>
    <w:rsid w:val="00791D8C"/>
    <w:rsid w:val="007944E1"/>
    <w:rsid w:val="00794BF2"/>
    <w:rsid w:val="00796316"/>
    <w:rsid w:val="007A22D2"/>
    <w:rsid w:val="007A2CEE"/>
    <w:rsid w:val="007A3406"/>
    <w:rsid w:val="007A65BE"/>
    <w:rsid w:val="007A6F51"/>
    <w:rsid w:val="007B0190"/>
    <w:rsid w:val="007B1842"/>
    <w:rsid w:val="007B26DA"/>
    <w:rsid w:val="007B2C56"/>
    <w:rsid w:val="007B502A"/>
    <w:rsid w:val="007B7500"/>
    <w:rsid w:val="007B7950"/>
    <w:rsid w:val="007C1A21"/>
    <w:rsid w:val="007C205A"/>
    <w:rsid w:val="007C2772"/>
    <w:rsid w:val="007C31F0"/>
    <w:rsid w:val="007C3410"/>
    <w:rsid w:val="007C4674"/>
    <w:rsid w:val="007C49F5"/>
    <w:rsid w:val="007C717F"/>
    <w:rsid w:val="007D05AD"/>
    <w:rsid w:val="007D0C3A"/>
    <w:rsid w:val="007D14D8"/>
    <w:rsid w:val="007D4551"/>
    <w:rsid w:val="007D63E3"/>
    <w:rsid w:val="007D7DE0"/>
    <w:rsid w:val="007E3941"/>
    <w:rsid w:val="007E7497"/>
    <w:rsid w:val="007F00CB"/>
    <w:rsid w:val="007F18DA"/>
    <w:rsid w:val="007F1E9C"/>
    <w:rsid w:val="007F44E5"/>
    <w:rsid w:val="007F489E"/>
    <w:rsid w:val="007F4B41"/>
    <w:rsid w:val="007F51A6"/>
    <w:rsid w:val="007F7169"/>
    <w:rsid w:val="00800BC4"/>
    <w:rsid w:val="00801030"/>
    <w:rsid w:val="008014EE"/>
    <w:rsid w:val="00803079"/>
    <w:rsid w:val="00803A11"/>
    <w:rsid w:val="00805C9C"/>
    <w:rsid w:val="00810C8D"/>
    <w:rsid w:val="00810DD3"/>
    <w:rsid w:val="00812796"/>
    <w:rsid w:val="008128AF"/>
    <w:rsid w:val="00813DF5"/>
    <w:rsid w:val="008143DE"/>
    <w:rsid w:val="00814932"/>
    <w:rsid w:val="00814B34"/>
    <w:rsid w:val="00815268"/>
    <w:rsid w:val="00815B57"/>
    <w:rsid w:val="008167B1"/>
    <w:rsid w:val="00820BDD"/>
    <w:rsid w:val="008218C8"/>
    <w:rsid w:val="00821E94"/>
    <w:rsid w:val="0082393D"/>
    <w:rsid w:val="00824139"/>
    <w:rsid w:val="00825F85"/>
    <w:rsid w:val="00826268"/>
    <w:rsid w:val="0082672A"/>
    <w:rsid w:val="00826D78"/>
    <w:rsid w:val="00830230"/>
    <w:rsid w:val="00831C99"/>
    <w:rsid w:val="00833DAB"/>
    <w:rsid w:val="00835A90"/>
    <w:rsid w:val="00840F47"/>
    <w:rsid w:val="00844EAE"/>
    <w:rsid w:val="0084639F"/>
    <w:rsid w:val="00850C2F"/>
    <w:rsid w:val="00851743"/>
    <w:rsid w:val="008523B4"/>
    <w:rsid w:val="00855C92"/>
    <w:rsid w:val="0085600C"/>
    <w:rsid w:val="008609A2"/>
    <w:rsid w:val="008612AE"/>
    <w:rsid w:val="0086189D"/>
    <w:rsid w:val="008635BE"/>
    <w:rsid w:val="008642B8"/>
    <w:rsid w:val="008657FC"/>
    <w:rsid w:val="00867861"/>
    <w:rsid w:val="00871153"/>
    <w:rsid w:val="008714B8"/>
    <w:rsid w:val="00874351"/>
    <w:rsid w:val="0087438D"/>
    <w:rsid w:val="00875F81"/>
    <w:rsid w:val="00882256"/>
    <w:rsid w:val="0088288D"/>
    <w:rsid w:val="00882B32"/>
    <w:rsid w:val="008830BD"/>
    <w:rsid w:val="00883341"/>
    <w:rsid w:val="00883A0C"/>
    <w:rsid w:val="0088548C"/>
    <w:rsid w:val="00885F60"/>
    <w:rsid w:val="00886E8E"/>
    <w:rsid w:val="00890376"/>
    <w:rsid w:val="008910C3"/>
    <w:rsid w:val="00891377"/>
    <w:rsid w:val="00892814"/>
    <w:rsid w:val="00892B63"/>
    <w:rsid w:val="00893B60"/>
    <w:rsid w:val="00893C68"/>
    <w:rsid w:val="00893EE4"/>
    <w:rsid w:val="008940B2"/>
    <w:rsid w:val="00894324"/>
    <w:rsid w:val="0089504B"/>
    <w:rsid w:val="00895974"/>
    <w:rsid w:val="00897360"/>
    <w:rsid w:val="008973E0"/>
    <w:rsid w:val="0089786D"/>
    <w:rsid w:val="008A002E"/>
    <w:rsid w:val="008A00B4"/>
    <w:rsid w:val="008A1010"/>
    <w:rsid w:val="008A13B8"/>
    <w:rsid w:val="008A29F5"/>
    <w:rsid w:val="008A2F37"/>
    <w:rsid w:val="008A4129"/>
    <w:rsid w:val="008A43B0"/>
    <w:rsid w:val="008A6B33"/>
    <w:rsid w:val="008A7AFE"/>
    <w:rsid w:val="008B0D5D"/>
    <w:rsid w:val="008B130F"/>
    <w:rsid w:val="008B4360"/>
    <w:rsid w:val="008B4938"/>
    <w:rsid w:val="008B564B"/>
    <w:rsid w:val="008B5811"/>
    <w:rsid w:val="008B5D80"/>
    <w:rsid w:val="008B770C"/>
    <w:rsid w:val="008B7DE9"/>
    <w:rsid w:val="008C10EC"/>
    <w:rsid w:val="008C210C"/>
    <w:rsid w:val="008C2FF4"/>
    <w:rsid w:val="008C3459"/>
    <w:rsid w:val="008C34E0"/>
    <w:rsid w:val="008C3DBA"/>
    <w:rsid w:val="008C41F5"/>
    <w:rsid w:val="008C4D52"/>
    <w:rsid w:val="008C5164"/>
    <w:rsid w:val="008C67D7"/>
    <w:rsid w:val="008C6CB9"/>
    <w:rsid w:val="008D05EF"/>
    <w:rsid w:val="008D0968"/>
    <w:rsid w:val="008D5DE7"/>
    <w:rsid w:val="008D65F5"/>
    <w:rsid w:val="008D668D"/>
    <w:rsid w:val="008E0713"/>
    <w:rsid w:val="008E12A6"/>
    <w:rsid w:val="008E241C"/>
    <w:rsid w:val="008E4977"/>
    <w:rsid w:val="008E508B"/>
    <w:rsid w:val="008E5A89"/>
    <w:rsid w:val="008E6834"/>
    <w:rsid w:val="008F08DD"/>
    <w:rsid w:val="008F0AB1"/>
    <w:rsid w:val="008F20BF"/>
    <w:rsid w:val="008F2E91"/>
    <w:rsid w:val="008F3634"/>
    <w:rsid w:val="008F4F52"/>
    <w:rsid w:val="008F733D"/>
    <w:rsid w:val="0090053E"/>
    <w:rsid w:val="0090061C"/>
    <w:rsid w:val="009027B3"/>
    <w:rsid w:val="0090316E"/>
    <w:rsid w:val="009056B3"/>
    <w:rsid w:val="00905D23"/>
    <w:rsid w:val="009110F6"/>
    <w:rsid w:val="00912AE6"/>
    <w:rsid w:val="00913035"/>
    <w:rsid w:val="0091442A"/>
    <w:rsid w:val="00915AF0"/>
    <w:rsid w:val="00916488"/>
    <w:rsid w:val="0091658B"/>
    <w:rsid w:val="00916C12"/>
    <w:rsid w:val="00917B33"/>
    <w:rsid w:val="00917DDC"/>
    <w:rsid w:val="009235A5"/>
    <w:rsid w:val="009247F9"/>
    <w:rsid w:val="00924922"/>
    <w:rsid w:val="0092533C"/>
    <w:rsid w:val="00927A49"/>
    <w:rsid w:val="00927F77"/>
    <w:rsid w:val="00930A78"/>
    <w:rsid w:val="009312F9"/>
    <w:rsid w:val="009321DD"/>
    <w:rsid w:val="00936F28"/>
    <w:rsid w:val="00937410"/>
    <w:rsid w:val="00937DE9"/>
    <w:rsid w:val="0094014A"/>
    <w:rsid w:val="00944B5C"/>
    <w:rsid w:val="00944BFD"/>
    <w:rsid w:val="009456F7"/>
    <w:rsid w:val="00947BA7"/>
    <w:rsid w:val="00950884"/>
    <w:rsid w:val="009513F1"/>
    <w:rsid w:val="009523DE"/>
    <w:rsid w:val="00952857"/>
    <w:rsid w:val="00953255"/>
    <w:rsid w:val="009534C2"/>
    <w:rsid w:val="00953988"/>
    <w:rsid w:val="00955F2A"/>
    <w:rsid w:val="00956873"/>
    <w:rsid w:val="00956DB8"/>
    <w:rsid w:val="0095796B"/>
    <w:rsid w:val="009603BC"/>
    <w:rsid w:val="00960BAC"/>
    <w:rsid w:val="00960D60"/>
    <w:rsid w:val="00961C27"/>
    <w:rsid w:val="009646F6"/>
    <w:rsid w:val="009706A1"/>
    <w:rsid w:val="0097343F"/>
    <w:rsid w:val="00973ECF"/>
    <w:rsid w:val="00974D2A"/>
    <w:rsid w:val="00975B4A"/>
    <w:rsid w:val="00975C22"/>
    <w:rsid w:val="00977388"/>
    <w:rsid w:val="00982E82"/>
    <w:rsid w:val="00983DDE"/>
    <w:rsid w:val="00984616"/>
    <w:rsid w:val="00984FA1"/>
    <w:rsid w:val="0098763B"/>
    <w:rsid w:val="00991639"/>
    <w:rsid w:val="00991ADF"/>
    <w:rsid w:val="00992EE1"/>
    <w:rsid w:val="00993052"/>
    <w:rsid w:val="0099499F"/>
    <w:rsid w:val="00995CCD"/>
    <w:rsid w:val="009968E8"/>
    <w:rsid w:val="00997FF3"/>
    <w:rsid w:val="009A1784"/>
    <w:rsid w:val="009A234A"/>
    <w:rsid w:val="009A2493"/>
    <w:rsid w:val="009A2C80"/>
    <w:rsid w:val="009A31B8"/>
    <w:rsid w:val="009A3C29"/>
    <w:rsid w:val="009A6202"/>
    <w:rsid w:val="009A6792"/>
    <w:rsid w:val="009A6C48"/>
    <w:rsid w:val="009B13F4"/>
    <w:rsid w:val="009B37B4"/>
    <w:rsid w:val="009B3AEB"/>
    <w:rsid w:val="009B4410"/>
    <w:rsid w:val="009B7037"/>
    <w:rsid w:val="009B7DD6"/>
    <w:rsid w:val="009C0722"/>
    <w:rsid w:val="009C120E"/>
    <w:rsid w:val="009C2531"/>
    <w:rsid w:val="009C2700"/>
    <w:rsid w:val="009C2CD2"/>
    <w:rsid w:val="009C685D"/>
    <w:rsid w:val="009D0947"/>
    <w:rsid w:val="009D0D8D"/>
    <w:rsid w:val="009D2508"/>
    <w:rsid w:val="009D4ABF"/>
    <w:rsid w:val="009D5823"/>
    <w:rsid w:val="009D5905"/>
    <w:rsid w:val="009D638C"/>
    <w:rsid w:val="009D7795"/>
    <w:rsid w:val="009E00BD"/>
    <w:rsid w:val="009E0E03"/>
    <w:rsid w:val="009E1DD8"/>
    <w:rsid w:val="009E20E0"/>
    <w:rsid w:val="009E23A2"/>
    <w:rsid w:val="009E3A0D"/>
    <w:rsid w:val="009E497F"/>
    <w:rsid w:val="009F4373"/>
    <w:rsid w:val="009F4A55"/>
    <w:rsid w:val="009F4C9D"/>
    <w:rsid w:val="009F5A9C"/>
    <w:rsid w:val="009F63A9"/>
    <w:rsid w:val="00A00012"/>
    <w:rsid w:val="00A00407"/>
    <w:rsid w:val="00A02950"/>
    <w:rsid w:val="00A07EA2"/>
    <w:rsid w:val="00A10993"/>
    <w:rsid w:val="00A10F55"/>
    <w:rsid w:val="00A11709"/>
    <w:rsid w:val="00A149D0"/>
    <w:rsid w:val="00A16FC1"/>
    <w:rsid w:val="00A176A2"/>
    <w:rsid w:val="00A178C4"/>
    <w:rsid w:val="00A209C8"/>
    <w:rsid w:val="00A308BD"/>
    <w:rsid w:val="00A3189A"/>
    <w:rsid w:val="00A31CA1"/>
    <w:rsid w:val="00A34058"/>
    <w:rsid w:val="00A34400"/>
    <w:rsid w:val="00A351BA"/>
    <w:rsid w:val="00A35319"/>
    <w:rsid w:val="00A35809"/>
    <w:rsid w:val="00A40C8C"/>
    <w:rsid w:val="00A40DA2"/>
    <w:rsid w:val="00A40E14"/>
    <w:rsid w:val="00A438A7"/>
    <w:rsid w:val="00A445D4"/>
    <w:rsid w:val="00A45410"/>
    <w:rsid w:val="00A457B2"/>
    <w:rsid w:val="00A458D0"/>
    <w:rsid w:val="00A5090F"/>
    <w:rsid w:val="00A511CB"/>
    <w:rsid w:val="00A51219"/>
    <w:rsid w:val="00A5167B"/>
    <w:rsid w:val="00A52317"/>
    <w:rsid w:val="00A52344"/>
    <w:rsid w:val="00A52786"/>
    <w:rsid w:val="00A52F6B"/>
    <w:rsid w:val="00A53E05"/>
    <w:rsid w:val="00A54DA4"/>
    <w:rsid w:val="00A5554B"/>
    <w:rsid w:val="00A56341"/>
    <w:rsid w:val="00A60552"/>
    <w:rsid w:val="00A62397"/>
    <w:rsid w:val="00A627AC"/>
    <w:rsid w:val="00A62DB8"/>
    <w:rsid w:val="00A643CE"/>
    <w:rsid w:val="00A65370"/>
    <w:rsid w:val="00A679A7"/>
    <w:rsid w:val="00A67DD3"/>
    <w:rsid w:val="00A713CF"/>
    <w:rsid w:val="00A721C3"/>
    <w:rsid w:val="00A74198"/>
    <w:rsid w:val="00A7467F"/>
    <w:rsid w:val="00A7560D"/>
    <w:rsid w:val="00A77503"/>
    <w:rsid w:val="00A809C0"/>
    <w:rsid w:val="00A80FC7"/>
    <w:rsid w:val="00A816BE"/>
    <w:rsid w:val="00A836F5"/>
    <w:rsid w:val="00A84019"/>
    <w:rsid w:val="00A865DC"/>
    <w:rsid w:val="00A8702D"/>
    <w:rsid w:val="00A87776"/>
    <w:rsid w:val="00A9043A"/>
    <w:rsid w:val="00A922F0"/>
    <w:rsid w:val="00A951B6"/>
    <w:rsid w:val="00A973CB"/>
    <w:rsid w:val="00AA0437"/>
    <w:rsid w:val="00AA19FC"/>
    <w:rsid w:val="00AA3525"/>
    <w:rsid w:val="00AA36F8"/>
    <w:rsid w:val="00AA3863"/>
    <w:rsid w:val="00AA5339"/>
    <w:rsid w:val="00AA6F82"/>
    <w:rsid w:val="00AB021D"/>
    <w:rsid w:val="00AB1B1D"/>
    <w:rsid w:val="00AB3CC5"/>
    <w:rsid w:val="00AB5183"/>
    <w:rsid w:val="00AB6287"/>
    <w:rsid w:val="00AB6D13"/>
    <w:rsid w:val="00AC3D47"/>
    <w:rsid w:val="00AC3DEF"/>
    <w:rsid w:val="00AC458E"/>
    <w:rsid w:val="00AC6392"/>
    <w:rsid w:val="00AD0CA3"/>
    <w:rsid w:val="00AD4F46"/>
    <w:rsid w:val="00AD5256"/>
    <w:rsid w:val="00AD5CF8"/>
    <w:rsid w:val="00AD7D09"/>
    <w:rsid w:val="00AE1693"/>
    <w:rsid w:val="00AE17A7"/>
    <w:rsid w:val="00AE3EBF"/>
    <w:rsid w:val="00AF0207"/>
    <w:rsid w:val="00AF1FA9"/>
    <w:rsid w:val="00AF30FE"/>
    <w:rsid w:val="00AF5CE1"/>
    <w:rsid w:val="00AF6777"/>
    <w:rsid w:val="00B00D9C"/>
    <w:rsid w:val="00B0123D"/>
    <w:rsid w:val="00B01C83"/>
    <w:rsid w:val="00B02989"/>
    <w:rsid w:val="00B02E86"/>
    <w:rsid w:val="00B03D17"/>
    <w:rsid w:val="00B05749"/>
    <w:rsid w:val="00B0604A"/>
    <w:rsid w:val="00B076D1"/>
    <w:rsid w:val="00B07D2B"/>
    <w:rsid w:val="00B10A58"/>
    <w:rsid w:val="00B12FE7"/>
    <w:rsid w:val="00B148EF"/>
    <w:rsid w:val="00B17613"/>
    <w:rsid w:val="00B21A2E"/>
    <w:rsid w:val="00B222B1"/>
    <w:rsid w:val="00B22CBF"/>
    <w:rsid w:val="00B232D0"/>
    <w:rsid w:val="00B246CB"/>
    <w:rsid w:val="00B268C0"/>
    <w:rsid w:val="00B275BD"/>
    <w:rsid w:val="00B30D0C"/>
    <w:rsid w:val="00B3105E"/>
    <w:rsid w:val="00B33466"/>
    <w:rsid w:val="00B335CF"/>
    <w:rsid w:val="00B364B5"/>
    <w:rsid w:val="00B368B8"/>
    <w:rsid w:val="00B403F2"/>
    <w:rsid w:val="00B420F3"/>
    <w:rsid w:val="00B42CD8"/>
    <w:rsid w:val="00B449A0"/>
    <w:rsid w:val="00B44CB3"/>
    <w:rsid w:val="00B46E6B"/>
    <w:rsid w:val="00B506FA"/>
    <w:rsid w:val="00B5362F"/>
    <w:rsid w:val="00B567AF"/>
    <w:rsid w:val="00B61E48"/>
    <w:rsid w:val="00B62F94"/>
    <w:rsid w:val="00B63E19"/>
    <w:rsid w:val="00B644A3"/>
    <w:rsid w:val="00B65534"/>
    <w:rsid w:val="00B70453"/>
    <w:rsid w:val="00B7051C"/>
    <w:rsid w:val="00B70B54"/>
    <w:rsid w:val="00B72A7C"/>
    <w:rsid w:val="00B73086"/>
    <w:rsid w:val="00B73C7F"/>
    <w:rsid w:val="00B73E1D"/>
    <w:rsid w:val="00B76F13"/>
    <w:rsid w:val="00B7762A"/>
    <w:rsid w:val="00B804E1"/>
    <w:rsid w:val="00B80FA6"/>
    <w:rsid w:val="00B81223"/>
    <w:rsid w:val="00B825D2"/>
    <w:rsid w:val="00B84B96"/>
    <w:rsid w:val="00B865B8"/>
    <w:rsid w:val="00B8698E"/>
    <w:rsid w:val="00B86A59"/>
    <w:rsid w:val="00B90C9B"/>
    <w:rsid w:val="00B94CC2"/>
    <w:rsid w:val="00B95BC9"/>
    <w:rsid w:val="00B9700A"/>
    <w:rsid w:val="00BA26C4"/>
    <w:rsid w:val="00BA27D9"/>
    <w:rsid w:val="00BA35B3"/>
    <w:rsid w:val="00BA65EF"/>
    <w:rsid w:val="00BA6DFF"/>
    <w:rsid w:val="00BB10D5"/>
    <w:rsid w:val="00BB132E"/>
    <w:rsid w:val="00BB2AFD"/>
    <w:rsid w:val="00BB4310"/>
    <w:rsid w:val="00BB494D"/>
    <w:rsid w:val="00BB64A0"/>
    <w:rsid w:val="00BC1C13"/>
    <w:rsid w:val="00BC1F13"/>
    <w:rsid w:val="00BC2BB4"/>
    <w:rsid w:val="00BC391F"/>
    <w:rsid w:val="00BC57CD"/>
    <w:rsid w:val="00BC58FF"/>
    <w:rsid w:val="00BC6BC5"/>
    <w:rsid w:val="00BD03C0"/>
    <w:rsid w:val="00BD2D8E"/>
    <w:rsid w:val="00BD35CF"/>
    <w:rsid w:val="00BD3647"/>
    <w:rsid w:val="00BD3D0C"/>
    <w:rsid w:val="00BD4FF9"/>
    <w:rsid w:val="00BD5081"/>
    <w:rsid w:val="00BD51CF"/>
    <w:rsid w:val="00BD62E9"/>
    <w:rsid w:val="00BE104D"/>
    <w:rsid w:val="00BE1236"/>
    <w:rsid w:val="00BE141C"/>
    <w:rsid w:val="00BE20A9"/>
    <w:rsid w:val="00BE27C1"/>
    <w:rsid w:val="00BE3ADC"/>
    <w:rsid w:val="00BE499A"/>
    <w:rsid w:val="00BE4E98"/>
    <w:rsid w:val="00BE51A2"/>
    <w:rsid w:val="00BE559F"/>
    <w:rsid w:val="00BE5B11"/>
    <w:rsid w:val="00BE6894"/>
    <w:rsid w:val="00BE75CE"/>
    <w:rsid w:val="00BE7A83"/>
    <w:rsid w:val="00BF0E19"/>
    <w:rsid w:val="00BF10AE"/>
    <w:rsid w:val="00BF1AA3"/>
    <w:rsid w:val="00BF2654"/>
    <w:rsid w:val="00BF2BF8"/>
    <w:rsid w:val="00BF4328"/>
    <w:rsid w:val="00BF4BD3"/>
    <w:rsid w:val="00BF6DC8"/>
    <w:rsid w:val="00BF78E9"/>
    <w:rsid w:val="00C00009"/>
    <w:rsid w:val="00C0043D"/>
    <w:rsid w:val="00C010D9"/>
    <w:rsid w:val="00C01255"/>
    <w:rsid w:val="00C036B0"/>
    <w:rsid w:val="00C037F1"/>
    <w:rsid w:val="00C03F1F"/>
    <w:rsid w:val="00C040BA"/>
    <w:rsid w:val="00C04720"/>
    <w:rsid w:val="00C04F78"/>
    <w:rsid w:val="00C07712"/>
    <w:rsid w:val="00C1001D"/>
    <w:rsid w:val="00C10C0C"/>
    <w:rsid w:val="00C14AFB"/>
    <w:rsid w:val="00C150D2"/>
    <w:rsid w:val="00C1518E"/>
    <w:rsid w:val="00C17B03"/>
    <w:rsid w:val="00C17EBC"/>
    <w:rsid w:val="00C20C39"/>
    <w:rsid w:val="00C23546"/>
    <w:rsid w:val="00C26284"/>
    <w:rsid w:val="00C2685B"/>
    <w:rsid w:val="00C30909"/>
    <w:rsid w:val="00C30FE8"/>
    <w:rsid w:val="00C313A5"/>
    <w:rsid w:val="00C319D9"/>
    <w:rsid w:val="00C32EBC"/>
    <w:rsid w:val="00C34A25"/>
    <w:rsid w:val="00C35134"/>
    <w:rsid w:val="00C36401"/>
    <w:rsid w:val="00C3693F"/>
    <w:rsid w:val="00C36BA9"/>
    <w:rsid w:val="00C37CDE"/>
    <w:rsid w:val="00C40B69"/>
    <w:rsid w:val="00C4154A"/>
    <w:rsid w:val="00C42F7D"/>
    <w:rsid w:val="00C43BED"/>
    <w:rsid w:val="00C44E34"/>
    <w:rsid w:val="00C46907"/>
    <w:rsid w:val="00C513FD"/>
    <w:rsid w:val="00C535F0"/>
    <w:rsid w:val="00C57B77"/>
    <w:rsid w:val="00C6050B"/>
    <w:rsid w:val="00C613E3"/>
    <w:rsid w:val="00C61484"/>
    <w:rsid w:val="00C617DE"/>
    <w:rsid w:val="00C6278B"/>
    <w:rsid w:val="00C630F5"/>
    <w:rsid w:val="00C63DEF"/>
    <w:rsid w:val="00C64598"/>
    <w:rsid w:val="00C647C8"/>
    <w:rsid w:val="00C66354"/>
    <w:rsid w:val="00C671DB"/>
    <w:rsid w:val="00C67E36"/>
    <w:rsid w:val="00C67EBA"/>
    <w:rsid w:val="00C7142A"/>
    <w:rsid w:val="00C72880"/>
    <w:rsid w:val="00C72BAE"/>
    <w:rsid w:val="00C72D68"/>
    <w:rsid w:val="00C752B8"/>
    <w:rsid w:val="00C80579"/>
    <w:rsid w:val="00C80D0D"/>
    <w:rsid w:val="00C81D0E"/>
    <w:rsid w:val="00C81F0B"/>
    <w:rsid w:val="00C81F1F"/>
    <w:rsid w:val="00C8260A"/>
    <w:rsid w:val="00C852EE"/>
    <w:rsid w:val="00C853CF"/>
    <w:rsid w:val="00C86A08"/>
    <w:rsid w:val="00C9006B"/>
    <w:rsid w:val="00C9034D"/>
    <w:rsid w:val="00C916F5"/>
    <w:rsid w:val="00C919B8"/>
    <w:rsid w:val="00C91B17"/>
    <w:rsid w:val="00C9234A"/>
    <w:rsid w:val="00C9380F"/>
    <w:rsid w:val="00C946A4"/>
    <w:rsid w:val="00C95EF0"/>
    <w:rsid w:val="00C96C07"/>
    <w:rsid w:val="00CA0496"/>
    <w:rsid w:val="00CA1F12"/>
    <w:rsid w:val="00CA3D36"/>
    <w:rsid w:val="00CA43B9"/>
    <w:rsid w:val="00CA656C"/>
    <w:rsid w:val="00CA65C5"/>
    <w:rsid w:val="00CB0743"/>
    <w:rsid w:val="00CB0E06"/>
    <w:rsid w:val="00CB2A3D"/>
    <w:rsid w:val="00CB3109"/>
    <w:rsid w:val="00CB41AF"/>
    <w:rsid w:val="00CB56D6"/>
    <w:rsid w:val="00CB606E"/>
    <w:rsid w:val="00CB7DEB"/>
    <w:rsid w:val="00CC002C"/>
    <w:rsid w:val="00CC08B4"/>
    <w:rsid w:val="00CC1236"/>
    <w:rsid w:val="00CC53F4"/>
    <w:rsid w:val="00CC5AC8"/>
    <w:rsid w:val="00CD00BF"/>
    <w:rsid w:val="00CD0D84"/>
    <w:rsid w:val="00CD41BD"/>
    <w:rsid w:val="00CD454B"/>
    <w:rsid w:val="00CD64F1"/>
    <w:rsid w:val="00CD672D"/>
    <w:rsid w:val="00CD6B1A"/>
    <w:rsid w:val="00CD766C"/>
    <w:rsid w:val="00CE16D3"/>
    <w:rsid w:val="00CE3155"/>
    <w:rsid w:val="00CE3603"/>
    <w:rsid w:val="00CE3E85"/>
    <w:rsid w:val="00CE42A2"/>
    <w:rsid w:val="00CE59BD"/>
    <w:rsid w:val="00CE5D6B"/>
    <w:rsid w:val="00CE6699"/>
    <w:rsid w:val="00CF0E1A"/>
    <w:rsid w:val="00CF203C"/>
    <w:rsid w:val="00CF428E"/>
    <w:rsid w:val="00CF5D01"/>
    <w:rsid w:val="00CF70B7"/>
    <w:rsid w:val="00CF74B5"/>
    <w:rsid w:val="00D022C8"/>
    <w:rsid w:val="00D030EB"/>
    <w:rsid w:val="00D042ED"/>
    <w:rsid w:val="00D06D90"/>
    <w:rsid w:val="00D06E0C"/>
    <w:rsid w:val="00D108A0"/>
    <w:rsid w:val="00D11FB9"/>
    <w:rsid w:val="00D14A90"/>
    <w:rsid w:val="00D15C41"/>
    <w:rsid w:val="00D16E5F"/>
    <w:rsid w:val="00D17301"/>
    <w:rsid w:val="00D17B49"/>
    <w:rsid w:val="00D20DAE"/>
    <w:rsid w:val="00D21C99"/>
    <w:rsid w:val="00D2204C"/>
    <w:rsid w:val="00D22931"/>
    <w:rsid w:val="00D27121"/>
    <w:rsid w:val="00D27CEC"/>
    <w:rsid w:val="00D30080"/>
    <w:rsid w:val="00D31476"/>
    <w:rsid w:val="00D32A0B"/>
    <w:rsid w:val="00D33A79"/>
    <w:rsid w:val="00D40A70"/>
    <w:rsid w:val="00D40C76"/>
    <w:rsid w:val="00D41190"/>
    <w:rsid w:val="00D441B9"/>
    <w:rsid w:val="00D445CD"/>
    <w:rsid w:val="00D4478F"/>
    <w:rsid w:val="00D462EE"/>
    <w:rsid w:val="00D46E66"/>
    <w:rsid w:val="00D47748"/>
    <w:rsid w:val="00D4788F"/>
    <w:rsid w:val="00D5358E"/>
    <w:rsid w:val="00D53BDB"/>
    <w:rsid w:val="00D53FF1"/>
    <w:rsid w:val="00D5440A"/>
    <w:rsid w:val="00D54B74"/>
    <w:rsid w:val="00D57230"/>
    <w:rsid w:val="00D572FF"/>
    <w:rsid w:val="00D5744A"/>
    <w:rsid w:val="00D62839"/>
    <w:rsid w:val="00D62CC9"/>
    <w:rsid w:val="00D6310B"/>
    <w:rsid w:val="00D63D3B"/>
    <w:rsid w:val="00D66478"/>
    <w:rsid w:val="00D66488"/>
    <w:rsid w:val="00D67822"/>
    <w:rsid w:val="00D70D76"/>
    <w:rsid w:val="00D70ED7"/>
    <w:rsid w:val="00D71174"/>
    <w:rsid w:val="00D72263"/>
    <w:rsid w:val="00D725AC"/>
    <w:rsid w:val="00D72EA8"/>
    <w:rsid w:val="00D734DB"/>
    <w:rsid w:val="00D73B0B"/>
    <w:rsid w:val="00D7505B"/>
    <w:rsid w:val="00D77406"/>
    <w:rsid w:val="00D80DFF"/>
    <w:rsid w:val="00D81E2A"/>
    <w:rsid w:val="00D820EF"/>
    <w:rsid w:val="00D825A2"/>
    <w:rsid w:val="00D87891"/>
    <w:rsid w:val="00D87A75"/>
    <w:rsid w:val="00D905A4"/>
    <w:rsid w:val="00D92A38"/>
    <w:rsid w:val="00D94394"/>
    <w:rsid w:val="00D96439"/>
    <w:rsid w:val="00D9667A"/>
    <w:rsid w:val="00D969CC"/>
    <w:rsid w:val="00DA3939"/>
    <w:rsid w:val="00DA6BB5"/>
    <w:rsid w:val="00DB046F"/>
    <w:rsid w:val="00DB1BC6"/>
    <w:rsid w:val="00DB1D36"/>
    <w:rsid w:val="00DB1FB3"/>
    <w:rsid w:val="00DB34A8"/>
    <w:rsid w:val="00DB3D33"/>
    <w:rsid w:val="00DB5DF6"/>
    <w:rsid w:val="00DB7034"/>
    <w:rsid w:val="00DB7ADA"/>
    <w:rsid w:val="00DC0582"/>
    <w:rsid w:val="00DC0E62"/>
    <w:rsid w:val="00DC1AE5"/>
    <w:rsid w:val="00DC2B6B"/>
    <w:rsid w:val="00DC407E"/>
    <w:rsid w:val="00DC44CB"/>
    <w:rsid w:val="00DC5099"/>
    <w:rsid w:val="00DC57DC"/>
    <w:rsid w:val="00DC5F7F"/>
    <w:rsid w:val="00DC66FA"/>
    <w:rsid w:val="00DC6ADF"/>
    <w:rsid w:val="00DD1F90"/>
    <w:rsid w:val="00DD3CB1"/>
    <w:rsid w:val="00DD4320"/>
    <w:rsid w:val="00DD526F"/>
    <w:rsid w:val="00DE0FDE"/>
    <w:rsid w:val="00DE15D3"/>
    <w:rsid w:val="00DE16A9"/>
    <w:rsid w:val="00DE1A08"/>
    <w:rsid w:val="00DE3999"/>
    <w:rsid w:val="00DE56DD"/>
    <w:rsid w:val="00DE6DD5"/>
    <w:rsid w:val="00DE7779"/>
    <w:rsid w:val="00DE78EF"/>
    <w:rsid w:val="00DE7AF7"/>
    <w:rsid w:val="00DE7B67"/>
    <w:rsid w:val="00DF28A3"/>
    <w:rsid w:val="00DF2A17"/>
    <w:rsid w:val="00DF41F2"/>
    <w:rsid w:val="00DF772B"/>
    <w:rsid w:val="00E02261"/>
    <w:rsid w:val="00E046B3"/>
    <w:rsid w:val="00E04E9E"/>
    <w:rsid w:val="00E052B2"/>
    <w:rsid w:val="00E05908"/>
    <w:rsid w:val="00E05F39"/>
    <w:rsid w:val="00E064B4"/>
    <w:rsid w:val="00E107A6"/>
    <w:rsid w:val="00E10C56"/>
    <w:rsid w:val="00E14892"/>
    <w:rsid w:val="00E14AEE"/>
    <w:rsid w:val="00E159C8"/>
    <w:rsid w:val="00E17482"/>
    <w:rsid w:val="00E22758"/>
    <w:rsid w:val="00E22AB1"/>
    <w:rsid w:val="00E23718"/>
    <w:rsid w:val="00E23727"/>
    <w:rsid w:val="00E252B9"/>
    <w:rsid w:val="00E26E36"/>
    <w:rsid w:val="00E271C1"/>
    <w:rsid w:val="00E313BE"/>
    <w:rsid w:val="00E315E0"/>
    <w:rsid w:val="00E31BF3"/>
    <w:rsid w:val="00E32A90"/>
    <w:rsid w:val="00E342B9"/>
    <w:rsid w:val="00E34BB4"/>
    <w:rsid w:val="00E36987"/>
    <w:rsid w:val="00E402EF"/>
    <w:rsid w:val="00E41ADD"/>
    <w:rsid w:val="00E435B9"/>
    <w:rsid w:val="00E475E2"/>
    <w:rsid w:val="00E505D5"/>
    <w:rsid w:val="00E50812"/>
    <w:rsid w:val="00E519AD"/>
    <w:rsid w:val="00E51D91"/>
    <w:rsid w:val="00E52BE6"/>
    <w:rsid w:val="00E52F0F"/>
    <w:rsid w:val="00E53387"/>
    <w:rsid w:val="00E53844"/>
    <w:rsid w:val="00E54FD5"/>
    <w:rsid w:val="00E57A8D"/>
    <w:rsid w:val="00E6002A"/>
    <w:rsid w:val="00E6117A"/>
    <w:rsid w:val="00E618D0"/>
    <w:rsid w:val="00E619D4"/>
    <w:rsid w:val="00E6329B"/>
    <w:rsid w:val="00E64E07"/>
    <w:rsid w:val="00E7036B"/>
    <w:rsid w:val="00E7174B"/>
    <w:rsid w:val="00E71EA9"/>
    <w:rsid w:val="00E72546"/>
    <w:rsid w:val="00E735F0"/>
    <w:rsid w:val="00E73CA5"/>
    <w:rsid w:val="00E73FB0"/>
    <w:rsid w:val="00E74194"/>
    <w:rsid w:val="00E760C3"/>
    <w:rsid w:val="00E772EC"/>
    <w:rsid w:val="00E777D9"/>
    <w:rsid w:val="00E778CA"/>
    <w:rsid w:val="00E802DB"/>
    <w:rsid w:val="00E80DC8"/>
    <w:rsid w:val="00E81636"/>
    <w:rsid w:val="00E8481C"/>
    <w:rsid w:val="00E87EC4"/>
    <w:rsid w:val="00E9255B"/>
    <w:rsid w:val="00E92904"/>
    <w:rsid w:val="00E93013"/>
    <w:rsid w:val="00E9663B"/>
    <w:rsid w:val="00E9721C"/>
    <w:rsid w:val="00EA042A"/>
    <w:rsid w:val="00EA1C53"/>
    <w:rsid w:val="00EA243D"/>
    <w:rsid w:val="00EA2A25"/>
    <w:rsid w:val="00EA2A7A"/>
    <w:rsid w:val="00EA36AB"/>
    <w:rsid w:val="00EA36C2"/>
    <w:rsid w:val="00EA40E8"/>
    <w:rsid w:val="00EA5EDF"/>
    <w:rsid w:val="00EA63E7"/>
    <w:rsid w:val="00EA7207"/>
    <w:rsid w:val="00EA73A0"/>
    <w:rsid w:val="00EA7FDA"/>
    <w:rsid w:val="00EB118B"/>
    <w:rsid w:val="00EB2CC0"/>
    <w:rsid w:val="00EB39AB"/>
    <w:rsid w:val="00EB79C4"/>
    <w:rsid w:val="00EB7AB3"/>
    <w:rsid w:val="00EB7D89"/>
    <w:rsid w:val="00EC22F0"/>
    <w:rsid w:val="00EC34CD"/>
    <w:rsid w:val="00EC3B40"/>
    <w:rsid w:val="00EC4476"/>
    <w:rsid w:val="00EC5A22"/>
    <w:rsid w:val="00ED1629"/>
    <w:rsid w:val="00ED340C"/>
    <w:rsid w:val="00ED49AC"/>
    <w:rsid w:val="00EE08C5"/>
    <w:rsid w:val="00EE275D"/>
    <w:rsid w:val="00EE437B"/>
    <w:rsid w:val="00EE5133"/>
    <w:rsid w:val="00EE5474"/>
    <w:rsid w:val="00EF1107"/>
    <w:rsid w:val="00EF1308"/>
    <w:rsid w:val="00EF2613"/>
    <w:rsid w:val="00EF51B3"/>
    <w:rsid w:val="00EF7E53"/>
    <w:rsid w:val="00F017FC"/>
    <w:rsid w:val="00F04525"/>
    <w:rsid w:val="00F04571"/>
    <w:rsid w:val="00F04DEF"/>
    <w:rsid w:val="00F05A07"/>
    <w:rsid w:val="00F05C1C"/>
    <w:rsid w:val="00F05C38"/>
    <w:rsid w:val="00F06474"/>
    <w:rsid w:val="00F06951"/>
    <w:rsid w:val="00F07542"/>
    <w:rsid w:val="00F077A7"/>
    <w:rsid w:val="00F07DFE"/>
    <w:rsid w:val="00F1236A"/>
    <w:rsid w:val="00F138B0"/>
    <w:rsid w:val="00F14AC5"/>
    <w:rsid w:val="00F152C1"/>
    <w:rsid w:val="00F211EF"/>
    <w:rsid w:val="00F212B3"/>
    <w:rsid w:val="00F239B7"/>
    <w:rsid w:val="00F24BF0"/>
    <w:rsid w:val="00F24CAD"/>
    <w:rsid w:val="00F25973"/>
    <w:rsid w:val="00F26054"/>
    <w:rsid w:val="00F263B9"/>
    <w:rsid w:val="00F26AA6"/>
    <w:rsid w:val="00F27770"/>
    <w:rsid w:val="00F3146B"/>
    <w:rsid w:val="00F31833"/>
    <w:rsid w:val="00F3229A"/>
    <w:rsid w:val="00F341AB"/>
    <w:rsid w:val="00F36C53"/>
    <w:rsid w:val="00F36FE9"/>
    <w:rsid w:val="00F408CB"/>
    <w:rsid w:val="00F43FA8"/>
    <w:rsid w:val="00F4423A"/>
    <w:rsid w:val="00F466D4"/>
    <w:rsid w:val="00F46DDF"/>
    <w:rsid w:val="00F47598"/>
    <w:rsid w:val="00F62047"/>
    <w:rsid w:val="00F63644"/>
    <w:rsid w:val="00F675D5"/>
    <w:rsid w:val="00F67ACA"/>
    <w:rsid w:val="00F719B9"/>
    <w:rsid w:val="00F7240A"/>
    <w:rsid w:val="00F73676"/>
    <w:rsid w:val="00F74CD3"/>
    <w:rsid w:val="00F8018F"/>
    <w:rsid w:val="00F81825"/>
    <w:rsid w:val="00F81F59"/>
    <w:rsid w:val="00F82489"/>
    <w:rsid w:val="00F826B0"/>
    <w:rsid w:val="00F85612"/>
    <w:rsid w:val="00F86C4E"/>
    <w:rsid w:val="00F87CCD"/>
    <w:rsid w:val="00F87CDE"/>
    <w:rsid w:val="00F9002E"/>
    <w:rsid w:val="00F9172D"/>
    <w:rsid w:val="00F93445"/>
    <w:rsid w:val="00F93564"/>
    <w:rsid w:val="00F93DD0"/>
    <w:rsid w:val="00F94A25"/>
    <w:rsid w:val="00F955F1"/>
    <w:rsid w:val="00F97521"/>
    <w:rsid w:val="00FA0EB6"/>
    <w:rsid w:val="00FA1AC8"/>
    <w:rsid w:val="00FB2092"/>
    <w:rsid w:val="00FB45A3"/>
    <w:rsid w:val="00FB4A32"/>
    <w:rsid w:val="00FB5047"/>
    <w:rsid w:val="00FB59FB"/>
    <w:rsid w:val="00FB5A4C"/>
    <w:rsid w:val="00FB7D3A"/>
    <w:rsid w:val="00FB7DEE"/>
    <w:rsid w:val="00FC014D"/>
    <w:rsid w:val="00FC0305"/>
    <w:rsid w:val="00FC3E0C"/>
    <w:rsid w:val="00FC5484"/>
    <w:rsid w:val="00FC5919"/>
    <w:rsid w:val="00FC67EC"/>
    <w:rsid w:val="00FC78B7"/>
    <w:rsid w:val="00FC7911"/>
    <w:rsid w:val="00FC7A54"/>
    <w:rsid w:val="00FD0124"/>
    <w:rsid w:val="00FD0188"/>
    <w:rsid w:val="00FD03B5"/>
    <w:rsid w:val="00FD136A"/>
    <w:rsid w:val="00FD26DB"/>
    <w:rsid w:val="00FD50AF"/>
    <w:rsid w:val="00FD5579"/>
    <w:rsid w:val="00FD5E89"/>
    <w:rsid w:val="00FD7106"/>
    <w:rsid w:val="00FE08F4"/>
    <w:rsid w:val="00FE2C5C"/>
    <w:rsid w:val="00FE482E"/>
    <w:rsid w:val="00FE4CDD"/>
    <w:rsid w:val="00FE60B6"/>
    <w:rsid w:val="00FF1461"/>
    <w:rsid w:val="00FF189A"/>
    <w:rsid w:val="00FF1CFF"/>
    <w:rsid w:val="00FF39B5"/>
    <w:rsid w:val="00FF5776"/>
    <w:rsid w:val="00FF5AFC"/>
    <w:rsid w:val="00FF61F9"/>
    <w:rsid w:val="00FF7988"/>
    <w:rsid w:val="01042CD0"/>
    <w:rsid w:val="010752DC"/>
    <w:rsid w:val="010A6400"/>
    <w:rsid w:val="010B22B0"/>
    <w:rsid w:val="010D4999"/>
    <w:rsid w:val="0116672E"/>
    <w:rsid w:val="011949CD"/>
    <w:rsid w:val="012F66D8"/>
    <w:rsid w:val="01304F8C"/>
    <w:rsid w:val="01325A8F"/>
    <w:rsid w:val="0134033E"/>
    <w:rsid w:val="0136557F"/>
    <w:rsid w:val="01371F4B"/>
    <w:rsid w:val="01382BF0"/>
    <w:rsid w:val="013C246E"/>
    <w:rsid w:val="013E0646"/>
    <w:rsid w:val="013F400E"/>
    <w:rsid w:val="014B1A5D"/>
    <w:rsid w:val="014D4677"/>
    <w:rsid w:val="01530412"/>
    <w:rsid w:val="01533B1D"/>
    <w:rsid w:val="01544F5D"/>
    <w:rsid w:val="01593807"/>
    <w:rsid w:val="015E3336"/>
    <w:rsid w:val="016025FC"/>
    <w:rsid w:val="017236EB"/>
    <w:rsid w:val="01800F39"/>
    <w:rsid w:val="01816CCF"/>
    <w:rsid w:val="01834293"/>
    <w:rsid w:val="018646FA"/>
    <w:rsid w:val="01866258"/>
    <w:rsid w:val="018A3E20"/>
    <w:rsid w:val="01910A08"/>
    <w:rsid w:val="0191455B"/>
    <w:rsid w:val="01916C5A"/>
    <w:rsid w:val="019329D2"/>
    <w:rsid w:val="0194674A"/>
    <w:rsid w:val="019E6FD0"/>
    <w:rsid w:val="019F636B"/>
    <w:rsid w:val="01A22C15"/>
    <w:rsid w:val="01A7647D"/>
    <w:rsid w:val="01BB5F83"/>
    <w:rsid w:val="01BB7CB2"/>
    <w:rsid w:val="01C0753F"/>
    <w:rsid w:val="01C25252"/>
    <w:rsid w:val="01C73C8F"/>
    <w:rsid w:val="01CA199C"/>
    <w:rsid w:val="01CC706C"/>
    <w:rsid w:val="01CD7D4A"/>
    <w:rsid w:val="01CF1530"/>
    <w:rsid w:val="01D408F4"/>
    <w:rsid w:val="01E20DF2"/>
    <w:rsid w:val="01E317F7"/>
    <w:rsid w:val="01E37D82"/>
    <w:rsid w:val="01E476BA"/>
    <w:rsid w:val="01E52B01"/>
    <w:rsid w:val="01E939F0"/>
    <w:rsid w:val="01F571E8"/>
    <w:rsid w:val="01FF3719"/>
    <w:rsid w:val="02074A57"/>
    <w:rsid w:val="0208331B"/>
    <w:rsid w:val="02093FFC"/>
    <w:rsid w:val="020A2568"/>
    <w:rsid w:val="020B6834"/>
    <w:rsid w:val="020E4700"/>
    <w:rsid w:val="020F0FAF"/>
    <w:rsid w:val="0213141D"/>
    <w:rsid w:val="021625FD"/>
    <w:rsid w:val="02186A33"/>
    <w:rsid w:val="021B0B53"/>
    <w:rsid w:val="021F6ED0"/>
    <w:rsid w:val="02222CAB"/>
    <w:rsid w:val="02253928"/>
    <w:rsid w:val="022E1342"/>
    <w:rsid w:val="022F6093"/>
    <w:rsid w:val="023313F1"/>
    <w:rsid w:val="02334221"/>
    <w:rsid w:val="02384FB6"/>
    <w:rsid w:val="023B0973"/>
    <w:rsid w:val="023C56D5"/>
    <w:rsid w:val="023F0464"/>
    <w:rsid w:val="024355F2"/>
    <w:rsid w:val="02441F1E"/>
    <w:rsid w:val="02442372"/>
    <w:rsid w:val="024F09B8"/>
    <w:rsid w:val="02535CBD"/>
    <w:rsid w:val="025507E1"/>
    <w:rsid w:val="025657AD"/>
    <w:rsid w:val="02581525"/>
    <w:rsid w:val="025D01A7"/>
    <w:rsid w:val="0261662C"/>
    <w:rsid w:val="026223A4"/>
    <w:rsid w:val="02631873"/>
    <w:rsid w:val="02693733"/>
    <w:rsid w:val="02713874"/>
    <w:rsid w:val="0274381B"/>
    <w:rsid w:val="02757670"/>
    <w:rsid w:val="027619AC"/>
    <w:rsid w:val="027A7D2F"/>
    <w:rsid w:val="02816CCE"/>
    <w:rsid w:val="02922C89"/>
    <w:rsid w:val="02931E22"/>
    <w:rsid w:val="02947969"/>
    <w:rsid w:val="0299351D"/>
    <w:rsid w:val="029C1842"/>
    <w:rsid w:val="029C4B28"/>
    <w:rsid w:val="029C7664"/>
    <w:rsid w:val="029D105D"/>
    <w:rsid w:val="02A44FF6"/>
    <w:rsid w:val="02A8425B"/>
    <w:rsid w:val="02AE6236"/>
    <w:rsid w:val="02B12609"/>
    <w:rsid w:val="02B250DA"/>
    <w:rsid w:val="02B26E88"/>
    <w:rsid w:val="02B3231A"/>
    <w:rsid w:val="02BC2A87"/>
    <w:rsid w:val="02C458C8"/>
    <w:rsid w:val="02C45EF0"/>
    <w:rsid w:val="02C60B85"/>
    <w:rsid w:val="02C6101B"/>
    <w:rsid w:val="02CA46D7"/>
    <w:rsid w:val="02CB1CF7"/>
    <w:rsid w:val="02D908B8"/>
    <w:rsid w:val="02DB3ED6"/>
    <w:rsid w:val="02E9055A"/>
    <w:rsid w:val="02EB239A"/>
    <w:rsid w:val="02EC423B"/>
    <w:rsid w:val="02EF3F4F"/>
    <w:rsid w:val="02F2197A"/>
    <w:rsid w:val="02F23728"/>
    <w:rsid w:val="02F86EF5"/>
    <w:rsid w:val="02F94AB6"/>
    <w:rsid w:val="02FA082F"/>
    <w:rsid w:val="02FB5575"/>
    <w:rsid w:val="02FD0361"/>
    <w:rsid w:val="03031491"/>
    <w:rsid w:val="030516AD"/>
    <w:rsid w:val="030749FA"/>
    <w:rsid w:val="03076F74"/>
    <w:rsid w:val="0311773D"/>
    <w:rsid w:val="031B5A06"/>
    <w:rsid w:val="0323443A"/>
    <w:rsid w:val="03242AB0"/>
    <w:rsid w:val="0327637A"/>
    <w:rsid w:val="032A189B"/>
    <w:rsid w:val="032B6C3A"/>
    <w:rsid w:val="03340902"/>
    <w:rsid w:val="0339136F"/>
    <w:rsid w:val="03491F0E"/>
    <w:rsid w:val="035506D3"/>
    <w:rsid w:val="03577B75"/>
    <w:rsid w:val="035E0DBD"/>
    <w:rsid w:val="03675EC4"/>
    <w:rsid w:val="03686E57"/>
    <w:rsid w:val="036927CC"/>
    <w:rsid w:val="036D52ED"/>
    <w:rsid w:val="036F4D79"/>
    <w:rsid w:val="0372619F"/>
    <w:rsid w:val="03732CC5"/>
    <w:rsid w:val="037403FB"/>
    <w:rsid w:val="03777C83"/>
    <w:rsid w:val="037B196F"/>
    <w:rsid w:val="037D3DCC"/>
    <w:rsid w:val="037D7666"/>
    <w:rsid w:val="038765C5"/>
    <w:rsid w:val="038A7E04"/>
    <w:rsid w:val="038F41D9"/>
    <w:rsid w:val="039054AB"/>
    <w:rsid w:val="03911A52"/>
    <w:rsid w:val="03932F6D"/>
    <w:rsid w:val="0397158C"/>
    <w:rsid w:val="039B4C5B"/>
    <w:rsid w:val="039E740C"/>
    <w:rsid w:val="039F7BE3"/>
    <w:rsid w:val="03A066B7"/>
    <w:rsid w:val="03A36ECB"/>
    <w:rsid w:val="03A61443"/>
    <w:rsid w:val="03AC59D0"/>
    <w:rsid w:val="03B602CD"/>
    <w:rsid w:val="03BB6B21"/>
    <w:rsid w:val="03BE185C"/>
    <w:rsid w:val="03BE44FB"/>
    <w:rsid w:val="03BE615C"/>
    <w:rsid w:val="03C1347A"/>
    <w:rsid w:val="03CA0201"/>
    <w:rsid w:val="03D55C30"/>
    <w:rsid w:val="03D77920"/>
    <w:rsid w:val="03DA48E8"/>
    <w:rsid w:val="03DC0CC8"/>
    <w:rsid w:val="03DE0AD3"/>
    <w:rsid w:val="03DF23F9"/>
    <w:rsid w:val="03E12D53"/>
    <w:rsid w:val="03E157B9"/>
    <w:rsid w:val="03E52874"/>
    <w:rsid w:val="03F31506"/>
    <w:rsid w:val="03FA3F5E"/>
    <w:rsid w:val="03FC6492"/>
    <w:rsid w:val="04032235"/>
    <w:rsid w:val="04115A20"/>
    <w:rsid w:val="041C5313"/>
    <w:rsid w:val="041F0A41"/>
    <w:rsid w:val="04261BD2"/>
    <w:rsid w:val="0426309D"/>
    <w:rsid w:val="042765DF"/>
    <w:rsid w:val="04277401"/>
    <w:rsid w:val="04304E1A"/>
    <w:rsid w:val="043530C9"/>
    <w:rsid w:val="043B54DA"/>
    <w:rsid w:val="04471852"/>
    <w:rsid w:val="04473600"/>
    <w:rsid w:val="0449381C"/>
    <w:rsid w:val="045F4253"/>
    <w:rsid w:val="04610599"/>
    <w:rsid w:val="04620439"/>
    <w:rsid w:val="0462668B"/>
    <w:rsid w:val="04694715"/>
    <w:rsid w:val="046B6164"/>
    <w:rsid w:val="04700FCA"/>
    <w:rsid w:val="04727D76"/>
    <w:rsid w:val="047343F5"/>
    <w:rsid w:val="047A5783"/>
    <w:rsid w:val="047D53B3"/>
    <w:rsid w:val="04840F62"/>
    <w:rsid w:val="04873D8B"/>
    <w:rsid w:val="048900BC"/>
    <w:rsid w:val="048B7A86"/>
    <w:rsid w:val="048D195A"/>
    <w:rsid w:val="048D537A"/>
    <w:rsid w:val="048F3468"/>
    <w:rsid w:val="049525BD"/>
    <w:rsid w:val="0495436C"/>
    <w:rsid w:val="04972407"/>
    <w:rsid w:val="0497536E"/>
    <w:rsid w:val="049960BE"/>
    <w:rsid w:val="04A16DCF"/>
    <w:rsid w:val="04A20A6B"/>
    <w:rsid w:val="04AA14A8"/>
    <w:rsid w:val="04AC314A"/>
    <w:rsid w:val="04B07321"/>
    <w:rsid w:val="04B11768"/>
    <w:rsid w:val="04BB3A14"/>
    <w:rsid w:val="04BD4BCE"/>
    <w:rsid w:val="04BD7D66"/>
    <w:rsid w:val="04C66C1A"/>
    <w:rsid w:val="04C7106A"/>
    <w:rsid w:val="04D7625E"/>
    <w:rsid w:val="04F25C61"/>
    <w:rsid w:val="04F33A50"/>
    <w:rsid w:val="04F45EBF"/>
    <w:rsid w:val="04F76DD4"/>
    <w:rsid w:val="04F82B4C"/>
    <w:rsid w:val="04FC1E69"/>
    <w:rsid w:val="04FF212C"/>
    <w:rsid w:val="05054CC3"/>
    <w:rsid w:val="05072A34"/>
    <w:rsid w:val="050D4849"/>
    <w:rsid w:val="05111DBD"/>
    <w:rsid w:val="05156574"/>
    <w:rsid w:val="05184F9C"/>
    <w:rsid w:val="05192DD1"/>
    <w:rsid w:val="051D051E"/>
    <w:rsid w:val="051D57BD"/>
    <w:rsid w:val="05235E1B"/>
    <w:rsid w:val="0529553F"/>
    <w:rsid w:val="052A31D2"/>
    <w:rsid w:val="05304895"/>
    <w:rsid w:val="05354AE5"/>
    <w:rsid w:val="053C24D6"/>
    <w:rsid w:val="053E2C54"/>
    <w:rsid w:val="054002F0"/>
    <w:rsid w:val="054160C5"/>
    <w:rsid w:val="05453D1E"/>
    <w:rsid w:val="054D10EA"/>
    <w:rsid w:val="054E61F5"/>
    <w:rsid w:val="055406CA"/>
    <w:rsid w:val="05551447"/>
    <w:rsid w:val="0559183C"/>
    <w:rsid w:val="055E1514"/>
    <w:rsid w:val="0563090D"/>
    <w:rsid w:val="056327C5"/>
    <w:rsid w:val="05663009"/>
    <w:rsid w:val="056A26C5"/>
    <w:rsid w:val="056A3A4A"/>
    <w:rsid w:val="056D353A"/>
    <w:rsid w:val="056D3BBA"/>
    <w:rsid w:val="057B6884"/>
    <w:rsid w:val="057F5F15"/>
    <w:rsid w:val="058326BE"/>
    <w:rsid w:val="058335CB"/>
    <w:rsid w:val="05834B0B"/>
    <w:rsid w:val="058B39C0"/>
    <w:rsid w:val="05902075"/>
    <w:rsid w:val="059454B8"/>
    <w:rsid w:val="05972365"/>
    <w:rsid w:val="059A3C03"/>
    <w:rsid w:val="05A01219"/>
    <w:rsid w:val="05A451E4"/>
    <w:rsid w:val="05AB2856"/>
    <w:rsid w:val="05B22085"/>
    <w:rsid w:val="05BB4948"/>
    <w:rsid w:val="05BE6654"/>
    <w:rsid w:val="05C00C21"/>
    <w:rsid w:val="05C018BB"/>
    <w:rsid w:val="05C0366A"/>
    <w:rsid w:val="05C56ED2"/>
    <w:rsid w:val="05C937E5"/>
    <w:rsid w:val="05CE48C3"/>
    <w:rsid w:val="05D47115"/>
    <w:rsid w:val="05D62E8D"/>
    <w:rsid w:val="05D75563"/>
    <w:rsid w:val="05E43C11"/>
    <w:rsid w:val="05ED6429"/>
    <w:rsid w:val="05EE0324"/>
    <w:rsid w:val="05F66B6C"/>
    <w:rsid w:val="05F800AC"/>
    <w:rsid w:val="05FA65A2"/>
    <w:rsid w:val="05FB5A9A"/>
    <w:rsid w:val="05FF15FD"/>
    <w:rsid w:val="06043E9E"/>
    <w:rsid w:val="06054700"/>
    <w:rsid w:val="060818B0"/>
    <w:rsid w:val="060A2B37"/>
    <w:rsid w:val="0616597F"/>
    <w:rsid w:val="06173330"/>
    <w:rsid w:val="06190FCC"/>
    <w:rsid w:val="061D286A"/>
    <w:rsid w:val="061E43BC"/>
    <w:rsid w:val="062448BA"/>
    <w:rsid w:val="06284242"/>
    <w:rsid w:val="063140EA"/>
    <w:rsid w:val="063364D3"/>
    <w:rsid w:val="063403D8"/>
    <w:rsid w:val="066606B5"/>
    <w:rsid w:val="066E1317"/>
    <w:rsid w:val="0674058D"/>
    <w:rsid w:val="06754A8D"/>
    <w:rsid w:val="06755470"/>
    <w:rsid w:val="067A4160"/>
    <w:rsid w:val="067C5C2D"/>
    <w:rsid w:val="067D1D8B"/>
    <w:rsid w:val="067E07DA"/>
    <w:rsid w:val="067F1777"/>
    <w:rsid w:val="06826B71"/>
    <w:rsid w:val="0688299D"/>
    <w:rsid w:val="06886C84"/>
    <w:rsid w:val="06937252"/>
    <w:rsid w:val="069913B1"/>
    <w:rsid w:val="069D59BB"/>
    <w:rsid w:val="06A00A53"/>
    <w:rsid w:val="06A417B7"/>
    <w:rsid w:val="06A51054"/>
    <w:rsid w:val="06A55F8F"/>
    <w:rsid w:val="06A72A7B"/>
    <w:rsid w:val="06A7340A"/>
    <w:rsid w:val="06AB431A"/>
    <w:rsid w:val="06AB60C8"/>
    <w:rsid w:val="06AE2364"/>
    <w:rsid w:val="06AF3BBC"/>
    <w:rsid w:val="06B12EB5"/>
    <w:rsid w:val="06B371CB"/>
    <w:rsid w:val="06B77F93"/>
    <w:rsid w:val="06B901EF"/>
    <w:rsid w:val="06BA27AF"/>
    <w:rsid w:val="06BC5EB5"/>
    <w:rsid w:val="06C23411"/>
    <w:rsid w:val="06C62F02"/>
    <w:rsid w:val="06C8392D"/>
    <w:rsid w:val="06CB0518"/>
    <w:rsid w:val="06D64E48"/>
    <w:rsid w:val="06D97E37"/>
    <w:rsid w:val="06DF3FC3"/>
    <w:rsid w:val="06E11AE9"/>
    <w:rsid w:val="06EE6903"/>
    <w:rsid w:val="06F04422"/>
    <w:rsid w:val="06F734F9"/>
    <w:rsid w:val="06F767F7"/>
    <w:rsid w:val="06FD6A9C"/>
    <w:rsid w:val="06FE6B3F"/>
    <w:rsid w:val="070E6657"/>
    <w:rsid w:val="071351D9"/>
    <w:rsid w:val="07145492"/>
    <w:rsid w:val="071E0F8F"/>
    <w:rsid w:val="07202A98"/>
    <w:rsid w:val="0721282E"/>
    <w:rsid w:val="0721638A"/>
    <w:rsid w:val="07280488"/>
    <w:rsid w:val="072E7B1C"/>
    <w:rsid w:val="073562D9"/>
    <w:rsid w:val="07384786"/>
    <w:rsid w:val="07393212"/>
    <w:rsid w:val="073B57B2"/>
    <w:rsid w:val="07414B26"/>
    <w:rsid w:val="07434552"/>
    <w:rsid w:val="074C348F"/>
    <w:rsid w:val="07506C6F"/>
    <w:rsid w:val="07572EA1"/>
    <w:rsid w:val="07603356"/>
    <w:rsid w:val="07660D9E"/>
    <w:rsid w:val="076D1B03"/>
    <w:rsid w:val="07746198"/>
    <w:rsid w:val="07750484"/>
    <w:rsid w:val="077A5D32"/>
    <w:rsid w:val="077B1E21"/>
    <w:rsid w:val="077E558A"/>
    <w:rsid w:val="077F1302"/>
    <w:rsid w:val="07830C87"/>
    <w:rsid w:val="07830DF3"/>
    <w:rsid w:val="07837045"/>
    <w:rsid w:val="078448D6"/>
    <w:rsid w:val="078864D5"/>
    <w:rsid w:val="07912794"/>
    <w:rsid w:val="079138AB"/>
    <w:rsid w:val="07927288"/>
    <w:rsid w:val="079D563B"/>
    <w:rsid w:val="079E35EE"/>
    <w:rsid w:val="07A1167D"/>
    <w:rsid w:val="07A1571D"/>
    <w:rsid w:val="07AA4976"/>
    <w:rsid w:val="07B86A18"/>
    <w:rsid w:val="07BC01E1"/>
    <w:rsid w:val="07BD0D48"/>
    <w:rsid w:val="07BE1E2B"/>
    <w:rsid w:val="07BE27AC"/>
    <w:rsid w:val="07C0102B"/>
    <w:rsid w:val="07C35693"/>
    <w:rsid w:val="07C700A9"/>
    <w:rsid w:val="07C80EFB"/>
    <w:rsid w:val="07C8588E"/>
    <w:rsid w:val="07D4333B"/>
    <w:rsid w:val="07E04497"/>
    <w:rsid w:val="07E40E92"/>
    <w:rsid w:val="07E42607"/>
    <w:rsid w:val="07E44FAE"/>
    <w:rsid w:val="07E643D3"/>
    <w:rsid w:val="07E8508A"/>
    <w:rsid w:val="07EA4D8C"/>
    <w:rsid w:val="07F7358F"/>
    <w:rsid w:val="07FB495C"/>
    <w:rsid w:val="07FE66CB"/>
    <w:rsid w:val="07FF4EC7"/>
    <w:rsid w:val="08065580"/>
    <w:rsid w:val="080B34B5"/>
    <w:rsid w:val="081101E4"/>
    <w:rsid w:val="08124037"/>
    <w:rsid w:val="08163A15"/>
    <w:rsid w:val="081842EA"/>
    <w:rsid w:val="08204893"/>
    <w:rsid w:val="082223BA"/>
    <w:rsid w:val="0825186C"/>
    <w:rsid w:val="082B3548"/>
    <w:rsid w:val="082B5D81"/>
    <w:rsid w:val="082B7418"/>
    <w:rsid w:val="08332819"/>
    <w:rsid w:val="083B2BDB"/>
    <w:rsid w:val="083F5EEF"/>
    <w:rsid w:val="08420CAE"/>
    <w:rsid w:val="08430DBD"/>
    <w:rsid w:val="084A6E40"/>
    <w:rsid w:val="084C07FE"/>
    <w:rsid w:val="08556D4D"/>
    <w:rsid w:val="08580887"/>
    <w:rsid w:val="085D5175"/>
    <w:rsid w:val="086230FE"/>
    <w:rsid w:val="08654B5E"/>
    <w:rsid w:val="08654F40"/>
    <w:rsid w:val="08666D22"/>
    <w:rsid w:val="086D11A9"/>
    <w:rsid w:val="086D2D39"/>
    <w:rsid w:val="086E4CDF"/>
    <w:rsid w:val="0874277D"/>
    <w:rsid w:val="08752E31"/>
    <w:rsid w:val="0877389D"/>
    <w:rsid w:val="087A3FB2"/>
    <w:rsid w:val="087B41C0"/>
    <w:rsid w:val="087E15BA"/>
    <w:rsid w:val="088312F1"/>
    <w:rsid w:val="08832B07"/>
    <w:rsid w:val="0893556C"/>
    <w:rsid w:val="08940DDD"/>
    <w:rsid w:val="08955281"/>
    <w:rsid w:val="08977072"/>
    <w:rsid w:val="08997EFF"/>
    <w:rsid w:val="089F3A0D"/>
    <w:rsid w:val="08A83DFB"/>
    <w:rsid w:val="08AB6853"/>
    <w:rsid w:val="08AF3439"/>
    <w:rsid w:val="08C6368D"/>
    <w:rsid w:val="08CB1D92"/>
    <w:rsid w:val="08D85692"/>
    <w:rsid w:val="08DB07BA"/>
    <w:rsid w:val="08DC642B"/>
    <w:rsid w:val="08DD4532"/>
    <w:rsid w:val="08DF02AB"/>
    <w:rsid w:val="08E01FA3"/>
    <w:rsid w:val="08E14D22"/>
    <w:rsid w:val="08E64085"/>
    <w:rsid w:val="08E73603"/>
    <w:rsid w:val="08F0070A"/>
    <w:rsid w:val="08F7418E"/>
    <w:rsid w:val="08FA6575"/>
    <w:rsid w:val="08FB443F"/>
    <w:rsid w:val="08FD4BD5"/>
    <w:rsid w:val="090C4295"/>
    <w:rsid w:val="091268D2"/>
    <w:rsid w:val="09161D1E"/>
    <w:rsid w:val="09182922"/>
    <w:rsid w:val="091D32CD"/>
    <w:rsid w:val="091F048D"/>
    <w:rsid w:val="091F6812"/>
    <w:rsid w:val="09216B15"/>
    <w:rsid w:val="092271CF"/>
    <w:rsid w:val="09273A00"/>
    <w:rsid w:val="092C1322"/>
    <w:rsid w:val="093323A4"/>
    <w:rsid w:val="093525C0"/>
    <w:rsid w:val="09373D40"/>
    <w:rsid w:val="093A1985"/>
    <w:rsid w:val="093A4C30"/>
    <w:rsid w:val="093B3720"/>
    <w:rsid w:val="093E39CF"/>
    <w:rsid w:val="09436A8B"/>
    <w:rsid w:val="0945575F"/>
    <w:rsid w:val="0946032A"/>
    <w:rsid w:val="09463911"/>
    <w:rsid w:val="0946657C"/>
    <w:rsid w:val="094840A2"/>
    <w:rsid w:val="094A2D7D"/>
    <w:rsid w:val="09562898"/>
    <w:rsid w:val="09647F66"/>
    <w:rsid w:val="0966277A"/>
    <w:rsid w:val="096A04BC"/>
    <w:rsid w:val="0978252B"/>
    <w:rsid w:val="097A0F77"/>
    <w:rsid w:val="097A2A14"/>
    <w:rsid w:val="097C3D4B"/>
    <w:rsid w:val="097E3F67"/>
    <w:rsid w:val="098047A9"/>
    <w:rsid w:val="0984539C"/>
    <w:rsid w:val="0988476D"/>
    <w:rsid w:val="098A290C"/>
    <w:rsid w:val="098E2786"/>
    <w:rsid w:val="098F7F23"/>
    <w:rsid w:val="09934103"/>
    <w:rsid w:val="09963123"/>
    <w:rsid w:val="099E253A"/>
    <w:rsid w:val="099E60E5"/>
    <w:rsid w:val="09A2259A"/>
    <w:rsid w:val="09A454C0"/>
    <w:rsid w:val="09AF5ECF"/>
    <w:rsid w:val="09B23C11"/>
    <w:rsid w:val="09B25C7E"/>
    <w:rsid w:val="09B47989"/>
    <w:rsid w:val="09BA7D0B"/>
    <w:rsid w:val="09BD15A7"/>
    <w:rsid w:val="09BE25B6"/>
    <w:rsid w:val="09BF1E8A"/>
    <w:rsid w:val="09C059F7"/>
    <w:rsid w:val="09C1299A"/>
    <w:rsid w:val="09C556F2"/>
    <w:rsid w:val="09C6146A"/>
    <w:rsid w:val="09C67357"/>
    <w:rsid w:val="09CA0B1C"/>
    <w:rsid w:val="09CF031F"/>
    <w:rsid w:val="09D21BBD"/>
    <w:rsid w:val="09D31BF8"/>
    <w:rsid w:val="09E1608B"/>
    <w:rsid w:val="09EA4970"/>
    <w:rsid w:val="09EE11DB"/>
    <w:rsid w:val="09EF451D"/>
    <w:rsid w:val="09F004B1"/>
    <w:rsid w:val="09F636C2"/>
    <w:rsid w:val="09FC4E8C"/>
    <w:rsid w:val="0A081F78"/>
    <w:rsid w:val="0A083831"/>
    <w:rsid w:val="0A094F53"/>
    <w:rsid w:val="0A1769A0"/>
    <w:rsid w:val="0A18434E"/>
    <w:rsid w:val="0A2063B6"/>
    <w:rsid w:val="0A2C59AF"/>
    <w:rsid w:val="0A2C5FB6"/>
    <w:rsid w:val="0A323451"/>
    <w:rsid w:val="0A3B3C06"/>
    <w:rsid w:val="0A3E226C"/>
    <w:rsid w:val="0A4B6EAA"/>
    <w:rsid w:val="0A513D85"/>
    <w:rsid w:val="0A541526"/>
    <w:rsid w:val="0A59408D"/>
    <w:rsid w:val="0A5B3B9D"/>
    <w:rsid w:val="0A5D3B7D"/>
    <w:rsid w:val="0A5E5C25"/>
    <w:rsid w:val="0A5E78F5"/>
    <w:rsid w:val="0A5F5B47"/>
    <w:rsid w:val="0A5F6DA0"/>
    <w:rsid w:val="0A6269E1"/>
    <w:rsid w:val="0A634539"/>
    <w:rsid w:val="0A6A629A"/>
    <w:rsid w:val="0A6C2012"/>
    <w:rsid w:val="0A6C70A7"/>
    <w:rsid w:val="0A6D7B38"/>
    <w:rsid w:val="0A6E2111"/>
    <w:rsid w:val="0A704C47"/>
    <w:rsid w:val="0A705454"/>
    <w:rsid w:val="0A7669ED"/>
    <w:rsid w:val="0A80786B"/>
    <w:rsid w:val="0A886720"/>
    <w:rsid w:val="0A8D3D36"/>
    <w:rsid w:val="0A906611"/>
    <w:rsid w:val="0A93330A"/>
    <w:rsid w:val="0AA07575"/>
    <w:rsid w:val="0AA10875"/>
    <w:rsid w:val="0AAE43D8"/>
    <w:rsid w:val="0AB023B8"/>
    <w:rsid w:val="0AB33C7F"/>
    <w:rsid w:val="0AB539B9"/>
    <w:rsid w:val="0AB761AB"/>
    <w:rsid w:val="0ABB517D"/>
    <w:rsid w:val="0ABC6086"/>
    <w:rsid w:val="0AC37758"/>
    <w:rsid w:val="0ACA6E10"/>
    <w:rsid w:val="0ACC0D02"/>
    <w:rsid w:val="0ACF5308"/>
    <w:rsid w:val="0AD2092F"/>
    <w:rsid w:val="0AD57D72"/>
    <w:rsid w:val="0AD9690B"/>
    <w:rsid w:val="0AD96F7B"/>
    <w:rsid w:val="0ADF6DE2"/>
    <w:rsid w:val="0AE37E62"/>
    <w:rsid w:val="0AE94314"/>
    <w:rsid w:val="0AE94621"/>
    <w:rsid w:val="0AEA1189"/>
    <w:rsid w:val="0AEE0C79"/>
    <w:rsid w:val="0AF607FB"/>
    <w:rsid w:val="0AF86CE8"/>
    <w:rsid w:val="0AFD2C6A"/>
    <w:rsid w:val="0B12701B"/>
    <w:rsid w:val="0B1330B7"/>
    <w:rsid w:val="0B151AEA"/>
    <w:rsid w:val="0B17651E"/>
    <w:rsid w:val="0B1848F3"/>
    <w:rsid w:val="0B1D50BA"/>
    <w:rsid w:val="0B2E261B"/>
    <w:rsid w:val="0B300F0F"/>
    <w:rsid w:val="0B310B66"/>
    <w:rsid w:val="0B320293"/>
    <w:rsid w:val="0B3B406D"/>
    <w:rsid w:val="0B3B7875"/>
    <w:rsid w:val="0B4660B7"/>
    <w:rsid w:val="0B4A165C"/>
    <w:rsid w:val="0B4B60CB"/>
    <w:rsid w:val="0B4B7E79"/>
    <w:rsid w:val="0B4E1717"/>
    <w:rsid w:val="0B506A8B"/>
    <w:rsid w:val="0B5567EA"/>
    <w:rsid w:val="0B5605CC"/>
    <w:rsid w:val="0B562131"/>
    <w:rsid w:val="0B56734E"/>
    <w:rsid w:val="0B5807E8"/>
    <w:rsid w:val="0B5931B5"/>
    <w:rsid w:val="0B5D1874"/>
    <w:rsid w:val="0B5F2FD1"/>
    <w:rsid w:val="0B626F71"/>
    <w:rsid w:val="0B63734C"/>
    <w:rsid w:val="0B733189"/>
    <w:rsid w:val="0B7D5BB7"/>
    <w:rsid w:val="0B882E7B"/>
    <w:rsid w:val="0B892750"/>
    <w:rsid w:val="0B8B4699"/>
    <w:rsid w:val="0B8E420A"/>
    <w:rsid w:val="0B910A43"/>
    <w:rsid w:val="0B9178BD"/>
    <w:rsid w:val="0B955093"/>
    <w:rsid w:val="0B9F691C"/>
    <w:rsid w:val="0BA31076"/>
    <w:rsid w:val="0BA63302"/>
    <w:rsid w:val="0BA70CA0"/>
    <w:rsid w:val="0BAA3469"/>
    <w:rsid w:val="0BAD0740"/>
    <w:rsid w:val="0BAD2FCE"/>
    <w:rsid w:val="0BB17B72"/>
    <w:rsid w:val="0BB36D71"/>
    <w:rsid w:val="0BB56E62"/>
    <w:rsid w:val="0BB772BD"/>
    <w:rsid w:val="0BBC2E9A"/>
    <w:rsid w:val="0BBD2B5E"/>
    <w:rsid w:val="0BC42479"/>
    <w:rsid w:val="0BC72EA2"/>
    <w:rsid w:val="0BCC1902"/>
    <w:rsid w:val="0BCC438F"/>
    <w:rsid w:val="0BCD43FA"/>
    <w:rsid w:val="0BD0037E"/>
    <w:rsid w:val="0BDA2FAB"/>
    <w:rsid w:val="0BE45BD8"/>
    <w:rsid w:val="0BE74DDC"/>
    <w:rsid w:val="0BEC2D84"/>
    <w:rsid w:val="0BEF4520"/>
    <w:rsid w:val="0BF21354"/>
    <w:rsid w:val="0BF71DAF"/>
    <w:rsid w:val="0BFD04FB"/>
    <w:rsid w:val="0BFE5CDB"/>
    <w:rsid w:val="0C085CA5"/>
    <w:rsid w:val="0C1069CD"/>
    <w:rsid w:val="0C134608"/>
    <w:rsid w:val="0C140C05"/>
    <w:rsid w:val="0C152235"/>
    <w:rsid w:val="0C1F3EA2"/>
    <w:rsid w:val="0C2124FE"/>
    <w:rsid w:val="0C2F32F7"/>
    <w:rsid w:val="0C3374FE"/>
    <w:rsid w:val="0C395E1D"/>
    <w:rsid w:val="0C410387"/>
    <w:rsid w:val="0C436DA2"/>
    <w:rsid w:val="0C444240"/>
    <w:rsid w:val="0C45497E"/>
    <w:rsid w:val="0C464397"/>
    <w:rsid w:val="0C496649"/>
    <w:rsid w:val="0C4A082A"/>
    <w:rsid w:val="0C4D40A2"/>
    <w:rsid w:val="0C54735C"/>
    <w:rsid w:val="0C55046C"/>
    <w:rsid w:val="0C550884"/>
    <w:rsid w:val="0C5535FC"/>
    <w:rsid w:val="0C5A6B62"/>
    <w:rsid w:val="0C66390C"/>
    <w:rsid w:val="0C6D6E67"/>
    <w:rsid w:val="0C6E3EC5"/>
    <w:rsid w:val="0C704A31"/>
    <w:rsid w:val="0C7451AE"/>
    <w:rsid w:val="0C7E2B62"/>
    <w:rsid w:val="0C801DA5"/>
    <w:rsid w:val="0C831895"/>
    <w:rsid w:val="0C920566"/>
    <w:rsid w:val="0C9D4705"/>
    <w:rsid w:val="0CA02447"/>
    <w:rsid w:val="0CA21D1B"/>
    <w:rsid w:val="0CA75767"/>
    <w:rsid w:val="0CB242D1"/>
    <w:rsid w:val="0CB41A4E"/>
    <w:rsid w:val="0CBD4DA7"/>
    <w:rsid w:val="0CC33C1B"/>
    <w:rsid w:val="0CC51EAD"/>
    <w:rsid w:val="0CC63D60"/>
    <w:rsid w:val="0CC83DB3"/>
    <w:rsid w:val="0CC9374C"/>
    <w:rsid w:val="0CD1571E"/>
    <w:rsid w:val="0CD23747"/>
    <w:rsid w:val="0CD77970"/>
    <w:rsid w:val="0CDA3FFE"/>
    <w:rsid w:val="0CDB169D"/>
    <w:rsid w:val="0CDE6F16"/>
    <w:rsid w:val="0CDF1FC4"/>
    <w:rsid w:val="0CE40585"/>
    <w:rsid w:val="0CE942C8"/>
    <w:rsid w:val="0CEE5EA5"/>
    <w:rsid w:val="0CEE630F"/>
    <w:rsid w:val="0CF84031"/>
    <w:rsid w:val="0CFB767D"/>
    <w:rsid w:val="0CFE2CC9"/>
    <w:rsid w:val="0D074274"/>
    <w:rsid w:val="0D0B180A"/>
    <w:rsid w:val="0D0B3D64"/>
    <w:rsid w:val="0D166094"/>
    <w:rsid w:val="0D18022F"/>
    <w:rsid w:val="0D2B24EB"/>
    <w:rsid w:val="0D2C7836"/>
    <w:rsid w:val="0D2C7A46"/>
    <w:rsid w:val="0D31309F"/>
    <w:rsid w:val="0D38267F"/>
    <w:rsid w:val="0D3D5EE8"/>
    <w:rsid w:val="0D417786"/>
    <w:rsid w:val="0D441024"/>
    <w:rsid w:val="0D497C93"/>
    <w:rsid w:val="0D5079C9"/>
    <w:rsid w:val="0D57190D"/>
    <w:rsid w:val="0D66529D"/>
    <w:rsid w:val="0D686A0D"/>
    <w:rsid w:val="0D6C2329"/>
    <w:rsid w:val="0D6E60A1"/>
    <w:rsid w:val="0D70298F"/>
    <w:rsid w:val="0D752F6A"/>
    <w:rsid w:val="0D786F20"/>
    <w:rsid w:val="0D7A4E27"/>
    <w:rsid w:val="0D7C79BB"/>
    <w:rsid w:val="0D7F7390"/>
    <w:rsid w:val="0D8255F2"/>
    <w:rsid w:val="0D836389"/>
    <w:rsid w:val="0D851774"/>
    <w:rsid w:val="0D865199"/>
    <w:rsid w:val="0D875B89"/>
    <w:rsid w:val="0D896A37"/>
    <w:rsid w:val="0D8B546A"/>
    <w:rsid w:val="0D927FE1"/>
    <w:rsid w:val="0D935B07"/>
    <w:rsid w:val="0D9378B6"/>
    <w:rsid w:val="0D946C0A"/>
    <w:rsid w:val="0D955F38"/>
    <w:rsid w:val="0D9D02F5"/>
    <w:rsid w:val="0D9E04E1"/>
    <w:rsid w:val="0DA27AF9"/>
    <w:rsid w:val="0DA47FE5"/>
    <w:rsid w:val="0DA53506"/>
    <w:rsid w:val="0DA815B3"/>
    <w:rsid w:val="0DA90E87"/>
    <w:rsid w:val="0DB60DE4"/>
    <w:rsid w:val="0DB8731C"/>
    <w:rsid w:val="0DC27149"/>
    <w:rsid w:val="0DC437DB"/>
    <w:rsid w:val="0DC671F8"/>
    <w:rsid w:val="0DCB52A1"/>
    <w:rsid w:val="0DCC5EB8"/>
    <w:rsid w:val="0DCE6AD0"/>
    <w:rsid w:val="0DD01851"/>
    <w:rsid w:val="0DD56131"/>
    <w:rsid w:val="0DD95C10"/>
    <w:rsid w:val="0DE11D78"/>
    <w:rsid w:val="0DE34399"/>
    <w:rsid w:val="0DEA2583"/>
    <w:rsid w:val="0DEB55E0"/>
    <w:rsid w:val="0DEC3163"/>
    <w:rsid w:val="0DF22F00"/>
    <w:rsid w:val="0DF540CC"/>
    <w:rsid w:val="0E0C6252"/>
    <w:rsid w:val="0E0E518E"/>
    <w:rsid w:val="0E0F0490"/>
    <w:rsid w:val="0E11539A"/>
    <w:rsid w:val="0E121122"/>
    <w:rsid w:val="0E1327A4"/>
    <w:rsid w:val="0E1409F6"/>
    <w:rsid w:val="0E162CCF"/>
    <w:rsid w:val="0E1A1A43"/>
    <w:rsid w:val="0E2E46B6"/>
    <w:rsid w:val="0E2F5830"/>
    <w:rsid w:val="0E355127"/>
    <w:rsid w:val="0E390D34"/>
    <w:rsid w:val="0E4534B6"/>
    <w:rsid w:val="0E475E13"/>
    <w:rsid w:val="0E4D3F08"/>
    <w:rsid w:val="0E4E163D"/>
    <w:rsid w:val="0E522728"/>
    <w:rsid w:val="0E5456C3"/>
    <w:rsid w:val="0E5538FD"/>
    <w:rsid w:val="0E557E6C"/>
    <w:rsid w:val="0E5A4301"/>
    <w:rsid w:val="0E6A794B"/>
    <w:rsid w:val="0E6D542C"/>
    <w:rsid w:val="0E6F351E"/>
    <w:rsid w:val="0E71641A"/>
    <w:rsid w:val="0E721BC1"/>
    <w:rsid w:val="0E7A748F"/>
    <w:rsid w:val="0E814222"/>
    <w:rsid w:val="0E833DCE"/>
    <w:rsid w:val="0E8364AE"/>
    <w:rsid w:val="0E8649CF"/>
    <w:rsid w:val="0E874B27"/>
    <w:rsid w:val="0E880A30"/>
    <w:rsid w:val="0E8A544A"/>
    <w:rsid w:val="0E8D2C1E"/>
    <w:rsid w:val="0E8E6E6B"/>
    <w:rsid w:val="0E930E18"/>
    <w:rsid w:val="0E9571D2"/>
    <w:rsid w:val="0E957815"/>
    <w:rsid w:val="0E981627"/>
    <w:rsid w:val="0EA30200"/>
    <w:rsid w:val="0EA33B28"/>
    <w:rsid w:val="0EA63619"/>
    <w:rsid w:val="0EAF6971"/>
    <w:rsid w:val="0EB10BF0"/>
    <w:rsid w:val="0EB21FBD"/>
    <w:rsid w:val="0EB45FCB"/>
    <w:rsid w:val="0EB63B25"/>
    <w:rsid w:val="0EB900CE"/>
    <w:rsid w:val="0EB94C71"/>
    <w:rsid w:val="0EC5547D"/>
    <w:rsid w:val="0EC8577E"/>
    <w:rsid w:val="0ECA3353"/>
    <w:rsid w:val="0ECF0DC1"/>
    <w:rsid w:val="0ED4118F"/>
    <w:rsid w:val="0ED47060"/>
    <w:rsid w:val="0ED87C76"/>
    <w:rsid w:val="0ED90B46"/>
    <w:rsid w:val="0ED9579C"/>
    <w:rsid w:val="0EDB32C2"/>
    <w:rsid w:val="0EDB7766"/>
    <w:rsid w:val="0EDE15C7"/>
    <w:rsid w:val="0EDE19FF"/>
    <w:rsid w:val="0EE4486D"/>
    <w:rsid w:val="0EE77EB9"/>
    <w:rsid w:val="0EE91591"/>
    <w:rsid w:val="0EE95D7A"/>
    <w:rsid w:val="0EE96876"/>
    <w:rsid w:val="0EEF29F9"/>
    <w:rsid w:val="0EF20FCD"/>
    <w:rsid w:val="0EF279EF"/>
    <w:rsid w:val="0EF55059"/>
    <w:rsid w:val="0EF76AFA"/>
    <w:rsid w:val="0F0262C1"/>
    <w:rsid w:val="0F0649A8"/>
    <w:rsid w:val="0F0767AD"/>
    <w:rsid w:val="0F0C5B71"/>
    <w:rsid w:val="0F0E3698"/>
    <w:rsid w:val="0F0F1C85"/>
    <w:rsid w:val="0F103472"/>
    <w:rsid w:val="0F121605"/>
    <w:rsid w:val="0F1B5DB5"/>
    <w:rsid w:val="0F1E4913"/>
    <w:rsid w:val="0F241BF4"/>
    <w:rsid w:val="0F256C33"/>
    <w:rsid w:val="0F2904D1"/>
    <w:rsid w:val="0F29585B"/>
    <w:rsid w:val="0F2F33BA"/>
    <w:rsid w:val="0F2F609E"/>
    <w:rsid w:val="0F320766"/>
    <w:rsid w:val="0F346E76"/>
    <w:rsid w:val="0F3550C8"/>
    <w:rsid w:val="0F423341"/>
    <w:rsid w:val="0F4505E9"/>
    <w:rsid w:val="0F492922"/>
    <w:rsid w:val="0F4B669A"/>
    <w:rsid w:val="0F506025"/>
    <w:rsid w:val="0F5169F1"/>
    <w:rsid w:val="0F5748FF"/>
    <w:rsid w:val="0F580DB7"/>
    <w:rsid w:val="0F582B65"/>
    <w:rsid w:val="0F5D157F"/>
    <w:rsid w:val="0F5D2E76"/>
    <w:rsid w:val="0F6553CE"/>
    <w:rsid w:val="0F694D72"/>
    <w:rsid w:val="0F6A6B1F"/>
    <w:rsid w:val="0F6C6610"/>
    <w:rsid w:val="0F710EC7"/>
    <w:rsid w:val="0F711E78"/>
    <w:rsid w:val="0F751C0E"/>
    <w:rsid w:val="0F753717"/>
    <w:rsid w:val="0F7554C5"/>
    <w:rsid w:val="0F780106"/>
    <w:rsid w:val="0F79118B"/>
    <w:rsid w:val="0F81549F"/>
    <w:rsid w:val="0F8F71B8"/>
    <w:rsid w:val="0F9542DF"/>
    <w:rsid w:val="0F977B31"/>
    <w:rsid w:val="0F992345"/>
    <w:rsid w:val="0FA22032"/>
    <w:rsid w:val="0FA61B22"/>
    <w:rsid w:val="0FAE4E7B"/>
    <w:rsid w:val="0FBD0C1A"/>
    <w:rsid w:val="0FD0094D"/>
    <w:rsid w:val="0FD12337"/>
    <w:rsid w:val="0FD348E1"/>
    <w:rsid w:val="0FD34C8F"/>
    <w:rsid w:val="0FD541B5"/>
    <w:rsid w:val="0FD57F83"/>
    <w:rsid w:val="0FD7617F"/>
    <w:rsid w:val="0FDD5D7D"/>
    <w:rsid w:val="0FE05B17"/>
    <w:rsid w:val="0FE10DAC"/>
    <w:rsid w:val="0FE110E4"/>
    <w:rsid w:val="0FEA33F5"/>
    <w:rsid w:val="0FED59A3"/>
    <w:rsid w:val="0FF97F53"/>
    <w:rsid w:val="0FFC7E81"/>
    <w:rsid w:val="10004693"/>
    <w:rsid w:val="100625C1"/>
    <w:rsid w:val="1008780C"/>
    <w:rsid w:val="10090080"/>
    <w:rsid w:val="101271B8"/>
    <w:rsid w:val="10207B26"/>
    <w:rsid w:val="102A0350"/>
    <w:rsid w:val="102F38FF"/>
    <w:rsid w:val="10361382"/>
    <w:rsid w:val="10374E70"/>
    <w:rsid w:val="103E1D5B"/>
    <w:rsid w:val="103E7FAD"/>
    <w:rsid w:val="103F19DE"/>
    <w:rsid w:val="103F79F1"/>
    <w:rsid w:val="10484987"/>
    <w:rsid w:val="104D2E90"/>
    <w:rsid w:val="104E5D16"/>
    <w:rsid w:val="10572E1C"/>
    <w:rsid w:val="105945C9"/>
    <w:rsid w:val="105F3771"/>
    <w:rsid w:val="105F579E"/>
    <w:rsid w:val="10655358"/>
    <w:rsid w:val="10685009"/>
    <w:rsid w:val="10685029"/>
    <w:rsid w:val="10693F3C"/>
    <w:rsid w:val="106F0166"/>
    <w:rsid w:val="1070485E"/>
    <w:rsid w:val="107240FA"/>
    <w:rsid w:val="10774D4D"/>
    <w:rsid w:val="108204E7"/>
    <w:rsid w:val="10856F1B"/>
    <w:rsid w:val="10857F2C"/>
    <w:rsid w:val="108A1444"/>
    <w:rsid w:val="108E0A0F"/>
    <w:rsid w:val="10905525"/>
    <w:rsid w:val="1090579E"/>
    <w:rsid w:val="10931331"/>
    <w:rsid w:val="10961B97"/>
    <w:rsid w:val="109850F7"/>
    <w:rsid w:val="109B44DA"/>
    <w:rsid w:val="109C098E"/>
    <w:rsid w:val="109C4CD3"/>
    <w:rsid w:val="10A02856"/>
    <w:rsid w:val="10A20A01"/>
    <w:rsid w:val="10A36062"/>
    <w:rsid w:val="10A423DC"/>
    <w:rsid w:val="10A43C26"/>
    <w:rsid w:val="10A5627E"/>
    <w:rsid w:val="10A740BC"/>
    <w:rsid w:val="10A83678"/>
    <w:rsid w:val="10B169D0"/>
    <w:rsid w:val="10B464C1"/>
    <w:rsid w:val="10B959E3"/>
    <w:rsid w:val="10BD35C7"/>
    <w:rsid w:val="10C126D6"/>
    <w:rsid w:val="10CC16D2"/>
    <w:rsid w:val="10D26947"/>
    <w:rsid w:val="10D478AE"/>
    <w:rsid w:val="10D8442D"/>
    <w:rsid w:val="10DE52EC"/>
    <w:rsid w:val="10E3454D"/>
    <w:rsid w:val="10E41108"/>
    <w:rsid w:val="10E76D59"/>
    <w:rsid w:val="10F863AD"/>
    <w:rsid w:val="10F90377"/>
    <w:rsid w:val="11050A82"/>
    <w:rsid w:val="110D07F0"/>
    <w:rsid w:val="11123609"/>
    <w:rsid w:val="11124190"/>
    <w:rsid w:val="11151C37"/>
    <w:rsid w:val="111667FB"/>
    <w:rsid w:val="11182B04"/>
    <w:rsid w:val="11182B40"/>
    <w:rsid w:val="111B209C"/>
    <w:rsid w:val="111D5E14"/>
    <w:rsid w:val="111F5666"/>
    <w:rsid w:val="111F7DDE"/>
    <w:rsid w:val="11260350"/>
    <w:rsid w:val="11271C0C"/>
    <w:rsid w:val="11274EE5"/>
    <w:rsid w:val="112B4A1D"/>
    <w:rsid w:val="112E1DCF"/>
    <w:rsid w:val="11404660"/>
    <w:rsid w:val="11446B5C"/>
    <w:rsid w:val="114535BD"/>
    <w:rsid w:val="114E2471"/>
    <w:rsid w:val="115A0B36"/>
    <w:rsid w:val="115D446A"/>
    <w:rsid w:val="11651D62"/>
    <w:rsid w:val="116C0B49"/>
    <w:rsid w:val="11785740"/>
    <w:rsid w:val="117F5956"/>
    <w:rsid w:val="118356BE"/>
    <w:rsid w:val="118440E5"/>
    <w:rsid w:val="11875983"/>
    <w:rsid w:val="118F7A98"/>
    <w:rsid w:val="11915A85"/>
    <w:rsid w:val="11916802"/>
    <w:rsid w:val="11971288"/>
    <w:rsid w:val="119D51A7"/>
    <w:rsid w:val="119E28B5"/>
    <w:rsid w:val="11A6202C"/>
    <w:rsid w:val="11B24A37"/>
    <w:rsid w:val="11B619F3"/>
    <w:rsid w:val="11B6420D"/>
    <w:rsid w:val="11B65DCF"/>
    <w:rsid w:val="11BC7517"/>
    <w:rsid w:val="11C42733"/>
    <w:rsid w:val="11CC15E8"/>
    <w:rsid w:val="11CD4BA8"/>
    <w:rsid w:val="11CF11C6"/>
    <w:rsid w:val="11D040A2"/>
    <w:rsid w:val="11D3174D"/>
    <w:rsid w:val="11D64215"/>
    <w:rsid w:val="11DD55A3"/>
    <w:rsid w:val="11DF131B"/>
    <w:rsid w:val="11DF254C"/>
    <w:rsid w:val="11EE1A21"/>
    <w:rsid w:val="11F444D4"/>
    <w:rsid w:val="11F85F3F"/>
    <w:rsid w:val="120570B6"/>
    <w:rsid w:val="12086AC4"/>
    <w:rsid w:val="120B7E48"/>
    <w:rsid w:val="120E650D"/>
    <w:rsid w:val="121724AD"/>
    <w:rsid w:val="121B7ECE"/>
    <w:rsid w:val="121E0096"/>
    <w:rsid w:val="12250BF7"/>
    <w:rsid w:val="122E5DFF"/>
    <w:rsid w:val="12383E59"/>
    <w:rsid w:val="123A14D4"/>
    <w:rsid w:val="12427211"/>
    <w:rsid w:val="12431E96"/>
    <w:rsid w:val="12485112"/>
    <w:rsid w:val="124E6F34"/>
    <w:rsid w:val="1259182D"/>
    <w:rsid w:val="12612E3B"/>
    <w:rsid w:val="127023FA"/>
    <w:rsid w:val="12724255"/>
    <w:rsid w:val="12750379"/>
    <w:rsid w:val="12760800"/>
    <w:rsid w:val="1277734F"/>
    <w:rsid w:val="127C3C10"/>
    <w:rsid w:val="12804361"/>
    <w:rsid w:val="12820528"/>
    <w:rsid w:val="1283439D"/>
    <w:rsid w:val="12877BAC"/>
    <w:rsid w:val="1288550F"/>
    <w:rsid w:val="12886984"/>
    <w:rsid w:val="12896B13"/>
    <w:rsid w:val="128A2026"/>
    <w:rsid w:val="128B53A5"/>
    <w:rsid w:val="128F4DC0"/>
    <w:rsid w:val="129374A1"/>
    <w:rsid w:val="129C602E"/>
    <w:rsid w:val="129E11D6"/>
    <w:rsid w:val="129E4D32"/>
    <w:rsid w:val="129F6D12"/>
    <w:rsid w:val="12A7355D"/>
    <w:rsid w:val="12A7400A"/>
    <w:rsid w:val="12A85CDD"/>
    <w:rsid w:val="12AA1929"/>
    <w:rsid w:val="12B5625B"/>
    <w:rsid w:val="12BD789F"/>
    <w:rsid w:val="12BE7B0B"/>
    <w:rsid w:val="12C0739F"/>
    <w:rsid w:val="12C80001"/>
    <w:rsid w:val="12CC7AF2"/>
    <w:rsid w:val="12CF75E2"/>
    <w:rsid w:val="12D663B6"/>
    <w:rsid w:val="12DC3AAD"/>
    <w:rsid w:val="12DE15D3"/>
    <w:rsid w:val="12E3308D"/>
    <w:rsid w:val="12E96C3A"/>
    <w:rsid w:val="12EA55F0"/>
    <w:rsid w:val="12EB53B3"/>
    <w:rsid w:val="12F24819"/>
    <w:rsid w:val="12F81F8F"/>
    <w:rsid w:val="12FA45BF"/>
    <w:rsid w:val="13023513"/>
    <w:rsid w:val="130354DD"/>
    <w:rsid w:val="130A686C"/>
    <w:rsid w:val="130E1552"/>
    <w:rsid w:val="131119A8"/>
    <w:rsid w:val="13174AE5"/>
    <w:rsid w:val="1317686E"/>
    <w:rsid w:val="13176D0A"/>
    <w:rsid w:val="13182240"/>
    <w:rsid w:val="131C5DED"/>
    <w:rsid w:val="131E2317"/>
    <w:rsid w:val="132156F9"/>
    <w:rsid w:val="13230A50"/>
    <w:rsid w:val="13243011"/>
    <w:rsid w:val="13295D81"/>
    <w:rsid w:val="13344181"/>
    <w:rsid w:val="13396114"/>
    <w:rsid w:val="133A0F3F"/>
    <w:rsid w:val="13451C8A"/>
    <w:rsid w:val="13477FB3"/>
    <w:rsid w:val="134E18D2"/>
    <w:rsid w:val="134F77D7"/>
    <w:rsid w:val="13517FF7"/>
    <w:rsid w:val="135A480D"/>
    <w:rsid w:val="135B26D1"/>
    <w:rsid w:val="135F0966"/>
    <w:rsid w:val="136B0C92"/>
    <w:rsid w:val="136F27FE"/>
    <w:rsid w:val="137119A6"/>
    <w:rsid w:val="1373004B"/>
    <w:rsid w:val="13744639"/>
    <w:rsid w:val="13763F01"/>
    <w:rsid w:val="137C26CF"/>
    <w:rsid w:val="137E6912"/>
    <w:rsid w:val="137F2DB6"/>
    <w:rsid w:val="13825EA4"/>
    <w:rsid w:val="13895D8F"/>
    <w:rsid w:val="138A0C42"/>
    <w:rsid w:val="138B36A2"/>
    <w:rsid w:val="138C54D3"/>
    <w:rsid w:val="13910E6B"/>
    <w:rsid w:val="13920207"/>
    <w:rsid w:val="13927DA7"/>
    <w:rsid w:val="13940C77"/>
    <w:rsid w:val="139B3968"/>
    <w:rsid w:val="13AC5EC7"/>
    <w:rsid w:val="13AE2D8A"/>
    <w:rsid w:val="13B16CE7"/>
    <w:rsid w:val="13B32A60"/>
    <w:rsid w:val="13B766C0"/>
    <w:rsid w:val="13BA2040"/>
    <w:rsid w:val="13BE2738"/>
    <w:rsid w:val="13C8306A"/>
    <w:rsid w:val="13D00A78"/>
    <w:rsid w:val="13D01963"/>
    <w:rsid w:val="13D34EB0"/>
    <w:rsid w:val="13D529D6"/>
    <w:rsid w:val="13D56D44"/>
    <w:rsid w:val="13D73A84"/>
    <w:rsid w:val="13D96C8C"/>
    <w:rsid w:val="13DA25A8"/>
    <w:rsid w:val="13DD3309"/>
    <w:rsid w:val="13DF1AA7"/>
    <w:rsid w:val="13E64BE3"/>
    <w:rsid w:val="13E76FE1"/>
    <w:rsid w:val="13EB21F9"/>
    <w:rsid w:val="13EC2CDA"/>
    <w:rsid w:val="13F37300"/>
    <w:rsid w:val="13FA0F26"/>
    <w:rsid w:val="13FC4E78"/>
    <w:rsid w:val="14011A1D"/>
    <w:rsid w:val="140332EC"/>
    <w:rsid w:val="1408083D"/>
    <w:rsid w:val="14103F54"/>
    <w:rsid w:val="14196F70"/>
    <w:rsid w:val="1420686B"/>
    <w:rsid w:val="14221993"/>
    <w:rsid w:val="1423711F"/>
    <w:rsid w:val="14242E0D"/>
    <w:rsid w:val="1424395D"/>
    <w:rsid w:val="14292D22"/>
    <w:rsid w:val="142F1E64"/>
    <w:rsid w:val="142F34C5"/>
    <w:rsid w:val="14366274"/>
    <w:rsid w:val="14377928"/>
    <w:rsid w:val="14413080"/>
    <w:rsid w:val="144412D8"/>
    <w:rsid w:val="1448764C"/>
    <w:rsid w:val="14495172"/>
    <w:rsid w:val="144D4C62"/>
    <w:rsid w:val="145735B3"/>
    <w:rsid w:val="1458149E"/>
    <w:rsid w:val="14623356"/>
    <w:rsid w:val="14640782"/>
    <w:rsid w:val="14641F0A"/>
    <w:rsid w:val="14683D44"/>
    <w:rsid w:val="146E68FC"/>
    <w:rsid w:val="14733F9D"/>
    <w:rsid w:val="1477677F"/>
    <w:rsid w:val="14781F6C"/>
    <w:rsid w:val="147A4C8C"/>
    <w:rsid w:val="147D035B"/>
    <w:rsid w:val="148166BA"/>
    <w:rsid w:val="14832432"/>
    <w:rsid w:val="148A55A0"/>
    <w:rsid w:val="148A7C64"/>
    <w:rsid w:val="1496216D"/>
    <w:rsid w:val="14991C55"/>
    <w:rsid w:val="149A2439"/>
    <w:rsid w:val="149B0249"/>
    <w:rsid w:val="149C1746"/>
    <w:rsid w:val="14A11E89"/>
    <w:rsid w:val="14A625C4"/>
    <w:rsid w:val="14A8264D"/>
    <w:rsid w:val="14AA20B4"/>
    <w:rsid w:val="14AA57F7"/>
    <w:rsid w:val="14B16A9B"/>
    <w:rsid w:val="14B70389"/>
    <w:rsid w:val="14BF71E2"/>
    <w:rsid w:val="14C306A9"/>
    <w:rsid w:val="14C37503"/>
    <w:rsid w:val="14C8078D"/>
    <w:rsid w:val="14CB176A"/>
    <w:rsid w:val="14CB2796"/>
    <w:rsid w:val="14CB75C4"/>
    <w:rsid w:val="14CF43E0"/>
    <w:rsid w:val="14D16C85"/>
    <w:rsid w:val="14DA4B86"/>
    <w:rsid w:val="14E3175F"/>
    <w:rsid w:val="14E804E7"/>
    <w:rsid w:val="14F614D3"/>
    <w:rsid w:val="14F86035"/>
    <w:rsid w:val="14FB46BE"/>
    <w:rsid w:val="150473D8"/>
    <w:rsid w:val="15071CA1"/>
    <w:rsid w:val="150B48F0"/>
    <w:rsid w:val="150F3CC6"/>
    <w:rsid w:val="151B3A34"/>
    <w:rsid w:val="151E72AA"/>
    <w:rsid w:val="152B4878"/>
    <w:rsid w:val="153B0F5F"/>
    <w:rsid w:val="1542681F"/>
    <w:rsid w:val="15484088"/>
    <w:rsid w:val="155408ED"/>
    <w:rsid w:val="1557566D"/>
    <w:rsid w:val="15581B10"/>
    <w:rsid w:val="155D7127"/>
    <w:rsid w:val="15695ACC"/>
    <w:rsid w:val="156F29B6"/>
    <w:rsid w:val="15712396"/>
    <w:rsid w:val="15712E9C"/>
    <w:rsid w:val="157171A7"/>
    <w:rsid w:val="15785D0F"/>
    <w:rsid w:val="157871C8"/>
    <w:rsid w:val="15792191"/>
    <w:rsid w:val="157C12DA"/>
    <w:rsid w:val="157D3918"/>
    <w:rsid w:val="15836462"/>
    <w:rsid w:val="15862B81"/>
    <w:rsid w:val="15894966"/>
    <w:rsid w:val="158B1887"/>
    <w:rsid w:val="15913A24"/>
    <w:rsid w:val="1595118D"/>
    <w:rsid w:val="159A06AB"/>
    <w:rsid w:val="159A3ED7"/>
    <w:rsid w:val="159B51EA"/>
    <w:rsid w:val="159C716D"/>
    <w:rsid w:val="159D0AC3"/>
    <w:rsid w:val="159F14ED"/>
    <w:rsid w:val="15A24B3A"/>
    <w:rsid w:val="15A44D56"/>
    <w:rsid w:val="15A577C4"/>
    <w:rsid w:val="15A922FF"/>
    <w:rsid w:val="15AD0F37"/>
    <w:rsid w:val="15B37B25"/>
    <w:rsid w:val="15B66837"/>
    <w:rsid w:val="15BC6F3B"/>
    <w:rsid w:val="15C319A6"/>
    <w:rsid w:val="15C4339E"/>
    <w:rsid w:val="15D24734"/>
    <w:rsid w:val="15D659D8"/>
    <w:rsid w:val="15DD2C07"/>
    <w:rsid w:val="15DF5D8E"/>
    <w:rsid w:val="15E00AE3"/>
    <w:rsid w:val="15E056A4"/>
    <w:rsid w:val="15E2762C"/>
    <w:rsid w:val="15E30E4F"/>
    <w:rsid w:val="15E74C42"/>
    <w:rsid w:val="15E93B9A"/>
    <w:rsid w:val="15ED5D64"/>
    <w:rsid w:val="15F31839"/>
    <w:rsid w:val="15F517CD"/>
    <w:rsid w:val="15F630D7"/>
    <w:rsid w:val="15F64E85"/>
    <w:rsid w:val="15F6762E"/>
    <w:rsid w:val="15F74596"/>
    <w:rsid w:val="15F81323"/>
    <w:rsid w:val="15F851E8"/>
    <w:rsid w:val="15F9409B"/>
    <w:rsid w:val="16000F06"/>
    <w:rsid w:val="160044AF"/>
    <w:rsid w:val="160724CD"/>
    <w:rsid w:val="160A26DF"/>
    <w:rsid w:val="16135A37"/>
    <w:rsid w:val="16135E2A"/>
    <w:rsid w:val="16156358"/>
    <w:rsid w:val="1616403B"/>
    <w:rsid w:val="16247CFB"/>
    <w:rsid w:val="162542B9"/>
    <w:rsid w:val="162B2D81"/>
    <w:rsid w:val="162B42F2"/>
    <w:rsid w:val="16314243"/>
    <w:rsid w:val="16316A7B"/>
    <w:rsid w:val="16322361"/>
    <w:rsid w:val="16330ED4"/>
    <w:rsid w:val="16383DF3"/>
    <w:rsid w:val="16397539"/>
    <w:rsid w:val="163C048F"/>
    <w:rsid w:val="164B6F7F"/>
    <w:rsid w:val="164E0FCB"/>
    <w:rsid w:val="164F5220"/>
    <w:rsid w:val="165752E8"/>
    <w:rsid w:val="165C4DCA"/>
    <w:rsid w:val="165E6C23"/>
    <w:rsid w:val="16730284"/>
    <w:rsid w:val="167D2DBE"/>
    <w:rsid w:val="1684313A"/>
    <w:rsid w:val="16851F56"/>
    <w:rsid w:val="16893E6F"/>
    <w:rsid w:val="168C1346"/>
    <w:rsid w:val="16900AC3"/>
    <w:rsid w:val="16946B78"/>
    <w:rsid w:val="1697741F"/>
    <w:rsid w:val="16980730"/>
    <w:rsid w:val="169923E1"/>
    <w:rsid w:val="169B4FB6"/>
    <w:rsid w:val="169C77DB"/>
    <w:rsid w:val="16A07F59"/>
    <w:rsid w:val="16A37E0A"/>
    <w:rsid w:val="16A6065A"/>
    <w:rsid w:val="16A668AC"/>
    <w:rsid w:val="16AD7C3A"/>
    <w:rsid w:val="16B20DAC"/>
    <w:rsid w:val="16B359AF"/>
    <w:rsid w:val="16B72867"/>
    <w:rsid w:val="16BB49A4"/>
    <w:rsid w:val="16BD5B9B"/>
    <w:rsid w:val="16C15493"/>
    <w:rsid w:val="16C31547"/>
    <w:rsid w:val="16C60CFC"/>
    <w:rsid w:val="16CE195E"/>
    <w:rsid w:val="16CE24E2"/>
    <w:rsid w:val="16D72B81"/>
    <w:rsid w:val="16D90B34"/>
    <w:rsid w:val="16E12A15"/>
    <w:rsid w:val="16EE34AD"/>
    <w:rsid w:val="16F5338F"/>
    <w:rsid w:val="16F91F77"/>
    <w:rsid w:val="17005A49"/>
    <w:rsid w:val="17044549"/>
    <w:rsid w:val="17057F58"/>
    <w:rsid w:val="17070DC6"/>
    <w:rsid w:val="170A6404"/>
    <w:rsid w:val="170C4E23"/>
    <w:rsid w:val="1715758D"/>
    <w:rsid w:val="171B4ACC"/>
    <w:rsid w:val="171B7D3E"/>
    <w:rsid w:val="172044D1"/>
    <w:rsid w:val="17275698"/>
    <w:rsid w:val="17283EA2"/>
    <w:rsid w:val="172A7912"/>
    <w:rsid w:val="1732013F"/>
    <w:rsid w:val="173A15EF"/>
    <w:rsid w:val="1743234C"/>
    <w:rsid w:val="174A5489"/>
    <w:rsid w:val="174C7453"/>
    <w:rsid w:val="174D24DD"/>
    <w:rsid w:val="17504307"/>
    <w:rsid w:val="17577E5E"/>
    <w:rsid w:val="1758766A"/>
    <w:rsid w:val="175D54EB"/>
    <w:rsid w:val="175E4D86"/>
    <w:rsid w:val="175F27DA"/>
    <w:rsid w:val="1766602F"/>
    <w:rsid w:val="176C53FF"/>
    <w:rsid w:val="17702A7F"/>
    <w:rsid w:val="17707D73"/>
    <w:rsid w:val="1779465F"/>
    <w:rsid w:val="177B5EAA"/>
    <w:rsid w:val="177E5132"/>
    <w:rsid w:val="178400F2"/>
    <w:rsid w:val="178C0093"/>
    <w:rsid w:val="178D2ADC"/>
    <w:rsid w:val="178F10EE"/>
    <w:rsid w:val="1794564D"/>
    <w:rsid w:val="179672AA"/>
    <w:rsid w:val="179B553C"/>
    <w:rsid w:val="179F05F7"/>
    <w:rsid w:val="17A97BE6"/>
    <w:rsid w:val="17B15EB7"/>
    <w:rsid w:val="17B81FAE"/>
    <w:rsid w:val="17BE2920"/>
    <w:rsid w:val="17C2486A"/>
    <w:rsid w:val="17C50FB3"/>
    <w:rsid w:val="17C56052"/>
    <w:rsid w:val="17C92852"/>
    <w:rsid w:val="17D91846"/>
    <w:rsid w:val="17DD62FD"/>
    <w:rsid w:val="17E23913"/>
    <w:rsid w:val="17EF7DDE"/>
    <w:rsid w:val="17FB195A"/>
    <w:rsid w:val="17FB4C10"/>
    <w:rsid w:val="17FB6783"/>
    <w:rsid w:val="18057602"/>
    <w:rsid w:val="180718E4"/>
    <w:rsid w:val="180A2E6A"/>
    <w:rsid w:val="180D30CB"/>
    <w:rsid w:val="180E64B6"/>
    <w:rsid w:val="180F4D3C"/>
    <w:rsid w:val="18162D41"/>
    <w:rsid w:val="181A120E"/>
    <w:rsid w:val="181E1C25"/>
    <w:rsid w:val="1821268E"/>
    <w:rsid w:val="18277305"/>
    <w:rsid w:val="182F1E8B"/>
    <w:rsid w:val="18300B23"/>
    <w:rsid w:val="18324601"/>
    <w:rsid w:val="18347C61"/>
    <w:rsid w:val="1836303E"/>
    <w:rsid w:val="183C74C7"/>
    <w:rsid w:val="183F48C2"/>
    <w:rsid w:val="18446C77"/>
    <w:rsid w:val="18470E5D"/>
    <w:rsid w:val="184737B8"/>
    <w:rsid w:val="184804FF"/>
    <w:rsid w:val="18492359"/>
    <w:rsid w:val="1849421C"/>
    <w:rsid w:val="184B770B"/>
    <w:rsid w:val="1854718D"/>
    <w:rsid w:val="185965C5"/>
    <w:rsid w:val="18757309"/>
    <w:rsid w:val="1880471F"/>
    <w:rsid w:val="18821CB9"/>
    <w:rsid w:val="18840F98"/>
    <w:rsid w:val="188471B3"/>
    <w:rsid w:val="188513BD"/>
    <w:rsid w:val="18853101"/>
    <w:rsid w:val="188867AD"/>
    <w:rsid w:val="188B1895"/>
    <w:rsid w:val="188C387F"/>
    <w:rsid w:val="18903F43"/>
    <w:rsid w:val="18925339"/>
    <w:rsid w:val="18973793"/>
    <w:rsid w:val="189957CB"/>
    <w:rsid w:val="189A23FD"/>
    <w:rsid w:val="189A7C3D"/>
    <w:rsid w:val="189B29F1"/>
    <w:rsid w:val="189D6891"/>
    <w:rsid w:val="18A57DC6"/>
    <w:rsid w:val="18AD2173"/>
    <w:rsid w:val="18B708FC"/>
    <w:rsid w:val="18BA03EC"/>
    <w:rsid w:val="18BC5F12"/>
    <w:rsid w:val="18BF1EA7"/>
    <w:rsid w:val="18C1147D"/>
    <w:rsid w:val="18C26257"/>
    <w:rsid w:val="18C272A1"/>
    <w:rsid w:val="18CC76A1"/>
    <w:rsid w:val="18CE3E98"/>
    <w:rsid w:val="18D019BE"/>
    <w:rsid w:val="18D17118"/>
    <w:rsid w:val="18D72D4C"/>
    <w:rsid w:val="18DD7DF7"/>
    <w:rsid w:val="18DF264F"/>
    <w:rsid w:val="18E831AB"/>
    <w:rsid w:val="18F60B7A"/>
    <w:rsid w:val="18FA4C14"/>
    <w:rsid w:val="18FC7448"/>
    <w:rsid w:val="19010D17"/>
    <w:rsid w:val="19041E9F"/>
    <w:rsid w:val="19097BE5"/>
    <w:rsid w:val="19197809"/>
    <w:rsid w:val="191B6306"/>
    <w:rsid w:val="192844FD"/>
    <w:rsid w:val="19297FBA"/>
    <w:rsid w:val="192B4E21"/>
    <w:rsid w:val="192D1028"/>
    <w:rsid w:val="192F2B88"/>
    <w:rsid w:val="193006AE"/>
    <w:rsid w:val="19337933"/>
    <w:rsid w:val="19350544"/>
    <w:rsid w:val="1935339B"/>
    <w:rsid w:val="19371A3D"/>
    <w:rsid w:val="19377C8F"/>
    <w:rsid w:val="19390004"/>
    <w:rsid w:val="193C7349"/>
    <w:rsid w:val="19416F1B"/>
    <w:rsid w:val="194505FE"/>
    <w:rsid w:val="19461C80"/>
    <w:rsid w:val="19490F59"/>
    <w:rsid w:val="194B1890"/>
    <w:rsid w:val="194F369C"/>
    <w:rsid w:val="19502AFF"/>
    <w:rsid w:val="19510D51"/>
    <w:rsid w:val="1955361B"/>
    <w:rsid w:val="195A1F6E"/>
    <w:rsid w:val="19614D0C"/>
    <w:rsid w:val="19632661"/>
    <w:rsid w:val="19650358"/>
    <w:rsid w:val="19711DD3"/>
    <w:rsid w:val="19805192"/>
    <w:rsid w:val="198272B0"/>
    <w:rsid w:val="19853A82"/>
    <w:rsid w:val="198729C4"/>
    <w:rsid w:val="198804EA"/>
    <w:rsid w:val="198E595D"/>
    <w:rsid w:val="1991739F"/>
    <w:rsid w:val="199472B4"/>
    <w:rsid w:val="19996254"/>
    <w:rsid w:val="199B570B"/>
    <w:rsid w:val="199C6459"/>
    <w:rsid w:val="199D21E8"/>
    <w:rsid w:val="19A266CB"/>
    <w:rsid w:val="19A54BF8"/>
    <w:rsid w:val="19A81450"/>
    <w:rsid w:val="19AC5F87"/>
    <w:rsid w:val="19AF4590"/>
    <w:rsid w:val="19B152A7"/>
    <w:rsid w:val="19B25388"/>
    <w:rsid w:val="19B54B1C"/>
    <w:rsid w:val="19B671A0"/>
    <w:rsid w:val="19B723B3"/>
    <w:rsid w:val="19B74EE4"/>
    <w:rsid w:val="19B968F6"/>
    <w:rsid w:val="19BE35A2"/>
    <w:rsid w:val="19C05ED6"/>
    <w:rsid w:val="19C205A4"/>
    <w:rsid w:val="19C624B9"/>
    <w:rsid w:val="19C67246"/>
    <w:rsid w:val="19CF11FF"/>
    <w:rsid w:val="19D64818"/>
    <w:rsid w:val="19D94926"/>
    <w:rsid w:val="19DD25E4"/>
    <w:rsid w:val="19E460E8"/>
    <w:rsid w:val="19EB0503"/>
    <w:rsid w:val="19EC5A00"/>
    <w:rsid w:val="19F453FF"/>
    <w:rsid w:val="19F634E3"/>
    <w:rsid w:val="19F8741E"/>
    <w:rsid w:val="19F95C7D"/>
    <w:rsid w:val="19FB6838"/>
    <w:rsid w:val="19FC4B99"/>
    <w:rsid w:val="19FE07AD"/>
    <w:rsid w:val="19FE6C23"/>
    <w:rsid w:val="1A056F7D"/>
    <w:rsid w:val="1A057D8D"/>
    <w:rsid w:val="1A067452"/>
    <w:rsid w:val="1A125191"/>
    <w:rsid w:val="1A143B2C"/>
    <w:rsid w:val="1A1D6E85"/>
    <w:rsid w:val="1A202CAC"/>
    <w:rsid w:val="1A204BC7"/>
    <w:rsid w:val="1A2349F6"/>
    <w:rsid w:val="1A27022B"/>
    <w:rsid w:val="1A281B0F"/>
    <w:rsid w:val="1A2C356C"/>
    <w:rsid w:val="1A2E453C"/>
    <w:rsid w:val="1A424C06"/>
    <w:rsid w:val="1A4A2FC3"/>
    <w:rsid w:val="1A50038A"/>
    <w:rsid w:val="1A515AD2"/>
    <w:rsid w:val="1A5F1ECA"/>
    <w:rsid w:val="1A642D06"/>
    <w:rsid w:val="1A66683C"/>
    <w:rsid w:val="1A670100"/>
    <w:rsid w:val="1A676352"/>
    <w:rsid w:val="1A6E0D68"/>
    <w:rsid w:val="1A7171D0"/>
    <w:rsid w:val="1A7174D1"/>
    <w:rsid w:val="1A75588D"/>
    <w:rsid w:val="1A763655"/>
    <w:rsid w:val="1A7975BC"/>
    <w:rsid w:val="1A7D3DC7"/>
    <w:rsid w:val="1A815A63"/>
    <w:rsid w:val="1A846F04"/>
    <w:rsid w:val="1A853D75"/>
    <w:rsid w:val="1A8707A2"/>
    <w:rsid w:val="1A884696"/>
    <w:rsid w:val="1A911621"/>
    <w:rsid w:val="1A991171"/>
    <w:rsid w:val="1AAD6307"/>
    <w:rsid w:val="1AAE3CAF"/>
    <w:rsid w:val="1AAE61FB"/>
    <w:rsid w:val="1AAF12B6"/>
    <w:rsid w:val="1AB175CD"/>
    <w:rsid w:val="1AB36B1F"/>
    <w:rsid w:val="1AB414BB"/>
    <w:rsid w:val="1AB428BE"/>
    <w:rsid w:val="1AB866A6"/>
    <w:rsid w:val="1AB91E27"/>
    <w:rsid w:val="1ABC669E"/>
    <w:rsid w:val="1ABD5F72"/>
    <w:rsid w:val="1ACD4355"/>
    <w:rsid w:val="1ACE017F"/>
    <w:rsid w:val="1AD85B7E"/>
    <w:rsid w:val="1AD91E60"/>
    <w:rsid w:val="1AD926AD"/>
    <w:rsid w:val="1AD97726"/>
    <w:rsid w:val="1AE31E7C"/>
    <w:rsid w:val="1AE31E80"/>
    <w:rsid w:val="1AE469B6"/>
    <w:rsid w:val="1AE6211F"/>
    <w:rsid w:val="1AEE0821"/>
    <w:rsid w:val="1AF52CC2"/>
    <w:rsid w:val="1AF7288A"/>
    <w:rsid w:val="1AFA6510"/>
    <w:rsid w:val="1AFC4CEC"/>
    <w:rsid w:val="1B001DD6"/>
    <w:rsid w:val="1B006F1C"/>
    <w:rsid w:val="1B007561"/>
    <w:rsid w:val="1B077618"/>
    <w:rsid w:val="1B0B4F2F"/>
    <w:rsid w:val="1B0D1D93"/>
    <w:rsid w:val="1B122762"/>
    <w:rsid w:val="1B127321"/>
    <w:rsid w:val="1B1520DE"/>
    <w:rsid w:val="1B2453AC"/>
    <w:rsid w:val="1B267FBB"/>
    <w:rsid w:val="1B282EEE"/>
    <w:rsid w:val="1B2A27FC"/>
    <w:rsid w:val="1B314BA5"/>
    <w:rsid w:val="1B337A50"/>
    <w:rsid w:val="1B356531"/>
    <w:rsid w:val="1B3721C8"/>
    <w:rsid w:val="1B375E27"/>
    <w:rsid w:val="1B3939DF"/>
    <w:rsid w:val="1B416BA3"/>
    <w:rsid w:val="1B430B6D"/>
    <w:rsid w:val="1B4346C9"/>
    <w:rsid w:val="1B443338"/>
    <w:rsid w:val="1B4C6F24"/>
    <w:rsid w:val="1B4D72F6"/>
    <w:rsid w:val="1B4F3B4F"/>
    <w:rsid w:val="1B500BA3"/>
    <w:rsid w:val="1B561DD6"/>
    <w:rsid w:val="1B593EEC"/>
    <w:rsid w:val="1B5D1745"/>
    <w:rsid w:val="1B6805D3"/>
    <w:rsid w:val="1B682AF7"/>
    <w:rsid w:val="1B701236"/>
    <w:rsid w:val="1B713E9F"/>
    <w:rsid w:val="1B7677E6"/>
    <w:rsid w:val="1B7C4CCD"/>
    <w:rsid w:val="1B7E5B2A"/>
    <w:rsid w:val="1B822BA5"/>
    <w:rsid w:val="1B844848"/>
    <w:rsid w:val="1B844ABD"/>
    <w:rsid w:val="1B886580"/>
    <w:rsid w:val="1B8F5B60"/>
    <w:rsid w:val="1B910DB4"/>
    <w:rsid w:val="1B9413C8"/>
    <w:rsid w:val="1B943E88"/>
    <w:rsid w:val="1B9F0E2F"/>
    <w:rsid w:val="1BA07D6D"/>
    <w:rsid w:val="1BAA4748"/>
    <w:rsid w:val="1BB83309"/>
    <w:rsid w:val="1BBD1204"/>
    <w:rsid w:val="1BBE1FA1"/>
    <w:rsid w:val="1BBF0D0B"/>
    <w:rsid w:val="1BC81072"/>
    <w:rsid w:val="1BCA1685"/>
    <w:rsid w:val="1BCF374C"/>
    <w:rsid w:val="1BD07CD1"/>
    <w:rsid w:val="1BD60EF4"/>
    <w:rsid w:val="1BDA35C2"/>
    <w:rsid w:val="1BDB3E45"/>
    <w:rsid w:val="1BE063BC"/>
    <w:rsid w:val="1BE31E5F"/>
    <w:rsid w:val="1BEB1DD4"/>
    <w:rsid w:val="1BED0AD9"/>
    <w:rsid w:val="1BF14125"/>
    <w:rsid w:val="1BF658DF"/>
    <w:rsid w:val="1BF831C0"/>
    <w:rsid w:val="1BFA6E7C"/>
    <w:rsid w:val="1C081834"/>
    <w:rsid w:val="1C0C2BB5"/>
    <w:rsid w:val="1C0F1BFD"/>
    <w:rsid w:val="1C113A23"/>
    <w:rsid w:val="1C122977"/>
    <w:rsid w:val="1C1A1E0B"/>
    <w:rsid w:val="1C1E6E23"/>
    <w:rsid w:val="1C1F6B45"/>
    <w:rsid w:val="1C2A0424"/>
    <w:rsid w:val="1C2B1D70"/>
    <w:rsid w:val="1C2B758F"/>
    <w:rsid w:val="1C2E35CB"/>
    <w:rsid w:val="1C2E5379"/>
    <w:rsid w:val="1C3644FE"/>
    <w:rsid w:val="1C371297"/>
    <w:rsid w:val="1C3B3CA8"/>
    <w:rsid w:val="1C3C08FD"/>
    <w:rsid w:val="1C3D736A"/>
    <w:rsid w:val="1C3F44F7"/>
    <w:rsid w:val="1C3F526D"/>
    <w:rsid w:val="1C427076"/>
    <w:rsid w:val="1C432DE2"/>
    <w:rsid w:val="1C4A2ED5"/>
    <w:rsid w:val="1C4A7CD9"/>
    <w:rsid w:val="1C526113"/>
    <w:rsid w:val="1C60407D"/>
    <w:rsid w:val="1C60574F"/>
    <w:rsid w:val="1C694603"/>
    <w:rsid w:val="1C694E9D"/>
    <w:rsid w:val="1C6C2211"/>
    <w:rsid w:val="1C6C70DF"/>
    <w:rsid w:val="1C73035A"/>
    <w:rsid w:val="1C752FA8"/>
    <w:rsid w:val="1C7D00AF"/>
    <w:rsid w:val="1C7F5BD5"/>
    <w:rsid w:val="1C816AA4"/>
    <w:rsid w:val="1C8431EB"/>
    <w:rsid w:val="1C9220A8"/>
    <w:rsid w:val="1C9325FA"/>
    <w:rsid w:val="1C970863"/>
    <w:rsid w:val="1C9B0535"/>
    <w:rsid w:val="1C9C4303"/>
    <w:rsid w:val="1C9D4403"/>
    <w:rsid w:val="1C9F49A4"/>
    <w:rsid w:val="1CA74556"/>
    <w:rsid w:val="1CAC629E"/>
    <w:rsid w:val="1CB05D8E"/>
    <w:rsid w:val="1CB12360"/>
    <w:rsid w:val="1CB43C63"/>
    <w:rsid w:val="1CBA38DB"/>
    <w:rsid w:val="1CBA4E5F"/>
    <w:rsid w:val="1CBA6C35"/>
    <w:rsid w:val="1CC052B0"/>
    <w:rsid w:val="1CC136E6"/>
    <w:rsid w:val="1CC21F65"/>
    <w:rsid w:val="1CC25AC1"/>
    <w:rsid w:val="1CCB4523"/>
    <w:rsid w:val="1CD23870"/>
    <w:rsid w:val="1CDA63FD"/>
    <w:rsid w:val="1CDE0D79"/>
    <w:rsid w:val="1CE41215"/>
    <w:rsid w:val="1CEA7FC4"/>
    <w:rsid w:val="1CED2402"/>
    <w:rsid w:val="1CEE2D5A"/>
    <w:rsid w:val="1CF512C1"/>
    <w:rsid w:val="1CF76192"/>
    <w:rsid w:val="1CFC2FCB"/>
    <w:rsid w:val="1CFF5EAA"/>
    <w:rsid w:val="1D04257E"/>
    <w:rsid w:val="1D044FBD"/>
    <w:rsid w:val="1D077978"/>
    <w:rsid w:val="1D0E0ED8"/>
    <w:rsid w:val="1D1633F1"/>
    <w:rsid w:val="1D181977"/>
    <w:rsid w:val="1D2349B6"/>
    <w:rsid w:val="1D2C5FA7"/>
    <w:rsid w:val="1D306ECF"/>
    <w:rsid w:val="1D32554B"/>
    <w:rsid w:val="1D353EFE"/>
    <w:rsid w:val="1D374689"/>
    <w:rsid w:val="1D3751B5"/>
    <w:rsid w:val="1D383726"/>
    <w:rsid w:val="1D3A7D4E"/>
    <w:rsid w:val="1D3C15FF"/>
    <w:rsid w:val="1D3E542F"/>
    <w:rsid w:val="1D4A4AAD"/>
    <w:rsid w:val="1D4D4DFF"/>
    <w:rsid w:val="1D4F1A4B"/>
    <w:rsid w:val="1D5116B2"/>
    <w:rsid w:val="1D525097"/>
    <w:rsid w:val="1D530C12"/>
    <w:rsid w:val="1D596764"/>
    <w:rsid w:val="1D677332"/>
    <w:rsid w:val="1D731F0D"/>
    <w:rsid w:val="1D796AC8"/>
    <w:rsid w:val="1D7A15FB"/>
    <w:rsid w:val="1D7D7166"/>
    <w:rsid w:val="1D7E7C3A"/>
    <w:rsid w:val="1D835251"/>
    <w:rsid w:val="1D8634B6"/>
    <w:rsid w:val="1D8710C4"/>
    <w:rsid w:val="1D8E737B"/>
    <w:rsid w:val="1D954F84"/>
    <w:rsid w:val="1D9C71AB"/>
    <w:rsid w:val="1DA653E3"/>
    <w:rsid w:val="1DA87390"/>
    <w:rsid w:val="1DAC581B"/>
    <w:rsid w:val="1DAD16C0"/>
    <w:rsid w:val="1DB40991"/>
    <w:rsid w:val="1DB6406F"/>
    <w:rsid w:val="1DB95116"/>
    <w:rsid w:val="1DBB0356"/>
    <w:rsid w:val="1DC53ABB"/>
    <w:rsid w:val="1DC6338F"/>
    <w:rsid w:val="1DC806B3"/>
    <w:rsid w:val="1DCC309C"/>
    <w:rsid w:val="1DD261D8"/>
    <w:rsid w:val="1DD57E18"/>
    <w:rsid w:val="1DD91315"/>
    <w:rsid w:val="1DD95805"/>
    <w:rsid w:val="1DE005DE"/>
    <w:rsid w:val="1DE81558"/>
    <w:rsid w:val="1DEA52D0"/>
    <w:rsid w:val="1DEB2A22"/>
    <w:rsid w:val="1DF368FC"/>
    <w:rsid w:val="1DF36E52"/>
    <w:rsid w:val="1DF54A0F"/>
    <w:rsid w:val="1DF71A39"/>
    <w:rsid w:val="1DF779ED"/>
    <w:rsid w:val="1DFF2482"/>
    <w:rsid w:val="1E002C4A"/>
    <w:rsid w:val="1E007F93"/>
    <w:rsid w:val="1E05210A"/>
    <w:rsid w:val="1E054F96"/>
    <w:rsid w:val="1E062289"/>
    <w:rsid w:val="1E087E4C"/>
    <w:rsid w:val="1E0C29F5"/>
    <w:rsid w:val="1E0D7B21"/>
    <w:rsid w:val="1E14234D"/>
    <w:rsid w:val="1E14446A"/>
    <w:rsid w:val="1E155AD4"/>
    <w:rsid w:val="1E196F79"/>
    <w:rsid w:val="1E1B2629"/>
    <w:rsid w:val="1E1E766F"/>
    <w:rsid w:val="1E285DF8"/>
    <w:rsid w:val="1E286889"/>
    <w:rsid w:val="1E2D552C"/>
    <w:rsid w:val="1E372483"/>
    <w:rsid w:val="1E373883"/>
    <w:rsid w:val="1E396257"/>
    <w:rsid w:val="1E3B473F"/>
    <w:rsid w:val="1E3C7F2F"/>
    <w:rsid w:val="1E415EA1"/>
    <w:rsid w:val="1E442C58"/>
    <w:rsid w:val="1E454BFC"/>
    <w:rsid w:val="1E454C32"/>
    <w:rsid w:val="1E47152F"/>
    <w:rsid w:val="1E490E22"/>
    <w:rsid w:val="1E624F8E"/>
    <w:rsid w:val="1E635AE0"/>
    <w:rsid w:val="1E707E91"/>
    <w:rsid w:val="1E71154D"/>
    <w:rsid w:val="1E731D72"/>
    <w:rsid w:val="1E736DD8"/>
    <w:rsid w:val="1E7E3C6A"/>
    <w:rsid w:val="1E8079E2"/>
    <w:rsid w:val="1E937D8C"/>
    <w:rsid w:val="1E993CE1"/>
    <w:rsid w:val="1E9E2A22"/>
    <w:rsid w:val="1EA26F5D"/>
    <w:rsid w:val="1EA64E73"/>
    <w:rsid w:val="1EB100F3"/>
    <w:rsid w:val="1EB724D4"/>
    <w:rsid w:val="1EBD29E4"/>
    <w:rsid w:val="1EBF6B6D"/>
    <w:rsid w:val="1EC20C09"/>
    <w:rsid w:val="1EC344A5"/>
    <w:rsid w:val="1EC412A4"/>
    <w:rsid w:val="1EC65D3D"/>
    <w:rsid w:val="1ED0148D"/>
    <w:rsid w:val="1ED132F1"/>
    <w:rsid w:val="1ED425AC"/>
    <w:rsid w:val="1ED53F6C"/>
    <w:rsid w:val="1ED815CC"/>
    <w:rsid w:val="1EDC536F"/>
    <w:rsid w:val="1EDD500E"/>
    <w:rsid w:val="1EE00CF1"/>
    <w:rsid w:val="1EE14925"/>
    <w:rsid w:val="1EE700E8"/>
    <w:rsid w:val="1EE92A08"/>
    <w:rsid w:val="1EEC5BE4"/>
    <w:rsid w:val="1EF37C07"/>
    <w:rsid w:val="1EF51389"/>
    <w:rsid w:val="1F023736"/>
    <w:rsid w:val="1F032FDD"/>
    <w:rsid w:val="1F046865"/>
    <w:rsid w:val="1F0C61F4"/>
    <w:rsid w:val="1F134CFA"/>
    <w:rsid w:val="1F156229"/>
    <w:rsid w:val="1F1F2C01"/>
    <w:rsid w:val="1F234F3D"/>
    <w:rsid w:val="1F241B9F"/>
    <w:rsid w:val="1F2A77DE"/>
    <w:rsid w:val="1F316F2E"/>
    <w:rsid w:val="1F332CA6"/>
    <w:rsid w:val="1F3C2321"/>
    <w:rsid w:val="1F404DD2"/>
    <w:rsid w:val="1F407B7A"/>
    <w:rsid w:val="1F4153C3"/>
    <w:rsid w:val="1F43738D"/>
    <w:rsid w:val="1F485D0A"/>
    <w:rsid w:val="1F4B32CA"/>
    <w:rsid w:val="1F4C10B2"/>
    <w:rsid w:val="1F4F0513"/>
    <w:rsid w:val="1F53594F"/>
    <w:rsid w:val="1F536EA5"/>
    <w:rsid w:val="1F552C1D"/>
    <w:rsid w:val="1F572BF5"/>
    <w:rsid w:val="1F577287"/>
    <w:rsid w:val="1F58056B"/>
    <w:rsid w:val="1F5C0367"/>
    <w:rsid w:val="1F6247AA"/>
    <w:rsid w:val="1F63009B"/>
    <w:rsid w:val="1F666BD8"/>
    <w:rsid w:val="1F721A21"/>
    <w:rsid w:val="1F730AED"/>
    <w:rsid w:val="1F737547"/>
    <w:rsid w:val="1F78690B"/>
    <w:rsid w:val="1F7C289F"/>
    <w:rsid w:val="1F7C464D"/>
    <w:rsid w:val="1F7E2174"/>
    <w:rsid w:val="1F7F4A50"/>
    <w:rsid w:val="1F8A05CF"/>
    <w:rsid w:val="1F8A275C"/>
    <w:rsid w:val="1F8C2915"/>
    <w:rsid w:val="1F8D0609"/>
    <w:rsid w:val="1F926BAB"/>
    <w:rsid w:val="1F927325"/>
    <w:rsid w:val="1F9562BF"/>
    <w:rsid w:val="1F971487"/>
    <w:rsid w:val="1F9C2132"/>
    <w:rsid w:val="1F9E786F"/>
    <w:rsid w:val="1FA571C1"/>
    <w:rsid w:val="1FAB464A"/>
    <w:rsid w:val="1FAD0190"/>
    <w:rsid w:val="1FB07AC3"/>
    <w:rsid w:val="1FB21E1D"/>
    <w:rsid w:val="1FB231D9"/>
    <w:rsid w:val="1FB97650"/>
    <w:rsid w:val="1FBC285A"/>
    <w:rsid w:val="1FBC56A5"/>
    <w:rsid w:val="1FC009DE"/>
    <w:rsid w:val="1FC2532F"/>
    <w:rsid w:val="1FC33EAD"/>
    <w:rsid w:val="1FC3402A"/>
    <w:rsid w:val="1FC82262"/>
    <w:rsid w:val="1FD21E26"/>
    <w:rsid w:val="1FD578B7"/>
    <w:rsid w:val="1FD9384E"/>
    <w:rsid w:val="1FDB202A"/>
    <w:rsid w:val="1FDB5818"/>
    <w:rsid w:val="1FDC6E9A"/>
    <w:rsid w:val="1FDD6187"/>
    <w:rsid w:val="1FDF04A6"/>
    <w:rsid w:val="1FE16BA6"/>
    <w:rsid w:val="1FE25A01"/>
    <w:rsid w:val="1FEB4F16"/>
    <w:rsid w:val="1FEB76B2"/>
    <w:rsid w:val="1FED7370"/>
    <w:rsid w:val="1FF64400"/>
    <w:rsid w:val="1FF871A1"/>
    <w:rsid w:val="1FFD2E55"/>
    <w:rsid w:val="2000527E"/>
    <w:rsid w:val="200716E2"/>
    <w:rsid w:val="20084FC0"/>
    <w:rsid w:val="200C3C23"/>
    <w:rsid w:val="20176124"/>
    <w:rsid w:val="20180A44"/>
    <w:rsid w:val="20262B93"/>
    <w:rsid w:val="202A7C37"/>
    <w:rsid w:val="20305FD1"/>
    <w:rsid w:val="20312FA6"/>
    <w:rsid w:val="203647FC"/>
    <w:rsid w:val="20412C2C"/>
    <w:rsid w:val="204328F8"/>
    <w:rsid w:val="20466DEA"/>
    <w:rsid w:val="204C4020"/>
    <w:rsid w:val="20517888"/>
    <w:rsid w:val="20522ECA"/>
    <w:rsid w:val="20531852"/>
    <w:rsid w:val="205668B8"/>
    <w:rsid w:val="2059673D"/>
    <w:rsid w:val="205A1790"/>
    <w:rsid w:val="206A094A"/>
    <w:rsid w:val="206C021E"/>
    <w:rsid w:val="206C46C2"/>
    <w:rsid w:val="206E6402"/>
    <w:rsid w:val="20701949"/>
    <w:rsid w:val="2075165D"/>
    <w:rsid w:val="207633E4"/>
    <w:rsid w:val="207672EF"/>
    <w:rsid w:val="207746C5"/>
    <w:rsid w:val="2080479F"/>
    <w:rsid w:val="208321FA"/>
    <w:rsid w:val="208A0650"/>
    <w:rsid w:val="208E4638"/>
    <w:rsid w:val="20976CB7"/>
    <w:rsid w:val="20A1627B"/>
    <w:rsid w:val="20A24E16"/>
    <w:rsid w:val="20A54B2D"/>
    <w:rsid w:val="20AB116F"/>
    <w:rsid w:val="20AC4ABE"/>
    <w:rsid w:val="20BD26C8"/>
    <w:rsid w:val="20C242E2"/>
    <w:rsid w:val="20C4164F"/>
    <w:rsid w:val="20C773BA"/>
    <w:rsid w:val="20CC60C0"/>
    <w:rsid w:val="20CE5602"/>
    <w:rsid w:val="20CF69FF"/>
    <w:rsid w:val="20D14076"/>
    <w:rsid w:val="20D81D57"/>
    <w:rsid w:val="20D84AEF"/>
    <w:rsid w:val="20DA7E04"/>
    <w:rsid w:val="20DF59E4"/>
    <w:rsid w:val="20E57FD0"/>
    <w:rsid w:val="20E67EDD"/>
    <w:rsid w:val="20E85D93"/>
    <w:rsid w:val="20EA3839"/>
    <w:rsid w:val="20F1424E"/>
    <w:rsid w:val="20F36C4C"/>
    <w:rsid w:val="20F73B7C"/>
    <w:rsid w:val="20FA7150"/>
    <w:rsid w:val="21026ADC"/>
    <w:rsid w:val="21044F44"/>
    <w:rsid w:val="210510A3"/>
    <w:rsid w:val="21182154"/>
    <w:rsid w:val="21224D81"/>
    <w:rsid w:val="21296906"/>
    <w:rsid w:val="212D0A76"/>
    <w:rsid w:val="212E21FA"/>
    <w:rsid w:val="21303941"/>
    <w:rsid w:val="21306F4A"/>
    <w:rsid w:val="21336F6D"/>
    <w:rsid w:val="213737BC"/>
    <w:rsid w:val="21386498"/>
    <w:rsid w:val="21597983"/>
    <w:rsid w:val="21635E83"/>
    <w:rsid w:val="216D06F2"/>
    <w:rsid w:val="216F7324"/>
    <w:rsid w:val="21701F90"/>
    <w:rsid w:val="21765315"/>
    <w:rsid w:val="21787096"/>
    <w:rsid w:val="217C26E3"/>
    <w:rsid w:val="217D6A92"/>
    <w:rsid w:val="21800548"/>
    <w:rsid w:val="21822510"/>
    <w:rsid w:val="21823A71"/>
    <w:rsid w:val="21823F72"/>
    <w:rsid w:val="21850D37"/>
    <w:rsid w:val="218B0B78"/>
    <w:rsid w:val="218D209B"/>
    <w:rsid w:val="21930795"/>
    <w:rsid w:val="21950C8A"/>
    <w:rsid w:val="21952548"/>
    <w:rsid w:val="219739C1"/>
    <w:rsid w:val="2199594D"/>
    <w:rsid w:val="219A700D"/>
    <w:rsid w:val="219C5D92"/>
    <w:rsid w:val="21A53EDC"/>
    <w:rsid w:val="21A8085F"/>
    <w:rsid w:val="21AF37CE"/>
    <w:rsid w:val="21AF4EAB"/>
    <w:rsid w:val="21B300CF"/>
    <w:rsid w:val="21B31E7D"/>
    <w:rsid w:val="21B64DE5"/>
    <w:rsid w:val="21BD72D0"/>
    <w:rsid w:val="21BE3A8C"/>
    <w:rsid w:val="21C16D52"/>
    <w:rsid w:val="21CD0C19"/>
    <w:rsid w:val="21CF5542"/>
    <w:rsid w:val="21DF21B9"/>
    <w:rsid w:val="21E10E5D"/>
    <w:rsid w:val="21E22C25"/>
    <w:rsid w:val="2205092A"/>
    <w:rsid w:val="220628F4"/>
    <w:rsid w:val="220A3715"/>
    <w:rsid w:val="221548E5"/>
    <w:rsid w:val="221765ED"/>
    <w:rsid w:val="221C2118"/>
    <w:rsid w:val="22260F03"/>
    <w:rsid w:val="223B259E"/>
    <w:rsid w:val="2240066A"/>
    <w:rsid w:val="22425A2E"/>
    <w:rsid w:val="22433200"/>
    <w:rsid w:val="22435D3F"/>
    <w:rsid w:val="22564221"/>
    <w:rsid w:val="22565D72"/>
    <w:rsid w:val="22573150"/>
    <w:rsid w:val="226338A3"/>
    <w:rsid w:val="226474FD"/>
    <w:rsid w:val="226A4C31"/>
    <w:rsid w:val="226D74BE"/>
    <w:rsid w:val="22737F8A"/>
    <w:rsid w:val="227A31F8"/>
    <w:rsid w:val="227A3233"/>
    <w:rsid w:val="227A6AB2"/>
    <w:rsid w:val="22825EF5"/>
    <w:rsid w:val="22833F45"/>
    <w:rsid w:val="22853819"/>
    <w:rsid w:val="2285387A"/>
    <w:rsid w:val="22855421"/>
    <w:rsid w:val="22857CBD"/>
    <w:rsid w:val="22871BA7"/>
    <w:rsid w:val="228D4F28"/>
    <w:rsid w:val="228E1A0F"/>
    <w:rsid w:val="22AC09F1"/>
    <w:rsid w:val="22B47077"/>
    <w:rsid w:val="22BC60EC"/>
    <w:rsid w:val="22BC7673"/>
    <w:rsid w:val="22C02733"/>
    <w:rsid w:val="22C205C9"/>
    <w:rsid w:val="22C75BE0"/>
    <w:rsid w:val="22C9213D"/>
    <w:rsid w:val="22CA6694"/>
    <w:rsid w:val="22CE3412"/>
    <w:rsid w:val="22D0331A"/>
    <w:rsid w:val="22D20428"/>
    <w:rsid w:val="22D3011D"/>
    <w:rsid w:val="22D9209E"/>
    <w:rsid w:val="22DC2F31"/>
    <w:rsid w:val="22DE2AD5"/>
    <w:rsid w:val="22DE3263"/>
    <w:rsid w:val="22E27E1A"/>
    <w:rsid w:val="22E44279"/>
    <w:rsid w:val="22E744D4"/>
    <w:rsid w:val="22F01E4D"/>
    <w:rsid w:val="22F25E99"/>
    <w:rsid w:val="22F46CA6"/>
    <w:rsid w:val="22F501D8"/>
    <w:rsid w:val="22F546C5"/>
    <w:rsid w:val="22F66958"/>
    <w:rsid w:val="22FD42C4"/>
    <w:rsid w:val="230211FF"/>
    <w:rsid w:val="230B6414"/>
    <w:rsid w:val="23130E25"/>
    <w:rsid w:val="23167A6F"/>
    <w:rsid w:val="231B5F2B"/>
    <w:rsid w:val="231E35E8"/>
    <w:rsid w:val="231E77CA"/>
    <w:rsid w:val="232142F5"/>
    <w:rsid w:val="23256DAA"/>
    <w:rsid w:val="232D0AF0"/>
    <w:rsid w:val="23313C2D"/>
    <w:rsid w:val="233A292D"/>
    <w:rsid w:val="233B037C"/>
    <w:rsid w:val="233B65CE"/>
    <w:rsid w:val="233D1E2A"/>
    <w:rsid w:val="233F2FE4"/>
    <w:rsid w:val="235F08A6"/>
    <w:rsid w:val="236003D0"/>
    <w:rsid w:val="23631B45"/>
    <w:rsid w:val="23632480"/>
    <w:rsid w:val="23676BFE"/>
    <w:rsid w:val="23696C97"/>
    <w:rsid w:val="23777F4D"/>
    <w:rsid w:val="237D3039"/>
    <w:rsid w:val="238241FC"/>
    <w:rsid w:val="23880ED2"/>
    <w:rsid w:val="23891D63"/>
    <w:rsid w:val="238C043D"/>
    <w:rsid w:val="238C6E29"/>
    <w:rsid w:val="238F0881"/>
    <w:rsid w:val="23913C41"/>
    <w:rsid w:val="23924B55"/>
    <w:rsid w:val="23931F66"/>
    <w:rsid w:val="23940D1D"/>
    <w:rsid w:val="23953CF8"/>
    <w:rsid w:val="239E66AC"/>
    <w:rsid w:val="239F7998"/>
    <w:rsid w:val="23A13D34"/>
    <w:rsid w:val="23A45C03"/>
    <w:rsid w:val="23AB47F0"/>
    <w:rsid w:val="23AE53B7"/>
    <w:rsid w:val="23AF71DA"/>
    <w:rsid w:val="23AF726E"/>
    <w:rsid w:val="23BA64D3"/>
    <w:rsid w:val="23BC770E"/>
    <w:rsid w:val="23BC7FA0"/>
    <w:rsid w:val="23C14D25"/>
    <w:rsid w:val="23C43CA3"/>
    <w:rsid w:val="23C562A3"/>
    <w:rsid w:val="23C7515D"/>
    <w:rsid w:val="23C83C3B"/>
    <w:rsid w:val="23CB16FF"/>
    <w:rsid w:val="23D56CC8"/>
    <w:rsid w:val="23D706B8"/>
    <w:rsid w:val="23E01278"/>
    <w:rsid w:val="23E32EED"/>
    <w:rsid w:val="23E6478B"/>
    <w:rsid w:val="23E91A35"/>
    <w:rsid w:val="23EB3B50"/>
    <w:rsid w:val="23EE3640"/>
    <w:rsid w:val="23EE7F93"/>
    <w:rsid w:val="23EF7507"/>
    <w:rsid w:val="23F46EA8"/>
    <w:rsid w:val="23F943F9"/>
    <w:rsid w:val="24001653"/>
    <w:rsid w:val="240067FC"/>
    <w:rsid w:val="24071EF1"/>
    <w:rsid w:val="240B2444"/>
    <w:rsid w:val="240E6BB6"/>
    <w:rsid w:val="24186FDB"/>
    <w:rsid w:val="2419690F"/>
    <w:rsid w:val="241E0B6B"/>
    <w:rsid w:val="24217571"/>
    <w:rsid w:val="2429433E"/>
    <w:rsid w:val="242A28CA"/>
    <w:rsid w:val="242B6642"/>
    <w:rsid w:val="24301410"/>
    <w:rsid w:val="24374FE7"/>
    <w:rsid w:val="24397A54"/>
    <w:rsid w:val="243A1B1F"/>
    <w:rsid w:val="243B441E"/>
    <w:rsid w:val="243C25FD"/>
    <w:rsid w:val="243C396A"/>
    <w:rsid w:val="243C43AB"/>
    <w:rsid w:val="243D39DD"/>
    <w:rsid w:val="244174C3"/>
    <w:rsid w:val="244415F8"/>
    <w:rsid w:val="244A6A78"/>
    <w:rsid w:val="24537E66"/>
    <w:rsid w:val="245636BF"/>
    <w:rsid w:val="245E07C6"/>
    <w:rsid w:val="246001CD"/>
    <w:rsid w:val="246062EC"/>
    <w:rsid w:val="24653902"/>
    <w:rsid w:val="246758CC"/>
    <w:rsid w:val="246B00A8"/>
    <w:rsid w:val="246B5966"/>
    <w:rsid w:val="246D6C8F"/>
    <w:rsid w:val="246E0388"/>
    <w:rsid w:val="246E7DCE"/>
    <w:rsid w:val="24774968"/>
    <w:rsid w:val="247B0F6F"/>
    <w:rsid w:val="247C2BEF"/>
    <w:rsid w:val="24835B43"/>
    <w:rsid w:val="24853112"/>
    <w:rsid w:val="24862215"/>
    <w:rsid w:val="248637E6"/>
    <w:rsid w:val="24877C73"/>
    <w:rsid w:val="248874DA"/>
    <w:rsid w:val="248C2A68"/>
    <w:rsid w:val="249266C1"/>
    <w:rsid w:val="249A0EF7"/>
    <w:rsid w:val="249B142E"/>
    <w:rsid w:val="249E28DC"/>
    <w:rsid w:val="24A055B7"/>
    <w:rsid w:val="24A40E1F"/>
    <w:rsid w:val="24A563F4"/>
    <w:rsid w:val="24A60059"/>
    <w:rsid w:val="24A74D76"/>
    <w:rsid w:val="24A85EE5"/>
    <w:rsid w:val="24AD2696"/>
    <w:rsid w:val="24AF06E2"/>
    <w:rsid w:val="24B26A58"/>
    <w:rsid w:val="24BB4C3D"/>
    <w:rsid w:val="24BB5C18"/>
    <w:rsid w:val="24BD16FD"/>
    <w:rsid w:val="24C27C59"/>
    <w:rsid w:val="24CF32FF"/>
    <w:rsid w:val="24D03CD9"/>
    <w:rsid w:val="24D34D10"/>
    <w:rsid w:val="24DA67DE"/>
    <w:rsid w:val="24DF0786"/>
    <w:rsid w:val="24E67066"/>
    <w:rsid w:val="24E82B1E"/>
    <w:rsid w:val="24EA3E07"/>
    <w:rsid w:val="24F0099A"/>
    <w:rsid w:val="24F23E5B"/>
    <w:rsid w:val="24FD2BB8"/>
    <w:rsid w:val="24FD672D"/>
    <w:rsid w:val="24FF36B5"/>
    <w:rsid w:val="250179E5"/>
    <w:rsid w:val="25047586"/>
    <w:rsid w:val="25070F12"/>
    <w:rsid w:val="25076767"/>
    <w:rsid w:val="250A26FB"/>
    <w:rsid w:val="25145328"/>
    <w:rsid w:val="2515634E"/>
    <w:rsid w:val="251C07F8"/>
    <w:rsid w:val="25232A7A"/>
    <w:rsid w:val="25287E57"/>
    <w:rsid w:val="252F10D7"/>
    <w:rsid w:val="25357778"/>
    <w:rsid w:val="253F58ED"/>
    <w:rsid w:val="2542300F"/>
    <w:rsid w:val="254259F1"/>
    <w:rsid w:val="254438C1"/>
    <w:rsid w:val="254479BB"/>
    <w:rsid w:val="25470734"/>
    <w:rsid w:val="25583FC6"/>
    <w:rsid w:val="25587969"/>
    <w:rsid w:val="25677EC7"/>
    <w:rsid w:val="256F4004"/>
    <w:rsid w:val="25796E5D"/>
    <w:rsid w:val="257B1FAC"/>
    <w:rsid w:val="25832D76"/>
    <w:rsid w:val="25893620"/>
    <w:rsid w:val="25922D5C"/>
    <w:rsid w:val="259326F1"/>
    <w:rsid w:val="25933310"/>
    <w:rsid w:val="2593449F"/>
    <w:rsid w:val="259721E1"/>
    <w:rsid w:val="259C77F7"/>
    <w:rsid w:val="259D0E7A"/>
    <w:rsid w:val="259D3570"/>
    <w:rsid w:val="259F1954"/>
    <w:rsid w:val="25A23077"/>
    <w:rsid w:val="25A554C2"/>
    <w:rsid w:val="25A55CF9"/>
    <w:rsid w:val="25A91F14"/>
    <w:rsid w:val="25AE3229"/>
    <w:rsid w:val="25B14925"/>
    <w:rsid w:val="25B36FF7"/>
    <w:rsid w:val="25B553C2"/>
    <w:rsid w:val="25BC688F"/>
    <w:rsid w:val="25BD642D"/>
    <w:rsid w:val="25BF30BE"/>
    <w:rsid w:val="25BF6FDB"/>
    <w:rsid w:val="25C13DCB"/>
    <w:rsid w:val="25C27809"/>
    <w:rsid w:val="25C32FD6"/>
    <w:rsid w:val="25C82827"/>
    <w:rsid w:val="25C94365"/>
    <w:rsid w:val="25C9445B"/>
    <w:rsid w:val="25CD79B1"/>
    <w:rsid w:val="25CE197B"/>
    <w:rsid w:val="25D262F5"/>
    <w:rsid w:val="25D34FE8"/>
    <w:rsid w:val="25D36F91"/>
    <w:rsid w:val="25DA0320"/>
    <w:rsid w:val="25E20F82"/>
    <w:rsid w:val="25E940BF"/>
    <w:rsid w:val="25F60670"/>
    <w:rsid w:val="25F807A6"/>
    <w:rsid w:val="25FD62C1"/>
    <w:rsid w:val="25FF7BF9"/>
    <w:rsid w:val="26040EF9"/>
    <w:rsid w:val="2608077E"/>
    <w:rsid w:val="26083B89"/>
    <w:rsid w:val="2609681D"/>
    <w:rsid w:val="260B390D"/>
    <w:rsid w:val="260D1B47"/>
    <w:rsid w:val="260D7FE8"/>
    <w:rsid w:val="260F621B"/>
    <w:rsid w:val="26142FAF"/>
    <w:rsid w:val="26151358"/>
    <w:rsid w:val="261D5291"/>
    <w:rsid w:val="261E020C"/>
    <w:rsid w:val="262670C1"/>
    <w:rsid w:val="262D0D77"/>
    <w:rsid w:val="262F59FD"/>
    <w:rsid w:val="263972E2"/>
    <w:rsid w:val="263E19FF"/>
    <w:rsid w:val="263F1EEC"/>
    <w:rsid w:val="26424C58"/>
    <w:rsid w:val="26485289"/>
    <w:rsid w:val="264D0AF2"/>
    <w:rsid w:val="26510D83"/>
    <w:rsid w:val="26570359"/>
    <w:rsid w:val="265E0436"/>
    <w:rsid w:val="26634C22"/>
    <w:rsid w:val="266A31DD"/>
    <w:rsid w:val="266C3639"/>
    <w:rsid w:val="26700563"/>
    <w:rsid w:val="267534DA"/>
    <w:rsid w:val="26760048"/>
    <w:rsid w:val="267B5E32"/>
    <w:rsid w:val="267F67BB"/>
    <w:rsid w:val="268C786C"/>
    <w:rsid w:val="268E2266"/>
    <w:rsid w:val="26995AE5"/>
    <w:rsid w:val="269E3CE0"/>
    <w:rsid w:val="26A02F50"/>
    <w:rsid w:val="26A11396"/>
    <w:rsid w:val="26A15235"/>
    <w:rsid w:val="26A31A36"/>
    <w:rsid w:val="26A32590"/>
    <w:rsid w:val="26A44A59"/>
    <w:rsid w:val="26A526DC"/>
    <w:rsid w:val="26B11517"/>
    <w:rsid w:val="26B54C94"/>
    <w:rsid w:val="26BC5110"/>
    <w:rsid w:val="26C42A94"/>
    <w:rsid w:val="26C50688"/>
    <w:rsid w:val="26C62652"/>
    <w:rsid w:val="26C76066"/>
    <w:rsid w:val="26CD52C9"/>
    <w:rsid w:val="26D94133"/>
    <w:rsid w:val="26DA5C3E"/>
    <w:rsid w:val="26DE799C"/>
    <w:rsid w:val="26E80EE7"/>
    <w:rsid w:val="26E90E6E"/>
    <w:rsid w:val="26EC20B9"/>
    <w:rsid w:val="26EC788B"/>
    <w:rsid w:val="26EE03F8"/>
    <w:rsid w:val="26F23447"/>
    <w:rsid w:val="26F30BD9"/>
    <w:rsid w:val="26F446F1"/>
    <w:rsid w:val="26F52B95"/>
    <w:rsid w:val="26FD09B1"/>
    <w:rsid w:val="27054F28"/>
    <w:rsid w:val="2707154A"/>
    <w:rsid w:val="27085286"/>
    <w:rsid w:val="270B61A9"/>
    <w:rsid w:val="270C4C4D"/>
    <w:rsid w:val="270D202F"/>
    <w:rsid w:val="27166F03"/>
    <w:rsid w:val="271909D4"/>
    <w:rsid w:val="271E2497"/>
    <w:rsid w:val="271F1693"/>
    <w:rsid w:val="272167C2"/>
    <w:rsid w:val="272446F2"/>
    <w:rsid w:val="27252FBC"/>
    <w:rsid w:val="272B5B3C"/>
    <w:rsid w:val="272E0862"/>
    <w:rsid w:val="27367680"/>
    <w:rsid w:val="27414187"/>
    <w:rsid w:val="27573264"/>
    <w:rsid w:val="275A1718"/>
    <w:rsid w:val="275B0FEC"/>
    <w:rsid w:val="275E25FA"/>
    <w:rsid w:val="276064AD"/>
    <w:rsid w:val="2762237B"/>
    <w:rsid w:val="27624129"/>
    <w:rsid w:val="27651E6B"/>
    <w:rsid w:val="27667EF3"/>
    <w:rsid w:val="27694E3C"/>
    <w:rsid w:val="276C24EE"/>
    <w:rsid w:val="276E18BA"/>
    <w:rsid w:val="277161B0"/>
    <w:rsid w:val="277423AC"/>
    <w:rsid w:val="27762738"/>
    <w:rsid w:val="277D5407"/>
    <w:rsid w:val="278422F1"/>
    <w:rsid w:val="27854823"/>
    <w:rsid w:val="27873B8F"/>
    <w:rsid w:val="278E13C2"/>
    <w:rsid w:val="279029B7"/>
    <w:rsid w:val="279172A9"/>
    <w:rsid w:val="27A47C23"/>
    <w:rsid w:val="27A91D58"/>
    <w:rsid w:val="27AA6377"/>
    <w:rsid w:val="27AB6875"/>
    <w:rsid w:val="27B3483A"/>
    <w:rsid w:val="27B4199C"/>
    <w:rsid w:val="27B84691"/>
    <w:rsid w:val="27BB7CDD"/>
    <w:rsid w:val="27C338F8"/>
    <w:rsid w:val="27CC0EF2"/>
    <w:rsid w:val="27CC1EEA"/>
    <w:rsid w:val="27CE7A10"/>
    <w:rsid w:val="27D05536"/>
    <w:rsid w:val="27D17500"/>
    <w:rsid w:val="27D54340"/>
    <w:rsid w:val="27D72C7E"/>
    <w:rsid w:val="27D93B8C"/>
    <w:rsid w:val="27E22160"/>
    <w:rsid w:val="27E40FE2"/>
    <w:rsid w:val="27E62DC5"/>
    <w:rsid w:val="27F73FD0"/>
    <w:rsid w:val="27F76F67"/>
    <w:rsid w:val="27FB1B6D"/>
    <w:rsid w:val="28010E6E"/>
    <w:rsid w:val="28013942"/>
    <w:rsid w:val="280276BA"/>
    <w:rsid w:val="2813740A"/>
    <w:rsid w:val="28153BA8"/>
    <w:rsid w:val="2816770B"/>
    <w:rsid w:val="281F2694"/>
    <w:rsid w:val="28243AD4"/>
    <w:rsid w:val="2826333B"/>
    <w:rsid w:val="28321D4D"/>
    <w:rsid w:val="283465FC"/>
    <w:rsid w:val="283A6E54"/>
    <w:rsid w:val="283B15B8"/>
    <w:rsid w:val="283F6D27"/>
    <w:rsid w:val="28441A80"/>
    <w:rsid w:val="284846EE"/>
    <w:rsid w:val="284B7A9C"/>
    <w:rsid w:val="284E28FF"/>
    <w:rsid w:val="28502FF3"/>
    <w:rsid w:val="2852407D"/>
    <w:rsid w:val="28595C3D"/>
    <w:rsid w:val="285D0E38"/>
    <w:rsid w:val="28602626"/>
    <w:rsid w:val="286F2FA1"/>
    <w:rsid w:val="287372AC"/>
    <w:rsid w:val="287A3D1B"/>
    <w:rsid w:val="288307FB"/>
    <w:rsid w:val="28836A4D"/>
    <w:rsid w:val="288527C5"/>
    <w:rsid w:val="28870B45"/>
    <w:rsid w:val="28887BBF"/>
    <w:rsid w:val="288D3427"/>
    <w:rsid w:val="288E0F4E"/>
    <w:rsid w:val="288E6351"/>
    <w:rsid w:val="28917B01"/>
    <w:rsid w:val="289F3D45"/>
    <w:rsid w:val="28A01E80"/>
    <w:rsid w:val="28A075FF"/>
    <w:rsid w:val="28A26E6A"/>
    <w:rsid w:val="28A32C4B"/>
    <w:rsid w:val="28A349F9"/>
    <w:rsid w:val="28A61A10"/>
    <w:rsid w:val="28A93669"/>
    <w:rsid w:val="28AB5335"/>
    <w:rsid w:val="28B05368"/>
    <w:rsid w:val="28B34765"/>
    <w:rsid w:val="28B371DE"/>
    <w:rsid w:val="28B51119"/>
    <w:rsid w:val="28C419ED"/>
    <w:rsid w:val="28CD48DC"/>
    <w:rsid w:val="28CD5F1A"/>
    <w:rsid w:val="28CE5D75"/>
    <w:rsid w:val="28D21782"/>
    <w:rsid w:val="28D70B46"/>
    <w:rsid w:val="28DC0CD7"/>
    <w:rsid w:val="28DC43AF"/>
    <w:rsid w:val="28DC615D"/>
    <w:rsid w:val="28DC63A1"/>
    <w:rsid w:val="28DF1B3C"/>
    <w:rsid w:val="28E25251"/>
    <w:rsid w:val="28E459AF"/>
    <w:rsid w:val="28E7613D"/>
    <w:rsid w:val="28E867E3"/>
    <w:rsid w:val="28EC1992"/>
    <w:rsid w:val="28EC2054"/>
    <w:rsid w:val="28F811E9"/>
    <w:rsid w:val="28FF2E59"/>
    <w:rsid w:val="29036AF9"/>
    <w:rsid w:val="29064F88"/>
    <w:rsid w:val="290756E2"/>
    <w:rsid w:val="290C4C94"/>
    <w:rsid w:val="2913702F"/>
    <w:rsid w:val="291819B2"/>
    <w:rsid w:val="291C47AB"/>
    <w:rsid w:val="291E4967"/>
    <w:rsid w:val="29202B3C"/>
    <w:rsid w:val="29266DFD"/>
    <w:rsid w:val="292C0F27"/>
    <w:rsid w:val="29333A61"/>
    <w:rsid w:val="293509E1"/>
    <w:rsid w:val="2936011C"/>
    <w:rsid w:val="2936285E"/>
    <w:rsid w:val="29364804"/>
    <w:rsid w:val="293660B8"/>
    <w:rsid w:val="29367C33"/>
    <w:rsid w:val="2939535D"/>
    <w:rsid w:val="293B5C80"/>
    <w:rsid w:val="2940049A"/>
    <w:rsid w:val="294308FB"/>
    <w:rsid w:val="294404E4"/>
    <w:rsid w:val="29451F54"/>
    <w:rsid w:val="29471ECC"/>
    <w:rsid w:val="29477B12"/>
    <w:rsid w:val="294C32E2"/>
    <w:rsid w:val="29534671"/>
    <w:rsid w:val="29556BDE"/>
    <w:rsid w:val="295920A7"/>
    <w:rsid w:val="2965461E"/>
    <w:rsid w:val="296E2C8A"/>
    <w:rsid w:val="29705EF8"/>
    <w:rsid w:val="29736AC1"/>
    <w:rsid w:val="2974365F"/>
    <w:rsid w:val="297625C1"/>
    <w:rsid w:val="297840D8"/>
    <w:rsid w:val="2988226F"/>
    <w:rsid w:val="29886314"/>
    <w:rsid w:val="298962E5"/>
    <w:rsid w:val="298B7EA2"/>
    <w:rsid w:val="298E235A"/>
    <w:rsid w:val="29972DE5"/>
    <w:rsid w:val="299B2C5B"/>
    <w:rsid w:val="299E79F7"/>
    <w:rsid w:val="29A42BB7"/>
    <w:rsid w:val="29A81B73"/>
    <w:rsid w:val="29AF418C"/>
    <w:rsid w:val="29B3074A"/>
    <w:rsid w:val="29B844D4"/>
    <w:rsid w:val="29BD1AEA"/>
    <w:rsid w:val="29C125C6"/>
    <w:rsid w:val="29C44DC9"/>
    <w:rsid w:val="29C55F90"/>
    <w:rsid w:val="29C953ED"/>
    <w:rsid w:val="29CA4207"/>
    <w:rsid w:val="29D11A3A"/>
    <w:rsid w:val="29D37E00"/>
    <w:rsid w:val="29D52EA1"/>
    <w:rsid w:val="29D67532"/>
    <w:rsid w:val="29DA391B"/>
    <w:rsid w:val="29EC2A70"/>
    <w:rsid w:val="29ED6EA3"/>
    <w:rsid w:val="29EF3C6E"/>
    <w:rsid w:val="29EF720B"/>
    <w:rsid w:val="29F37C02"/>
    <w:rsid w:val="29F5166B"/>
    <w:rsid w:val="29F64E87"/>
    <w:rsid w:val="29F86FC6"/>
    <w:rsid w:val="2A044B83"/>
    <w:rsid w:val="2A053617"/>
    <w:rsid w:val="2A0616E3"/>
    <w:rsid w:val="2A162274"/>
    <w:rsid w:val="2A17011B"/>
    <w:rsid w:val="2A1A0D77"/>
    <w:rsid w:val="2A1D28D2"/>
    <w:rsid w:val="2A241B69"/>
    <w:rsid w:val="2A30677B"/>
    <w:rsid w:val="2A332124"/>
    <w:rsid w:val="2A36061B"/>
    <w:rsid w:val="2A3B6454"/>
    <w:rsid w:val="2A4057BC"/>
    <w:rsid w:val="2A4144C9"/>
    <w:rsid w:val="2A44045E"/>
    <w:rsid w:val="2A455983"/>
    <w:rsid w:val="2A461F39"/>
    <w:rsid w:val="2A471040"/>
    <w:rsid w:val="2A475858"/>
    <w:rsid w:val="2A525022"/>
    <w:rsid w:val="2A557F75"/>
    <w:rsid w:val="2A5744A5"/>
    <w:rsid w:val="2A585CB7"/>
    <w:rsid w:val="2A587A65"/>
    <w:rsid w:val="2A5C7555"/>
    <w:rsid w:val="2A5F2BA2"/>
    <w:rsid w:val="2A630895"/>
    <w:rsid w:val="2A636B36"/>
    <w:rsid w:val="2A6E38B1"/>
    <w:rsid w:val="2A6F54DA"/>
    <w:rsid w:val="2A7256E2"/>
    <w:rsid w:val="2A75061E"/>
    <w:rsid w:val="2A7A5535"/>
    <w:rsid w:val="2A7E0DB7"/>
    <w:rsid w:val="2A814309"/>
    <w:rsid w:val="2A842608"/>
    <w:rsid w:val="2A8E4228"/>
    <w:rsid w:val="2A8F792B"/>
    <w:rsid w:val="2A9156A2"/>
    <w:rsid w:val="2A946CEF"/>
    <w:rsid w:val="2A9C7CB2"/>
    <w:rsid w:val="2A9E2A29"/>
    <w:rsid w:val="2AA2389E"/>
    <w:rsid w:val="2AA86A31"/>
    <w:rsid w:val="2AA95B0D"/>
    <w:rsid w:val="2AAA4765"/>
    <w:rsid w:val="2AAE75ED"/>
    <w:rsid w:val="2AAF0501"/>
    <w:rsid w:val="2AB23619"/>
    <w:rsid w:val="2AB3778D"/>
    <w:rsid w:val="2AB56C65"/>
    <w:rsid w:val="2AB71C7C"/>
    <w:rsid w:val="2AB74D6A"/>
    <w:rsid w:val="2ABC1C45"/>
    <w:rsid w:val="2ABC7FF4"/>
    <w:rsid w:val="2ABE0D53"/>
    <w:rsid w:val="2ABE5B1A"/>
    <w:rsid w:val="2AC82E3D"/>
    <w:rsid w:val="2ACA0963"/>
    <w:rsid w:val="2ACB4E14"/>
    <w:rsid w:val="2AD0280E"/>
    <w:rsid w:val="2AD03ADC"/>
    <w:rsid w:val="2AD46A97"/>
    <w:rsid w:val="2AD74E2E"/>
    <w:rsid w:val="2AD846FB"/>
    <w:rsid w:val="2AE4343F"/>
    <w:rsid w:val="2AE827B7"/>
    <w:rsid w:val="2AEA2DB3"/>
    <w:rsid w:val="2AEB08D9"/>
    <w:rsid w:val="2AEB7A5A"/>
    <w:rsid w:val="2AEC2D31"/>
    <w:rsid w:val="2AED040D"/>
    <w:rsid w:val="2AF427A6"/>
    <w:rsid w:val="2AFB11FF"/>
    <w:rsid w:val="2AFD2FCD"/>
    <w:rsid w:val="2AFD6911"/>
    <w:rsid w:val="2B0505E8"/>
    <w:rsid w:val="2B055C91"/>
    <w:rsid w:val="2B0569D4"/>
    <w:rsid w:val="2B096F5D"/>
    <w:rsid w:val="2B1147AF"/>
    <w:rsid w:val="2B1A49E9"/>
    <w:rsid w:val="2B214128"/>
    <w:rsid w:val="2B231C82"/>
    <w:rsid w:val="2B236F8D"/>
    <w:rsid w:val="2B2C346A"/>
    <w:rsid w:val="2B2C517A"/>
    <w:rsid w:val="2B2F3622"/>
    <w:rsid w:val="2B345DDC"/>
    <w:rsid w:val="2B394922"/>
    <w:rsid w:val="2B3C7337"/>
    <w:rsid w:val="2B3D77D9"/>
    <w:rsid w:val="2B4337D7"/>
    <w:rsid w:val="2B4412F0"/>
    <w:rsid w:val="2B447DA4"/>
    <w:rsid w:val="2B4524B9"/>
    <w:rsid w:val="2B4C0326"/>
    <w:rsid w:val="2B4C1378"/>
    <w:rsid w:val="2B4C67B9"/>
    <w:rsid w:val="2B5105AA"/>
    <w:rsid w:val="2B6B0F88"/>
    <w:rsid w:val="2B6C1A1A"/>
    <w:rsid w:val="2B6F13D9"/>
    <w:rsid w:val="2B767B31"/>
    <w:rsid w:val="2B7E06E4"/>
    <w:rsid w:val="2B8127DA"/>
    <w:rsid w:val="2B82123D"/>
    <w:rsid w:val="2B894840"/>
    <w:rsid w:val="2B8B0A09"/>
    <w:rsid w:val="2B934E62"/>
    <w:rsid w:val="2B9811A5"/>
    <w:rsid w:val="2B99051D"/>
    <w:rsid w:val="2B9A4139"/>
    <w:rsid w:val="2B9B0122"/>
    <w:rsid w:val="2BA07916"/>
    <w:rsid w:val="2BAA3A81"/>
    <w:rsid w:val="2BAB5239"/>
    <w:rsid w:val="2BB25E9E"/>
    <w:rsid w:val="2BB509FA"/>
    <w:rsid w:val="2BC03B14"/>
    <w:rsid w:val="2BC20C95"/>
    <w:rsid w:val="2BC2788C"/>
    <w:rsid w:val="2BC367BD"/>
    <w:rsid w:val="2BC86BA6"/>
    <w:rsid w:val="2BD33847"/>
    <w:rsid w:val="2BD7170C"/>
    <w:rsid w:val="2BDD2C83"/>
    <w:rsid w:val="2BE07D12"/>
    <w:rsid w:val="2BE21ACF"/>
    <w:rsid w:val="2BE23A8A"/>
    <w:rsid w:val="2BE27F2E"/>
    <w:rsid w:val="2BE7414C"/>
    <w:rsid w:val="2BEA21FF"/>
    <w:rsid w:val="2BEB6DE3"/>
    <w:rsid w:val="2BF41F57"/>
    <w:rsid w:val="2BF63C6E"/>
    <w:rsid w:val="2BF832AE"/>
    <w:rsid w:val="2BFC4078"/>
    <w:rsid w:val="2C091B6A"/>
    <w:rsid w:val="2C130A67"/>
    <w:rsid w:val="2C157CCB"/>
    <w:rsid w:val="2C195BCB"/>
    <w:rsid w:val="2C1A6EDD"/>
    <w:rsid w:val="2C205225"/>
    <w:rsid w:val="2C2A1782"/>
    <w:rsid w:val="2C2A71DF"/>
    <w:rsid w:val="2C2C2F57"/>
    <w:rsid w:val="2C2E3173"/>
    <w:rsid w:val="2C2F7ED1"/>
    <w:rsid w:val="2C3F2372"/>
    <w:rsid w:val="2C4165DB"/>
    <w:rsid w:val="2C4606A6"/>
    <w:rsid w:val="2C465891"/>
    <w:rsid w:val="2C4A75F1"/>
    <w:rsid w:val="2C530B03"/>
    <w:rsid w:val="2C5C5F6C"/>
    <w:rsid w:val="2C683723"/>
    <w:rsid w:val="2C690D43"/>
    <w:rsid w:val="2C6D10DD"/>
    <w:rsid w:val="2C6E6369"/>
    <w:rsid w:val="2C7B7785"/>
    <w:rsid w:val="2C7D1C3D"/>
    <w:rsid w:val="2C7D37B3"/>
    <w:rsid w:val="2C7F39CF"/>
    <w:rsid w:val="2C850B5B"/>
    <w:rsid w:val="2C862B93"/>
    <w:rsid w:val="2C93056A"/>
    <w:rsid w:val="2C943775"/>
    <w:rsid w:val="2C9D76F3"/>
    <w:rsid w:val="2C9F197B"/>
    <w:rsid w:val="2CA17F6B"/>
    <w:rsid w:val="2CA3146B"/>
    <w:rsid w:val="2CA60F5C"/>
    <w:rsid w:val="2CA90EA9"/>
    <w:rsid w:val="2CA945A8"/>
    <w:rsid w:val="2CAA0D3B"/>
    <w:rsid w:val="2CAB3A0B"/>
    <w:rsid w:val="2CB34A44"/>
    <w:rsid w:val="2CC664C0"/>
    <w:rsid w:val="2CC95977"/>
    <w:rsid w:val="2CCA2E9C"/>
    <w:rsid w:val="2CD074C7"/>
    <w:rsid w:val="2CD31625"/>
    <w:rsid w:val="2CD365FA"/>
    <w:rsid w:val="2CD403F4"/>
    <w:rsid w:val="2CDC2BCF"/>
    <w:rsid w:val="2CE101E6"/>
    <w:rsid w:val="2CE61358"/>
    <w:rsid w:val="2CF13ABB"/>
    <w:rsid w:val="2CF73565"/>
    <w:rsid w:val="2CFF6992"/>
    <w:rsid w:val="2D0048C2"/>
    <w:rsid w:val="2D0143E4"/>
    <w:rsid w:val="2D09620F"/>
    <w:rsid w:val="2D145EC5"/>
    <w:rsid w:val="2D1E6D44"/>
    <w:rsid w:val="2D22444F"/>
    <w:rsid w:val="2D236108"/>
    <w:rsid w:val="2D301C53"/>
    <w:rsid w:val="2D3227EF"/>
    <w:rsid w:val="2D345082"/>
    <w:rsid w:val="2D3504E4"/>
    <w:rsid w:val="2D3C7BF5"/>
    <w:rsid w:val="2D3E718F"/>
    <w:rsid w:val="2D410C84"/>
    <w:rsid w:val="2D460357"/>
    <w:rsid w:val="2D4B5EC6"/>
    <w:rsid w:val="2D4F6EFD"/>
    <w:rsid w:val="2D512C74"/>
    <w:rsid w:val="2D55022E"/>
    <w:rsid w:val="2D565526"/>
    <w:rsid w:val="2D621713"/>
    <w:rsid w:val="2D6230D5"/>
    <w:rsid w:val="2D67693D"/>
    <w:rsid w:val="2D6B4608"/>
    <w:rsid w:val="2D6C3F53"/>
    <w:rsid w:val="2D6C68B0"/>
    <w:rsid w:val="2D706F08"/>
    <w:rsid w:val="2D74105A"/>
    <w:rsid w:val="2D79220C"/>
    <w:rsid w:val="2D7B23E8"/>
    <w:rsid w:val="2D7B6664"/>
    <w:rsid w:val="2D7E5A35"/>
    <w:rsid w:val="2D7F18FB"/>
    <w:rsid w:val="2D850C13"/>
    <w:rsid w:val="2D8F19F0"/>
    <w:rsid w:val="2D915768"/>
    <w:rsid w:val="2D9614E5"/>
    <w:rsid w:val="2DA30E75"/>
    <w:rsid w:val="2DAA682A"/>
    <w:rsid w:val="2DB07C21"/>
    <w:rsid w:val="2DB17BB8"/>
    <w:rsid w:val="2DB476A8"/>
    <w:rsid w:val="2DBF0527"/>
    <w:rsid w:val="2DC342DF"/>
    <w:rsid w:val="2DC37DB6"/>
    <w:rsid w:val="2DC72F38"/>
    <w:rsid w:val="2DCE2518"/>
    <w:rsid w:val="2DD35D80"/>
    <w:rsid w:val="2DD56E31"/>
    <w:rsid w:val="2DD62CD3"/>
    <w:rsid w:val="2DDC3596"/>
    <w:rsid w:val="2DE24215"/>
    <w:rsid w:val="2DE27D71"/>
    <w:rsid w:val="2DE75388"/>
    <w:rsid w:val="2DEA4E78"/>
    <w:rsid w:val="2DEB0963"/>
    <w:rsid w:val="2DF47706"/>
    <w:rsid w:val="2DF6291A"/>
    <w:rsid w:val="2DF645AA"/>
    <w:rsid w:val="2DF71131"/>
    <w:rsid w:val="2DFA44F6"/>
    <w:rsid w:val="2DFB2564"/>
    <w:rsid w:val="2DFB3595"/>
    <w:rsid w:val="2DFE1282"/>
    <w:rsid w:val="2E045F3A"/>
    <w:rsid w:val="2E093550"/>
    <w:rsid w:val="2E0A0E72"/>
    <w:rsid w:val="2E0B367B"/>
    <w:rsid w:val="2E0D588C"/>
    <w:rsid w:val="2E0E1C23"/>
    <w:rsid w:val="2E105B20"/>
    <w:rsid w:val="2E165C6D"/>
    <w:rsid w:val="2E2471BB"/>
    <w:rsid w:val="2E264129"/>
    <w:rsid w:val="2E290AD3"/>
    <w:rsid w:val="2E2B5B4A"/>
    <w:rsid w:val="2E2C6F6C"/>
    <w:rsid w:val="2E305AAC"/>
    <w:rsid w:val="2E347185"/>
    <w:rsid w:val="2E383E35"/>
    <w:rsid w:val="2E386CA9"/>
    <w:rsid w:val="2E394DF0"/>
    <w:rsid w:val="2E3B3FB2"/>
    <w:rsid w:val="2E3B56D4"/>
    <w:rsid w:val="2E3C1B78"/>
    <w:rsid w:val="2E3D5B09"/>
    <w:rsid w:val="2E443652"/>
    <w:rsid w:val="2E4440FA"/>
    <w:rsid w:val="2E466E55"/>
    <w:rsid w:val="2E467F4D"/>
    <w:rsid w:val="2E496043"/>
    <w:rsid w:val="2E4B1A14"/>
    <w:rsid w:val="2E4C78E1"/>
    <w:rsid w:val="2E550337"/>
    <w:rsid w:val="2E5B49AA"/>
    <w:rsid w:val="2E5B7B24"/>
    <w:rsid w:val="2E5D3835"/>
    <w:rsid w:val="2E5F6D7F"/>
    <w:rsid w:val="2E6A6D34"/>
    <w:rsid w:val="2E6E3CD3"/>
    <w:rsid w:val="2E714FF0"/>
    <w:rsid w:val="2E721038"/>
    <w:rsid w:val="2E756867"/>
    <w:rsid w:val="2E771ECF"/>
    <w:rsid w:val="2E78179B"/>
    <w:rsid w:val="2E7B47FD"/>
    <w:rsid w:val="2E81398F"/>
    <w:rsid w:val="2E8351EC"/>
    <w:rsid w:val="2E845D8D"/>
    <w:rsid w:val="2E876B6B"/>
    <w:rsid w:val="2E89643F"/>
    <w:rsid w:val="2E8B77F8"/>
    <w:rsid w:val="2E913546"/>
    <w:rsid w:val="2EA270A8"/>
    <w:rsid w:val="2EA72B14"/>
    <w:rsid w:val="2EB07E70"/>
    <w:rsid w:val="2EBA6F40"/>
    <w:rsid w:val="2EBC4A48"/>
    <w:rsid w:val="2EBC4A66"/>
    <w:rsid w:val="2EC42A27"/>
    <w:rsid w:val="2ECB2EFB"/>
    <w:rsid w:val="2ED0406E"/>
    <w:rsid w:val="2ED1509A"/>
    <w:rsid w:val="2ED84215"/>
    <w:rsid w:val="2EDC5D99"/>
    <w:rsid w:val="2EDC6090"/>
    <w:rsid w:val="2EEE30AE"/>
    <w:rsid w:val="2EF04710"/>
    <w:rsid w:val="2EF35FAE"/>
    <w:rsid w:val="2EFB3C57"/>
    <w:rsid w:val="2F001CF5"/>
    <w:rsid w:val="2F1228D8"/>
    <w:rsid w:val="2F1741A8"/>
    <w:rsid w:val="2F1C3757"/>
    <w:rsid w:val="2F1D66A7"/>
    <w:rsid w:val="2F292AD6"/>
    <w:rsid w:val="2F2D33F3"/>
    <w:rsid w:val="2F2E2A75"/>
    <w:rsid w:val="2F336F52"/>
    <w:rsid w:val="2F364819"/>
    <w:rsid w:val="2F420ECC"/>
    <w:rsid w:val="2F5208DD"/>
    <w:rsid w:val="2F5274DE"/>
    <w:rsid w:val="2F544C9F"/>
    <w:rsid w:val="2F554983"/>
    <w:rsid w:val="2F57653D"/>
    <w:rsid w:val="2F5F1A3A"/>
    <w:rsid w:val="2F624607"/>
    <w:rsid w:val="2F633134"/>
    <w:rsid w:val="2F634B60"/>
    <w:rsid w:val="2F6B14B4"/>
    <w:rsid w:val="2F6B3FCA"/>
    <w:rsid w:val="2F7F52D6"/>
    <w:rsid w:val="2F85469D"/>
    <w:rsid w:val="2F8C47A4"/>
    <w:rsid w:val="2F8F5CD7"/>
    <w:rsid w:val="2F9432ED"/>
    <w:rsid w:val="2F957310"/>
    <w:rsid w:val="2F983DE7"/>
    <w:rsid w:val="2F9A2187"/>
    <w:rsid w:val="2F9B24AD"/>
    <w:rsid w:val="2FA00D84"/>
    <w:rsid w:val="2FA21EAE"/>
    <w:rsid w:val="2FA31782"/>
    <w:rsid w:val="2FA54118"/>
    <w:rsid w:val="2FA774C5"/>
    <w:rsid w:val="2FB120F1"/>
    <w:rsid w:val="2FB2240D"/>
    <w:rsid w:val="2FB3428D"/>
    <w:rsid w:val="2FB514EA"/>
    <w:rsid w:val="2FB614B6"/>
    <w:rsid w:val="2FB74353"/>
    <w:rsid w:val="2FC03221"/>
    <w:rsid w:val="2FC53EDF"/>
    <w:rsid w:val="2FC736C3"/>
    <w:rsid w:val="2FCB3D59"/>
    <w:rsid w:val="2FD858D0"/>
    <w:rsid w:val="2FD94FB4"/>
    <w:rsid w:val="2FDF00FD"/>
    <w:rsid w:val="2FE33B96"/>
    <w:rsid w:val="2FE853E7"/>
    <w:rsid w:val="2FEC2471"/>
    <w:rsid w:val="2FEC7005"/>
    <w:rsid w:val="2FEE6EA1"/>
    <w:rsid w:val="2FF550BE"/>
    <w:rsid w:val="2FF81ACE"/>
    <w:rsid w:val="2FFC1E04"/>
    <w:rsid w:val="300245D4"/>
    <w:rsid w:val="30041918"/>
    <w:rsid w:val="30073ABF"/>
    <w:rsid w:val="300A6ACB"/>
    <w:rsid w:val="300B311F"/>
    <w:rsid w:val="300C7328"/>
    <w:rsid w:val="300C7F5A"/>
    <w:rsid w:val="30153408"/>
    <w:rsid w:val="301E14CD"/>
    <w:rsid w:val="302208F9"/>
    <w:rsid w:val="302C73AD"/>
    <w:rsid w:val="303040BA"/>
    <w:rsid w:val="3030640B"/>
    <w:rsid w:val="30336FAA"/>
    <w:rsid w:val="303E14AB"/>
    <w:rsid w:val="303F34A1"/>
    <w:rsid w:val="30403475"/>
    <w:rsid w:val="304077A8"/>
    <w:rsid w:val="30415FA8"/>
    <w:rsid w:val="304F64A3"/>
    <w:rsid w:val="3053221A"/>
    <w:rsid w:val="30542709"/>
    <w:rsid w:val="30592A57"/>
    <w:rsid w:val="305D5DD5"/>
    <w:rsid w:val="30611F29"/>
    <w:rsid w:val="306A7A51"/>
    <w:rsid w:val="306C7DC6"/>
    <w:rsid w:val="30755F31"/>
    <w:rsid w:val="307E33CA"/>
    <w:rsid w:val="30863717"/>
    <w:rsid w:val="308A3562"/>
    <w:rsid w:val="308A649E"/>
    <w:rsid w:val="308F0036"/>
    <w:rsid w:val="308F76FC"/>
    <w:rsid w:val="30915A7F"/>
    <w:rsid w:val="309335A5"/>
    <w:rsid w:val="30960BC7"/>
    <w:rsid w:val="30962A3A"/>
    <w:rsid w:val="309A2B85"/>
    <w:rsid w:val="309C1849"/>
    <w:rsid w:val="309C1CFD"/>
    <w:rsid w:val="309F3C87"/>
    <w:rsid w:val="30A57A84"/>
    <w:rsid w:val="30A669AF"/>
    <w:rsid w:val="30AD76CF"/>
    <w:rsid w:val="30AF32A8"/>
    <w:rsid w:val="30B31A42"/>
    <w:rsid w:val="30B658D9"/>
    <w:rsid w:val="30BD4AC6"/>
    <w:rsid w:val="30C4724F"/>
    <w:rsid w:val="30C51E5F"/>
    <w:rsid w:val="30CD4A53"/>
    <w:rsid w:val="30D368B2"/>
    <w:rsid w:val="30DA7426"/>
    <w:rsid w:val="30DC13F0"/>
    <w:rsid w:val="30DF6748"/>
    <w:rsid w:val="30E04A35"/>
    <w:rsid w:val="30E47124"/>
    <w:rsid w:val="30E66351"/>
    <w:rsid w:val="30FC02B1"/>
    <w:rsid w:val="31033685"/>
    <w:rsid w:val="31051F97"/>
    <w:rsid w:val="3106021B"/>
    <w:rsid w:val="310622B4"/>
    <w:rsid w:val="31102EB5"/>
    <w:rsid w:val="3113692F"/>
    <w:rsid w:val="3116505B"/>
    <w:rsid w:val="31191B3A"/>
    <w:rsid w:val="311B4D08"/>
    <w:rsid w:val="311E015E"/>
    <w:rsid w:val="31204B7A"/>
    <w:rsid w:val="31224382"/>
    <w:rsid w:val="3127511D"/>
    <w:rsid w:val="31296EF4"/>
    <w:rsid w:val="312A215B"/>
    <w:rsid w:val="312C3E61"/>
    <w:rsid w:val="312F5502"/>
    <w:rsid w:val="313528AE"/>
    <w:rsid w:val="31395838"/>
    <w:rsid w:val="313B7A98"/>
    <w:rsid w:val="313D4197"/>
    <w:rsid w:val="313F0398"/>
    <w:rsid w:val="31403146"/>
    <w:rsid w:val="31456F95"/>
    <w:rsid w:val="31481D1A"/>
    <w:rsid w:val="314D23C6"/>
    <w:rsid w:val="314F167D"/>
    <w:rsid w:val="31511503"/>
    <w:rsid w:val="315B183A"/>
    <w:rsid w:val="31605B7D"/>
    <w:rsid w:val="3168719E"/>
    <w:rsid w:val="3170301A"/>
    <w:rsid w:val="317537A3"/>
    <w:rsid w:val="31807671"/>
    <w:rsid w:val="31837ABD"/>
    <w:rsid w:val="31897C87"/>
    <w:rsid w:val="318A3307"/>
    <w:rsid w:val="318C4BC4"/>
    <w:rsid w:val="318C4FEE"/>
    <w:rsid w:val="318D0E47"/>
    <w:rsid w:val="319941E5"/>
    <w:rsid w:val="319C42F4"/>
    <w:rsid w:val="319E0453"/>
    <w:rsid w:val="31A33AA5"/>
    <w:rsid w:val="31AA329C"/>
    <w:rsid w:val="31B71515"/>
    <w:rsid w:val="31B732C3"/>
    <w:rsid w:val="31BB1005"/>
    <w:rsid w:val="31BB404B"/>
    <w:rsid w:val="31C10F78"/>
    <w:rsid w:val="31C3492A"/>
    <w:rsid w:val="31C775FC"/>
    <w:rsid w:val="31CB130E"/>
    <w:rsid w:val="31CD2AE7"/>
    <w:rsid w:val="31D27041"/>
    <w:rsid w:val="31E813D9"/>
    <w:rsid w:val="31E81D49"/>
    <w:rsid w:val="31E81FDD"/>
    <w:rsid w:val="31E85B72"/>
    <w:rsid w:val="31E915EF"/>
    <w:rsid w:val="31EA5447"/>
    <w:rsid w:val="320D7387"/>
    <w:rsid w:val="32110C25"/>
    <w:rsid w:val="32125444"/>
    <w:rsid w:val="32145659"/>
    <w:rsid w:val="321C36F7"/>
    <w:rsid w:val="322841C1"/>
    <w:rsid w:val="322973B9"/>
    <w:rsid w:val="323047F2"/>
    <w:rsid w:val="323B1599"/>
    <w:rsid w:val="32413236"/>
    <w:rsid w:val="32425283"/>
    <w:rsid w:val="3245531A"/>
    <w:rsid w:val="32476D3D"/>
    <w:rsid w:val="324A70A0"/>
    <w:rsid w:val="324E1E79"/>
    <w:rsid w:val="324E3C27"/>
    <w:rsid w:val="325925CC"/>
    <w:rsid w:val="325C5B44"/>
    <w:rsid w:val="325E6A59"/>
    <w:rsid w:val="3260465F"/>
    <w:rsid w:val="3262321D"/>
    <w:rsid w:val="32630425"/>
    <w:rsid w:val="326351F9"/>
    <w:rsid w:val="327000DD"/>
    <w:rsid w:val="32713DBA"/>
    <w:rsid w:val="327633E6"/>
    <w:rsid w:val="32775B8E"/>
    <w:rsid w:val="327A2E00"/>
    <w:rsid w:val="327B0409"/>
    <w:rsid w:val="327C1AAC"/>
    <w:rsid w:val="327D1486"/>
    <w:rsid w:val="327D4380"/>
    <w:rsid w:val="327F0291"/>
    <w:rsid w:val="32827D75"/>
    <w:rsid w:val="328525BE"/>
    <w:rsid w:val="32892EB1"/>
    <w:rsid w:val="328D7DF8"/>
    <w:rsid w:val="329117A8"/>
    <w:rsid w:val="32951856"/>
    <w:rsid w:val="329B0E37"/>
    <w:rsid w:val="329C2DB1"/>
    <w:rsid w:val="329E5689"/>
    <w:rsid w:val="32A221C5"/>
    <w:rsid w:val="32A777DC"/>
    <w:rsid w:val="32A95E46"/>
    <w:rsid w:val="32AE29B7"/>
    <w:rsid w:val="32AF6351"/>
    <w:rsid w:val="32B31CDC"/>
    <w:rsid w:val="32B607F4"/>
    <w:rsid w:val="32B75C71"/>
    <w:rsid w:val="32B85545"/>
    <w:rsid w:val="32BA169C"/>
    <w:rsid w:val="32BB6DE3"/>
    <w:rsid w:val="32BF0681"/>
    <w:rsid w:val="32C152E3"/>
    <w:rsid w:val="32C46A27"/>
    <w:rsid w:val="32CB52DE"/>
    <w:rsid w:val="32CB5D6A"/>
    <w:rsid w:val="32D407F6"/>
    <w:rsid w:val="32D44733"/>
    <w:rsid w:val="32E058B5"/>
    <w:rsid w:val="32E25501"/>
    <w:rsid w:val="32E4458C"/>
    <w:rsid w:val="32E46AFE"/>
    <w:rsid w:val="32E53E60"/>
    <w:rsid w:val="32E949E4"/>
    <w:rsid w:val="32EB2B82"/>
    <w:rsid w:val="32EB75B7"/>
    <w:rsid w:val="32F56CDA"/>
    <w:rsid w:val="32FA6771"/>
    <w:rsid w:val="32FB4CA3"/>
    <w:rsid w:val="32FC7B27"/>
    <w:rsid w:val="33006AE4"/>
    <w:rsid w:val="33010C9A"/>
    <w:rsid w:val="3301513E"/>
    <w:rsid w:val="3305345A"/>
    <w:rsid w:val="33136C64"/>
    <w:rsid w:val="33137104"/>
    <w:rsid w:val="331570A6"/>
    <w:rsid w:val="33163F6E"/>
    <w:rsid w:val="331C1697"/>
    <w:rsid w:val="331F55C4"/>
    <w:rsid w:val="3323296D"/>
    <w:rsid w:val="33233306"/>
    <w:rsid w:val="33235945"/>
    <w:rsid w:val="33243E3B"/>
    <w:rsid w:val="332826CA"/>
    <w:rsid w:val="3337126B"/>
    <w:rsid w:val="33377934"/>
    <w:rsid w:val="333838E6"/>
    <w:rsid w:val="333932EE"/>
    <w:rsid w:val="333F5980"/>
    <w:rsid w:val="334119DE"/>
    <w:rsid w:val="33413FA2"/>
    <w:rsid w:val="33482561"/>
    <w:rsid w:val="334F350D"/>
    <w:rsid w:val="335079DD"/>
    <w:rsid w:val="33541711"/>
    <w:rsid w:val="33547B5C"/>
    <w:rsid w:val="335A484E"/>
    <w:rsid w:val="335B7892"/>
    <w:rsid w:val="335C05C6"/>
    <w:rsid w:val="335D1D52"/>
    <w:rsid w:val="335E60EC"/>
    <w:rsid w:val="335F3C12"/>
    <w:rsid w:val="33645A78"/>
    <w:rsid w:val="336631F3"/>
    <w:rsid w:val="33671DD9"/>
    <w:rsid w:val="336A5068"/>
    <w:rsid w:val="336B42CA"/>
    <w:rsid w:val="336C62F1"/>
    <w:rsid w:val="337247CB"/>
    <w:rsid w:val="33822C8E"/>
    <w:rsid w:val="33826964"/>
    <w:rsid w:val="33883169"/>
    <w:rsid w:val="33896EE1"/>
    <w:rsid w:val="338B0EAB"/>
    <w:rsid w:val="3392223A"/>
    <w:rsid w:val="33925D96"/>
    <w:rsid w:val="339621EC"/>
    <w:rsid w:val="3396664E"/>
    <w:rsid w:val="339C50F4"/>
    <w:rsid w:val="339E200A"/>
    <w:rsid w:val="33A361F5"/>
    <w:rsid w:val="33A53D1B"/>
    <w:rsid w:val="33A87367"/>
    <w:rsid w:val="33AA6517"/>
    <w:rsid w:val="33B16E37"/>
    <w:rsid w:val="33B544EE"/>
    <w:rsid w:val="33B73809"/>
    <w:rsid w:val="33BA14A1"/>
    <w:rsid w:val="33BB353F"/>
    <w:rsid w:val="33C06DA7"/>
    <w:rsid w:val="33C63297"/>
    <w:rsid w:val="33D83AC3"/>
    <w:rsid w:val="33D8534E"/>
    <w:rsid w:val="33DC5263"/>
    <w:rsid w:val="33DD61FA"/>
    <w:rsid w:val="33E02FA5"/>
    <w:rsid w:val="33E067DE"/>
    <w:rsid w:val="33E3095F"/>
    <w:rsid w:val="33F0595F"/>
    <w:rsid w:val="33F627C9"/>
    <w:rsid w:val="33FA2701"/>
    <w:rsid w:val="3402116D"/>
    <w:rsid w:val="340C4B73"/>
    <w:rsid w:val="340E4853"/>
    <w:rsid w:val="341449FD"/>
    <w:rsid w:val="341744ED"/>
    <w:rsid w:val="34180991"/>
    <w:rsid w:val="341811A7"/>
    <w:rsid w:val="341B222F"/>
    <w:rsid w:val="341F1AE9"/>
    <w:rsid w:val="34401C96"/>
    <w:rsid w:val="344175CA"/>
    <w:rsid w:val="344562EF"/>
    <w:rsid w:val="34476E5F"/>
    <w:rsid w:val="344A2B14"/>
    <w:rsid w:val="344A76BE"/>
    <w:rsid w:val="344B5550"/>
    <w:rsid w:val="344C0F8F"/>
    <w:rsid w:val="345319C9"/>
    <w:rsid w:val="345E211C"/>
    <w:rsid w:val="34607C42"/>
    <w:rsid w:val="34637042"/>
    <w:rsid w:val="34637732"/>
    <w:rsid w:val="346A6D13"/>
    <w:rsid w:val="346F60D7"/>
    <w:rsid w:val="347250E2"/>
    <w:rsid w:val="34727D93"/>
    <w:rsid w:val="347405A6"/>
    <w:rsid w:val="347656B7"/>
    <w:rsid w:val="34776DDC"/>
    <w:rsid w:val="347859F6"/>
    <w:rsid w:val="347B4703"/>
    <w:rsid w:val="3489240A"/>
    <w:rsid w:val="348C6C89"/>
    <w:rsid w:val="34907CB9"/>
    <w:rsid w:val="349230C0"/>
    <w:rsid w:val="34937D22"/>
    <w:rsid w:val="349648C1"/>
    <w:rsid w:val="34A46DF0"/>
    <w:rsid w:val="34A73490"/>
    <w:rsid w:val="34B32468"/>
    <w:rsid w:val="34B33654"/>
    <w:rsid w:val="34B561E0"/>
    <w:rsid w:val="34B61F58"/>
    <w:rsid w:val="34BA1A48"/>
    <w:rsid w:val="34BC0731"/>
    <w:rsid w:val="34C603ED"/>
    <w:rsid w:val="34D67F04"/>
    <w:rsid w:val="34DE68FD"/>
    <w:rsid w:val="34E05451"/>
    <w:rsid w:val="34E1126E"/>
    <w:rsid w:val="34E70027"/>
    <w:rsid w:val="34EC5530"/>
    <w:rsid w:val="34F11D24"/>
    <w:rsid w:val="34F65359"/>
    <w:rsid w:val="34F765D1"/>
    <w:rsid w:val="34FC771E"/>
    <w:rsid w:val="35004F81"/>
    <w:rsid w:val="35030C9C"/>
    <w:rsid w:val="350A54BC"/>
    <w:rsid w:val="350B4102"/>
    <w:rsid w:val="351526BB"/>
    <w:rsid w:val="35193EE6"/>
    <w:rsid w:val="351F381C"/>
    <w:rsid w:val="35215623"/>
    <w:rsid w:val="352B0BA5"/>
    <w:rsid w:val="352E1AEE"/>
    <w:rsid w:val="35325307"/>
    <w:rsid w:val="353401A7"/>
    <w:rsid w:val="35366BF5"/>
    <w:rsid w:val="3546508A"/>
    <w:rsid w:val="35477AB4"/>
    <w:rsid w:val="35501674"/>
    <w:rsid w:val="35507CB7"/>
    <w:rsid w:val="35511409"/>
    <w:rsid w:val="355A2725"/>
    <w:rsid w:val="355C38B2"/>
    <w:rsid w:val="35600313"/>
    <w:rsid w:val="35611EC4"/>
    <w:rsid w:val="3564191C"/>
    <w:rsid w:val="35691900"/>
    <w:rsid w:val="35693150"/>
    <w:rsid w:val="356C3E41"/>
    <w:rsid w:val="358A2C38"/>
    <w:rsid w:val="358A6B3D"/>
    <w:rsid w:val="359410FB"/>
    <w:rsid w:val="3594502F"/>
    <w:rsid w:val="35951B6D"/>
    <w:rsid w:val="359936F9"/>
    <w:rsid w:val="359B6AF0"/>
    <w:rsid w:val="35A04444"/>
    <w:rsid w:val="35A26AC9"/>
    <w:rsid w:val="35A61FCC"/>
    <w:rsid w:val="35AD335B"/>
    <w:rsid w:val="35AE388E"/>
    <w:rsid w:val="35B144E6"/>
    <w:rsid w:val="35B145F1"/>
    <w:rsid w:val="35B40CDA"/>
    <w:rsid w:val="35B5220F"/>
    <w:rsid w:val="35B801E4"/>
    <w:rsid w:val="35C6441D"/>
    <w:rsid w:val="35C64805"/>
    <w:rsid w:val="35C661CB"/>
    <w:rsid w:val="35C72AEB"/>
    <w:rsid w:val="35C80395"/>
    <w:rsid w:val="35C907E6"/>
    <w:rsid w:val="35CA7062"/>
    <w:rsid w:val="35D629F5"/>
    <w:rsid w:val="35DD7102"/>
    <w:rsid w:val="35E301C2"/>
    <w:rsid w:val="35E44DA5"/>
    <w:rsid w:val="35E46651"/>
    <w:rsid w:val="35ED2ADA"/>
    <w:rsid w:val="35EF7C0B"/>
    <w:rsid w:val="35F1775D"/>
    <w:rsid w:val="35F745D6"/>
    <w:rsid w:val="35FF64D6"/>
    <w:rsid w:val="36012029"/>
    <w:rsid w:val="36030E7F"/>
    <w:rsid w:val="36034D29"/>
    <w:rsid w:val="36080591"/>
    <w:rsid w:val="360B4679"/>
    <w:rsid w:val="360E03C8"/>
    <w:rsid w:val="360F7B72"/>
    <w:rsid w:val="36103832"/>
    <w:rsid w:val="36212016"/>
    <w:rsid w:val="362574B4"/>
    <w:rsid w:val="362A1092"/>
    <w:rsid w:val="363065CC"/>
    <w:rsid w:val="36310308"/>
    <w:rsid w:val="363A6AE8"/>
    <w:rsid w:val="363B2715"/>
    <w:rsid w:val="363B6FD3"/>
    <w:rsid w:val="363F67ED"/>
    <w:rsid w:val="364017C4"/>
    <w:rsid w:val="36454B7C"/>
    <w:rsid w:val="364851FF"/>
    <w:rsid w:val="364A3462"/>
    <w:rsid w:val="364A6DFC"/>
    <w:rsid w:val="364B047F"/>
    <w:rsid w:val="364F1D5D"/>
    <w:rsid w:val="36566195"/>
    <w:rsid w:val="365B2DB7"/>
    <w:rsid w:val="3663682A"/>
    <w:rsid w:val="366854D4"/>
    <w:rsid w:val="366A5FFE"/>
    <w:rsid w:val="366C0EB3"/>
    <w:rsid w:val="367412F5"/>
    <w:rsid w:val="36773E6D"/>
    <w:rsid w:val="367B0D63"/>
    <w:rsid w:val="367B2524"/>
    <w:rsid w:val="368340BC"/>
    <w:rsid w:val="36873BAC"/>
    <w:rsid w:val="368816D2"/>
    <w:rsid w:val="368F480F"/>
    <w:rsid w:val="369728BB"/>
    <w:rsid w:val="36981141"/>
    <w:rsid w:val="369C67E3"/>
    <w:rsid w:val="369F303D"/>
    <w:rsid w:val="36A0015F"/>
    <w:rsid w:val="36A32CE4"/>
    <w:rsid w:val="36AF4C18"/>
    <w:rsid w:val="36B67168"/>
    <w:rsid w:val="36BB532C"/>
    <w:rsid w:val="36C045CF"/>
    <w:rsid w:val="36C276EE"/>
    <w:rsid w:val="36D05553"/>
    <w:rsid w:val="36D16B63"/>
    <w:rsid w:val="36D44917"/>
    <w:rsid w:val="36D55DA6"/>
    <w:rsid w:val="36D73904"/>
    <w:rsid w:val="36DD7475"/>
    <w:rsid w:val="36E40CBB"/>
    <w:rsid w:val="36E83154"/>
    <w:rsid w:val="36F313AE"/>
    <w:rsid w:val="36F75B91"/>
    <w:rsid w:val="36F909D9"/>
    <w:rsid w:val="36FA1B03"/>
    <w:rsid w:val="36FB0D72"/>
    <w:rsid w:val="36FF1E0F"/>
    <w:rsid w:val="37040D59"/>
    <w:rsid w:val="37042234"/>
    <w:rsid w:val="3706757D"/>
    <w:rsid w:val="37074CED"/>
    <w:rsid w:val="370B658B"/>
    <w:rsid w:val="370C6753"/>
    <w:rsid w:val="370E607B"/>
    <w:rsid w:val="37160A8C"/>
    <w:rsid w:val="37166D94"/>
    <w:rsid w:val="37171953"/>
    <w:rsid w:val="371901D5"/>
    <w:rsid w:val="371A2682"/>
    <w:rsid w:val="371D19AD"/>
    <w:rsid w:val="371E6DBC"/>
    <w:rsid w:val="37204D45"/>
    <w:rsid w:val="37233950"/>
    <w:rsid w:val="37266312"/>
    <w:rsid w:val="37270EEB"/>
    <w:rsid w:val="37294C63"/>
    <w:rsid w:val="372D28E8"/>
    <w:rsid w:val="372D5AED"/>
    <w:rsid w:val="372F1B4E"/>
    <w:rsid w:val="373068D7"/>
    <w:rsid w:val="373A29CC"/>
    <w:rsid w:val="373A34CC"/>
    <w:rsid w:val="373D426B"/>
    <w:rsid w:val="374D75EA"/>
    <w:rsid w:val="374F6A7B"/>
    <w:rsid w:val="37524C0D"/>
    <w:rsid w:val="37543CF6"/>
    <w:rsid w:val="37570FF9"/>
    <w:rsid w:val="375A0787"/>
    <w:rsid w:val="375A7F25"/>
    <w:rsid w:val="375E18BF"/>
    <w:rsid w:val="375E61BD"/>
    <w:rsid w:val="37641FD1"/>
    <w:rsid w:val="37643BBE"/>
    <w:rsid w:val="37661D06"/>
    <w:rsid w:val="3768578B"/>
    <w:rsid w:val="376964B5"/>
    <w:rsid w:val="376B491F"/>
    <w:rsid w:val="376F3AC5"/>
    <w:rsid w:val="3773498B"/>
    <w:rsid w:val="37763BE3"/>
    <w:rsid w:val="37774EBE"/>
    <w:rsid w:val="377C4B5B"/>
    <w:rsid w:val="37803AD5"/>
    <w:rsid w:val="3784609C"/>
    <w:rsid w:val="378A1598"/>
    <w:rsid w:val="378B0131"/>
    <w:rsid w:val="37A1236C"/>
    <w:rsid w:val="37A32D85"/>
    <w:rsid w:val="37AA3E45"/>
    <w:rsid w:val="37AB1B1C"/>
    <w:rsid w:val="37B00763"/>
    <w:rsid w:val="37B56863"/>
    <w:rsid w:val="37B87D95"/>
    <w:rsid w:val="37B92F56"/>
    <w:rsid w:val="37BA58BB"/>
    <w:rsid w:val="37BB3C4C"/>
    <w:rsid w:val="37BC1B29"/>
    <w:rsid w:val="37BD53AB"/>
    <w:rsid w:val="37C23FC1"/>
    <w:rsid w:val="37CA1A25"/>
    <w:rsid w:val="37CD7514"/>
    <w:rsid w:val="37CE0538"/>
    <w:rsid w:val="37D05D55"/>
    <w:rsid w:val="37D22A29"/>
    <w:rsid w:val="37D708F1"/>
    <w:rsid w:val="37D73BD3"/>
    <w:rsid w:val="37D921E5"/>
    <w:rsid w:val="37DA0A33"/>
    <w:rsid w:val="37E05635"/>
    <w:rsid w:val="37E50FF2"/>
    <w:rsid w:val="37E65F4A"/>
    <w:rsid w:val="37E87AEE"/>
    <w:rsid w:val="37E9458E"/>
    <w:rsid w:val="37EB3CC7"/>
    <w:rsid w:val="37ED3EE3"/>
    <w:rsid w:val="37EF41BB"/>
    <w:rsid w:val="3801529B"/>
    <w:rsid w:val="38015BB5"/>
    <w:rsid w:val="3806498A"/>
    <w:rsid w:val="380717E6"/>
    <w:rsid w:val="38075495"/>
    <w:rsid w:val="380D46D1"/>
    <w:rsid w:val="380F6292"/>
    <w:rsid w:val="3810089A"/>
    <w:rsid w:val="38127B00"/>
    <w:rsid w:val="381668B1"/>
    <w:rsid w:val="38175505"/>
    <w:rsid w:val="381C4D45"/>
    <w:rsid w:val="381E69F1"/>
    <w:rsid w:val="3820693B"/>
    <w:rsid w:val="38252244"/>
    <w:rsid w:val="38282361"/>
    <w:rsid w:val="38286919"/>
    <w:rsid w:val="382D2D34"/>
    <w:rsid w:val="38305B7D"/>
    <w:rsid w:val="383357D0"/>
    <w:rsid w:val="3833774F"/>
    <w:rsid w:val="383F2FDA"/>
    <w:rsid w:val="38402264"/>
    <w:rsid w:val="38415308"/>
    <w:rsid w:val="38424F5F"/>
    <w:rsid w:val="384B0C09"/>
    <w:rsid w:val="384C185B"/>
    <w:rsid w:val="385002E8"/>
    <w:rsid w:val="385775AE"/>
    <w:rsid w:val="38587EAA"/>
    <w:rsid w:val="385950D4"/>
    <w:rsid w:val="385C4A02"/>
    <w:rsid w:val="385E095A"/>
    <w:rsid w:val="386155FB"/>
    <w:rsid w:val="386E2A46"/>
    <w:rsid w:val="386F3594"/>
    <w:rsid w:val="38723B7E"/>
    <w:rsid w:val="3877291F"/>
    <w:rsid w:val="38783665"/>
    <w:rsid w:val="387C7114"/>
    <w:rsid w:val="38801341"/>
    <w:rsid w:val="3885731B"/>
    <w:rsid w:val="388A771C"/>
    <w:rsid w:val="388C36FB"/>
    <w:rsid w:val="388C5F7C"/>
    <w:rsid w:val="388F766F"/>
    <w:rsid w:val="389A62A8"/>
    <w:rsid w:val="389D283F"/>
    <w:rsid w:val="389D408C"/>
    <w:rsid w:val="38A91071"/>
    <w:rsid w:val="38AA4318"/>
    <w:rsid w:val="38AB63DF"/>
    <w:rsid w:val="38AC78FA"/>
    <w:rsid w:val="38B767CD"/>
    <w:rsid w:val="38B77CE5"/>
    <w:rsid w:val="38BF503B"/>
    <w:rsid w:val="38BF587F"/>
    <w:rsid w:val="38C118E6"/>
    <w:rsid w:val="38C730E7"/>
    <w:rsid w:val="38C74734"/>
    <w:rsid w:val="38CB2ECD"/>
    <w:rsid w:val="38CE5AC2"/>
    <w:rsid w:val="38D323DF"/>
    <w:rsid w:val="38D5321F"/>
    <w:rsid w:val="38DA3641"/>
    <w:rsid w:val="38EA7C7C"/>
    <w:rsid w:val="38F66DC7"/>
    <w:rsid w:val="38F90665"/>
    <w:rsid w:val="38FD0BB7"/>
    <w:rsid w:val="38FF18D3"/>
    <w:rsid w:val="39012A90"/>
    <w:rsid w:val="39012AE1"/>
    <w:rsid w:val="390747E5"/>
    <w:rsid w:val="390D455A"/>
    <w:rsid w:val="3914724D"/>
    <w:rsid w:val="3915547D"/>
    <w:rsid w:val="391852B3"/>
    <w:rsid w:val="39237490"/>
    <w:rsid w:val="39247B66"/>
    <w:rsid w:val="39292C5C"/>
    <w:rsid w:val="392B4A23"/>
    <w:rsid w:val="392D46F9"/>
    <w:rsid w:val="392F367E"/>
    <w:rsid w:val="3930278C"/>
    <w:rsid w:val="39307873"/>
    <w:rsid w:val="393873DF"/>
    <w:rsid w:val="393B1CEB"/>
    <w:rsid w:val="3942200C"/>
    <w:rsid w:val="39433768"/>
    <w:rsid w:val="394E6C03"/>
    <w:rsid w:val="395408FF"/>
    <w:rsid w:val="39545CE6"/>
    <w:rsid w:val="39561EE2"/>
    <w:rsid w:val="395737AE"/>
    <w:rsid w:val="39602492"/>
    <w:rsid w:val="396106E4"/>
    <w:rsid w:val="39644FCC"/>
    <w:rsid w:val="39650C7E"/>
    <w:rsid w:val="396B4798"/>
    <w:rsid w:val="39700927"/>
    <w:rsid w:val="39732D2C"/>
    <w:rsid w:val="39766ED4"/>
    <w:rsid w:val="39773E73"/>
    <w:rsid w:val="397C5AE7"/>
    <w:rsid w:val="398530AC"/>
    <w:rsid w:val="3985336A"/>
    <w:rsid w:val="3986639D"/>
    <w:rsid w:val="398D772B"/>
    <w:rsid w:val="398E5251"/>
    <w:rsid w:val="39954D08"/>
    <w:rsid w:val="39981C2C"/>
    <w:rsid w:val="399838AD"/>
    <w:rsid w:val="399847BE"/>
    <w:rsid w:val="39992257"/>
    <w:rsid w:val="399F15E3"/>
    <w:rsid w:val="39A16D33"/>
    <w:rsid w:val="39A90322"/>
    <w:rsid w:val="39AF57B3"/>
    <w:rsid w:val="39B01788"/>
    <w:rsid w:val="39C62C3D"/>
    <w:rsid w:val="39C753B0"/>
    <w:rsid w:val="39CA4040"/>
    <w:rsid w:val="39CA4A5C"/>
    <w:rsid w:val="39CA7899"/>
    <w:rsid w:val="39CB3DB0"/>
    <w:rsid w:val="39CD3A99"/>
    <w:rsid w:val="39CD7B28"/>
    <w:rsid w:val="39D4535A"/>
    <w:rsid w:val="39D54C2E"/>
    <w:rsid w:val="39DA580F"/>
    <w:rsid w:val="39DD7E28"/>
    <w:rsid w:val="39E518BB"/>
    <w:rsid w:val="39E75594"/>
    <w:rsid w:val="39E906DA"/>
    <w:rsid w:val="39EC6B1C"/>
    <w:rsid w:val="39ED11F8"/>
    <w:rsid w:val="39EE7A9E"/>
    <w:rsid w:val="39F11FAC"/>
    <w:rsid w:val="39F47EDF"/>
    <w:rsid w:val="39FC040D"/>
    <w:rsid w:val="39FD5F33"/>
    <w:rsid w:val="3A00614F"/>
    <w:rsid w:val="3A0079C8"/>
    <w:rsid w:val="3A012FE7"/>
    <w:rsid w:val="3A0177D1"/>
    <w:rsid w:val="3A03762F"/>
    <w:rsid w:val="3A045513"/>
    <w:rsid w:val="3A06128C"/>
    <w:rsid w:val="3A0D6176"/>
    <w:rsid w:val="3A0E3CC5"/>
    <w:rsid w:val="3A103950"/>
    <w:rsid w:val="3A11525B"/>
    <w:rsid w:val="3A1514CF"/>
    <w:rsid w:val="3A191357"/>
    <w:rsid w:val="3A1A027F"/>
    <w:rsid w:val="3A1C1146"/>
    <w:rsid w:val="3A1C285D"/>
    <w:rsid w:val="3A232212"/>
    <w:rsid w:val="3A271832"/>
    <w:rsid w:val="3A301420"/>
    <w:rsid w:val="3A323E2F"/>
    <w:rsid w:val="3A370447"/>
    <w:rsid w:val="3A44399D"/>
    <w:rsid w:val="3A46605E"/>
    <w:rsid w:val="3A5859FE"/>
    <w:rsid w:val="3A5E4C24"/>
    <w:rsid w:val="3A5E74A7"/>
    <w:rsid w:val="3A6164A0"/>
    <w:rsid w:val="3A61784F"/>
    <w:rsid w:val="3A6210CF"/>
    <w:rsid w:val="3A626E2C"/>
    <w:rsid w:val="3A6A7A6C"/>
    <w:rsid w:val="3A6C5593"/>
    <w:rsid w:val="3A6D30B9"/>
    <w:rsid w:val="3A6D506F"/>
    <w:rsid w:val="3A794874"/>
    <w:rsid w:val="3A7B5F3D"/>
    <w:rsid w:val="3A7E7074"/>
    <w:rsid w:val="3A7E7669"/>
    <w:rsid w:val="3A854E94"/>
    <w:rsid w:val="3A882C86"/>
    <w:rsid w:val="3A886DE5"/>
    <w:rsid w:val="3A926896"/>
    <w:rsid w:val="3A955CB3"/>
    <w:rsid w:val="3A973BC3"/>
    <w:rsid w:val="3A9C298F"/>
    <w:rsid w:val="3A9F2920"/>
    <w:rsid w:val="3AA20FB4"/>
    <w:rsid w:val="3AA36ADA"/>
    <w:rsid w:val="3AA85F85"/>
    <w:rsid w:val="3AAA7E69"/>
    <w:rsid w:val="3AAD0C90"/>
    <w:rsid w:val="3AAF0E1F"/>
    <w:rsid w:val="3AB44377"/>
    <w:rsid w:val="3AB763AE"/>
    <w:rsid w:val="3ABB0EEF"/>
    <w:rsid w:val="3AC21656"/>
    <w:rsid w:val="3AC30F2B"/>
    <w:rsid w:val="3AC535BF"/>
    <w:rsid w:val="3AC54CA3"/>
    <w:rsid w:val="3ACD078A"/>
    <w:rsid w:val="3AD603D3"/>
    <w:rsid w:val="3ADB43E8"/>
    <w:rsid w:val="3ADB6274"/>
    <w:rsid w:val="3ADF5E03"/>
    <w:rsid w:val="3AE07D2F"/>
    <w:rsid w:val="3AE94ADD"/>
    <w:rsid w:val="3AEA6CED"/>
    <w:rsid w:val="3AF235BE"/>
    <w:rsid w:val="3B057795"/>
    <w:rsid w:val="3B095484"/>
    <w:rsid w:val="3B0C034B"/>
    <w:rsid w:val="3B0C59F9"/>
    <w:rsid w:val="3B1418FF"/>
    <w:rsid w:val="3B152347"/>
    <w:rsid w:val="3B194FEF"/>
    <w:rsid w:val="3B196CE7"/>
    <w:rsid w:val="3B1E7071"/>
    <w:rsid w:val="3B2C087E"/>
    <w:rsid w:val="3B2F65C0"/>
    <w:rsid w:val="3B371240"/>
    <w:rsid w:val="3B375A1C"/>
    <w:rsid w:val="3B3A586A"/>
    <w:rsid w:val="3B3D6792"/>
    <w:rsid w:val="3B3F6631"/>
    <w:rsid w:val="3B4200A1"/>
    <w:rsid w:val="3B420F75"/>
    <w:rsid w:val="3B421857"/>
    <w:rsid w:val="3B435CA4"/>
    <w:rsid w:val="3B47434D"/>
    <w:rsid w:val="3B4819DA"/>
    <w:rsid w:val="3B4B6348"/>
    <w:rsid w:val="3B55308D"/>
    <w:rsid w:val="3B554279"/>
    <w:rsid w:val="3B633D24"/>
    <w:rsid w:val="3B6C3370"/>
    <w:rsid w:val="3B701AFD"/>
    <w:rsid w:val="3B7075AE"/>
    <w:rsid w:val="3B732A61"/>
    <w:rsid w:val="3B7622A2"/>
    <w:rsid w:val="3B81613F"/>
    <w:rsid w:val="3B831369"/>
    <w:rsid w:val="3B844B5E"/>
    <w:rsid w:val="3B895CD0"/>
    <w:rsid w:val="3B8B7C9A"/>
    <w:rsid w:val="3B8D0D14"/>
    <w:rsid w:val="3B8E32E7"/>
    <w:rsid w:val="3B9257F6"/>
    <w:rsid w:val="3B9306CE"/>
    <w:rsid w:val="3B9373E6"/>
    <w:rsid w:val="3B940AAB"/>
    <w:rsid w:val="3B94571E"/>
    <w:rsid w:val="3BA7084C"/>
    <w:rsid w:val="3BAC4D0C"/>
    <w:rsid w:val="3BAD3DA3"/>
    <w:rsid w:val="3BB4090F"/>
    <w:rsid w:val="3BC05C20"/>
    <w:rsid w:val="3BC74FF7"/>
    <w:rsid w:val="3BCB0097"/>
    <w:rsid w:val="3BCC3D9E"/>
    <w:rsid w:val="3BCD6245"/>
    <w:rsid w:val="3BD774E1"/>
    <w:rsid w:val="3BDA46DA"/>
    <w:rsid w:val="3BDB458D"/>
    <w:rsid w:val="3BE32750"/>
    <w:rsid w:val="3BE36DDA"/>
    <w:rsid w:val="3BE90369"/>
    <w:rsid w:val="3BE93C08"/>
    <w:rsid w:val="3BEB24E7"/>
    <w:rsid w:val="3BEE1FD7"/>
    <w:rsid w:val="3BF00C19"/>
    <w:rsid w:val="3BF5780A"/>
    <w:rsid w:val="3BF73513"/>
    <w:rsid w:val="3BF867B4"/>
    <w:rsid w:val="3C0161AE"/>
    <w:rsid w:val="3C046918"/>
    <w:rsid w:val="3C0637C5"/>
    <w:rsid w:val="3C063E82"/>
    <w:rsid w:val="3C092897"/>
    <w:rsid w:val="3C0D22BA"/>
    <w:rsid w:val="3C136A13"/>
    <w:rsid w:val="3C137C90"/>
    <w:rsid w:val="3C1744FA"/>
    <w:rsid w:val="3C1851A5"/>
    <w:rsid w:val="3C253342"/>
    <w:rsid w:val="3C280B53"/>
    <w:rsid w:val="3C29511F"/>
    <w:rsid w:val="3C2B322B"/>
    <w:rsid w:val="3C3103FB"/>
    <w:rsid w:val="3C32335B"/>
    <w:rsid w:val="3C3E4D0D"/>
    <w:rsid w:val="3C4067A7"/>
    <w:rsid w:val="3C415A3D"/>
    <w:rsid w:val="3C4961DA"/>
    <w:rsid w:val="3C4A0B16"/>
    <w:rsid w:val="3C4F64F8"/>
    <w:rsid w:val="3C515EDF"/>
    <w:rsid w:val="3C516CC1"/>
    <w:rsid w:val="3C552056"/>
    <w:rsid w:val="3C566B00"/>
    <w:rsid w:val="3C5858B4"/>
    <w:rsid w:val="3C597D99"/>
    <w:rsid w:val="3C5A28F7"/>
    <w:rsid w:val="3C634773"/>
    <w:rsid w:val="3C695ADF"/>
    <w:rsid w:val="3C6978B0"/>
    <w:rsid w:val="3C6F136A"/>
    <w:rsid w:val="3C6F626E"/>
    <w:rsid w:val="3C780A0A"/>
    <w:rsid w:val="3C782C68"/>
    <w:rsid w:val="3C7F3B41"/>
    <w:rsid w:val="3C834E15"/>
    <w:rsid w:val="3C8676F4"/>
    <w:rsid w:val="3C886DBE"/>
    <w:rsid w:val="3C890AAE"/>
    <w:rsid w:val="3C9B3DC5"/>
    <w:rsid w:val="3C9D15FE"/>
    <w:rsid w:val="3C9D2A26"/>
    <w:rsid w:val="3CA01876"/>
    <w:rsid w:val="3CA645C7"/>
    <w:rsid w:val="3CA91BDB"/>
    <w:rsid w:val="3CAB7C64"/>
    <w:rsid w:val="3CB054DF"/>
    <w:rsid w:val="3CB13731"/>
    <w:rsid w:val="3CB1383A"/>
    <w:rsid w:val="3CB1664A"/>
    <w:rsid w:val="3CB60D47"/>
    <w:rsid w:val="3CBD0C70"/>
    <w:rsid w:val="3CC233F6"/>
    <w:rsid w:val="3CD22610"/>
    <w:rsid w:val="3CD60E7B"/>
    <w:rsid w:val="3CD64F45"/>
    <w:rsid w:val="3CDC4526"/>
    <w:rsid w:val="3CDC748F"/>
    <w:rsid w:val="3CE07B72"/>
    <w:rsid w:val="3CE138EA"/>
    <w:rsid w:val="3CE21B3C"/>
    <w:rsid w:val="3CE53F8F"/>
    <w:rsid w:val="3CE60F00"/>
    <w:rsid w:val="3CE67FBE"/>
    <w:rsid w:val="3CF63839"/>
    <w:rsid w:val="3CF74AC6"/>
    <w:rsid w:val="3CF74EBC"/>
    <w:rsid w:val="3D097971"/>
    <w:rsid w:val="3D150F89"/>
    <w:rsid w:val="3D25335F"/>
    <w:rsid w:val="3D304261"/>
    <w:rsid w:val="3D306480"/>
    <w:rsid w:val="3D314871"/>
    <w:rsid w:val="3D344362"/>
    <w:rsid w:val="3D3B0486"/>
    <w:rsid w:val="3D48652D"/>
    <w:rsid w:val="3D4C0F77"/>
    <w:rsid w:val="3D4E71D1"/>
    <w:rsid w:val="3D5078AE"/>
    <w:rsid w:val="3D513D57"/>
    <w:rsid w:val="3D5228D4"/>
    <w:rsid w:val="3D5A13B1"/>
    <w:rsid w:val="3D5D11C3"/>
    <w:rsid w:val="3D693452"/>
    <w:rsid w:val="3D69400B"/>
    <w:rsid w:val="3D6E5A2C"/>
    <w:rsid w:val="3D6F16B3"/>
    <w:rsid w:val="3D716A07"/>
    <w:rsid w:val="3D7444AA"/>
    <w:rsid w:val="3D8A3F82"/>
    <w:rsid w:val="3D8A5D30"/>
    <w:rsid w:val="3D8C7CFA"/>
    <w:rsid w:val="3D921E11"/>
    <w:rsid w:val="3D934BE4"/>
    <w:rsid w:val="3D935C56"/>
    <w:rsid w:val="3D940332"/>
    <w:rsid w:val="3D98638F"/>
    <w:rsid w:val="3D9E622F"/>
    <w:rsid w:val="3D9E7728"/>
    <w:rsid w:val="3DA9265A"/>
    <w:rsid w:val="3DAF4250"/>
    <w:rsid w:val="3DB44BCD"/>
    <w:rsid w:val="3DC06139"/>
    <w:rsid w:val="3DCC4386"/>
    <w:rsid w:val="3DD56AA2"/>
    <w:rsid w:val="3DED6C47"/>
    <w:rsid w:val="3DF61D42"/>
    <w:rsid w:val="3DF80448"/>
    <w:rsid w:val="3DFD29A6"/>
    <w:rsid w:val="3E006BD7"/>
    <w:rsid w:val="3E012496"/>
    <w:rsid w:val="3E014244"/>
    <w:rsid w:val="3E067951"/>
    <w:rsid w:val="3E067AAC"/>
    <w:rsid w:val="3E0A3E0A"/>
    <w:rsid w:val="3E0A6C4B"/>
    <w:rsid w:val="3E0C54CC"/>
    <w:rsid w:val="3E1768EB"/>
    <w:rsid w:val="3E1A3399"/>
    <w:rsid w:val="3E2B3602"/>
    <w:rsid w:val="3E326533"/>
    <w:rsid w:val="3E327D4D"/>
    <w:rsid w:val="3E3562DB"/>
    <w:rsid w:val="3E3F3E34"/>
    <w:rsid w:val="3E3F6B1A"/>
    <w:rsid w:val="3E454CF0"/>
    <w:rsid w:val="3E4F21BF"/>
    <w:rsid w:val="3E4F64F3"/>
    <w:rsid w:val="3E517E63"/>
    <w:rsid w:val="3E63334C"/>
    <w:rsid w:val="3E6A3FB4"/>
    <w:rsid w:val="3E6B790F"/>
    <w:rsid w:val="3E6E73FF"/>
    <w:rsid w:val="3E702EE8"/>
    <w:rsid w:val="3E703E0D"/>
    <w:rsid w:val="3E78202C"/>
    <w:rsid w:val="3E784FAE"/>
    <w:rsid w:val="3E7F72E9"/>
    <w:rsid w:val="3E806531"/>
    <w:rsid w:val="3E824570"/>
    <w:rsid w:val="3E897A8C"/>
    <w:rsid w:val="3E8B63DF"/>
    <w:rsid w:val="3E8C2EB7"/>
    <w:rsid w:val="3E8D1F7B"/>
    <w:rsid w:val="3E8F1257"/>
    <w:rsid w:val="3E90381A"/>
    <w:rsid w:val="3E9055C8"/>
    <w:rsid w:val="3E950E30"/>
    <w:rsid w:val="3EA16DD5"/>
    <w:rsid w:val="3EA35154"/>
    <w:rsid w:val="3EA36BC2"/>
    <w:rsid w:val="3EA532EF"/>
    <w:rsid w:val="3EA82911"/>
    <w:rsid w:val="3EAC4777"/>
    <w:rsid w:val="3EB416C3"/>
    <w:rsid w:val="3EB6242B"/>
    <w:rsid w:val="3EBC4F85"/>
    <w:rsid w:val="3EC76B20"/>
    <w:rsid w:val="3ECA1B9F"/>
    <w:rsid w:val="3ECB0AF6"/>
    <w:rsid w:val="3ECB2497"/>
    <w:rsid w:val="3ECB428D"/>
    <w:rsid w:val="3ECC2AA4"/>
    <w:rsid w:val="3ECF1F8D"/>
    <w:rsid w:val="3ED00C15"/>
    <w:rsid w:val="3ED233ED"/>
    <w:rsid w:val="3ED259F0"/>
    <w:rsid w:val="3ED3551A"/>
    <w:rsid w:val="3ED92ACB"/>
    <w:rsid w:val="3EDA6843"/>
    <w:rsid w:val="3EE95F28"/>
    <w:rsid w:val="3EE96118"/>
    <w:rsid w:val="3EED4750"/>
    <w:rsid w:val="3EF41AE7"/>
    <w:rsid w:val="3EFC3B68"/>
    <w:rsid w:val="3EFE01D9"/>
    <w:rsid w:val="3EFE53BA"/>
    <w:rsid w:val="3F000085"/>
    <w:rsid w:val="3F016D37"/>
    <w:rsid w:val="3F067638"/>
    <w:rsid w:val="3F125FDD"/>
    <w:rsid w:val="3F135C3F"/>
    <w:rsid w:val="3F185CE9"/>
    <w:rsid w:val="3F1D07BC"/>
    <w:rsid w:val="3F1E7077"/>
    <w:rsid w:val="3F1F0AD0"/>
    <w:rsid w:val="3F214472"/>
    <w:rsid w:val="3F2226C4"/>
    <w:rsid w:val="3F277CDA"/>
    <w:rsid w:val="3F281038"/>
    <w:rsid w:val="3F2C3542"/>
    <w:rsid w:val="3F3273CE"/>
    <w:rsid w:val="3F330B23"/>
    <w:rsid w:val="3F373C95"/>
    <w:rsid w:val="3F3C2E98"/>
    <w:rsid w:val="3F3D0C8C"/>
    <w:rsid w:val="3F422D66"/>
    <w:rsid w:val="3F424B14"/>
    <w:rsid w:val="3F4622AC"/>
    <w:rsid w:val="3F48533E"/>
    <w:rsid w:val="3F4940F4"/>
    <w:rsid w:val="3F56236D"/>
    <w:rsid w:val="3F5E1222"/>
    <w:rsid w:val="3F5E5B15"/>
    <w:rsid w:val="3F606DF5"/>
    <w:rsid w:val="3F6A0BBC"/>
    <w:rsid w:val="3F71137D"/>
    <w:rsid w:val="3F78273C"/>
    <w:rsid w:val="3F7D2E7E"/>
    <w:rsid w:val="3F8F613F"/>
    <w:rsid w:val="3F9133A5"/>
    <w:rsid w:val="3F933A87"/>
    <w:rsid w:val="3F93536F"/>
    <w:rsid w:val="3F941C1C"/>
    <w:rsid w:val="3F975331"/>
    <w:rsid w:val="3F9A5226"/>
    <w:rsid w:val="3F9D61EE"/>
    <w:rsid w:val="3FA56803"/>
    <w:rsid w:val="3FAC0E3D"/>
    <w:rsid w:val="3FAF7A8F"/>
    <w:rsid w:val="3FB13A48"/>
    <w:rsid w:val="3FB16435"/>
    <w:rsid w:val="3FB236B4"/>
    <w:rsid w:val="3FB247D7"/>
    <w:rsid w:val="3FB30427"/>
    <w:rsid w:val="3FB63732"/>
    <w:rsid w:val="3FB72A35"/>
    <w:rsid w:val="3FC65745"/>
    <w:rsid w:val="3FCA4C32"/>
    <w:rsid w:val="3FD0309D"/>
    <w:rsid w:val="3FD457E3"/>
    <w:rsid w:val="3FD830FD"/>
    <w:rsid w:val="3FDD483D"/>
    <w:rsid w:val="3FE3748A"/>
    <w:rsid w:val="3FE51458"/>
    <w:rsid w:val="3FED0FEB"/>
    <w:rsid w:val="3FEF0266"/>
    <w:rsid w:val="3FF544CF"/>
    <w:rsid w:val="3FF56377"/>
    <w:rsid w:val="3FFA719D"/>
    <w:rsid w:val="3FFA7AB2"/>
    <w:rsid w:val="3FFB4CC3"/>
    <w:rsid w:val="3FFE6BE3"/>
    <w:rsid w:val="3FFF4431"/>
    <w:rsid w:val="40020C38"/>
    <w:rsid w:val="40077B0C"/>
    <w:rsid w:val="40097CB0"/>
    <w:rsid w:val="401510B2"/>
    <w:rsid w:val="40190A04"/>
    <w:rsid w:val="401A783F"/>
    <w:rsid w:val="401F3E8A"/>
    <w:rsid w:val="4023022C"/>
    <w:rsid w:val="402320AF"/>
    <w:rsid w:val="402C2E1B"/>
    <w:rsid w:val="403455FB"/>
    <w:rsid w:val="40356427"/>
    <w:rsid w:val="40477F08"/>
    <w:rsid w:val="40534DE2"/>
    <w:rsid w:val="405A1DFC"/>
    <w:rsid w:val="405D1244"/>
    <w:rsid w:val="405F5252"/>
    <w:rsid w:val="406473F3"/>
    <w:rsid w:val="40662A84"/>
    <w:rsid w:val="406B07D3"/>
    <w:rsid w:val="406C5839"/>
    <w:rsid w:val="40707244"/>
    <w:rsid w:val="4075272B"/>
    <w:rsid w:val="407822F5"/>
    <w:rsid w:val="40847A53"/>
    <w:rsid w:val="408737EE"/>
    <w:rsid w:val="40873D9E"/>
    <w:rsid w:val="40874231"/>
    <w:rsid w:val="408E0567"/>
    <w:rsid w:val="40981447"/>
    <w:rsid w:val="4098711A"/>
    <w:rsid w:val="40A07340"/>
    <w:rsid w:val="40A11D0E"/>
    <w:rsid w:val="40A20BF9"/>
    <w:rsid w:val="40AF10F4"/>
    <w:rsid w:val="40B148E3"/>
    <w:rsid w:val="40B24DF5"/>
    <w:rsid w:val="40B3178C"/>
    <w:rsid w:val="40B3559D"/>
    <w:rsid w:val="40B67702"/>
    <w:rsid w:val="40BD0C5A"/>
    <w:rsid w:val="40BD10D1"/>
    <w:rsid w:val="40BF3F42"/>
    <w:rsid w:val="40C2587B"/>
    <w:rsid w:val="40C33A32"/>
    <w:rsid w:val="40C632C5"/>
    <w:rsid w:val="40CD467D"/>
    <w:rsid w:val="40D340A2"/>
    <w:rsid w:val="40DB30BC"/>
    <w:rsid w:val="40DD388D"/>
    <w:rsid w:val="40E02836"/>
    <w:rsid w:val="40EE5FD9"/>
    <w:rsid w:val="40F83B84"/>
    <w:rsid w:val="40F87CC4"/>
    <w:rsid w:val="40F94B94"/>
    <w:rsid w:val="40FE6422"/>
    <w:rsid w:val="40FF07E3"/>
    <w:rsid w:val="41020FA9"/>
    <w:rsid w:val="41076015"/>
    <w:rsid w:val="410776CF"/>
    <w:rsid w:val="410931BF"/>
    <w:rsid w:val="410B560A"/>
    <w:rsid w:val="410C2383"/>
    <w:rsid w:val="410F4ECA"/>
    <w:rsid w:val="41140732"/>
    <w:rsid w:val="411859BE"/>
    <w:rsid w:val="41195D48"/>
    <w:rsid w:val="411E7700"/>
    <w:rsid w:val="41232723"/>
    <w:rsid w:val="412B59BE"/>
    <w:rsid w:val="412B62D2"/>
    <w:rsid w:val="412F3FB1"/>
    <w:rsid w:val="41380700"/>
    <w:rsid w:val="413C2CB9"/>
    <w:rsid w:val="413C37E5"/>
    <w:rsid w:val="413E57AF"/>
    <w:rsid w:val="41401B13"/>
    <w:rsid w:val="41405C32"/>
    <w:rsid w:val="41477348"/>
    <w:rsid w:val="414D6C95"/>
    <w:rsid w:val="41523008"/>
    <w:rsid w:val="4153125A"/>
    <w:rsid w:val="41562AF9"/>
    <w:rsid w:val="41562E1C"/>
    <w:rsid w:val="415C649A"/>
    <w:rsid w:val="41614FF9"/>
    <w:rsid w:val="416A24BE"/>
    <w:rsid w:val="416E4682"/>
    <w:rsid w:val="41780CC1"/>
    <w:rsid w:val="417D1B61"/>
    <w:rsid w:val="41845447"/>
    <w:rsid w:val="418639A8"/>
    <w:rsid w:val="418807D8"/>
    <w:rsid w:val="418B0EED"/>
    <w:rsid w:val="418B1B16"/>
    <w:rsid w:val="418F7DB9"/>
    <w:rsid w:val="4191768D"/>
    <w:rsid w:val="41943621"/>
    <w:rsid w:val="41962EF5"/>
    <w:rsid w:val="419D7B74"/>
    <w:rsid w:val="419E7FFC"/>
    <w:rsid w:val="41A25D3E"/>
    <w:rsid w:val="41AA1E67"/>
    <w:rsid w:val="41AF3FB7"/>
    <w:rsid w:val="41AF6B58"/>
    <w:rsid w:val="41B44A51"/>
    <w:rsid w:val="41BD66D4"/>
    <w:rsid w:val="41BE244C"/>
    <w:rsid w:val="41C026FC"/>
    <w:rsid w:val="41C2696E"/>
    <w:rsid w:val="41C65D39"/>
    <w:rsid w:val="41C71076"/>
    <w:rsid w:val="41D57EC1"/>
    <w:rsid w:val="41D90A8B"/>
    <w:rsid w:val="41D9765E"/>
    <w:rsid w:val="41DC1A63"/>
    <w:rsid w:val="41E13839"/>
    <w:rsid w:val="41E66D47"/>
    <w:rsid w:val="41E73D28"/>
    <w:rsid w:val="41EA63A4"/>
    <w:rsid w:val="41ED36C5"/>
    <w:rsid w:val="41EF2605"/>
    <w:rsid w:val="41F6490B"/>
    <w:rsid w:val="41F67E38"/>
    <w:rsid w:val="41FD4D22"/>
    <w:rsid w:val="4200389B"/>
    <w:rsid w:val="420662CD"/>
    <w:rsid w:val="420933DF"/>
    <w:rsid w:val="420E0E87"/>
    <w:rsid w:val="42105574"/>
    <w:rsid w:val="42191402"/>
    <w:rsid w:val="421A3B26"/>
    <w:rsid w:val="421A58D4"/>
    <w:rsid w:val="421C556B"/>
    <w:rsid w:val="42213239"/>
    <w:rsid w:val="42274445"/>
    <w:rsid w:val="4231255B"/>
    <w:rsid w:val="42312C1E"/>
    <w:rsid w:val="42315054"/>
    <w:rsid w:val="423158E2"/>
    <w:rsid w:val="423170C2"/>
    <w:rsid w:val="423367EF"/>
    <w:rsid w:val="423F17DF"/>
    <w:rsid w:val="4243021A"/>
    <w:rsid w:val="42487538"/>
    <w:rsid w:val="42494A6E"/>
    <w:rsid w:val="424E107F"/>
    <w:rsid w:val="424E557E"/>
    <w:rsid w:val="424F1520"/>
    <w:rsid w:val="424F231E"/>
    <w:rsid w:val="42593569"/>
    <w:rsid w:val="425A2175"/>
    <w:rsid w:val="425C413F"/>
    <w:rsid w:val="42626C75"/>
    <w:rsid w:val="427633FA"/>
    <w:rsid w:val="42764A3E"/>
    <w:rsid w:val="427960EB"/>
    <w:rsid w:val="428611BC"/>
    <w:rsid w:val="428D4F27"/>
    <w:rsid w:val="42952ECC"/>
    <w:rsid w:val="42980EEF"/>
    <w:rsid w:val="429A7887"/>
    <w:rsid w:val="42A312C4"/>
    <w:rsid w:val="42A31F82"/>
    <w:rsid w:val="42AA319B"/>
    <w:rsid w:val="42B11341"/>
    <w:rsid w:val="42B24564"/>
    <w:rsid w:val="42B31885"/>
    <w:rsid w:val="42B375DC"/>
    <w:rsid w:val="42B453A3"/>
    <w:rsid w:val="42B460BC"/>
    <w:rsid w:val="42B83307"/>
    <w:rsid w:val="42BB16D7"/>
    <w:rsid w:val="42BC4BDD"/>
    <w:rsid w:val="42BC698B"/>
    <w:rsid w:val="42BE6BA7"/>
    <w:rsid w:val="42C7049C"/>
    <w:rsid w:val="42CD18B8"/>
    <w:rsid w:val="42CD3F43"/>
    <w:rsid w:val="42DA7E34"/>
    <w:rsid w:val="42DB5544"/>
    <w:rsid w:val="42DC5952"/>
    <w:rsid w:val="42E221F3"/>
    <w:rsid w:val="42E93823"/>
    <w:rsid w:val="42EB7271"/>
    <w:rsid w:val="42F30A76"/>
    <w:rsid w:val="42F9198D"/>
    <w:rsid w:val="43000F6E"/>
    <w:rsid w:val="430640AA"/>
    <w:rsid w:val="430E697C"/>
    <w:rsid w:val="43122A4F"/>
    <w:rsid w:val="431672A6"/>
    <w:rsid w:val="43193DDE"/>
    <w:rsid w:val="431C6894"/>
    <w:rsid w:val="43222DDF"/>
    <w:rsid w:val="43233385"/>
    <w:rsid w:val="4324238F"/>
    <w:rsid w:val="432B11FE"/>
    <w:rsid w:val="432D3312"/>
    <w:rsid w:val="432F53AF"/>
    <w:rsid w:val="43300570"/>
    <w:rsid w:val="43321F3D"/>
    <w:rsid w:val="433429C6"/>
    <w:rsid w:val="4334325B"/>
    <w:rsid w:val="43364990"/>
    <w:rsid w:val="4337226C"/>
    <w:rsid w:val="43385020"/>
    <w:rsid w:val="4346094B"/>
    <w:rsid w:val="434626F9"/>
    <w:rsid w:val="4348021F"/>
    <w:rsid w:val="434C41B3"/>
    <w:rsid w:val="43505326"/>
    <w:rsid w:val="435601AE"/>
    <w:rsid w:val="43572B58"/>
    <w:rsid w:val="435766B4"/>
    <w:rsid w:val="435B1CE3"/>
    <w:rsid w:val="435C7F64"/>
    <w:rsid w:val="43606678"/>
    <w:rsid w:val="43612F87"/>
    <w:rsid w:val="43613F50"/>
    <w:rsid w:val="43640996"/>
    <w:rsid w:val="43650DD1"/>
    <w:rsid w:val="43655275"/>
    <w:rsid w:val="43674D17"/>
    <w:rsid w:val="43721740"/>
    <w:rsid w:val="4374370A"/>
    <w:rsid w:val="437E00E5"/>
    <w:rsid w:val="437F3DBC"/>
    <w:rsid w:val="438165AA"/>
    <w:rsid w:val="438576C5"/>
    <w:rsid w:val="4388561C"/>
    <w:rsid w:val="439631B7"/>
    <w:rsid w:val="43964C01"/>
    <w:rsid w:val="4397166E"/>
    <w:rsid w:val="439B2A45"/>
    <w:rsid w:val="439B47F3"/>
    <w:rsid w:val="439B6780"/>
    <w:rsid w:val="43A00486"/>
    <w:rsid w:val="43A044FF"/>
    <w:rsid w:val="43A27383"/>
    <w:rsid w:val="43A30AA1"/>
    <w:rsid w:val="43B41D58"/>
    <w:rsid w:val="43B43B06"/>
    <w:rsid w:val="43B47C42"/>
    <w:rsid w:val="43B533A4"/>
    <w:rsid w:val="43BA2B9E"/>
    <w:rsid w:val="43BB3965"/>
    <w:rsid w:val="43BC1E41"/>
    <w:rsid w:val="43BD0C0D"/>
    <w:rsid w:val="43C26223"/>
    <w:rsid w:val="43C518EC"/>
    <w:rsid w:val="43C55D14"/>
    <w:rsid w:val="43CC23FC"/>
    <w:rsid w:val="43CE4A76"/>
    <w:rsid w:val="43CF43E6"/>
    <w:rsid w:val="43D149F1"/>
    <w:rsid w:val="43D45F57"/>
    <w:rsid w:val="43DE0538"/>
    <w:rsid w:val="43E3619A"/>
    <w:rsid w:val="43E4263E"/>
    <w:rsid w:val="43E73EDC"/>
    <w:rsid w:val="43E837B0"/>
    <w:rsid w:val="43F05CC4"/>
    <w:rsid w:val="43F612C7"/>
    <w:rsid w:val="43F850B9"/>
    <w:rsid w:val="43FE2FD4"/>
    <w:rsid w:val="4400220F"/>
    <w:rsid w:val="440B48F8"/>
    <w:rsid w:val="440C4C78"/>
    <w:rsid w:val="440D60D4"/>
    <w:rsid w:val="441D78FE"/>
    <w:rsid w:val="441F3676"/>
    <w:rsid w:val="442747B6"/>
    <w:rsid w:val="442944F4"/>
    <w:rsid w:val="442A5BD9"/>
    <w:rsid w:val="442B201A"/>
    <w:rsid w:val="442D4695"/>
    <w:rsid w:val="44307631"/>
    <w:rsid w:val="44310712"/>
    <w:rsid w:val="4435005E"/>
    <w:rsid w:val="443E4864"/>
    <w:rsid w:val="443F5AC6"/>
    <w:rsid w:val="443F607C"/>
    <w:rsid w:val="44464788"/>
    <w:rsid w:val="444F55F9"/>
    <w:rsid w:val="445177D5"/>
    <w:rsid w:val="4452538C"/>
    <w:rsid w:val="4456696C"/>
    <w:rsid w:val="445D419E"/>
    <w:rsid w:val="44617F43"/>
    <w:rsid w:val="44636E41"/>
    <w:rsid w:val="44650437"/>
    <w:rsid w:val="446A2417"/>
    <w:rsid w:val="447514E8"/>
    <w:rsid w:val="44760DBC"/>
    <w:rsid w:val="44764150"/>
    <w:rsid w:val="44780FD8"/>
    <w:rsid w:val="447D65EE"/>
    <w:rsid w:val="447E42CF"/>
    <w:rsid w:val="448001A1"/>
    <w:rsid w:val="4484172B"/>
    <w:rsid w:val="448434D9"/>
    <w:rsid w:val="4487121B"/>
    <w:rsid w:val="44877EF7"/>
    <w:rsid w:val="44894F93"/>
    <w:rsid w:val="44940582"/>
    <w:rsid w:val="44953A71"/>
    <w:rsid w:val="44957494"/>
    <w:rsid w:val="449637F8"/>
    <w:rsid w:val="44963A98"/>
    <w:rsid w:val="44964496"/>
    <w:rsid w:val="449A71A0"/>
    <w:rsid w:val="44A1408B"/>
    <w:rsid w:val="44A1416F"/>
    <w:rsid w:val="44A37DE4"/>
    <w:rsid w:val="44A950C3"/>
    <w:rsid w:val="44AD3290"/>
    <w:rsid w:val="44AF0A99"/>
    <w:rsid w:val="44B7553B"/>
    <w:rsid w:val="44B81B61"/>
    <w:rsid w:val="44BC2C73"/>
    <w:rsid w:val="44BE1EA7"/>
    <w:rsid w:val="44C77FED"/>
    <w:rsid w:val="44CC6B12"/>
    <w:rsid w:val="44CD30D2"/>
    <w:rsid w:val="44CE0BF8"/>
    <w:rsid w:val="44D637B0"/>
    <w:rsid w:val="44D77311"/>
    <w:rsid w:val="44DE52DF"/>
    <w:rsid w:val="44E16B7D"/>
    <w:rsid w:val="44E2555C"/>
    <w:rsid w:val="44E26451"/>
    <w:rsid w:val="44E61231"/>
    <w:rsid w:val="44E61B4F"/>
    <w:rsid w:val="44EB1BBA"/>
    <w:rsid w:val="44FA4C14"/>
    <w:rsid w:val="44FD497E"/>
    <w:rsid w:val="44FF7003"/>
    <w:rsid w:val="45027C1C"/>
    <w:rsid w:val="450D212B"/>
    <w:rsid w:val="451135DF"/>
    <w:rsid w:val="4511674B"/>
    <w:rsid w:val="451860AD"/>
    <w:rsid w:val="451A329F"/>
    <w:rsid w:val="451A6D87"/>
    <w:rsid w:val="451C7BB5"/>
    <w:rsid w:val="45227889"/>
    <w:rsid w:val="45272681"/>
    <w:rsid w:val="45283E70"/>
    <w:rsid w:val="452B2282"/>
    <w:rsid w:val="452D2E92"/>
    <w:rsid w:val="453314BE"/>
    <w:rsid w:val="45381519"/>
    <w:rsid w:val="45392515"/>
    <w:rsid w:val="453C2005"/>
    <w:rsid w:val="453E3FCF"/>
    <w:rsid w:val="45405DFD"/>
    <w:rsid w:val="4540730F"/>
    <w:rsid w:val="454541B9"/>
    <w:rsid w:val="455230D9"/>
    <w:rsid w:val="45525385"/>
    <w:rsid w:val="45596713"/>
    <w:rsid w:val="455A248C"/>
    <w:rsid w:val="455A3054"/>
    <w:rsid w:val="455A3151"/>
    <w:rsid w:val="455C26A8"/>
    <w:rsid w:val="455D7CE5"/>
    <w:rsid w:val="45603F46"/>
    <w:rsid w:val="45633716"/>
    <w:rsid w:val="456B16B7"/>
    <w:rsid w:val="457052B2"/>
    <w:rsid w:val="45742273"/>
    <w:rsid w:val="457E7260"/>
    <w:rsid w:val="45831A0D"/>
    <w:rsid w:val="45862748"/>
    <w:rsid w:val="458B0897"/>
    <w:rsid w:val="458B7F8D"/>
    <w:rsid w:val="458F0387"/>
    <w:rsid w:val="458F18D7"/>
    <w:rsid w:val="45912F06"/>
    <w:rsid w:val="459246C7"/>
    <w:rsid w:val="45941E41"/>
    <w:rsid w:val="45947182"/>
    <w:rsid w:val="459567E7"/>
    <w:rsid w:val="459C3616"/>
    <w:rsid w:val="45A47C53"/>
    <w:rsid w:val="45B5455A"/>
    <w:rsid w:val="45B66321"/>
    <w:rsid w:val="45BC2636"/>
    <w:rsid w:val="45C142B9"/>
    <w:rsid w:val="45CD2114"/>
    <w:rsid w:val="45CF2E79"/>
    <w:rsid w:val="45D0403F"/>
    <w:rsid w:val="45D205B4"/>
    <w:rsid w:val="45D250AF"/>
    <w:rsid w:val="45D61739"/>
    <w:rsid w:val="45E0753B"/>
    <w:rsid w:val="45FB0FA6"/>
    <w:rsid w:val="45FD76D4"/>
    <w:rsid w:val="45FE0198"/>
    <w:rsid w:val="45FF375F"/>
    <w:rsid w:val="460335E7"/>
    <w:rsid w:val="46036521"/>
    <w:rsid w:val="460763E3"/>
    <w:rsid w:val="460A41E5"/>
    <w:rsid w:val="460D034C"/>
    <w:rsid w:val="460F14C8"/>
    <w:rsid w:val="460F70C6"/>
    <w:rsid w:val="46101C61"/>
    <w:rsid w:val="46164DE9"/>
    <w:rsid w:val="461B1C1B"/>
    <w:rsid w:val="46225EED"/>
    <w:rsid w:val="462431C5"/>
    <w:rsid w:val="462A00B0"/>
    <w:rsid w:val="46316B39"/>
    <w:rsid w:val="463432B2"/>
    <w:rsid w:val="46393F9E"/>
    <w:rsid w:val="463A1302"/>
    <w:rsid w:val="463B406B"/>
    <w:rsid w:val="463E2480"/>
    <w:rsid w:val="463F4EA4"/>
    <w:rsid w:val="46431172"/>
    <w:rsid w:val="464A2500"/>
    <w:rsid w:val="464C5BE6"/>
    <w:rsid w:val="46544666"/>
    <w:rsid w:val="46564E39"/>
    <w:rsid w:val="465C4B71"/>
    <w:rsid w:val="465E2EDF"/>
    <w:rsid w:val="46624583"/>
    <w:rsid w:val="4662784A"/>
    <w:rsid w:val="46680D3E"/>
    <w:rsid w:val="4673154E"/>
    <w:rsid w:val="46762948"/>
    <w:rsid w:val="46795228"/>
    <w:rsid w:val="467A4448"/>
    <w:rsid w:val="467D3ACF"/>
    <w:rsid w:val="467E229E"/>
    <w:rsid w:val="467F00E7"/>
    <w:rsid w:val="468E063F"/>
    <w:rsid w:val="46914C97"/>
    <w:rsid w:val="469A6FE4"/>
    <w:rsid w:val="469E6F8C"/>
    <w:rsid w:val="46A12D06"/>
    <w:rsid w:val="46B10463"/>
    <w:rsid w:val="46B207D1"/>
    <w:rsid w:val="46B34549"/>
    <w:rsid w:val="46B53E1D"/>
    <w:rsid w:val="46BC1650"/>
    <w:rsid w:val="46BF6A4A"/>
    <w:rsid w:val="46C30B15"/>
    <w:rsid w:val="46C40504"/>
    <w:rsid w:val="46C9141B"/>
    <w:rsid w:val="46C96777"/>
    <w:rsid w:val="46CF12B4"/>
    <w:rsid w:val="46CF7A29"/>
    <w:rsid w:val="46D17E87"/>
    <w:rsid w:val="46DD1D80"/>
    <w:rsid w:val="46E43834"/>
    <w:rsid w:val="46E76E31"/>
    <w:rsid w:val="46E93899"/>
    <w:rsid w:val="46EA7615"/>
    <w:rsid w:val="46EB5A91"/>
    <w:rsid w:val="46F030A7"/>
    <w:rsid w:val="46F14B12"/>
    <w:rsid w:val="46F4261E"/>
    <w:rsid w:val="46F9653C"/>
    <w:rsid w:val="46FF32EA"/>
    <w:rsid w:val="47084895"/>
    <w:rsid w:val="470A54DC"/>
    <w:rsid w:val="470B1CA2"/>
    <w:rsid w:val="470D2D84"/>
    <w:rsid w:val="471455B2"/>
    <w:rsid w:val="47186A31"/>
    <w:rsid w:val="471A4E65"/>
    <w:rsid w:val="471C535D"/>
    <w:rsid w:val="4721146C"/>
    <w:rsid w:val="4729480B"/>
    <w:rsid w:val="472E584C"/>
    <w:rsid w:val="47387748"/>
    <w:rsid w:val="473A2575"/>
    <w:rsid w:val="473A4323"/>
    <w:rsid w:val="473D0A63"/>
    <w:rsid w:val="474024C8"/>
    <w:rsid w:val="474038E4"/>
    <w:rsid w:val="47405B19"/>
    <w:rsid w:val="47411B55"/>
    <w:rsid w:val="47441393"/>
    <w:rsid w:val="474537CA"/>
    <w:rsid w:val="474D04FA"/>
    <w:rsid w:val="47503B46"/>
    <w:rsid w:val="47513B64"/>
    <w:rsid w:val="475C411F"/>
    <w:rsid w:val="47601A8D"/>
    <w:rsid w:val="476B4E24"/>
    <w:rsid w:val="476D1826"/>
    <w:rsid w:val="476D64A6"/>
    <w:rsid w:val="476E5882"/>
    <w:rsid w:val="47777325"/>
    <w:rsid w:val="477B4BFA"/>
    <w:rsid w:val="477C41B9"/>
    <w:rsid w:val="477F27E4"/>
    <w:rsid w:val="477F3F9E"/>
    <w:rsid w:val="47805A48"/>
    <w:rsid w:val="47941C85"/>
    <w:rsid w:val="479702EA"/>
    <w:rsid w:val="47983DB5"/>
    <w:rsid w:val="47992A50"/>
    <w:rsid w:val="479B0F78"/>
    <w:rsid w:val="47A120FB"/>
    <w:rsid w:val="47A125F4"/>
    <w:rsid w:val="47A520E4"/>
    <w:rsid w:val="47A85730"/>
    <w:rsid w:val="47AC3BE0"/>
    <w:rsid w:val="47B42227"/>
    <w:rsid w:val="47BC418B"/>
    <w:rsid w:val="47C00AB9"/>
    <w:rsid w:val="47C00BA3"/>
    <w:rsid w:val="47C17FE2"/>
    <w:rsid w:val="47C3256A"/>
    <w:rsid w:val="47C55269"/>
    <w:rsid w:val="47C63C0D"/>
    <w:rsid w:val="47C877FC"/>
    <w:rsid w:val="47C96583"/>
    <w:rsid w:val="47CB4CF3"/>
    <w:rsid w:val="47CD5197"/>
    <w:rsid w:val="47CF2084"/>
    <w:rsid w:val="47D12ED9"/>
    <w:rsid w:val="47D66741"/>
    <w:rsid w:val="47D70D1A"/>
    <w:rsid w:val="47D8680A"/>
    <w:rsid w:val="47DC2EFA"/>
    <w:rsid w:val="47E17DB9"/>
    <w:rsid w:val="47E260D6"/>
    <w:rsid w:val="47E2662F"/>
    <w:rsid w:val="47E86474"/>
    <w:rsid w:val="47E938E9"/>
    <w:rsid w:val="47ED4607"/>
    <w:rsid w:val="47F15329"/>
    <w:rsid w:val="47F37F8C"/>
    <w:rsid w:val="47F72214"/>
    <w:rsid w:val="47FD2D6A"/>
    <w:rsid w:val="4804004B"/>
    <w:rsid w:val="480A199B"/>
    <w:rsid w:val="480C3F11"/>
    <w:rsid w:val="48104246"/>
    <w:rsid w:val="4813496E"/>
    <w:rsid w:val="48192964"/>
    <w:rsid w:val="481A0636"/>
    <w:rsid w:val="481C1C7A"/>
    <w:rsid w:val="481E5736"/>
    <w:rsid w:val="48214473"/>
    <w:rsid w:val="48230E62"/>
    <w:rsid w:val="48253E74"/>
    <w:rsid w:val="482A0EA4"/>
    <w:rsid w:val="482F5E51"/>
    <w:rsid w:val="48343AEC"/>
    <w:rsid w:val="483445C3"/>
    <w:rsid w:val="483769A0"/>
    <w:rsid w:val="483A234D"/>
    <w:rsid w:val="483B0BC3"/>
    <w:rsid w:val="483F3A0C"/>
    <w:rsid w:val="48406187"/>
    <w:rsid w:val="484A4A39"/>
    <w:rsid w:val="484A67E7"/>
    <w:rsid w:val="484C6A03"/>
    <w:rsid w:val="48594C7C"/>
    <w:rsid w:val="485B1F5E"/>
    <w:rsid w:val="485D24FB"/>
    <w:rsid w:val="486A0C38"/>
    <w:rsid w:val="486A3C3D"/>
    <w:rsid w:val="487D1F9B"/>
    <w:rsid w:val="488162D3"/>
    <w:rsid w:val="48825DB2"/>
    <w:rsid w:val="48855BF5"/>
    <w:rsid w:val="488569A9"/>
    <w:rsid w:val="48882C95"/>
    <w:rsid w:val="48897FEF"/>
    <w:rsid w:val="48966128"/>
    <w:rsid w:val="489B34E7"/>
    <w:rsid w:val="489C144B"/>
    <w:rsid w:val="489F24E0"/>
    <w:rsid w:val="48A028AB"/>
    <w:rsid w:val="48AB2BB7"/>
    <w:rsid w:val="48AC1863"/>
    <w:rsid w:val="48AC2FFE"/>
    <w:rsid w:val="48AC74A2"/>
    <w:rsid w:val="48B650A6"/>
    <w:rsid w:val="48B80984"/>
    <w:rsid w:val="48B819A3"/>
    <w:rsid w:val="48C1423C"/>
    <w:rsid w:val="48C171D0"/>
    <w:rsid w:val="48C47C91"/>
    <w:rsid w:val="48CD5A56"/>
    <w:rsid w:val="48D350DE"/>
    <w:rsid w:val="48D87CB6"/>
    <w:rsid w:val="48DB38E3"/>
    <w:rsid w:val="48DC024E"/>
    <w:rsid w:val="48DC6DC2"/>
    <w:rsid w:val="48E00AE8"/>
    <w:rsid w:val="48E1714C"/>
    <w:rsid w:val="48EB7FCA"/>
    <w:rsid w:val="48F85C6A"/>
    <w:rsid w:val="48FA08C3"/>
    <w:rsid w:val="48FF4643"/>
    <w:rsid w:val="49002A7E"/>
    <w:rsid w:val="49107A31"/>
    <w:rsid w:val="491646DC"/>
    <w:rsid w:val="491971CD"/>
    <w:rsid w:val="491A265E"/>
    <w:rsid w:val="491B470D"/>
    <w:rsid w:val="491F0454"/>
    <w:rsid w:val="49232AC5"/>
    <w:rsid w:val="4926222C"/>
    <w:rsid w:val="492628C8"/>
    <w:rsid w:val="492C413F"/>
    <w:rsid w:val="492E4DEC"/>
    <w:rsid w:val="492E7EB7"/>
    <w:rsid w:val="493766D4"/>
    <w:rsid w:val="49385D81"/>
    <w:rsid w:val="493C4382"/>
    <w:rsid w:val="493E2BDC"/>
    <w:rsid w:val="493F3E72"/>
    <w:rsid w:val="49441489"/>
    <w:rsid w:val="494E0559"/>
    <w:rsid w:val="49553696"/>
    <w:rsid w:val="495A0D4D"/>
    <w:rsid w:val="495C4DDC"/>
    <w:rsid w:val="495F3884"/>
    <w:rsid w:val="496334BF"/>
    <w:rsid w:val="49691412"/>
    <w:rsid w:val="496C3759"/>
    <w:rsid w:val="497370EE"/>
    <w:rsid w:val="4977185E"/>
    <w:rsid w:val="497B72B8"/>
    <w:rsid w:val="497C50C6"/>
    <w:rsid w:val="497F2F54"/>
    <w:rsid w:val="49837AF0"/>
    <w:rsid w:val="498E508C"/>
    <w:rsid w:val="499E670D"/>
    <w:rsid w:val="49A1432C"/>
    <w:rsid w:val="49A20C50"/>
    <w:rsid w:val="49AA32CE"/>
    <w:rsid w:val="49AA7E33"/>
    <w:rsid w:val="49AD34D2"/>
    <w:rsid w:val="49B22896"/>
    <w:rsid w:val="49B26D3A"/>
    <w:rsid w:val="49B32B77"/>
    <w:rsid w:val="49B51BAE"/>
    <w:rsid w:val="49BE56DF"/>
    <w:rsid w:val="49C47F53"/>
    <w:rsid w:val="49C51B78"/>
    <w:rsid w:val="49C83E68"/>
    <w:rsid w:val="49D071C0"/>
    <w:rsid w:val="49D2118A"/>
    <w:rsid w:val="49D326DA"/>
    <w:rsid w:val="49D5105C"/>
    <w:rsid w:val="49DB003F"/>
    <w:rsid w:val="49DD1DC9"/>
    <w:rsid w:val="49E14F29"/>
    <w:rsid w:val="49E23234"/>
    <w:rsid w:val="49E60786"/>
    <w:rsid w:val="49E66504"/>
    <w:rsid w:val="49F3008E"/>
    <w:rsid w:val="4A00565B"/>
    <w:rsid w:val="4A092FE8"/>
    <w:rsid w:val="4A0B78D0"/>
    <w:rsid w:val="4A114424"/>
    <w:rsid w:val="4A160FCB"/>
    <w:rsid w:val="4A181912"/>
    <w:rsid w:val="4A1C2405"/>
    <w:rsid w:val="4A1D63F1"/>
    <w:rsid w:val="4A1E3503"/>
    <w:rsid w:val="4A205A52"/>
    <w:rsid w:val="4A2300E4"/>
    <w:rsid w:val="4A2A75AB"/>
    <w:rsid w:val="4A2F038B"/>
    <w:rsid w:val="4A2F4434"/>
    <w:rsid w:val="4A301CEF"/>
    <w:rsid w:val="4A317C5F"/>
    <w:rsid w:val="4A3516C5"/>
    <w:rsid w:val="4A36078C"/>
    <w:rsid w:val="4A3E6D29"/>
    <w:rsid w:val="4A46425C"/>
    <w:rsid w:val="4A49144C"/>
    <w:rsid w:val="4A4A6F73"/>
    <w:rsid w:val="4A4D6E82"/>
    <w:rsid w:val="4A531591"/>
    <w:rsid w:val="4A541B9F"/>
    <w:rsid w:val="4A543287"/>
    <w:rsid w:val="4A582670"/>
    <w:rsid w:val="4A5C5D9E"/>
    <w:rsid w:val="4A606796"/>
    <w:rsid w:val="4A655B5A"/>
    <w:rsid w:val="4A6C513B"/>
    <w:rsid w:val="4A763F73"/>
    <w:rsid w:val="4A786B05"/>
    <w:rsid w:val="4A7E7A57"/>
    <w:rsid w:val="4A85368F"/>
    <w:rsid w:val="4A8F21D3"/>
    <w:rsid w:val="4A957A79"/>
    <w:rsid w:val="4A984EFD"/>
    <w:rsid w:val="4A9943A0"/>
    <w:rsid w:val="4A9C2FD5"/>
    <w:rsid w:val="4A9F6F2A"/>
    <w:rsid w:val="4AA91EEB"/>
    <w:rsid w:val="4AAC3789"/>
    <w:rsid w:val="4AB15B22"/>
    <w:rsid w:val="4AB80492"/>
    <w:rsid w:val="4AB909D1"/>
    <w:rsid w:val="4ABE526B"/>
    <w:rsid w:val="4AC07235"/>
    <w:rsid w:val="4AC62A9D"/>
    <w:rsid w:val="4AC7330D"/>
    <w:rsid w:val="4AC7411F"/>
    <w:rsid w:val="4AC80DCB"/>
    <w:rsid w:val="4AC9145A"/>
    <w:rsid w:val="4AD02A6C"/>
    <w:rsid w:val="4AD15855"/>
    <w:rsid w:val="4AD47DF5"/>
    <w:rsid w:val="4ADF36BD"/>
    <w:rsid w:val="4ADF63B0"/>
    <w:rsid w:val="4AE6182A"/>
    <w:rsid w:val="4AEE45D4"/>
    <w:rsid w:val="4AF06446"/>
    <w:rsid w:val="4AF84C20"/>
    <w:rsid w:val="4AFA6392"/>
    <w:rsid w:val="4AFB201B"/>
    <w:rsid w:val="4AFB5690"/>
    <w:rsid w:val="4B002248"/>
    <w:rsid w:val="4B024233"/>
    <w:rsid w:val="4B0C2728"/>
    <w:rsid w:val="4B125CE2"/>
    <w:rsid w:val="4B1C7394"/>
    <w:rsid w:val="4B216D41"/>
    <w:rsid w:val="4B221C9D"/>
    <w:rsid w:val="4B2454B4"/>
    <w:rsid w:val="4B3048A4"/>
    <w:rsid w:val="4B337EE6"/>
    <w:rsid w:val="4B3507B0"/>
    <w:rsid w:val="4B38501D"/>
    <w:rsid w:val="4B4174BC"/>
    <w:rsid w:val="4B436EB7"/>
    <w:rsid w:val="4B4B650F"/>
    <w:rsid w:val="4B4C3E25"/>
    <w:rsid w:val="4B4D1A41"/>
    <w:rsid w:val="4B534700"/>
    <w:rsid w:val="4B553E21"/>
    <w:rsid w:val="4B571947"/>
    <w:rsid w:val="4B5D4A84"/>
    <w:rsid w:val="4B5F25AA"/>
    <w:rsid w:val="4B6471E8"/>
    <w:rsid w:val="4B661B8A"/>
    <w:rsid w:val="4B7047B7"/>
    <w:rsid w:val="4B713CC9"/>
    <w:rsid w:val="4B7142E4"/>
    <w:rsid w:val="4B733FD0"/>
    <w:rsid w:val="4B736236"/>
    <w:rsid w:val="4B750FF2"/>
    <w:rsid w:val="4B756271"/>
    <w:rsid w:val="4B7E5826"/>
    <w:rsid w:val="4B80488F"/>
    <w:rsid w:val="4B842010"/>
    <w:rsid w:val="4B861312"/>
    <w:rsid w:val="4B884226"/>
    <w:rsid w:val="4B8D7117"/>
    <w:rsid w:val="4B8E2E8F"/>
    <w:rsid w:val="4B916D2A"/>
    <w:rsid w:val="4B920B0A"/>
    <w:rsid w:val="4B9A5458"/>
    <w:rsid w:val="4B9B5282"/>
    <w:rsid w:val="4B9E1324"/>
    <w:rsid w:val="4B9F2B24"/>
    <w:rsid w:val="4BA02254"/>
    <w:rsid w:val="4BA02ED8"/>
    <w:rsid w:val="4BA23931"/>
    <w:rsid w:val="4BA33FD7"/>
    <w:rsid w:val="4BA52BB9"/>
    <w:rsid w:val="4BA92DBE"/>
    <w:rsid w:val="4BA9757D"/>
    <w:rsid w:val="4BAB6C8D"/>
    <w:rsid w:val="4BB24627"/>
    <w:rsid w:val="4BB46D99"/>
    <w:rsid w:val="4BB93B56"/>
    <w:rsid w:val="4BBA0128"/>
    <w:rsid w:val="4BBB5121"/>
    <w:rsid w:val="4BBE3774"/>
    <w:rsid w:val="4BC10A5A"/>
    <w:rsid w:val="4BC35059"/>
    <w:rsid w:val="4BC62629"/>
    <w:rsid w:val="4BCB7C3F"/>
    <w:rsid w:val="4BD173AD"/>
    <w:rsid w:val="4BD27220"/>
    <w:rsid w:val="4BD42014"/>
    <w:rsid w:val="4BDB442E"/>
    <w:rsid w:val="4BE368B5"/>
    <w:rsid w:val="4BEA157E"/>
    <w:rsid w:val="4BEC2AF7"/>
    <w:rsid w:val="4BEC558D"/>
    <w:rsid w:val="4BED029E"/>
    <w:rsid w:val="4BF7788F"/>
    <w:rsid w:val="4C003D8D"/>
    <w:rsid w:val="4C017B1B"/>
    <w:rsid w:val="4C0B3602"/>
    <w:rsid w:val="4C134EA5"/>
    <w:rsid w:val="4C1406CD"/>
    <w:rsid w:val="4C150AB7"/>
    <w:rsid w:val="4C15710C"/>
    <w:rsid w:val="4C1965D2"/>
    <w:rsid w:val="4C1E2465"/>
    <w:rsid w:val="4C227077"/>
    <w:rsid w:val="4C227C1E"/>
    <w:rsid w:val="4C265848"/>
    <w:rsid w:val="4C2C5CD3"/>
    <w:rsid w:val="4C352FB5"/>
    <w:rsid w:val="4C396CC4"/>
    <w:rsid w:val="4C40062D"/>
    <w:rsid w:val="4C416153"/>
    <w:rsid w:val="4C421A53"/>
    <w:rsid w:val="4C4A14AC"/>
    <w:rsid w:val="4C4C6FD2"/>
    <w:rsid w:val="4C5B60F2"/>
    <w:rsid w:val="4C5C6713"/>
    <w:rsid w:val="4C602AB7"/>
    <w:rsid w:val="4C621D61"/>
    <w:rsid w:val="4C635859"/>
    <w:rsid w:val="4C646FD7"/>
    <w:rsid w:val="4C673E0C"/>
    <w:rsid w:val="4C6754A2"/>
    <w:rsid w:val="4C6F2CC0"/>
    <w:rsid w:val="4C703158"/>
    <w:rsid w:val="4C7A1154"/>
    <w:rsid w:val="4C7B3BAF"/>
    <w:rsid w:val="4C7E24FA"/>
    <w:rsid w:val="4C83736D"/>
    <w:rsid w:val="4C842C1A"/>
    <w:rsid w:val="4C883D82"/>
    <w:rsid w:val="4C8B224F"/>
    <w:rsid w:val="4C920E70"/>
    <w:rsid w:val="4C950AC2"/>
    <w:rsid w:val="4C963B59"/>
    <w:rsid w:val="4C9646F1"/>
    <w:rsid w:val="4C973FEE"/>
    <w:rsid w:val="4C9E5479"/>
    <w:rsid w:val="4C9F13C1"/>
    <w:rsid w:val="4C9F714C"/>
    <w:rsid w:val="4CA02E7A"/>
    <w:rsid w:val="4CA24E44"/>
    <w:rsid w:val="4CA30BBC"/>
    <w:rsid w:val="4CA566E2"/>
    <w:rsid w:val="4CA72631"/>
    <w:rsid w:val="4CAA2A00"/>
    <w:rsid w:val="4CAC7A71"/>
    <w:rsid w:val="4CB22BAD"/>
    <w:rsid w:val="4CB42DC9"/>
    <w:rsid w:val="4CB570C4"/>
    <w:rsid w:val="4CB878D5"/>
    <w:rsid w:val="4CBD57DA"/>
    <w:rsid w:val="4CBE2937"/>
    <w:rsid w:val="4CC12A17"/>
    <w:rsid w:val="4CC168DB"/>
    <w:rsid w:val="4CC207A7"/>
    <w:rsid w:val="4CC27294"/>
    <w:rsid w:val="4CC53948"/>
    <w:rsid w:val="4CC91D75"/>
    <w:rsid w:val="4CCE3E8B"/>
    <w:rsid w:val="4CD35839"/>
    <w:rsid w:val="4CD62D3F"/>
    <w:rsid w:val="4CD6689C"/>
    <w:rsid w:val="4CDD362C"/>
    <w:rsid w:val="4CE27936"/>
    <w:rsid w:val="4CE91C7D"/>
    <w:rsid w:val="4CE97813"/>
    <w:rsid w:val="4CF30F4D"/>
    <w:rsid w:val="4CF51418"/>
    <w:rsid w:val="4CFF75D5"/>
    <w:rsid w:val="4D006EAF"/>
    <w:rsid w:val="4D0A7821"/>
    <w:rsid w:val="4D135D42"/>
    <w:rsid w:val="4D1B69A4"/>
    <w:rsid w:val="4D2C6E03"/>
    <w:rsid w:val="4D392B1F"/>
    <w:rsid w:val="4D3E12ED"/>
    <w:rsid w:val="4D44414D"/>
    <w:rsid w:val="4D445EFB"/>
    <w:rsid w:val="4D4978AF"/>
    <w:rsid w:val="4D532D26"/>
    <w:rsid w:val="4D545630"/>
    <w:rsid w:val="4D597F6B"/>
    <w:rsid w:val="4D5B36BC"/>
    <w:rsid w:val="4D5B4FF3"/>
    <w:rsid w:val="4D64659D"/>
    <w:rsid w:val="4D677E3B"/>
    <w:rsid w:val="4D695962"/>
    <w:rsid w:val="4D6A3FBD"/>
    <w:rsid w:val="4D720CBA"/>
    <w:rsid w:val="4D7A191D"/>
    <w:rsid w:val="4D7C0241"/>
    <w:rsid w:val="4D7C23CC"/>
    <w:rsid w:val="4D7D0610"/>
    <w:rsid w:val="4D856699"/>
    <w:rsid w:val="4D857F86"/>
    <w:rsid w:val="4D8702A8"/>
    <w:rsid w:val="4D8821DB"/>
    <w:rsid w:val="4D883580"/>
    <w:rsid w:val="4D8C33FE"/>
    <w:rsid w:val="4D906A04"/>
    <w:rsid w:val="4D944396"/>
    <w:rsid w:val="4D987FF5"/>
    <w:rsid w:val="4D9D1E67"/>
    <w:rsid w:val="4D9D560B"/>
    <w:rsid w:val="4D9E7587"/>
    <w:rsid w:val="4DAB0146"/>
    <w:rsid w:val="4DAC584E"/>
    <w:rsid w:val="4DAF76FF"/>
    <w:rsid w:val="4DB4701C"/>
    <w:rsid w:val="4DB61FA2"/>
    <w:rsid w:val="4DB933FD"/>
    <w:rsid w:val="4DBA7F6B"/>
    <w:rsid w:val="4DBC0187"/>
    <w:rsid w:val="4DBC3CE3"/>
    <w:rsid w:val="4DC72DDC"/>
    <w:rsid w:val="4DC96FCE"/>
    <w:rsid w:val="4DCF59A2"/>
    <w:rsid w:val="4DD311EA"/>
    <w:rsid w:val="4DD74FC1"/>
    <w:rsid w:val="4DD90BA6"/>
    <w:rsid w:val="4DDA23BB"/>
    <w:rsid w:val="4DDC446F"/>
    <w:rsid w:val="4DDC5C78"/>
    <w:rsid w:val="4DDE0F4B"/>
    <w:rsid w:val="4DE65204"/>
    <w:rsid w:val="4DE97CB5"/>
    <w:rsid w:val="4DEC66C1"/>
    <w:rsid w:val="4DF6613C"/>
    <w:rsid w:val="4DF90A7A"/>
    <w:rsid w:val="4DFE32A5"/>
    <w:rsid w:val="4E006FDE"/>
    <w:rsid w:val="4E025AA8"/>
    <w:rsid w:val="4E061402"/>
    <w:rsid w:val="4E0950F3"/>
    <w:rsid w:val="4E0C5355"/>
    <w:rsid w:val="4E0F5D45"/>
    <w:rsid w:val="4E111296"/>
    <w:rsid w:val="4E123180"/>
    <w:rsid w:val="4E155DBA"/>
    <w:rsid w:val="4E162099"/>
    <w:rsid w:val="4E1839FA"/>
    <w:rsid w:val="4E1A41A0"/>
    <w:rsid w:val="4E1C6E78"/>
    <w:rsid w:val="4E1F420A"/>
    <w:rsid w:val="4E2146FA"/>
    <w:rsid w:val="4E2533DB"/>
    <w:rsid w:val="4E30482C"/>
    <w:rsid w:val="4E3C3076"/>
    <w:rsid w:val="4E462B47"/>
    <w:rsid w:val="4E485577"/>
    <w:rsid w:val="4E58553D"/>
    <w:rsid w:val="4E593C28"/>
    <w:rsid w:val="4E5B44D1"/>
    <w:rsid w:val="4E5D0242"/>
    <w:rsid w:val="4E656129"/>
    <w:rsid w:val="4E6974F8"/>
    <w:rsid w:val="4E6C3A6F"/>
    <w:rsid w:val="4E6D3230"/>
    <w:rsid w:val="4E6D7361"/>
    <w:rsid w:val="4E7D199F"/>
    <w:rsid w:val="4E8567CB"/>
    <w:rsid w:val="4E8F13F8"/>
    <w:rsid w:val="4E913B06"/>
    <w:rsid w:val="4E920EE8"/>
    <w:rsid w:val="4E944C60"/>
    <w:rsid w:val="4E964534"/>
    <w:rsid w:val="4E9B7300"/>
    <w:rsid w:val="4E9C76F1"/>
    <w:rsid w:val="4EA4150E"/>
    <w:rsid w:val="4EA53C12"/>
    <w:rsid w:val="4EA53DD6"/>
    <w:rsid w:val="4EA9347A"/>
    <w:rsid w:val="4EAD7AD0"/>
    <w:rsid w:val="4EB178AE"/>
    <w:rsid w:val="4EB329FB"/>
    <w:rsid w:val="4EB34307"/>
    <w:rsid w:val="4EB424DB"/>
    <w:rsid w:val="4EBB043F"/>
    <w:rsid w:val="4EBB3F9B"/>
    <w:rsid w:val="4EC07803"/>
    <w:rsid w:val="4EC106FD"/>
    <w:rsid w:val="4EC75D80"/>
    <w:rsid w:val="4ECC43FA"/>
    <w:rsid w:val="4ED96B17"/>
    <w:rsid w:val="4EDB752F"/>
    <w:rsid w:val="4EDC10A1"/>
    <w:rsid w:val="4EDE49FA"/>
    <w:rsid w:val="4EE03A01"/>
    <w:rsid w:val="4EE07EA5"/>
    <w:rsid w:val="4EE554BC"/>
    <w:rsid w:val="4EE55D69"/>
    <w:rsid w:val="4EEB18E0"/>
    <w:rsid w:val="4EEB489F"/>
    <w:rsid w:val="4EEC05F8"/>
    <w:rsid w:val="4EEE7702"/>
    <w:rsid w:val="4EEF27B9"/>
    <w:rsid w:val="4EF80B1E"/>
    <w:rsid w:val="4EF86F9D"/>
    <w:rsid w:val="4EFA0F67"/>
    <w:rsid w:val="4F05425F"/>
    <w:rsid w:val="4F0876B5"/>
    <w:rsid w:val="4F0C60C4"/>
    <w:rsid w:val="4F0E61D4"/>
    <w:rsid w:val="4F0F167D"/>
    <w:rsid w:val="4F162924"/>
    <w:rsid w:val="4F16583D"/>
    <w:rsid w:val="4F1C2401"/>
    <w:rsid w:val="4F1D6A04"/>
    <w:rsid w:val="4F1E71B7"/>
    <w:rsid w:val="4F22735C"/>
    <w:rsid w:val="4F231CCA"/>
    <w:rsid w:val="4F3F4C1E"/>
    <w:rsid w:val="4F44079F"/>
    <w:rsid w:val="4F443F90"/>
    <w:rsid w:val="4F4E3061"/>
    <w:rsid w:val="4F525140"/>
    <w:rsid w:val="4F534698"/>
    <w:rsid w:val="4F5A1A06"/>
    <w:rsid w:val="4F5E0EB7"/>
    <w:rsid w:val="4F5F72FE"/>
    <w:rsid w:val="4F601721"/>
    <w:rsid w:val="4F610207"/>
    <w:rsid w:val="4F626819"/>
    <w:rsid w:val="4F670665"/>
    <w:rsid w:val="4F6A776F"/>
    <w:rsid w:val="4F6A7F71"/>
    <w:rsid w:val="4F6F1B5A"/>
    <w:rsid w:val="4F701326"/>
    <w:rsid w:val="4F773DCF"/>
    <w:rsid w:val="4F7E2F5E"/>
    <w:rsid w:val="4F820A82"/>
    <w:rsid w:val="4F86388D"/>
    <w:rsid w:val="4F897274"/>
    <w:rsid w:val="4F8B7B21"/>
    <w:rsid w:val="4F8D5DC0"/>
    <w:rsid w:val="4F8E16AF"/>
    <w:rsid w:val="4F90367A"/>
    <w:rsid w:val="4FA00C7C"/>
    <w:rsid w:val="4FAD1966"/>
    <w:rsid w:val="4FAD6978"/>
    <w:rsid w:val="4FAE7D3F"/>
    <w:rsid w:val="4FAF4381"/>
    <w:rsid w:val="4FBE01E7"/>
    <w:rsid w:val="4FBF552D"/>
    <w:rsid w:val="4FC00FFA"/>
    <w:rsid w:val="4FC955DF"/>
    <w:rsid w:val="4FD069A5"/>
    <w:rsid w:val="4FD74E04"/>
    <w:rsid w:val="4FE25176"/>
    <w:rsid w:val="4FE319FB"/>
    <w:rsid w:val="4FE6773D"/>
    <w:rsid w:val="4FE84A9A"/>
    <w:rsid w:val="4FED19E0"/>
    <w:rsid w:val="4FF45606"/>
    <w:rsid w:val="4FFB69DD"/>
    <w:rsid w:val="4FFF435B"/>
    <w:rsid w:val="500D6A78"/>
    <w:rsid w:val="501A1195"/>
    <w:rsid w:val="501E1364"/>
    <w:rsid w:val="501F0659"/>
    <w:rsid w:val="50280E12"/>
    <w:rsid w:val="50285660"/>
    <w:rsid w:val="502D327F"/>
    <w:rsid w:val="502F4C40"/>
    <w:rsid w:val="50487B81"/>
    <w:rsid w:val="50490A1A"/>
    <w:rsid w:val="504C29DB"/>
    <w:rsid w:val="50502E09"/>
    <w:rsid w:val="50595A45"/>
    <w:rsid w:val="505B5E9B"/>
    <w:rsid w:val="505C3174"/>
    <w:rsid w:val="5064367F"/>
    <w:rsid w:val="50663CF1"/>
    <w:rsid w:val="50680152"/>
    <w:rsid w:val="50697A27"/>
    <w:rsid w:val="50727DA8"/>
    <w:rsid w:val="50740098"/>
    <w:rsid w:val="50746AF7"/>
    <w:rsid w:val="5075461D"/>
    <w:rsid w:val="50755CD0"/>
    <w:rsid w:val="508A631B"/>
    <w:rsid w:val="508C55E3"/>
    <w:rsid w:val="508D1E06"/>
    <w:rsid w:val="50932288"/>
    <w:rsid w:val="50962F12"/>
    <w:rsid w:val="5099030C"/>
    <w:rsid w:val="509963E6"/>
    <w:rsid w:val="50A64D0E"/>
    <w:rsid w:val="50A76A82"/>
    <w:rsid w:val="50AA1EAF"/>
    <w:rsid w:val="50B04C13"/>
    <w:rsid w:val="50BA2A73"/>
    <w:rsid w:val="50BE4216"/>
    <w:rsid w:val="50C51101"/>
    <w:rsid w:val="50CC19FF"/>
    <w:rsid w:val="50CD10A1"/>
    <w:rsid w:val="50CF1F80"/>
    <w:rsid w:val="50CF3D2E"/>
    <w:rsid w:val="50D175A1"/>
    <w:rsid w:val="50DB0651"/>
    <w:rsid w:val="50DD28EE"/>
    <w:rsid w:val="50E7577F"/>
    <w:rsid w:val="50EA5985"/>
    <w:rsid w:val="50EA73FA"/>
    <w:rsid w:val="50EC0D83"/>
    <w:rsid w:val="50EE1D0D"/>
    <w:rsid w:val="50F13B7A"/>
    <w:rsid w:val="50F47E32"/>
    <w:rsid w:val="50FC1732"/>
    <w:rsid w:val="50FD4D3F"/>
    <w:rsid w:val="51026716"/>
    <w:rsid w:val="510576FA"/>
    <w:rsid w:val="510C6D30"/>
    <w:rsid w:val="510E1399"/>
    <w:rsid w:val="510E2070"/>
    <w:rsid w:val="51110514"/>
    <w:rsid w:val="51172003"/>
    <w:rsid w:val="512E4EF8"/>
    <w:rsid w:val="512F2A1E"/>
    <w:rsid w:val="51323E3B"/>
    <w:rsid w:val="51330FED"/>
    <w:rsid w:val="5134262F"/>
    <w:rsid w:val="51385D77"/>
    <w:rsid w:val="513D15DF"/>
    <w:rsid w:val="514041B8"/>
    <w:rsid w:val="51475FBA"/>
    <w:rsid w:val="51477D68"/>
    <w:rsid w:val="514B4F78"/>
    <w:rsid w:val="515470D9"/>
    <w:rsid w:val="515B3813"/>
    <w:rsid w:val="515B5639"/>
    <w:rsid w:val="51600941"/>
    <w:rsid w:val="51660D6B"/>
    <w:rsid w:val="51694182"/>
    <w:rsid w:val="516D2EA7"/>
    <w:rsid w:val="516D39BC"/>
    <w:rsid w:val="516E0FEB"/>
    <w:rsid w:val="516E3547"/>
    <w:rsid w:val="517A15B4"/>
    <w:rsid w:val="517A68F1"/>
    <w:rsid w:val="518961EF"/>
    <w:rsid w:val="518B672D"/>
    <w:rsid w:val="51917235"/>
    <w:rsid w:val="5192529B"/>
    <w:rsid w:val="51974A24"/>
    <w:rsid w:val="519A258E"/>
    <w:rsid w:val="51A717FC"/>
    <w:rsid w:val="51A80901"/>
    <w:rsid w:val="51AC2DB5"/>
    <w:rsid w:val="51AF14B1"/>
    <w:rsid w:val="51C23892"/>
    <w:rsid w:val="51C32E69"/>
    <w:rsid w:val="51C40AAD"/>
    <w:rsid w:val="51C61DA8"/>
    <w:rsid w:val="51C770FB"/>
    <w:rsid w:val="51C94C21"/>
    <w:rsid w:val="51CC3074"/>
    <w:rsid w:val="51CD2963"/>
    <w:rsid w:val="51D04201"/>
    <w:rsid w:val="51D610EC"/>
    <w:rsid w:val="51E043F4"/>
    <w:rsid w:val="51E04CE4"/>
    <w:rsid w:val="51E1447F"/>
    <w:rsid w:val="51E36869"/>
    <w:rsid w:val="51E77260"/>
    <w:rsid w:val="51EA1602"/>
    <w:rsid w:val="51EF4DD7"/>
    <w:rsid w:val="51F1798E"/>
    <w:rsid w:val="51F67BA9"/>
    <w:rsid w:val="51FD7766"/>
    <w:rsid w:val="52021EE1"/>
    <w:rsid w:val="52024883"/>
    <w:rsid w:val="52041C90"/>
    <w:rsid w:val="52067E35"/>
    <w:rsid w:val="52091B85"/>
    <w:rsid w:val="521560B8"/>
    <w:rsid w:val="521C7446"/>
    <w:rsid w:val="521D10A2"/>
    <w:rsid w:val="521D4F6D"/>
    <w:rsid w:val="521F3D94"/>
    <w:rsid w:val="522409BB"/>
    <w:rsid w:val="52285DEB"/>
    <w:rsid w:val="522D1654"/>
    <w:rsid w:val="522E0F28"/>
    <w:rsid w:val="52304CA0"/>
    <w:rsid w:val="52322221"/>
    <w:rsid w:val="5239232C"/>
    <w:rsid w:val="523C1897"/>
    <w:rsid w:val="523C35A4"/>
    <w:rsid w:val="523E4817"/>
    <w:rsid w:val="523F7B3D"/>
    <w:rsid w:val="52426781"/>
    <w:rsid w:val="524356C7"/>
    <w:rsid w:val="524B2C33"/>
    <w:rsid w:val="524E3378"/>
    <w:rsid w:val="524F352C"/>
    <w:rsid w:val="5250603C"/>
    <w:rsid w:val="525070F0"/>
    <w:rsid w:val="525A7B9B"/>
    <w:rsid w:val="525E35BB"/>
    <w:rsid w:val="526C7747"/>
    <w:rsid w:val="527032EE"/>
    <w:rsid w:val="52705CA9"/>
    <w:rsid w:val="527135D1"/>
    <w:rsid w:val="527821A3"/>
    <w:rsid w:val="527948B1"/>
    <w:rsid w:val="527E052D"/>
    <w:rsid w:val="527E5A0B"/>
    <w:rsid w:val="527F2070"/>
    <w:rsid w:val="527F5809"/>
    <w:rsid w:val="52815B77"/>
    <w:rsid w:val="528172AA"/>
    <w:rsid w:val="528A2602"/>
    <w:rsid w:val="529A2A71"/>
    <w:rsid w:val="529B483B"/>
    <w:rsid w:val="52A40E59"/>
    <w:rsid w:val="52A41D71"/>
    <w:rsid w:val="52A80EC4"/>
    <w:rsid w:val="52AA040A"/>
    <w:rsid w:val="52AC708D"/>
    <w:rsid w:val="52B503E1"/>
    <w:rsid w:val="52B560D7"/>
    <w:rsid w:val="52B9151D"/>
    <w:rsid w:val="52BE405A"/>
    <w:rsid w:val="52C05631"/>
    <w:rsid w:val="52C77F71"/>
    <w:rsid w:val="52CA0C50"/>
    <w:rsid w:val="52CA6EA2"/>
    <w:rsid w:val="52CC2C1B"/>
    <w:rsid w:val="52D3346C"/>
    <w:rsid w:val="52D528FB"/>
    <w:rsid w:val="52DF3444"/>
    <w:rsid w:val="52E111BE"/>
    <w:rsid w:val="52E71802"/>
    <w:rsid w:val="52E8669F"/>
    <w:rsid w:val="52EC6E19"/>
    <w:rsid w:val="52EF48A3"/>
    <w:rsid w:val="52F049AF"/>
    <w:rsid w:val="52F7327B"/>
    <w:rsid w:val="52F83D36"/>
    <w:rsid w:val="530103EA"/>
    <w:rsid w:val="5305612D"/>
    <w:rsid w:val="53083527"/>
    <w:rsid w:val="53091EF7"/>
    <w:rsid w:val="5311478A"/>
    <w:rsid w:val="5312463F"/>
    <w:rsid w:val="53174242"/>
    <w:rsid w:val="53180D1B"/>
    <w:rsid w:val="531C617F"/>
    <w:rsid w:val="532057B4"/>
    <w:rsid w:val="532C7FA6"/>
    <w:rsid w:val="533342A8"/>
    <w:rsid w:val="53334A48"/>
    <w:rsid w:val="53341D8D"/>
    <w:rsid w:val="53355A32"/>
    <w:rsid w:val="53484F5F"/>
    <w:rsid w:val="534F2AD4"/>
    <w:rsid w:val="535133E3"/>
    <w:rsid w:val="53592C8A"/>
    <w:rsid w:val="535935E2"/>
    <w:rsid w:val="535B35DE"/>
    <w:rsid w:val="535E6975"/>
    <w:rsid w:val="53602551"/>
    <w:rsid w:val="53664EB1"/>
    <w:rsid w:val="536B387B"/>
    <w:rsid w:val="536B633F"/>
    <w:rsid w:val="536E4231"/>
    <w:rsid w:val="536F40F5"/>
    <w:rsid w:val="53705AE0"/>
    <w:rsid w:val="53733B29"/>
    <w:rsid w:val="53764934"/>
    <w:rsid w:val="53774729"/>
    <w:rsid w:val="537B019D"/>
    <w:rsid w:val="5382152B"/>
    <w:rsid w:val="538A1B28"/>
    <w:rsid w:val="538C5F06"/>
    <w:rsid w:val="538F3C48"/>
    <w:rsid w:val="5395046A"/>
    <w:rsid w:val="53996BF5"/>
    <w:rsid w:val="539B439B"/>
    <w:rsid w:val="539D45B7"/>
    <w:rsid w:val="53A024B2"/>
    <w:rsid w:val="53A10690"/>
    <w:rsid w:val="53A27BFA"/>
    <w:rsid w:val="53A81EAA"/>
    <w:rsid w:val="53AB5C87"/>
    <w:rsid w:val="53B2342F"/>
    <w:rsid w:val="53B447E3"/>
    <w:rsid w:val="53B65679"/>
    <w:rsid w:val="53B82429"/>
    <w:rsid w:val="53B84E3E"/>
    <w:rsid w:val="53BA0CC5"/>
    <w:rsid w:val="53C061E4"/>
    <w:rsid w:val="53C2156E"/>
    <w:rsid w:val="53C23282"/>
    <w:rsid w:val="53C31BAF"/>
    <w:rsid w:val="53C733E2"/>
    <w:rsid w:val="53D5112A"/>
    <w:rsid w:val="53D75979"/>
    <w:rsid w:val="53D93D19"/>
    <w:rsid w:val="53DD2C05"/>
    <w:rsid w:val="53E258CA"/>
    <w:rsid w:val="53E43F94"/>
    <w:rsid w:val="53E47AF0"/>
    <w:rsid w:val="53E775E0"/>
    <w:rsid w:val="53EA75FE"/>
    <w:rsid w:val="53EB521C"/>
    <w:rsid w:val="53F868FB"/>
    <w:rsid w:val="53F93CA7"/>
    <w:rsid w:val="53FC0371"/>
    <w:rsid w:val="54023B2F"/>
    <w:rsid w:val="5404521D"/>
    <w:rsid w:val="540A09EF"/>
    <w:rsid w:val="54140FDE"/>
    <w:rsid w:val="541960F0"/>
    <w:rsid w:val="541C1980"/>
    <w:rsid w:val="541C372E"/>
    <w:rsid w:val="541C4A8A"/>
    <w:rsid w:val="54261A12"/>
    <w:rsid w:val="542720D3"/>
    <w:rsid w:val="542D7105"/>
    <w:rsid w:val="542F0C8B"/>
    <w:rsid w:val="54300F87"/>
    <w:rsid w:val="54350A5B"/>
    <w:rsid w:val="543B07BD"/>
    <w:rsid w:val="54427E9B"/>
    <w:rsid w:val="544B5DC1"/>
    <w:rsid w:val="545114AC"/>
    <w:rsid w:val="54564FA9"/>
    <w:rsid w:val="54581EFB"/>
    <w:rsid w:val="54686973"/>
    <w:rsid w:val="546B1FBF"/>
    <w:rsid w:val="5470751C"/>
    <w:rsid w:val="54723530"/>
    <w:rsid w:val="54754BEC"/>
    <w:rsid w:val="5475644B"/>
    <w:rsid w:val="547A6B9C"/>
    <w:rsid w:val="547B3A79"/>
    <w:rsid w:val="547D3450"/>
    <w:rsid w:val="547F3CBD"/>
    <w:rsid w:val="54873718"/>
    <w:rsid w:val="548968E9"/>
    <w:rsid w:val="548C301C"/>
    <w:rsid w:val="54910CBB"/>
    <w:rsid w:val="5492579E"/>
    <w:rsid w:val="54931516"/>
    <w:rsid w:val="549371CB"/>
    <w:rsid w:val="54971006"/>
    <w:rsid w:val="549A3F0F"/>
    <w:rsid w:val="549E7AB1"/>
    <w:rsid w:val="54AB2D04"/>
    <w:rsid w:val="54AC068E"/>
    <w:rsid w:val="54B90F7D"/>
    <w:rsid w:val="54BA1BD0"/>
    <w:rsid w:val="54C634A0"/>
    <w:rsid w:val="54C63B7A"/>
    <w:rsid w:val="54C719D2"/>
    <w:rsid w:val="54CC4E2E"/>
    <w:rsid w:val="54CC5154"/>
    <w:rsid w:val="54CF07A0"/>
    <w:rsid w:val="54D54ABE"/>
    <w:rsid w:val="54E161BC"/>
    <w:rsid w:val="54E46BAF"/>
    <w:rsid w:val="54E67898"/>
    <w:rsid w:val="54E871B2"/>
    <w:rsid w:val="54F02FA1"/>
    <w:rsid w:val="54F230EF"/>
    <w:rsid w:val="54F34851"/>
    <w:rsid w:val="54F41FB5"/>
    <w:rsid w:val="54F96759"/>
    <w:rsid w:val="54FB2951"/>
    <w:rsid w:val="55083DA4"/>
    <w:rsid w:val="55097EDF"/>
    <w:rsid w:val="550A054A"/>
    <w:rsid w:val="55115E79"/>
    <w:rsid w:val="551408A9"/>
    <w:rsid w:val="55142657"/>
    <w:rsid w:val="551674F3"/>
    <w:rsid w:val="55192C9C"/>
    <w:rsid w:val="551A3DBA"/>
    <w:rsid w:val="551D35FD"/>
    <w:rsid w:val="551D55A3"/>
    <w:rsid w:val="551F0EE2"/>
    <w:rsid w:val="55216DF3"/>
    <w:rsid w:val="55237304"/>
    <w:rsid w:val="55284D7A"/>
    <w:rsid w:val="552A00CC"/>
    <w:rsid w:val="552C113E"/>
    <w:rsid w:val="552C2C0B"/>
    <w:rsid w:val="55332D00"/>
    <w:rsid w:val="5535371D"/>
    <w:rsid w:val="55382DBA"/>
    <w:rsid w:val="553B5E36"/>
    <w:rsid w:val="553C395C"/>
    <w:rsid w:val="553D4104"/>
    <w:rsid w:val="553D6107"/>
    <w:rsid w:val="553F51FE"/>
    <w:rsid w:val="5543118E"/>
    <w:rsid w:val="55432093"/>
    <w:rsid w:val="55482FE9"/>
    <w:rsid w:val="554A64CF"/>
    <w:rsid w:val="554D5B69"/>
    <w:rsid w:val="554F18E1"/>
    <w:rsid w:val="55540CA5"/>
    <w:rsid w:val="555962BC"/>
    <w:rsid w:val="55675434"/>
    <w:rsid w:val="55683FFB"/>
    <w:rsid w:val="556D3897"/>
    <w:rsid w:val="557355CF"/>
    <w:rsid w:val="55756D49"/>
    <w:rsid w:val="557910EB"/>
    <w:rsid w:val="557F1C19"/>
    <w:rsid w:val="557F21C6"/>
    <w:rsid w:val="55805F3E"/>
    <w:rsid w:val="5586381E"/>
    <w:rsid w:val="55876B05"/>
    <w:rsid w:val="55877169"/>
    <w:rsid w:val="558A0B6B"/>
    <w:rsid w:val="558A2919"/>
    <w:rsid w:val="558C761E"/>
    <w:rsid w:val="558E497B"/>
    <w:rsid w:val="558F13F8"/>
    <w:rsid w:val="55974B88"/>
    <w:rsid w:val="55A1408B"/>
    <w:rsid w:val="55A734CB"/>
    <w:rsid w:val="55AA3C15"/>
    <w:rsid w:val="55AC10AF"/>
    <w:rsid w:val="55AF5FEC"/>
    <w:rsid w:val="55B004B6"/>
    <w:rsid w:val="55B0710A"/>
    <w:rsid w:val="55B437AB"/>
    <w:rsid w:val="55B730E9"/>
    <w:rsid w:val="55B865EF"/>
    <w:rsid w:val="55C1657C"/>
    <w:rsid w:val="55C73B6D"/>
    <w:rsid w:val="55C75E52"/>
    <w:rsid w:val="55C86B79"/>
    <w:rsid w:val="55CA0F67"/>
    <w:rsid w:val="55CC4575"/>
    <w:rsid w:val="55DA2F15"/>
    <w:rsid w:val="55EF1895"/>
    <w:rsid w:val="55F52488"/>
    <w:rsid w:val="55F85AD5"/>
    <w:rsid w:val="56021111"/>
    <w:rsid w:val="56081B6F"/>
    <w:rsid w:val="560B2494"/>
    <w:rsid w:val="560B4AC1"/>
    <w:rsid w:val="560C474E"/>
    <w:rsid w:val="560E62EE"/>
    <w:rsid w:val="56123E9D"/>
    <w:rsid w:val="561373DA"/>
    <w:rsid w:val="56184C43"/>
    <w:rsid w:val="561B265A"/>
    <w:rsid w:val="56210428"/>
    <w:rsid w:val="56244B1C"/>
    <w:rsid w:val="56247946"/>
    <w:rsid w:val="562B7C58"/>
    <w:rsid w:val="562E0934"/>
    <w:rsid w:val="563766DA"/>
    <w:rsid w:val="563A70FA"/>
    <w:rsid w:val="563D4787"/>
    <w:rsid w:val="563E394A"/>
    <w:rsid w:val="564505F2"/>
    <w:rsid w:val="56474B1D"/>
    <w:rsid w:val="564B683B"/>
    <w:rsid w:val="564C06CE"/>
    <w:rsid w:val="564C575A"/>
    <w:rsid w:val="564D77AC"/>
    <w:rsid w:val="565328D9"/>
    <w:rsid w:val="56551179"/>
    <w:rsid w:val="565514E4"/>
    <w:rsid w:val="5655166F"/>
    <w:rsid w:val="565652E6"/>
    <w:rsid w:val="56584CC4"/>
    <w:rsid w:val="566118CC"/>
    <w:rsid w:val="56624519"/>
    <w:rsid w:val="566256FF"/>
    <w:rsid w:val="56637A97"/>
    <w:rsid w:val="566739E3"/>
    <w:rsid w:val="56692B86"/>
    <w:rsid w:val="566B44F9"/>
    <w:rsid w:val="56755377"/>
    <w:rsid w:val="56786322"/>
    <w:rsid w:val="567C04B4"/>
    <w:rsid w:val="567E79B3"/>
    <w:rsid w:val="567F1D52"/>
    <w:rsid w:val="568132BE"/>
    <w:rsid w:val="568B4B9B"/>
    <w:rsid w:val="568E5D67"/>
    <w:rsid w:val="56927CD7"/>
    <w:rsid w:val="569B4032"/>
    <w:rsid w:val="569D5E9B"/>
    <w:rsid w:val="569F29FB"/>
    <w:rsid w:val="56A17F1A"/>
    <w:rsid w:val="56A2043C"/>
    <w:rsid w:val="56A41A0A"/>
    <w:rsid w:val="56A53849"/>
    <w:rsid w:val="56A874FB"/>
    <w:rsid w:val="56AB0D99"/>
    <w:rsid w:val="56AB2B47"/>
    <w:rsid w:val="56AD2D63"/>
    <w:rsid w:val="56B6352D"/>
    <w:rsid w:val="56B81235"/>
    <w:rsid w:val="56BA739B"/>
    <w:rsid w:val="56BB02AE"/>
    <w:rsid w:val="56BE2754"/>
    <w:rsid w:val="56C41493"/>
    <w:rsid w:val="56C716C3"/>
    <w:rsid w:val="56D025AE"/>
    <w:rsid w:val="56D743D4"/>
    <w:rsid w:val="56E16569"/>
    <w:rsid w:val="56E36785"/>
    <w:rsid w:val="56E51D9B"/>
    <w:rsid w:val="56EB3AE2"/>
    <w:rsid w:val="56EB5F35"/>
    <w:rsid w:val="56F02760"/>
    <w:rsid w:val="56F20776"/>
    <w:rsid w:val="56F4100D"/>
    <w:rsid w:val="56F44D53"/>
    <w:rsid w:val="56F87F6E"/>
    <w:rsid w:val="56FE38F3"/>
    <w:rsid w:val="570861EB"/>
    <w:rsid w:val="570C06A2"/>
    <w:rsid w:val="570F1D7E"/>
    <w:rsid w:val="571652AB"/>
    <w:rsid w:val="571F1F55"/>
    <w:rsid w:val="572528F9"/>
    <w:rsid w:val="572A0D39"/>
    <w:rsid w:val="572B4477"/>
    <w:rsid w:val="572F4EDF"/>
    <w:rsid w:val="573C40E7"/>
    <w:rsid w:val="573C7E65"/>
    <w:rsid w:val="573E3EB0"/>
    <w:rsid w:val="573F5EB8"/>
    <w:rsid w:val="574B7E86"/>
    <w:rsid w:val="574F56BA"/>
    <w:rsid w:val="57546754"/>
    <w:rsid w:val="57572CCF"/>
    <w:rsid w:val="575D5EE9"/>
    <w:rsid w:val="575E4BF4"/>
    <w:rsid w:val="576263DF"/>
    <w:rsid w:val="57636ED5"/>
    <w:rsid w:val="576A030D"/>
    <w:rsid w:val="57711FE2"/>
    <w:rsid w:val="57713D91"/>
    <w:rsid w:val="57723665"/>
    <w:rsid w:val="57726E86"/>
    <w:rsid w:val="57825F9E"/>
    <w:rsid w:val="57882E88"/>
    <w:rsid w:val="578B1008"/>
    <w:rsid w:val="578B599F"/>
    <w:rsid w:val="578C4AA4"/>
    <w:rsid w:val="579058D3"/>
    <w:rsid w:val="57963D22"/>
    <w:rsid w:val="579E26AC"/>
    <w:rsid w:val="579F2E9D"/>
    <w:rsid w:val="57A001D2"/>
    <w:rsid w:val="57A715A6"/>
    <w:rsid w:val="57A8352A"/>
    <w:rsid w:val="57AE0B41"/>
    <w:rsid w:val="57B256A6"/>
    <w:rsid w:val="57B343A9"/>
    <w:rsid w:val="57B819BF"/>
    <w:rsid w:val="57BB01DA"/>
    <w:rsid w:val="57C57BA1"/>
    <w:rsid w:val="57CA3283"/>
    <w:rsid w:val="57CD2509"/>
    <w:rsid w:val="57CF3B30"/>
    <w:rsid w:val="57D40F71"/>
    <w:rsid w:val="57D6283E"/>
    <w:rsid w:val="57DA7B88"/>
    <w:rsid w:val="57DF060E"/>
    <w:rsid w:val="57E11796"/>
    <w:rsid w:val="57E275E3"/>
    <w:rsid w:val="57EA769F"/>
    <w:rsid w:val="57EF1A7A"/>
    <w:rsid w:val="57EF268E"/>
    <w:rsid w:val="57F3456B"/>
    <w:rsid w:val="57F347A6"/>
    <w:rsid w:val="57F41356"/>
    <w:rsid w:val="580123CF"/>
    <w:rsid w:val="580301D9"/>
    <w:rsid w:val="5806097D"/>
    <w:rsid w:val="580A5802"/>
    <w:rsid w:val="580C5867"/>
    <w:rsid w:val="580F161A"/>
    <w:rsid w:val="5814471C"/>
    <w:rsid w:val="581666E6"/>
    <w:rsid w:val="5818423F"/>
    <w:rsid w:val="58254CB4"/>
    <w:rsid w:val="582708F3"/>
    <w:rsid w:val="582C415B"/>
    <w:rsid w:val="582C677E"/>
    <w:rsid w:val="582F5E99"/>
    <w:rsid w:val="583446B4"/>
    <w:rsid w:val="58346B6C"/>
    <w:rsid w:val="58354FEA"/>
    <w:rsid w:val="583A344C"/>
    <w:rsid w:val="583B614D"/>
    <w:rsid w:val="58435CF5"/>
    <w:rsid w:val="584D37A9"/>
    <w:rsid w:val="584E2ADB"/>
    <w:rsid w:val="585039A6"/>
    <w:rsid w:val="58533496"/>
    <w:rsid w:val="58543D11"/>
    <w:rsid w:val="58580AAD"/>
    <w:rsid w:val="5858242F"/>
    <w:rsid w:val="585B234B"/>
    <w:rsid w:val="585C5402"/>
    <w:rsid w:val="585D40C1"/>
    <w:rsid w:val="58612C0E"/>
    <w:rsid w:val="58631263"/>
    <w:rsid w:val="58647D81"/>
    <w:rsid w:val="586539EC"/>
    <w:rsid w:val="586A79B6"/>
    <w:rsid w:val="586D09FC"/>
    <w:rsid w:val="586F29F6"/>
    <w:rsid w:val="58786DE7"/>
    <w:rsid w:val="587A0B18"/>
    <w:rsid w:val="587B5A3D"/>
    <w:rsid w:val="587E42E4"/>
    <w:rsid w:val="58803ECD"/>
    <w:rsid w:val="58823D7B"/>
    <w:rsid w:val="58830726"/>
    <w:rsid w:val="58831FCD"/>
    <w:rsid w:val="58837A6A"/>
    <w:rsid w:val="588418A2"/>
    <w:rsid w:val="588562C6"/>
    <w:rsid w:val="5887183A"/>
    <w:rsid w:val="588B2C30"/>
    <w:rsid w:val="5894299F"/>
    <w:rsid w:val="589A2E73"/>
    <w:rsid w:val="589D2551"/>
    <w:rsid w:val="58A0199F"/>
    <w:rsid w:val="58A06805"/>
    <w:rsid w:val="58A27F7A"/>
    <w:rsid w:val="58A65CBC"/>
    <w:rsid w:val="58AD3BCD"/>
    <w:rsid w:val="58AE5EFD"/>
    <w:rsid w:val="58B0165D"/>
    <w:rsid w:val="58B24661"/>
    <w:rsid w:val="58B2640F"/>
    <w:rsid w:val="58B90CC1"/>
    <w:rsid w:val="58BA52C3"/>
    <w:rsid w:val="58BB48B5"/>
    <w:rsid w:val="58BD6B62"/>
    <w:rsid w:val="58C16652"/>
    <w:rsid w:val="58C45DE1"/>
    <w:rsid w:val="58C63C68"/>
    <w:rsid w:val="58C87F98"/>
    <w:rsid w:val="58CE5954"/>
    <w:rsid w:val="58D26047"/>
    <w:rsid w:val="58D5034F"/>
    <w:rsid w:val="58D740C7"/>
    <w:rsid w:val="58D8399B"/>
    <w:rsid w:val="58D950A2"/>
    <w:rsid w:val="58DA5965"/>
    <w:rsid w:val="58DC348C"/>
    <w:rsid w:val="58DC7930"/>
    <w:rsid w:val="58E5087E"/>
    <w:rsid w:val="58EF1411"/>
    <w:rsid w:val="58F033DB"/>
    <w:rsid w:val="58F06F2B"/>
    <w:rsid w:val="58F46DC2"/>
    <w:rsid w:val="58F702C5"/>
    <w:rsid w:val="58FA78A0"/>
    <w:rsid w:val="58FC1D80"/>
    <w:rsid w:val="58FC49B0"/>
    <w:rsid w:val="590166B4"/>
    <w:rsid w:val="590236C2"/>
    <w:rsid w:val="59030A18"/>
    <w:rsid w:val="59056234"/>
    <w:rsid w:val="59066D33"/>
    <w:rsid w:val="590D438F"/>
    <w:rsid w:val="591A0753"/>
    <w:rsid w:val="59203955"/>
    <w:rsid w:val="59262D09"/>
    <w:rsid w:val="59266DFD"/>
    <w:rsid w:val="592C090B"/>
    <w:rsid w:val="5932754F"/>
    <w:rsid w:val="593E3B0B"/>
    <w:rsid w:val="59427AC2"/>
    <w:rsid w:val="59450906"/>
    <w:rsid w:val="594763E9"/>
    <w:rsid w:val="594A076E"/>
    <w:rsid w:val="594C6F1C"/>
    <w:rsid w:val="594D25DB"/>
    <w:rsid w:val="594D4389"/>
    <w:rsid w:val="59525DE4"/>
    <w:rsid w:val="595917B8"/>
    <w:rsid w:val="595D7738"/>
    <w:rsid w:val="59617139"/>
    <w:rsid w:val="596463D8"/>
    <w:rsid w:val="596D6B0E"/>
    <w:rsid w:val="597A431A"/>
    <w:rsid w:val="597F4614"/>
    <w:rsid w:val="59802572"/>
    <w:rsid w:val="5987789B"/>
    <w:rsid w:val="598A1932"/>
    <w:rsid w:val="598A5A20"/>
    <w:rsid w:val="599110D7"/>
    <w:rsid w:val="59933B19"/>
    <w:rsid w:val="59955C98"/>
    <w:rsid w:val="599B2F97"/>
    <w:rsid w:val="599B6EA3"/>
    <w:rsid w:val="599D70BF"/>
    <w:rsid w:val="599E6993"/>
    <w:rsid w:val="59A763F5"/>
    <w:rsid w:val="59A8175C"/>
    <w:rsid w:val="59A85DE9"/>
    <w:rsid w:val="59A91F6F"/>
    <w:rsid w:val="59AA17DC"/>
    <w:rsid w:val="59B30690"/>
    <w:rsid w:val="59B44360"/>
    <w:rsid w:val="59B47F65"/>
    <w:rsid w:val="59B6197F"/>
    <w:rsid w:val="59B909FF"/>
    <w:rsid w:val="59BC7AFE"/>
    <w:rsid w:val="59C02DAD"/>
    <w:rsid w:val="59C52952"/>
    <w:rsid w:val="59CA1527"/>
    <w:rsid w:val="59CF2FF0"/>
    <w:rsid w:val="59D80AA9"/>
    <w:rsid w:val="59D83710"/>
    <w:rsid w:val="59D95C1D"/>
    <w:rsid w:val="59DA2436"/>
    <w:rsid w:val="59DE03B7"/>
    <w:rsid w:val="59EE16C8"/>
    <w:rsid w:val="59F050DC"/>
    <w:rsid w:val="59F1371F"/>
    <w:rsid w:val="59F44FAA"/>
    <w:rsid w:val="59F5405C"/>
    <w:rsid w:val="5A0031AA"/>
    <w:rsid w:val="5A051671"/>
    <w:rsid w:val="5A0704BD"/>
    <w:rsid w:val="5A100AD4"/>
    <w:rsid w:val="5A112694"/>
    <w:rsid w:val="5A113609"/>
    <w:rsid w:val="5A1D1C7C"/>
    <w:rsid w:val="5A1E5A69"/>
    <w:rsid w:val="5A1F5D26"/>
    <w:rsid w:val="5A241370"/>
    <w:rsid w:val="5A261CD9"/>
    <w:rsid w:val="5A2870C2"/>
    <w:rsid w:val="5A2B6B3C"/>
    <w:rsid w:val="5A2C0443"/>
    <w:rsid w:val="5A2E035B"/>
    <w:rsid w:val="5A317807"/>
    <w:rsid w:val="5A33532D"/>
    <w:rsid w:val="5A3458E1"/>
    <w:rsid w:val="5A3966BC"/>
    <w:rsid w:val="5A3B0001"/>
    <w:rsid w:val="5A3B2A7A"/>
    <w:rsid w:val="5A4455DB"/>
    <w:rsid w:val="5A47200A"/>
    <w:rsid w:val="5A4F003A"/>
    <w:rsid w:val="5A504131"/>
    <w:rsid w:val="5A5604C0"/>
    <w:rsid w:val="5A562249"/>
    <w:rsid w:val="5A581136"/>
    <w:rsid w:val="5A5968C5"/>
    <w:rsid w:val="5A642DFF"/>
    <w:rsid w:val="5A6B2963"/>
    <w:rsid w:val="5A7616BE"/>
    <w:rsid w:val="5A786B56"/>
    <w:rsid w:val="5A8038BC"/>
    <w:rsid w:val="5A8262B5"/>
    <w:rsid w:val="5A8454B5"/>
    <w:rsid w:val="5A89319F"/>
    <w:rsid w:val="5A8D4F64"/>
    <w:rsid w:val="5A937BDB"/>
    <w:rsid w:val="5A9C4912"/>
    <w:rsid w:val="5A9F29C3"/>
    <w:rsid w:val="5A9F77D5"/>
    <w:rsid w:val="5AA11A7A"/>
    <w:rsid w:val="5AB30B33"/>
    <w:rsid w:val="5AB6106F"/>
    <w:rsid w:val="5AB83A84"/>
    <w:rsid w:val="5ABB1CF5"/>
    <w:rsid w:val="5AC37F5C"/>
    <w:rsid w:val="5AC47A90"/>
    <w:rsid w:val="5ACD2CB0"/>
    <w:rsid w:val="5AD252C0"/>
    <w:rsid w:val="5ADA6A2E"/>
    <w:rsid w:val="5AE35C06"/>
    <w:rsid w:val="5AE5341A"/>
    <w:rsid w:val="5AEB3E5A"/>
    <w:rsid w:val="5AEB3EC1"/>
    <w:rsid w:val="5AEE0E58"/>
    <w:rsid w:val="5AEF734B"/>
    <w:rsid w:val="5AF17033"/>
    <w:rsid w:val="5AF2412D"/>
    <w:rsid w:val="5AF947C9"/>
    <w:rsid w:val="5AFC7E15"/>
    <w:rsid w:val="5B095D83"/>
    <w:rsid w:val="5B0B1E06"/>
    <w:rsid w:val="5B11250D"/>
    <w:rsid w:val="5B12588A"/>
    <w:rsid w:val="5B13515F"/>
    <w:rsid w:val="5B195B82"/>
    <w:rsid w:val="5B2107D1"/>
    <w:rsid w:val="5B2201C6"/>
    <w:rsid w:val="5B224FAA"/>
    <w:rsid w:val="5B2D7FCE"/>
    <w:rsid w:val="5B327C47"/>
    <w:rsid w:val="5B3E5B33"/>
    <w:rsid w:val="5B3E6680"/>
    <w:rsid w:val="5B414B3D"/>
    <w:rsid w:val="5B41567D"/>
    <w:rsid w:val="5B436ADE"/>
    <w:rsid w:val="5B4672E2"/>
    <w:rsid w:val="5B4824DC"/>
    <w:rsid w:val="5B4A572E"/>
    <w:rsid w:val="5B4B471E"/>
    <w:rsid w:val="5B4F263B"/>
    <w:rsid w:val="5B5207D8"/>
    <w:rsid w:val="5B523D19"/>
    <w:rsid w:val="5B5544F8"/>
    <w:rsid w:val="5B5A62A2"/>
    <w:rsid w:val="5B621DEC"/>
    <w:rsid w:val="5B622E70"/>
    <w:rsid w:val="5B6360E6"/>
    <w:rsid w:val="5B6559BA"/>
    <w:rsid w:val="5B663499"/>
    <w:rsid w:val="5B672A91"/>
    <w:rsid w:val="5B6836FC"/>
    <w:rsid w:val="5B696765"/>
    <w:rsid w:val="5B6F05E7"/>
    <w:rsid w:val="5B710DE1"/>
    <w:rsid w:val="5B762465"/>
    <w:rsid w:val="5B8604C3"/>
    <w:rsid w:val="5B877CDF"/>
    <w:rsid w:val="5B885B4D"/>
    <w:rsid w:val="5B8D6CBF"/>
    <w:rsid w:val="5B8F00FC"/>
    <w:rsid w:val="5B992755"/>
    <w:rsid w:val="5B9938B6"/>
    <w:rsid w:val="5BAE196B"/>
    <w:rsid w:val="5BB110F1"/>
    <w:rsid w:val="5BB26302"/>
    <w:rsid w:val="5BB92FCA"/>
    <w:rsid w:val="5BBA0648"/>
    <w:rsid w:val="5BBA64AB"/>
    <w:rsid w:val="5BBC4504"/>
    <w:rsid w:val="5BBD5B40"/>
    <w:rsid w:val="5BC02170"/>
    <w:rsid w:val="5BC14BBB"/>
    <w:rsid w:val="5BD639AF"/>
    <w:rsid w:val="5BDE576D"/>
    <w:rsid w:val="5BDF2939"/>
    <w:rsid w:val="5BDF54C5"/>
    <w:rsid w:val="5BE70AC5"/>
    <w:rsid w:val="5BE8213B"/>
    <w:rsid w:val="5BEF2BE2"/>
    <w:rsid w:val="5BF006F3"/>
    <w:rsid w:val="5BF21512"/>
    <w:rsid w:val="5BF5087D"/>
    <w:rsid w:val="5BF8682E"/>
    <w:rsid w:val="5BF91E54"/>
    <w:rsid w:val="5BFB2FD7"/>
    <w:rsid w:val="5C001B87"/>
    <w:rsid w:val="5C0337B7"/>
    <w:rsid w:val="5C0936A1"/>
    <w:rsid w:val="5C101225"/>
    <w:rsid w:val="5C166367"/>
    <w:rsid w:val="5C18634B"/>
    <w:rsid w:val="5C1E1B93"/>
    <w:rsid w:val="5C28123C"/>
    <w:rsid w:val="5C2F2F98"/>
    <w:rsid w:val="5C34538D"/>
    <w:rsid w:val="5C3927C9"/>
    <w:rsid w:val="5C3B2BBF"/>
    <w:rsid w:val="5C3E106E"/>
    <w:rsid w:val="5C416D00"/>
    <w:rsid w:val="5C43112E"/>
    <w:rsid w:val="5C457407"/>
    <w:rsid w:val="5C475989"/>
    <w:rsid w:val="5C477077"/>
    <w:rsid w:val="5C4E46A0"/>
    <w:rsid w:val="5C5079A3"/>
    <w:rsid w:val="5C5123E2"/>
    <w:rsid w:val="5C525426"/>
    <w:rsid w:val="5C551CAC"/>
    <w:rsid w:val="5C553C81"/>
    <w:rsid w:val="5C5909A8"/>
    <w:rsid w:val="5C590F23"/>
    <w:rsid w:val="5C59102F"/>
    <w:rsid w:val="5C60526B"/>
    <w:rsid w:val="5C64154B"/>
    <w:rsid w:val="5C645C72"/>
    <w:rsid w:val="5C6914DA"/>
    <w:rsid w:val="5C7F6213"/>
    <w:rsid w:val="5C8207EE"/>
    <w:rsid w:val="5C844087"/>
    <w:rsid w:val="5C862014"/>
    <w:rsid w:val="5C8E3077"/>
    <w:rsid w:val="5C906A3F"/>
    <w:rsid w:val="5C9F4EFC"/>
    <w:rsid w:val="5CA1012A"/>
    <w:rsid w:val="5CA51684"/>
    <w:rsid w:val="5CA6278E"/>
    <w:rsid w:val="5CA62C9E"/>
    <w:rsid w:val="5CA940FC"/>
    <w:rsid w:val="5CAF478F"/>
    <w:rsid w:val="5CB00EB7"/>
    <w:rsid w:val="5CB64EB5"/>
    <w:rsid w:val="5CB73713"/>
    <w:rsid w:val="5CB867D6"/>
    <w:rsid w:val="5CB90141"/>
    <w:rsid w:val="5CB95057"/>
    <w:rsid w:val="5CC137AF"/>
    <w:rsid w:val="5CC36C97"/>
    <w:rsid w:val="5CC9313D"/>
    <w:rsid w:val="5CCA30ED"/>
    <w:rsid w:val="5CCA6C5D"/>
    <w:rsid w:val="5CD16923"/>
    <w:rsid w:val="5CD4565B"/>
    <w:rsid w:val="5CD5089A"/>
    <w:rsid w:val="5CD56EAA"/>
    <w:rsid w:val="5CD61040"/>
    <w:rsid w:val="5CD76CD1"/>
    <w:rsid w:val="5CDC05EC"/>
    <w:rsid w:val="5CE31D7E"/>
    <w:rsid w:val="5CEC7AEA"/>
    <w:rsid w:val="5CEE5E83"/>
    <w:rsid w:val="5CF34591"/>
    <w:rsid w:val="5CF65B16"/>
    <w:rsid w:val="5CFA3B7A"/>
    <w:rsid w:val="5CFA40D7"/>
    <w:rsid w:val="5CFD7801"/>
    <w:rsid w:val="5CFE08AF"/>
    <w:rsid w:val="5D047455"/>
    <w:rsid w:val="5D0B433F"/>
    <w:rsid w:val="5D0F43CD"/>
    <w:rsid w:val="5D1256CE"/>
    <w:rsid w:val="5D1369D5"/>
    <w:rsid w:val="5D1551BE"/>
    <w:rsid w:val="5D173D7F"/>
    <w:rsid w:val="5D184CAE"/>
    <w:rsid w:val="5D1D0B53"/>
    <w:rsid w:val="5D221689"/>
    <w:rsid w:val="5D2D1484"/>
    <w:rsid w:val="5D2E62FA"/>
    <w:rsid w:val="5D362A80"/>
    <w:rsid w:val="5D3A352A"/>
    <w:rsid w:val="5D3B7AC8"/>
    <w:rsid w:val="5D3D64C3"/>
    <w:rsid w:val="5D410AA0"/>
    <w:rsid w:val="5D496166"/>
    <w:rsid w:val="5D4B0BE0"/>
    <w:rsid w:val="5D500D80"/>
    <w:rsid w:val="5D5374DD"/>
    <w:rsid w:val="5D563A15"/>
    <w:rsid w:val="5D565680"/>
    <w:rsid w:val="5D5C35FC"/>
    <w:rsid w:val="5D635307"/>
    <w:rsid w:val="5D6A7DB2"/>
    <w:rsid w:val="5D6C08B8"/>
    <w:rsid w:val="5D753EAF"/>
    <w:rsid w:val="5D7A14C5"/>
    <w:rsid w:val="5D7A3273"/>
    <w:rsid w:val="5D7B4149"/>
    <w:rsid w:val="5D82512C"/>
    <w:rsid w:val="5D8A38F0"/>
    <w:rsid w:val="5D972077"/>
    <w:rsid w:val="5D977853"/>
    <w:rsid w:val="5D9A2E8E"/>
    <w:rsid w:val="5D9F0F2C"/>
    <w:rsid w:val="5DA373AD"/>
    <w:rsid w:val="5DA61771"/>
    <w:rsid w:val="5DA64068"/>
    <w:rsid w:val="5DA73AFA"/>
    <w:rsid w:val="5DB20802"/>
    <w:rsid w:val="5DBC388C"/>
    <w:rsid w:val="5DBC38E6"/>
    <w:rsid w:val="5DC16B2F"/>
    <w:rsid w:val="5DC4436B"/>
    <w:rsid w:val="5DCF1D65"/>
    <w:rsid w:val="5DCF35BF"/>
    <w:rsid w:val="5DD575E7"/>
    <w:rsid w:val="5DD9486E"/>
    <w:rsid w:val="5DDD373C"/>
    <w:rsid w:val="5DE03A1E"/>
    <w:rsid w:val="5DE06E45"/>
    <w:rsid w:val="5DE25B5D"/>
    <w:rsid w:val="5DE8426A"/>
    <w:rsid w:val="5DEE70B9"/>
    <w:rsid w:val="5DF57F0C"/>
    <w:rsid w:val="5DF63241"/>
    <w:rsid w:val="5DFB3B0C"/>
    <w:rsid w:val="5DFC2D37"/>
    <w:rsid w:val="5E005E6E"/>
    <w:rsid w:val="5E0064CD"/>
    <w:rsid w:val="5E056F7F"/>
    <w:rsid w:val="5E0B036F"/>
    <w:rsid w:val="5E0B3A81"/>
    <w:rsid w:val="5E14191A"/>
    <w:rsid w:val="5E14439E"/>
    <w:rsid w:val="5E1601D1"/>
    <w:rsid w:val="5E180D61"/>
    <w:rsid w:val="5E1A454F"/>
    <w:rsid w:val="5E2075E7"/>
    <w:rsid w:val="5E266935"/>
    <w:rsid w:val="5E3723DB"/>
    <w:rsid w:val="5E390623"/>
    <w:rsid w:val="5E3A137B"/>
    <w:rsid w:val="5E3B2A02"/>
    <w:rsid w:val="5E3B61E4"/>
    <w:rsid w:val="5E3D2C1E"/>
    <w:rsid w:val="5E4E254F"/>
    <w:rsid w:val="5E4E4E2C"/>
    <w:rsid w:val="5E531852"/>
    <w:rsid w:val="5E541D16"/>
    <w:rsid w:val="5E554891"/>
    <w:rsid w:val="5E5E5F9D"/>
    <w:rsid w:val="5E6C1134"/>
    <w:rsid w:val="5E6D4B86"/>
    <w:rsid w:val="5E767EDE"/>
    <w:rsid w:val="5E7B72C3"/>
    <w:rsid w:val="5E8755FF"/>
    <w:rsid w:val="5E88169C"/>
    <w:rsid w:val="5E8B4D30"/>
    <w:rsid w:val="5E8D47D1"/>
    <w:rsid w:val="5E9A3C1D"/>
    <w:rsid w:val="5E9B16F3"/>
    <w:rsid w:val="5E9E38C2"/>
    <w:rsid w:val="5EA17159"/>
    <w:rsid w:val="5EAC5CC5"/>
    <w:rsid w:val="5EB427B5"/>
    <w:rsid w:val="5EB637BD"/>
    <w:rsid w:val="5EB91FF2"/>
    <w:rsid w:val="5EB92359"/>
    <w:rsid w:val="5EBA0BF6"/>
    <w:rsid w:val="5EBE461E"/>
    <w:rsid w:val="5EC13114"/>
    <w:rsid w:val="5EC92704"/>
    <w:rsid w:val="5EC94306"/>
    <w:rsid w:val="5ECB265D"/>
    <w:rsid w:val="5ECB647C"/>
    <w:rsid w:val="5ECE7D1A"/>
    <w:rsid w:val="5ED028AF"/>
    <w:rsid w:val="5ED30574"/>
    <w:rsid w:val="5ED55137"/>
    <w:rsid w:val="5EDE1B4B"/>
    <w:rsid w:val="5EDE5813"/>
    <w:rsid w:val="5EE000A3"/>
    <w:rsid w:val="5EE44BC7"/>
    <w:rsid w:val="5EEF712A"/>
    <w:rsid w:val="5EF24640"/>
    <w:rsid w:val="5EFA0523"/>
    <w:rsid w:val="5F0056AF"/>
    <w:rsid w:val="5F05191D"/>
    <w:rsid w:val="5F095812"/>
    <w:rsid w:val="5F0E0117"/>
    <w:rsid w:val="5F0F0803"/>
    <w:rsid w:val="5F107586"/>
    <w:rsid w:val="5F13572D"/>
    <w:rsid w:val="5F1855DB"/>
    <w:rsid w:val="5F1A3805"/>
    <w:rsid w:val="5F1D4B48"/>
    <w:rsid w:val="5F1F0576"/>
    <w:rsid w:val="5F294F51"/>
    <w:rsid w:val="5F2974D4"/>
    <w:rsid w:val="5F3B6A32"/>
    <w:rsid w:val="5F3D0DA6"/>
    <w:rsid w:val="5F41229A"/>
    <w:rsid w:val="5F473629"/>
    <w:rsid w:val="5F4A22D5"/>
    <w:rsid w:val="5F4B4EC7"/>
    <w:rsid w:val="5F542102"/>
    <w:rsid w:val="5F544198"/>
    <w:rsid w:val="5F583CF8"/>
    <w:rsid w:val="5F5F4E16"/>
    <w:rsid w:val="5F6441DB"/>
    <w:rsid w:val="5F685A79"/>
    <w:rsid w:val="5F69359F"/>
    <w:rsid w:val="5F6A6D6D"/>
    <w:rsid w:val="5F785423"/>
    <w:rsid w:val="5F7A64AD"/>
    <w:rsid w:val="5F880DD6"/>
    <w:rsid w:val="5F8A1E93"/>
    <w:rsid w:val="5F8B0241"/>
    <w:rsid w:val="5F8F3B89"/>
    <w:rsid w:val="5F93256A"/>
    <w:rsid w:val="5F954394"/>
    <w:rsid w:val="5F99243A"/>
    <w:rsid w:val="5F9A5E4E"/>
    <w:rsid w:val="5F9D6FB2"/>
    <w:rsid w:val="5FA33307"/>
    <w:rsid w:val="5FA61037"/>
    <w:rsid w:val="5FAA26F0"/>
    <w:rsid w:val="5FAB026B"/>
    <w:rsid w:val="5FAB1E0A"/>
    <w:rsid w:val="5FB11E91"/>
    <w:rsid w:val="5FB26F83"/>
    <w:rsid w:val="5FB54A36"/>
    <w:rsid w:val="5FB92779"/>
    <w:rsid w:val="5FBA204D"/>
    <w:rsid w:val="5FBC7B41"/>
    <w:rsid w:val="5FBE38EB"/>
    <w:rsid w:val="5FBE683C"/>
    <w:rsid w:val="5FC43684"/>
    <w:rsid w:val="5FC63C08"/>
    <w:rsid w:val="5FC92290"/>
    <w:rsid w:val="5FCB5012"/>
    <w:rsid w:val="5FCE0946"/>
    <w:rsid w:val="5FCE4FD0"/>
    <w:rsid w:val="5FCF78A6"/>
    <w:rsid w:val="5FD64512"/>
    <w:rsid w:val="5FDC6FF7"/>
    <w:rsid w:val="5FDF5E23"/>
    <w:rsid w:val="5FE074E1"/>
    <w:rsid w:val="5FF5153C"/>
    <w:rsid w:val="5FF967BF"/>
    <w:rsid w:val="5FFA1E2D"/>
    <w:rsid w:val="60002155"/>
    <w:rsid w:val="60057489"/>
    <w:rsid w:val="60065292"/>
    <w:rsid w:val="600D1DB1"/>
    <w:rsid w:val="600D572A"/>
    <w:rsid w:val="60120AA6"/>
    <w:rsid w:val="601478D8"/>
    <w:rsid w:val="601857BA"/>
    <w:rsid w:val="601A4C6A"/>
    <w:rsid w:val="602045A6"/>
    <w:rsid w:val="60222571"/>
    <w:rsid w:val="60246068"/>
    <w:rsid w:val="6024678F"/>
    <w:rsid w:val="602E5E9F"/>
    <w:rsid w:val="604638E0"/>
    <w:rsid w:val="604B347F"/>
    <w:rsid w:val="604D1FAD"/>
    <w:rsid w:val="604D6622"/>
    <w:rsid w:val="604D66F4"/>
    <w:rsid w:val="60507DED"/>
    <w:rsid w:val="6051411A"/>
    <w:rsid w:val="6052695B"/>
    <w:rsid w:val="60567FC7"/>
    <w:rsid w:val="60591866"/>
    <w:rsid w:val="60625B8E"/>
    <w:rsid w:val="60654456"/>
    <w:rsid w:val="60675917"/>
    <w:rsid w:val="60681AA9"/>
    <w:rsid w:val="606D2C19"/>
    <w:rsid w:val="608508AD"/>
    <w:rsid w:val="60852569"/>
    <w:rsid w:val="60885401"/>
    <w:rsid w:val="608B4D11"/>
    <w:rsid w:val="608E41B0"/>
    <w:rsid w:val="608E46CA"/>
    <w:rsid w:val="608E59B3"/>
    <w:rsid w:val="608F15CF"/>
    <w:rsid w:val="6091493A"/>
    <w:rsid w:val="60925A86"/>
    <w:rsid w:val="60931B35"/>
    <w:rsid w:val="60956E6E"/>
    <w:rsid w:val="609774DA"/>
    <w:rsid w:val="60997EB4"/>
    <w:rsid w:val="609A52AA"/>
    <w:rsid w:val="609D1311"/>
    <w:rsid w:val="60A87A87"/>
    <w:rsid w:val="60AA20C1"/>
    <w:rsid w:val="60AF592A"/>
    <w:rsid w:val="60B13450"/>
    <w:rsid w:val="60B43F99"/>
    <w:rsid w:val="60B65344"/>
    <w:rsid w:val="60B808EF"/>
    <w:rsid w:val="60B95131"/>
    <w:rsid w:val="60BC6575"/>
    <w:rsid w:val="60BD3BA3"/>
    <w:rsid w:val="60C15B05"/>
    <w:rsid w:val="60C70EC5"/>
    <w:rsid w:val="60CA62C0"/>
    <w:rsid w:val="60CC2038"/>
    <w:rsid w:val="60CC20B9"/>
    <w:rsid w:val="60CE1B52"/>
    <w:rsid w:val="60D035DF"/>
    <w:rsid w:val="60D2437E"/>
    <w:rsid w:val="60D4713E"/>
    <w:rsid w:val="60D55DAA"/>
    <w:rsid w:val="60D57679"/>
    <w:rsid w:val="60D61108"/>
    <w:rsid w:val="60D62EB6"/>
    <w:rsid w:val="60D740D7"/>
    <w:rsid w:val="60D96503"/>
    <w:rsid w:val="60DF60FA"/>
    <w:rsid w:val="60E07891"/>
    <w:rsid w:val="60E94244"/>
    <w:rsid w:val="60E96714"/>
    <w:rsid w:val="60EC6236"/>
    <w:rsid w:val="60EF46F9"/>
    <w:rsid w:val="60F32EED"/>
    <w:rsid w:val="60F35AFD"/>
    <w:rsid w:val="60FF32F8"/>
    <w:rsid w:val="61026AD5"/>
    <w:rsid w:val="61041AD6"/>
    <w:rsid w:val="61113EEE"/>
    <w:rsid w:val="61135C9F"/>
    <w:rsid w:val="611469E2"/>
    <w:rsid w:val="6117129D"/>
    <w:rsid w:val="61206856"/>
    <w:rsid w:val="61220BD1"/>
    <w:rsid w:val="61227579"/>
    <w:rsid w:val="61293715"/>
    <w:rsid w:val="612B536C"/>
    <w:rsid w:val="612B7429"/>
    <w:rsid w:val="612E7483"/>
    <w:rsid w:val="61377DF9"/>
    <w:rsid w:val="613876CD"/>
    <w:rsid w:val="61392B7B"/>
    <w:rsid w:val="613B4E64"/>
    <w:rsid w:val="614044EB"/>
    <w:rsid w:val="614225BA"/>
    <w:rsid w:val="61453B98"/>
    <w:rsid w:val="61454C97"/>
    <w:rsid w:val="61524F86"/>
    <w:rsid w:val="615378A9"/>
    <w:rsid w:val="615E4969"/>
    <w:rsid w:val="615F2EAC"/>
    <w:rsid w:val="61686204"/>
    <w:rsid w:val="616C33AD"/>
    <w:rsid w:val="61736DB9"/>
    <w:rsid w:val="61750C61"/>
    <w:rsid w:val="61761624"/>
    <w:rsid w:val="617A7CE6"/>
    <w:rsid w:val="617F2D1C"/>
    <w:rsid w:val="61823CAF"/>
    <w:rsid w:val="61894292"/>
    <w:rsid w:val="61897F29"/>
    <w:rsid w:val="618C6518"/>
    <w:rsid w:val="61923281"/>
    <w:rsid w:val="619552E1"/>
    <w:rsid w:val="619743F4"/>
    <w:rsid w:val="619C72A7"/>
    <w:rsid w:val="619D0329"/>
    <w:rsid w:val="61A47B89"/>
    <w:rsid w:val="61A75E00"/>
    <w:rsid w:val="61AE291A"/>
    <w:rsid w:val="61B01924"/>
    <w:rsid w:val="61B551C2"/>
    <w:rsid w:val="61B653AE"/>
    <w:rsid w:val="61B7198D"/>
    <w:rsid w:val="61B96A60"/>
    <w:rsid w:val="61BB6DE7"/>
    <w:rsid w:val="61BB7451"/>
    <w:rsid w:val="61BE5E24"/>
    <w:rsid w:val="61CF66AB"/>
    <w:rsid w:val="61D05447"/>
    <w:rsid w:val="61D6728C"/>
    <w:rsid w:val="61D94A0C"/>
    <w:rsid w:val="61DA7EA3"/>
    <w:rsid w:val="61E17353"/>
    <w:rsid w:val="61E6593F"/>
    <w:rsid w:val="61E67129"/>
    <w:rsid w:val="61EC61AB"/>
    <w:rsid w:val="61ED7052"/>
    <w:rsid w:val="61F50F1C"/>
    <w:rsid w:val="61FE4473"/>
    <w:rsid w:val="6200468F"/>
    <w:rsid w:val="62055885"/>
    <w:rsid w:val="620561D8"/>
    <w:rsid w:val="6208709F"/>
    <w:rsid w:val="620C2843"/>
    <w:rsid w:val="620C3D37"/>
    <w:rsid w:val="62104EF7"/>
    <w:rsid w:val="62116D10"/>
    <w:rsid w:val="621A421D"/>
    <w:rsid w:val="621F0147"/>
    <w:rsid w:val="62213376"/>
    <w:rsid w:val="62271B51"/>
    <w:rsid w:val="622901AE"/>
    <w:rsid w:val="62296CD2"/>
    <w:rsid w:val="62394F99"/>
    <w:rsid w:val="623C44C2"/>
    <w:rsid w:val="624B3430"/>
    <w:rsid w:val="624D71A8"/>
    <w:rsid w:val="624F0EAA"/>
    <w:rsid w:val="624F6775"/>
    <w:rsid w:val="62503D44"/>
    <w:rsid w:val="62540537"/>
    <w:rsid w:val="625B6FBC"/>
    <w:rsid w:val="62612490"/>
    <w:rsid w:val="6263077A"/>
    <w:rsid w:val="62682234"/>
    <w:rsid w:val="626E21EF"/>
    <w:rsid w:val="62727215"/>
    <w:rsid w:val="62745604"/>
    <w:rsid w:val="627E5BA9"/>
    <w:rsid w:val="62852789"/>
    <w:rsid w:val="628F77C1"/>
    <w:rsid w:val="62946C9C"/>
    <w:rsid w:val="629C68B0"/>
    <w:rsid w:val="629D0130"/>
    <w:rsid w:val="629E5C56"/>
    <w:rsid w:val="62A0094C"/>
    <w:rsid w:val="62A11BE4"/>
    <w:rsid w:val="62A354A9"/>
    <w:rsid w:val="62A860C0"/>
    <w:rsid w:val="62B04F84"/>
    <w:rsid w:val="62B1716A"/>
    <w:rsid w:val="62B17737"/>
    <w:rsid w:val="62B62882"/>
    <w:rsid w:val="62B659C6"/>
    <w:rsid w:val="62BB6808"/>
    <w:rsid w:val="62BC5F8E"/>
    <w:rsid w:val="62C0665A"/>
    <w:rsid w:val="62C067F6"/>
    <w:rsid w:val="62C456BC"/>
    <w:rsid w:val="62C54F90"/>
    <w:rsid w:val="62C60C22"/>
    <w:rsid w:val="62C61B4D"/>
    <w:rsid w:val="62CD5E9B"/>
    <w:rsid w:val="62D14FEA"/>
    <w:rsid w:val="62D40077"/>
    <w:rsid w:val="62D912D6"/>
    <w:rsid w:val="62E660A8"/>
    <w:rsid w:val="62F37D50"/>
    <w:rsid w:val="62F62311"/>
    <w:rsid w:val="62F803A4"/>
    <w:rsid w:val="62F94A6B"/>
    <w:rsid w:val="62FB09B2"/>
    <w:rsid w:val="63036478"/>
    <w:rsid w:val="630A4698"/>
    <w:rsid w:val="63186FC8"/>
    <w:rsid w:val="631A357C"/>
    <w:rsid w:val="631E189E"/>
    <w:rsid w:val="631E1AD3"/>
    <w:rsid w:val="63220635"/>
    <w:rsid w:val="63235E22"/>
    <w:rsid w:val="63251ED3"/>
    <w:rsid w:val="632779F9"/>
    <w:rsid w:val="63283D33"/>
    <w:rsid w:val="632D3566"/>
    <w:rsid w:val="632F79F9"/>
    <w:rsid w:val="6332172E"/>
    <w:rsid w:val="63343EC4"/>
    <w:rsid w:val="63376ACD"/>
    <w:rsid w:val="63376B6D"/>
    <w:rsid w:val="633A772C"/>
    <w:rsid w:val="633E0698"/>
    <w:rsid w:val="633F16AA"/>
    <w:rsid w:val="63424DCF"/>
    <w:rsid w:val="63482CEB"/>
    <w:rsid w:val="634A10FB"/>
    <w:rsid w:val="634B6F1D"/>
    <w:rsid w:val="634C56B2"/>
    <w:rsid w:val="634F2C44"/>
    <w:rsid w:val="63576530"/>
    <w:rsid w:val="6366080A"/>
    <w:rsid w:val="63693B8C"/>
    <w:rsid w:val="6375100F"/>
    <w:rsid w:val="637D68A7"/>
    <w:rsid w:val="63827325"/>
    <w:rsid w:val="638A3CE9"/>
    <w:rsid w:val="638B0419"/>
    <w:rsid w:val="63973E92"/>
    <w:rsid w:val="639A3A4D"/>
    <w:rsid w:val="639B02FF"/>
    <w:rsid w:val="639D7EB8"/>
    <w:rsid w:val="639F1BAF"/>
    <w:rsid w:val="639F3A33"/>
    <w:rsid w:val="63A1155A"/>
    <w:rsid w:val="63A457AC"/>
    <w:rsid w:val="63A92B04"/>
    <w:rsid w:val="63AD2324"/>
    <w:rsid w:val="63AD788A"/>
    <w:rsid w:val="63AF4E33"/>
    <w:rsid w:val="63B95626"/>
    <w:rsid w:val="63B95B47"/>
    <w:rsid w:val="63B97CE3"/>
    <w:rsid w:val="63BD1BDC"/>
    <w:rsid w:val="63CB4F91"/>
    <w:rsid w:val="63DF02D4"/>
    <w:rsid w:val="63E1404C"/>
    <w:rsid w:val="63E41081"/>
    <w:rsid w:val="63E6151F"/>
    <w:rsid w:val="63F03E84"/>
    <w:rsid w:val="63F7532D"/>
    <w:rsid w:val="63F91396"/>
    <w:rsid w:val="63FA59E2"/>
    <w:rsid w:val="63FD00F7"/>
    <w:rsid w:val="63FE1550"/>
    <w:rsid w:val="64022775"/>
    <w:rsid w:val="64061D04"/>
    <w:rsid w:val="6409626D"/>
    <w:rsid w:val="640975E9"/>
    <w:rsid w:val="640A6B73"/>
    <w:rsid w:val="64131C0F"/>
    <w:rsid w:val="641A755E"/>
    <w:rsid w:val="641F6922"/>
    <w:rsid w:val="6424218B"/>
    <w:rsid w:val="642D103F"/>
    <w:rsid w:val="64306D81"/>
    <w:rsid w:val="6431561E"/>
    <w:rsid w:val="64354171"/>
    <w:rsid w:val="6440471A"/>
    <w:rsid w:val="64471A1C"/>
    <w:rsid w:val="6448655A"/>
    <w:rsid w:val="6449399F"/>
    <w:rsid w:val="644D0AF9"/>
    <w:rsid w:val="644D16E1"/>
    <w:rsid w:val="6451254B"/>
    <w:rsid w:val="64524F4A"/>
    <w:rsid w:val="645E5A3E"/>
    <w:rsid w:val="645F55DF"/>
    <w:rsid w:val="64601415"/>
    <w:rsid w:val="64622E98"/>
    <w:rsid w:val="64663F31"/>
    <w:rsid w:val="646F46AB"/>
    <w:rsid w:val="64726987"/>
    <w:rsid w:val="64760F9C"/>
    <w:rsid w:val="647749B0"/>
    <w:rsid w:val="647C1FC7"/>
    <w:rsid w:val="647D0A51"/>
    <w:rsid w:val="647D6806"/>
    <w:rsid w:val="64853E29"/>
    <w:rsid w:val="64875CD0"/>
    <w:rsid w:val="648A5749"/>
    <w:rsid w:val="648C2233"/>
    <w:rsid w:val="648F5856"/>
    <w:rsid w:val="64926A5E"/>
    <w:rsid w:val="64994927"/>
    <w:rsid w:val="649E1F3D"/>
    <w:rsid w:val="649E5CB9"/>
    <w:rsid w:val="64A21A2D"/>
    <w:rsid w:val="64A226A9"/>
    <w:rsid w:val="64B000CE"/>
    <w:rsid w:val="64B20784"/>
    <w:rsid w:val="64B54A13"/>
    <w:rsid w:val="64B96D77"/>
    <w:rsid w:val="64BC23C3"/>
    <w:rsid w:val="64BF2C8B"/>
    <w:rsid w:val="64C01EB3"/>
    <w:rsid w:val="64C17332"/>
    <w:rsid w:val="64C3025B"/>
    <w:rsid w:val="64C86FBA"/>
    <w:rsid w:val="64CA2E5B"/>
    <w:rsid w:val="64CA4AE0"/>
    <w:rsid w:val="64CF02FD"/>
    <w:rsid w:val="64D30F52"/>
    <w:rsid w:val="64E04304"/>
    <w:rsid w:val="64E64CC7"/>
    <w:rsid w:val="64EA5E45"/>
    <w:rsid w:val="64EB5B2D"/>
    <w:rsid w:val="64EC2CA8"/>
    <w:rsid w:val="64EC4654"/>
    <w:rsid w:val="64F03C20"/>
    <w:rsid w:val="64F124E2"/>
    <w:rsid w:val="64F72019"/>
    <w:rsid w:val="64FB7DB3"/>
    <w:rsid w:val="6502071E"/>
    <w:rsid w:val="65095DDE"/>
    <w:rsid w:val="650F0585"/>
    <w:rsid w:val="650F37BF"/>
    <w:rsid w:val="6510214D"/>
    <w:rsid w:val="651049C8"/>
    <w:rsid w:val="65144583"/>
    <w:rsid w:val="65165F89"/>
    <w:rsid w:val="651E4E2C"/>
    <w:rsid w:val="652940F8"/>
    <w:rsid w:val="652A5B7C"/>
    <w:rsid w:val="652B54CB"/>
    <w:rsid w:val="652C0317"/>
    <w:rsid w:val="652E6EAE"/>
    <w:rsid w:val="65300771"/>
    <w:rsid w:val="65363ECD"/>
    <w:rsid w:val="653C3A9D"/>
    <w:rsid w:val="653E7E44"/>
    <w:rsid w:val="653F1506"/>
    <w:rsid w:val="65454094"/>
    <w:rsid w:val="65457F8A"/>
    <w:rsid w:val="65476131"/>
    <w:rsid w:val="65486F65"/>
    <w:rsid w:val="654900FB"/>
    <w:rsid w:val="654B3C55"/>
    <w:rsid w:val="654B5879"/>
    <w:rsid w:val="654C490D"/>
    <w:rsid w:val="654C6425"/>
    <w:rsid w:val="654E510C"/>
    <w:rsid w:val="65620089"/>
    <w:rsid w:val="656B0071"/>
    <w:rsid w:val="656C4A7E"/>
    <w:rsid w:val="656E164A"/>
    <w:rsid w:val="656E7B61"/>
    <w:rsid w:val="657038D9"/>
    <w:rsid w:val="657E26F2"/>
    <w:rsid w:val="65834B32"/>
    <w:rsid w:val="65870532"/>
    <w:rsid w:val="65874687"/>
    <w:rsid w:val="658C7FF8"/>
    <w:rsid w:val="65907AD8"/>
    <w:rsid w:val="65962C14"/>
    <w:rsid w:val="659B206D"/>
    <w:rsid w:val="659D0447"/>
    <w:rsid w:val="659D1FEC"/>
    <w:rsid w:val="65A31C4D"/>
    <w:rsid w:val="65A417D5"/>
    <w:rsid w:val="65A43583"/>
    <w:rsid w:val="65A6554D"/>
    <w:rsid w:val="65A86A3B"/>
    <w:rsid w:val="65A934F5"/>
    <w:rsid w:val="65AA3895"/>
    <w:rsid w:val="65AB0C57"/>
    <w:rsid w:val="65AD68DC"/>
    <w:rsid w:val="65AF0392"/>
    <w:rsid w:val="65B064C2"/>
    <w:rsid w:val="65B512EC"/>
    <w:rsid w:val="65B81733"/>
    <w:rsid w:val="65BA7CA3"/>
    <w:rsid w:val="65BD1F06"/>
    <w:rsid w:val="65BE7CD1"/>
    <w:rsid w:val="65C77BFA"/>
    <w:rsid w:val="65CB53A7"/>
    <w:rsid w:val="65CB63B1"/>
    <w:rsid w:val="65CB72FF"/>
    <w:rsid w:val="65D323A8"/>
    <w:rsid w:val="65E24F34"/>
    <w:rsid w:val="65E762A0"/>
    <w:rsid w:val="65E859C6"/>
    <w:rsid w:val="65F2743E"/>
    <w:rsid w:val="65FA7647"/>
    <w:rsid w:val="660202AA"/>
    <w:rsid w:val="660B5E3C"/>
    <w:rsid w:val="6623613E"/>
    <w:rsid w:val="662A2C72"/>
    <w:rsid w:val="662A4EFF"/>
    <w:rsid w:val="66335280"/>
    <w:rsid w:val="66367CEA"/>
    <w:rsid w:val="66391F1D"/>
    <w:rsid w:val="663A3821"/>
    <w:rsid w:val="663F32AC"/>
    <w:rsid w:val="664166AE"/>
    <w:rsid w:val="66495ED8"/>
    <w:rsid w:val="66546D57"/>
    <w:rsid w:val="6659611C"/>
    <w:rsid w:val="665A24C1"/>
    <w:rsid w:val="665A3DF4"/>
    <w:rsid w:val="66611474"/>
    <w:rsid w:val="66637674"/>
    <w:rsid w:val="66652ED8"/>
    <w:rsid w:val="666618FB"/>
    <w:rsid w:val="666A0329"/>
    <w:rsid w:val="666F18ED"/>
    <w:rsid w:val="667E2B1B"/>
    <w:rsid w:val="66853C29"/>
    <w:rsid w:val="66855163"/>
    <w:rsid w:val="66886A01"/>
    <w:rsid w:val="668B3C8D"/>
    <w:rsid w:val="669265A4"/>
    <w:rsid w:val="669B2BD8"/>
    <w:rsid w:val="66A12093"/>
    <w:rsid w:val="66A5482D"/>
    <w:rsid w:val="66A82BFF"/>
    <w:rsid w:val="66AA4BC9"/>
    <w:rsid w:val="66AE6619"/>
    <w:rsid w:val="66AF3F8D"/>
    <w:rsid w:val="66B16911"/>
    <w:rsid w:val="66B2541B"/>
    <w:rsid w:val="66B733D4"/>
    <w:rsid w:val="66B74BB6"/>
    <w:rsid w:val="66C155B9"/>
    <w:rsid w:val="66C2677C"/>
    <w:rsid w:val="66C81391"/>
    <w:rsid w:val="66CC5A13"/>
    <w:rsid w:val="66D659BE"/>
    <w:rsid w:val="66DC0AFB"/>
    <w:rsid w:val="66DF20A9"/>
    <w:rsid w:val="66EF6A80"/>
    <w:rsid w:val="66F07AF0"/>
    <w:rsid w:val="66F15393"/>
    <w:rsid w:val="66F20635"/>
    <w:rsid w:val="66F74D18"/>
    <w:rsid w:val="66F86878"/>
    <w:rsid w:val="66F9364E"/>
    <w:rsid w:val="66FA590B"/>
    <w:rsid w:val="66FC7C95"/>
    <w:rsid w:val="66FE2FE4"/>
    <w:rsid w:val="66FF45D0"/>
    <w:rsid w:val="67042216"/>
    <w:rsid w:val="670818F0"/>
    <w:rsid w:val="670F7122"/>
    <w:rsid w:val="6712276E"/>
    <w:rsid w:val="6712451C"/>
    <w:rsid w:val="671D3F87"/>
    <w:rsid w:val="67202AC4"/>
    <w:rsid w:val="672144AC"/>
    <w:rsid w:val="67245F55"/>
    <w:rsid w:val="672D1356"/>
    <w:rsid w:val="672E0F80"/>
    <w:rsid w:val="67362901"/>
    <w:rsid w:val="67392596"/>
    <w:rsid w:val="67397CFB"/>
    <w:rsid w:val="673B4BDB"/>
    <w:rsid w:val="674C76A2"/>
    <w:rsid w:val="674E0718"/>
    <w:rsid w:val="675039C2"/>
    <w:rsid w:val="67535261"/>
    <w:rsid w:val="67577423"/>
    <w:rsid w:val="675A65EF"/>
    <w:rsid w:val="675B3C0E"/>
    <w:rsid w:val="675F1EA0"/>
    <w:rsid w:val="67626BB3"/>
    <w:rsid w:val="67685EF2"/>
    <w:rsid w:val="676E5205"/>
    <w:rsid w:val="67746121"/>
    <w:rsid w:val="677839C8"/>
    <w:rsid w:val="67801FF6"/>
    <w:rsid w:val="6784541A"/>
    <w:rsid w:val="67896ED4"/>
    <w:rsid w:val="678B49FB"/>
    <w:rsid w:val="678D7BB8"/>
    <w:rsid w:val="678E44EB"/>
    <w:rsid w:val="67963502"/>
    <w:rsid w:val="679D028A"/>
    <w:rsid w:val="67A85010"/>
    <w:rsid w:val="67B73CF3"/>
    <w:rsid w:val="67BA097C"/>
    <w:rsid w:val="67C646FC"/>
    <w:rsid w:val="67C9209B"/>
    <w:rsid w:val="67CF75E2"/>
    <w:rsid w:val="67D821B5"/>
    <w:rsid w:val="67D91CE7"/>
    <w:rsid w:val="67DA3E79"/>
    <w:rsid w:val="67DB1EA6"/>
    <w:rsid w:val="67F26828"/>
    <w:rsid w:val="67F60B3E"/>
    <w:rsid w:val="67F75FD6"/>
    <w:rsid w:val="6800604F"/>
    <w:rsid w:val="68037836"/>
    <w:rsid w:val="68082B09"/>
    <w:rsid w:val="680945E5"/>
    <w:rsid w:val="68102E33"/>
    <w:rsid w:val="68104F00"/>
    <w:rsid w:val="68112A26"/>
    <w:rsid w:val="681A3FD0"/>
    <w:rsid w:val="681E31CA"/>
    <w:rsid w:val="681F15E7"/>
    <w:rsid w:val="682112FA"/>
    <w:rsid w:val="682B7EB3"/>
    <w:rsid w:val="682D5AB2"/>
    <w:rsid w:val="682E640B"/>
    <w:rsid w:val="682F365C"/>
    <w:rsid w:val="68307BE6"/>
    <w:rsid w:val="683719F0"/>
    <w:rsid w:val="683B6497"/>
    <w:rsid w:val="683B78D8"/>
    <w:rsid w:val="683C5CF5"/>
    <w:rsid w:val="684051B6"/>
    <w:rsid w:val="68442DFB"/>
    <w:rsid w:val="684A2F78"/>
    <w:rsid w:val="684C34DF"/>
    <w:rsid w:val="684D75AC"/>
    <w:rsid w:val="68572B2F"/>
    <w:rsid w:val="685B2053"/>
    <w:rsid w:val="685E1359"/>
    <w:rsid w:val="685E3EBD"/>
    <w:rsid w:val="685F7C35"/>
    <w:rsid w:val="686139AD"/>
    <w:rsid w:val="68614F7B"/>
    <w:rsid w:val="68617509"/>
    <w:rsid w:val="68623D98"/>
    <w:rsid w:val="68680898"/>
    <w:rsid w:val="686B65DA"/>
    <w:rsid w:val="686C190F"/>
    <w:rsid w:val="686C7104"/>
    <w:rsid w:val="686E3FED"/>
    <w:rsid w:val="686F5355"/>
    <w:rsid w:val="687063BF"/>
    <w:rsid w:val="6870672A"/>
    <w:rsid w:val="6873723D"/>
    <w:rsid w:val="68743F3C"/>
    <w:rsid w:val="68784853"/>
    <w:rsid w:val="687A1A91"/>
    <w:rsid w:val="687A681D"/>
    <w:rsid w:val="688B0A2A"/>
    <w:rsid w:val="6895357A"/>
    <w:rsid w:val="689667B0"/>
    <w:rsid w:val="6898187C"/>
    <w:rsid w:val="689B2562"/>
    <w:rsid w:val="689C0BE9"/>
    <w:rsid w:val="68A1024E"/>
    <w:rsid w:val="68A11FFC"/>
    <w:rsid w:val="68A13DAA"/>
    <w:rsid w:val="68B11834"/>
    <w:rsid w:val="68B27D65"/>
    <w:rsid w:val="68B910F3"/>
    <w:rsid w:val="68BD2115"/>
    <w:rsid w:val="68BF3FC8"/>
    <w:rsid w:val="68C40467"/>
    <w:rsid w:val="68CD2DF1"/>
    <w:rsid w:val="68CF0917"/>
    <w:rsid w:val="68D20D45"/>
    <w:rsid w:val="68D43533"/>
    <w:rsid w:val="68D5457C"/>
    <w:rsid w:val="68DB2581"/>
    <w:rsid w:val="68DB3760"/>
    <w:rsid w:val="68EA1D69"/>
    <w:rsid w:val="68EC14C9"/>
    <w:rsid w:val="68F47F0C"/>
    <w:rsid w:val="68F76880"/>
    <w:rsid w:val="68F77D0D"/>
    <w:rsid w:val="68FD4FD8"/>
    <w:rsid w:val="6900747E"/>
    <w:rsid w:val="69061253"/>
    <w:rsid w:val="690C22E9"/>
    <w:rsid w:val="690E58E3"/>
    <w:rsid w:val="69182133"/>
    <w:rsid w:val="69194A71"/>
    <w:rsid w:val="691A2A2B"/>
    <w:rsid w:val="69220034"/>
    <w:rsid w:val="69222494"/>
    <w:rsid w:val="69273B36"/>
    <w:rsid w:val="69274351"/>
    <w:rsid w:val="692757B4"/>
    <w:rsid w:val="692A0243"/>
    <w:rsid w:val="692E3A1D"/>
    <w:rsid w:val="69336C29"/>
    <w:rsid w:val="69392BB2"/>
    <w:rsid w:val="693A39DA"/>
    <w:rsid w:val="693A6CC4"/>
    <w:rsid w:val="69401DA6"/>
    <w:rsid w:val="694035C3"/>
    <w:rsid w:val="694153D8"/>
    <w:rsid w:val="69443884"/>
    <w:rsid w:val="69467418"/>
    <w:rsid w:val="694B1F7C"/>
    <w:rsid w:val="69533D3D"/>
    <w:rsid w:val="69693DEF"/>
    <w:rsid w:val="697725DC"/>
    <w:rsid w:val="697A2F79"/>
    <w:rsid w:val="6983783B"/>
    <w:rsid w:val="6985419E"/>
    <w:rsid w:val="698A09CA"/>
    <w:rsid w:val="698A4240"/>
    <w:rsid w:val="698C4A5A"/>
    <w:rsid w:val="698C6808"/>
    <w:rsid w:val="698E2FC7"/>
    <w:rsid w:val="699102C2"/>
    <w:rsid w:val="699456BD"/>
    <w:rsid w:val="699B6A4B"/>
    <w:rsid w:val="699E02E9"/>
    <w:rsid w:val="69A3000D"/>
    <w:rsid w:val="69A83316"/>
    <w:rsid w:val="69AF20E2"/>
    <w:rsid w:val="69B1021E"/>
    <w:rsid w:val="69B70565"/>
    <w:rsid w:val="69B813AB"/>
    <w:rsid w:val="69C0181E"/>
    <w:rsid w:val="69C51D1A"/>
    <w:rsid w:val="69C83522"/>
    <w:rsid w:val="69C8645D"/>
    <w:rsid w:val="69D1246D"/>
    <w:rsid w:val="69D16911"/>
    <w:rsid w:val="69D41FE0"/>
    <w:rsid w:val="69DB47F6"/>
    <w:rsid w:val="69E07664"/>
    <w:rsid w:val="69EA09DE"/>
    <w:rsid w:val="69EA369C"/>
    <w:rsid w:val="69F36C96"/>
    <w:rsid w:val="69F479E2"/>
    <w:rsid w:val="69F62861"/>
    <w:rsid w:val="69FB2F29"/>
    <w:rsid w:val="6A0B5AB1"/>
    <w:rsid w:val="6A105026"/>
    <w:rsid w:val="6A1423AB"/>
    <w:rsid w:val="6A1914FC"/>
    <w:rsid w:val="6A1A2066"/>
    <w:rsid w:val="6A260A0B"/>
    <w:rsid w:val="6A281E10"/>
    <w:rsid w:val="6A287F49"/>
    <w:rsid w:val="6A2E2DCF"/>
    <w:rsid w:val="6A301889"/>
    <w:rsid w:val="6A301CE3"/>
    <w:rsid w:val="6A331379"/>
    <w:rsid w:val="6A333F49"/>
    <w:rsid w:val="6A350C4E"/>
    <w:rsid w:val="6A3B0C9D"/>
    <w:rsid w:val="6A41193D"/>
    <w:rsid w:val="6A4B4EEB"/>
    <w:rsid w:val="6A547123"/>
    <w:rsid w:val="6A564E8E"/>
    <w:rsid w:val="6A5E3620"/>
    <w:rsid w:val="6A667059"/>
    <w:rsid w:val="6A682449"/>
    <w:rsid w:val="6A707283"/>
    <w:rsid w:val="6A723C50"/>
    <w:rsid w:val="6A765564"/>
    <w:rsid w:val="6A773014"/>
    <w:rsid w:val="6A7B6D69"/>
    <w:rsid w:val="6A867D84"/>
    <w:rsid w:val="6A8D18C7"/>
    <w:rsid w:val="6A8F0850"/>
    <w:rsid w:val="6A9231B5"/>
    <w:rsid w:val="6A941E18"/>
    <w:rsid w:val="6A975464"/>
    <w:rsid w:val="6A976F3C"/>
    <w:rsid w:val="6AA32252"/>
    <w:rsid w:val="6AAA163C"/>
    <w:rsid w:val="6AAF6C52"/>
    <w:rsid w:val="6AB029CA"/>
    <w:rsid w:val="6AB37DC4"/>
    <w:rsid w:val="6AB941FD"/>
    <w:rsid w:val="6AB94729"/>
    <w:rsid w:val="6ABB67D3"/>
    <w:rsid w:val="6AC122F8"/>
    <w:rsid w:val="6AC233DC"/>
    <w:rsid w:val="6ACA5340"/>
    <w:rsid w:val="6ACD0E86"/>
    <w:rsid w:val="6AD02C97"/>
    <w:rsid w:val="6AD04140"/>
    <w:rsid w:val="6AD76372"/>
    <w:rsid w:val="6AD76A01"/>
    <w:rsid w:val="6ADC2095"/>
    <w:rsid w:val="6AE12F52"/>
    <w:rsid w:val="6AEB755E"/>
    <w:rsid w:val="6AED1528"/>
    <w:rsid w:val="6AF16018"/>
    <w:rsid w:val="6AF428B7"/>
    <w:rsid w:val="6AF618ED"/>
    <w:rsid w:val="6AFB2C72"/>
    <w:rsid w:val="6B04349A"/>
    <w:rsid w:val="6B090812"/>
    <w:rsid w:val="6B093A00"/>
    <w:rsid w:val="6B296BA7"/>
    <w:rsid w:val="6B2A277C"/>
    <w:rsid w:val="6B3233DF"/>
    <w:rsid w:val="6B370E1A"/>
    <w:rsid w:val="6B3B2900"/>
    <w:rsid w:val="6B4078AA"/>
    <w:rsid w:val="6B42034E"/>
    <w:rsid w:val="6B437403"/>
    <w:rsid w:val="6B450A0E"/>
    <w:rsid w:val="6B461E0A"/>
    <w:rsid w:val="6B477A4E"/>
    <w:rsid w:val="6B493FDF"/>
    <w:rsid w:val="6B4A4F47"/>
    <w:rsid w:val="6B4A53AB"/>
    <w:rsid w:val="6B4B5502"/>
    <w:rsid w:val="6B4D2953"/>
    <w:rsid w:val="6B4F48AC"/>
    <w:rsid w:val="6B514D55"/>
    <w:rsid w:val="6B5229B0"/>
    <w:rsid w:val="6B536A3D"/>
    <w:rsid w:val="6B5975CA"/>
    <w:rsid w:val="6B6E4518"/>
    <w:rsid w:val="6B7834E8"/>
    <w:rsid w:val="6B7B1658"/>
    <w:rsid w:val="6B7C1223"/>
    <w:rsid w:val="6B7F445C"/>
    <w:rsid w:val="6B807182"/>
    <w:rsid w:val="6B8451F3"/>
    <w:rsid w:val="6B851761"/>
    <w:rsid w:val="6B8754D9"/>
    <w:rsid w:val="6B8A6D77"/>
    <w:rsid w:val="6B8D6E54"/>
    <w:rsid w:val="6B985938"/>
    <w:rsid w:val="6B9A16B0"/>
    <w:rsid w:val="6BA05AA3"/>
    <w:rsid w:val="6BA528E1"/>
    <w:rsid w:val="6BA53BB1"/>
    <w:rsid w:val="6BA676ED"/>
    <w:rsid w:val="6BA74113"/>
    <w:rsid w:val="6BA8544F"/>
    <w:rsid w:val="6BA918F3"/>
    <w:rsid w:val="6BAC6CE7"/>
    <w:rsid w:val="6BB12556"/>
    <w:rsid w:val="6BB42046"/>
    <w:rsid w:val="6BB74808"/>
    <w:rsid w:val="6BBA6316"/>
    <w:rsid w:val="6BBC4E93"/>
    <w:rsid w:val="6BBF6F18"/>
    <w:rsid w:val="6BC035EF"/>
    <w:rsid w:val="6BC57C30"/>
    <w:rsid w:val="6BD51746"/>
    <w:rsid w:val="6BD8065C"/>
    <w:rsid w:val="6BDF5315"/>
    <w:rsid w:val="6BE13E65"/>
    <w:rsid w:val="6BE60BCB"/>
    <w:rsid w:val="6BE91784"/>
    <w:rsid w:val="6BE9518E"/>
    <w:rsid w:val="6BEA2980"/>
    <w:rsid w:val="6BEC17E0"/>
    <w:rsid w:val="6BEE00B5"/>
    <w:rsid w:val="6BEE7C41"/>
    <w:rsid w:val="6BFA10DE"/>
    <w:rsid w:val="6BFA4D66"/>
    <w:rsid w:val="6BFB1A23"/>
    <w:rsid w:val="6C046B2A"/>
    <w:rsid w:val="6C050B49"/>
    <w:rsid w:val="6C052B7F"/>
    <w:rsid w:val="6C0A7EB8"/>
    <w:rsid w:val="6C0D72D4"/>
    <w:rsid w:val="6C136D6D"/>
    <w:rsid w:val="6C24541E"/>
    <w:rsid w:val="6C26774B"/>
    <w:rsid w:val="6C2B55F8"/>
    <w:rsid w:val="6C2B67AC"/>
    <w:rsid w:val="6C315445"/>
    <w:rsid w:val="6C3867D3"/>
    <w:rsid w:val="6C3C6DF4"/>
    <w:rsid w:val="6C3D203B"/>
    <w:rsid w:val="6C411B2C"/>
    <w:rsid w:val="6C417D7E"/>
    <w:rsid w:val="6C472EBA"/>
    <w:rsid w:val="6C4746CF"/>
    <w:rsid w:val="6C546926"/>
    <w:rsid w:val="6C57749F"/>
    <w:rsid w:val="6C5A2BED"/>
    <w:rsid w:val="6C663340"/>
    <w:rsid w:val="6C68355C"/>
    <w:rsid w:val="6C6E3549"/>
    <w:rsid w:val="6C750D28"/>
    <w:rsid w:val="6C7812C6"/>
    <w:rsid w:val="6C7D4B2E"/>
    <w:rsid w:val="6C7D751D"/>
    <w:rsid w:val="6C8163CC"/>
    <w:rsid w:val="6C891370"/>
    <w:rsid w:val="6C8B4A63"/>
    <w:rsid w:val="6C8D4D71"/>
    <w:rsid w:val="6C8E1FC4"/>
    <w:rsid w:val="6C9500C9"/>
    <w:rsid w:val="6C9D02AD"/>
    <w:rsid w:val="6C9D2ADA"/>
    <w:rsid w:val="6C9D5AED"/>
    <w:rsid w:val="6C9E6F7E"/>
    <w:rsid w:val="6C9F351B"/>
    <w:rsid w:val="6CA63501"/>
    <w:rsid w:val="6CA732C1"/>
    <w:rsid w:val="6CAA3DE8"/>
    <w:rsid w:val="6CAC609D"/>
    <w:rsid w:val="6CB001A9"/>
    <w:rsid w:val="6CB05A76"/>
    <w:rsid w:val="6CB164E4"/>
    <w:rsid w:val="6CB30550"/>
    <w:rsid w:val="6CB56076"/>
    <w:rsid w:val="6CB97A3A"/>
    <w:rsid w:val="6CBF3523"/>
    <w:rsid w:val="6CC017F6"/>
    <w:rsid w:val="6CC256F2"/>
    <w:rsid w:val="6CC357A4"/>
    <w:rsid w:val="6CC80A8E"/>
    <w:rsid w:val="6CCD4CC1"/>
    <w:rsid w:val="6CCD7863"/>
    <w:rsid w:val="6CD429A0"/>
    <w:rsid w:val="6CD8483D"/>
    <w:rsid w:val="6CE0012B"/>
    <w:rsid w:val="6CE1229B"/>
    <w:rsid w:val="6CE52DE0"/>
    <w:rsid w:val="6CEC7637"/>
    <w:rsid w:val="6CF546C4"/>
    <w:rsid w:val="6CF7668E"/>
    <w:rsid w:val="6D003EAE"/>
    <w:rsid w:val="6D031133"/>
    <w:rsid w:val="6D042B59"/>
    <w:rsid w:val="6D05742F"/>
    <w:rsid w:val="6D107750"/>
    <w:rsid w:val="6D1C60F5"/>
    <w:rsid w:val="6D2206DD"/>
    <w:rsid w:val="6D241E4B"/>
    <w:rsid w:val="6D246D36"/>
    <w:rsid w:val="6D25144D"/>
    <w:rsid w:val="6D2518E1"/>
    <w:rsid w:val="6D273A8A"/>
    <w:rsid w:val="6D2B05AF"/>
    <w:rsid w:val="6D3219DA"/>
    <w:rsid w:val="6D35333D"/>
    <w:rsid w:val="6D394EF9"/>
    <w:rsid w:val="6D3978A6"/>
    <w:rsid w:val="6D40223A"/>
    <w:rsid w:val="6D420687"/>
    <w:rsid w:val="6D4767F4"/>
    <w:rsid w:val="6D4A2C62"/>
    <w:rsid w:val="6D4B4448"/>
    <w:rsid w:val="6D54763D"/>
    <w:rsid w:val="6D5E04BB"/>
    <w:rsid w:val="6D5E06B7"/>
    <w:rsid w:val="6D5E1A0E"/>
    <w:rsid w:val="6D6078E9"/>
    <w:rsid w:val="6D633F70"/>
    <w:rsid w:val="6D667370"/>
    <w:rsid w:val="6D68018D"/>
    <w:rsid w:val="6D68575A"/>
    <w:rsid w:val="6D732652"/>
    <w:rsid w:val="6D7617E5"/>
    <w:rsid w:val="6D7E290C"/>
    <w:rsid w:val="6D806684"/>
    <w:rsid w:val="6D922159"/>
    <w:rsid w:val="6D924B7C"/>
    <w:rsid w:val="6D927B81"/>
    <w:rsid w:val="6D98700A"/>
    <w:rsid w:val="6D9D5488"/>
    <w:rsid w:val="6D9E29F3"/>
    <w:rsid w:val="6DA412AA"/>
    <w:rsid w:val="6DA5433C"/>
    <w:rsid w:val="6DA87988"/>
    <w:rsid w:val="6DA93E2C"/>
    <w:rsid w:val="6DAD526B"/>
    <w:rsid w:val="6DB4457F"/>
    <w:rsid w:val="6DB85E1E"/>
    <w:rsid w:val="6DBA3325"/>
    <w:rsid w:val="6DBB61DF"/>
    <w:rsid w:val="6DDA3467"/>
    <w:rsid w:val="6DDB1B0C"/>
    <w:rsid w:val="6DDE47D7"/>
    <w:rsid w:val="6DDE6682"/>
    <w:rsid w:val="6DE42EE7"/>
    <w:rsid w:val="6DEF55B7"/>
    <w:rsid w:val="6DF13FB0"/>
    <w:rsid w:val="6DF34167"/>
    <w:rsid w:val="6DF606F4"/>
    <w:rsid w:val="6DF64569"/>
    <w:rsid w:val="6DF94AB6"/>
    <w:rsid w:val="6DF94D32"/>
    <w:rsid w:val="6DFE57FA"/>
    <w:rsid w:val="6DFF6D51"/>
    <w:rsid w:val="6E036469"/>
    <w:rsid w:val="6E067CC8"/>
    <w:rsid w:val="6E087D91"/>
    <w:rsid w:val="6E0928FF"/>
    <w:rsid w:val="6E0E7BD2"/>
    <w:rsid w:val="6E160D96"/>
    <w:rsid w:val="6E162233"/>
    <w:rsid w:val="6E182A68"/>
    <w:rsid w:val="6E1833D1"/>
    <w:rsid w:val="6E184B0E"/>
    <w:rsid w:val="6E1A6AD8"/>
    <w:rsid w:val="6E1C483C"/>
    <w:rsid w:val="6E201C15"/>
    <w:rsid w:val="6E2A648C"/>
    <w:rsid w:val="6E2B2A93"/>
    <w:rsid w:val="6E2D1350"/>
    <w:rsid w:val="6E3654D9"/>
    <w:rsid w:val="6E43376F"/>
    <w:rsid w:val="6E49116B"/>
    <w:rsid w:val="6E4C2A0A"/>
    <w:rsid w:val="6E4D511E"/>
    <w:rsid w:val="6E4F05DE"/>
    <w:rsid w:val="6E5024FA"/>
    <w:rsid w:val="6E5478D1"/>
    <w:rsid w:val="6E5F6CAE"/>
    <w:rsid w:val="6E5F70FC"/>
    <w:rsid w:val="6E5F79C5"/>
    <w:rsid w:val="6E6111A1"/>
    <w:rsid w:val="6E6A41A5"/>
    <w:rsid w:val="6E6E3D6D"/>
    <w:rsid w:val="6E706E05"/>
    <w:rsid w:val="6E7A235C"/>
    <w:rsid w:val="6E7F4B8D"/>
    <w:rsid w:val="6E7F7D18"/>
    <w:rsid w:val="6E81319C"/>
    <w:rsid w:val="6E8201DA"/>
    <w:rsid w:val="6E855F59"/>
    <w:rsid w:val="6E8B1784"/>
    <w:rsid w:val="6E8B45A4"/>
    <w:rsid w:val="6E8E364F"/>
    <w:rsid w:val="6E912C95"/>
    <w:rsid w:val="6E941F79"/>
    <w:rsid w:val="6E943D12"/>
    <w:rsid w:val="6E963C85"/>
    <w:rsid w:val="6E972574"/>
    <w:rsid w:val="6E97541D"/>
    <w:rsid w:val="6E9862AC"/>
    <w:rsid w:val="6EA02F81"/>
    <w:rsid w:val="6EA047DB"/>
    <w:rsid w:val="6EA07BB5"/>
    <w:rsid w:val="6EA2087C"/>
    <w:rsid w:val="6EB0547A"/>
    <w:rsid w:val="6EB26D11"/>
    <w:rsid w:val="6EB64310"/>
    <w:rsid w:val="6EB653E3"/>
    <w:rsid w:val="6EB96FA4"/>
    <w:rsid w:val="6EBB71DF"/>
    <w:rsid w:val="6EBB779C"/>
    <w:rsid w:val="6EBC5E2A"/>
    <w:rsid w:val="6EBC7B8F"/>
    <w:rsid w:val="6EBD1212"/>
    <w:rsid w:val="6EBF5853"/>
    <w:rsid w:val="6EC721C1"/>
    <w:rsid w:val="6ED053E9"/>
    <w:rsid w:val="6ED47730"/>
    <w:rsid w:val="6ED9165F"/>
    <w:rsid w:val="6EE13152"/>
    <w:rsid w:val="6EE60768"/>
    <w:rsid w:val="6EE90259"/>
    <w:rsid w:val="6EEB5E54"/>
    <w:rsid w:val="6EEF0922"/>
    <w:rsid w:val="6EEF1D13"/>
    <w:rsid w:val="6EF35518"/>
    <w:rsid w:val="6EF46A85"/>
    <w:rsid w:val="6EF56BFD"/>
    <w:rsid w:val="6EF914F5"/>
    <w:rsid w:val="6EF94940"/>
    <w:rsid w:val="6EFB45F9"/>
    <w:rsid w:val="6EFC61DE"/>
    <w:rsid w:val="6F077D6E"/>
    <w:rsid w:val="6F0B7973"/>
    <w:rsid w:val="6F0E2152"/>
    <w:rsid w:val="6F0E70D7"/>
    <w:rsid w:val="6F0E7CBF"/>
    <w:rsid w:val="6F0F0169"/>
    <w:rsid w:val="6F114694"/>
    <w:rsid w:val="6F17309C"/>
    <w:rsid w:val="6F1A7219"/>
    <w:rsid w:val="6F1C418A"/>
    <w:rsid w:val="6F1E3633"/>
    <w:rsid w:val="6F257A04"/>
    <w:rsid w:val="6F286FD3"/>
    <w:rsid w:val="6F2A700C"/>
    <w:rsid w:val="6F305E87"/>
    <w:rsid w:val="6F35524C"/>
    <w:rsid w:val="6F3B6D06"/>
    <w:rsid w:val="6F3D100E"/>
    <w:rsid w:val="6F3E529F"/>
    <w:rsid w:val="6F413A64"/>
    <w:rsid w:val="6F437969"/>
    <w:rsid w:val="6F451F64"/>
    <w:rsid w:val="6F4A6F49"/>
    <w:rsid w:val="6F4D28FF"/>
    <w:rsid w:val="6F57061B"/>
    <w:rsid w:val="6F571666"/>
    <w:rsid w:val="6F59198B"/>
    <w:rsid w:val="6F5C0A2B"/>
    <w:rsid w:val="6F5E0C47"/>
    <w:rsid w:val="6F60534A"/>
    <w:rsid w:val="6F607BC9"/>
    <w:rsid w:val="6F6E3ABD"/>
    <w:rsid w:val="6F710B56"/>
    <w:rsid w:val="6F752F1D"/>
    <w:rsid w:val="6F770D81"/>
    <w:rsid w:val="6F791D79"/>
    <w:rsid w:val="6F7C731F"/>
    <w:rsid w:val="6F800F2B"/>
    <w:rsid w:val="6F832F94"/>
    <w:rsid w:val="6F863CF9"/>
    <w:rsid w:val="6F8807EC"/>
    <w:rsid w:val="6F8C57B4"/>
    <w:rsid w:val="6F8F7052"/>
    <w:rsid w:val="6FA10B33"/>
    <w:rsid w:val="6FA7614A"/>
    <w:rsid w:val="6FAD0A18"/>
    <w:rsid w:val="6FB4578E"/>
    <w:rsid w:val="6FBA6523"/>
    <w:rsid w:val="6FC73D9C"/>
    <w:rsid w:val="6FC767EC"/>
    <w:rsid w:val="6FD33B0D"/>
    <w:rsid w:val="6FD7038D"/>
    <w:rsid w:val="6FDB123F"/>
    <w:rsid w:val="6FE0055F"/>
    <w:rsid w:val="6FE54EC4"/>
    <w:rsid w:val="6FF21436"/>
    <w:rsid w:val="6FF548C5"/>
    <w:rsid w:val="6FF60E7F"/>
    <w:rsid w:val="6FFC7634"/>
    <w:rsid w:val="6FFD045F"/>
    <w:rsid w:val="70003AAC"/>
    <w:rsid w:val="700554C7"/>
    <w:rsid w:val="70096E04"/>
    <w:rsid w:val="700971C7"/>
    <w:rsid w:val="7019691C"/>
    <w:rsid w:val="70313054"/>
    <w:rsid w:val="70384B42"/>
    <w:rsid w:val="703E5098"/>
    <w:rsid w:val="703F45D4"/>
    <w:rsid w:val="70432DA3"/>
    <w:rsid w:val="70497201"/>
    <w:rsid w:val="704E0CBB"/>
    <w:rsid w:val="70540D6D"/>
    <w:rsid w:val="70585909"/>
    <w:rsid w:val="70605A27"/>
    <w:rsid w:val="706076D0"/>
    <w:rsid w:val="70637A35"/>
    <w:rsid w:val="70646A3D"/>
    <w:rsid w:val="706933FF"/>
    <w:rsid w:val="706B0F08"/>
    <w:rsid w:val="706B2C34"/>
    <w:rsid w:val="706C2EEF"/>
    <w:rsid w:val="706E27A1"/>
    <w:rsid w:val="70730722"/>
    <w:rsid w:val="707B3132"/>
    <w:rsid w:val="707B7E1A"/>
    <w:rsid w:val="708446DD"/>
    <w:rsid w:val="7089584F"/>
    <w:rsid w:val="708C533F"/>
    <w:rsid w:val="708F0AF3"/>
    <w:rsid w:val="70901D06"/>
    <w:rsid w:val="70957BA6"/>
    <w:rsid w:val="7096408E"/>
    <w:rsid w:val="709652E0"/>
    <w:rsid w:val="70986263"/>
    <w:rsid w:val="709D12FB"/>
    <w:rsid w:val="70AC59E2"/>
    <w:rsid w:val="70AF5E5C"/>
    <w:rsid w:val="70B12FF8"/>
    <w:rsid w:val="70B64489"/>
    <w:rsid w:val="70B84386"/>
    <w:rsid w:val="70BA1A8C"/>
    <w:rsid w:val="70BB5063"/>
    <w:rsid w:val="70C147A3"/>
    <w:rsid w:val="70C85F95"/>
    <w:rsid w:val="70CC0D2F"/>
    <w:rsid w:val="70CF4D60"/>
    <w:rsid w:val="70D45792"/>
    <w:rsid w:val="70D533A8"/>
    <w:rsid w:val="70D83F18"/>
    <w:rsid w:val="70D867D7"/>
    <w:rsid w:val="70D93B2B"/>
    <w:rsid w:val="70DF3860"/>
    <w:rsid w:val="70E56D17"/>
    <w:rsid w:val="70E60EF4"/>
    <w:rsid w:val="70ED1D47"/>
    <w:rsid w:val="70F21646"/>
    <w:rsid w:val="70F34B9E"/>
    <w:rsid w:val="70F53B43"/>
    <w:rsid w:val="70F908FD"/>
    <w:rsid w:val="71010CD6"/>
    <w:rsid w:val="71046A32"/>
    <w:rsid w:val="71080E6A"/>
    <w:rsid w:val="71095E50"/>
    <w:rsid w:val="711C2B67"/>
    <w:rsid w:val="7121017E"/>
    <w:rsid w:val="7121200D"/>
    <w:rsid w:val="71287A69"/>
    <w:rsid w:val="712B31E0"/>
    <w:rsid w:val="712F6120"/>
    <w:rsid w:val="713525DF"/>
    <w:rsid w:val="713C6848"/>
    <w:rsid w:val="713E2ADE"/>
    <w:rsid w:val="71473639"/>
    <w:rsid w:val="714844A1"/>
    <w:rsid w:val="714B36AC"/>
    <w:rsid w:val="714E5D2F"/>
    <w:rsid w:val="71573B9F"/>
    <w:rsid w:val="715A05AE"/>
    <w:rsid w:val="715E6CDC"/>
    <w:rsid w:val="715F2736"/>
    <w:rsid w:val="71606F83"/>
    <w:rsid w:val="71630A87"/>
    <w:rsid w:val="716F5625"/>
    <w:rsid w:val="717137FB"/>
    <w:rsid w:val="71775FF0"/>
    <w:rsid w:val="71777E63"/>
    <w:rsid w:val="717C7162"/>
    <w:rsid w:val="71844269"/>
    <w:rsid w:val="71857384"/>
    <w:rsid w:val="71891C08"/>
    <w:rsid w:val="71891FFD"/>
    <w:rsid w:val="718A121B"/>
    <w:rsid w:val="718C1A9B"/>
    <w:rsid w:val="718E7E5A"/>
    <w:rsid w:val="71923EFA"/>
    <w:rsid w:val="719303E1"/>
    <w:rsid w:val="71962DEE"/>
    <w:rsid w:val="71975E81"/>
    <w:rsid w:val="719A7568"/>
    <w:rsid w:val="71A128C0"/>
    <w:rsid w:val="71AA1518"/>
    <w:rsid w:val="71AE199A"/>
    <w:rsid w:val="71AE5D82"/>
    <w:rsid w:val="71B52674"/>
    <w:rsid w:val="71BC309A"/>
    <w:rsid w:val="71BF70E5"/>
    <w:rsid w:val="71C94CB5"/>
    <w:rsid w:val="71CF1988"/>
    <w:rsid w:val="71D17DF3"/>
    <w:rsid w:val="71D3152B"/>
    <w:rsid w:val="71D3342D"/>
    <w:rsid w:val="71D47A23"/>
    <w:rsid w:val="71D62D16"/>
    <w:rsid w:val="71D64AC4"/>
    <w:rsid w:val="71DE7E1D"/>
    <w:rsid w:val="71E371E1"/>
    <w:rsid w:val="71E500A1"/>
    <w:rsid w:val="71E82A49"/>
    <w:rsid w:val="71E90034"/>
    <w:rsid w:val="71F03BAD"/>
    <w:rsid w:val="71F228E4"/>
    <w:rsid w:val="71FE13E8"/>
    <w:rsid w:val="71FF44FF"/>
    <w:rsid w:val="7205301A"/>
    <w:rsid w:val="7208370E"/>
    <w:rsid w:val="720A0BAE"/>
    <w:rsid w:val="720E6205"/>
    <w:rsid w:val="72130B50"/>
    <w:rsid w:val="72163567"/>
    <w:rsid w:val="721C7F6D"/>
    <w:rsid w:val="72222DF9"/>
    <w:rsid w:val="722364B4"/>
    <w:rsid w:val="722374C4"/>
    <w:rsid w:val="72253C9E"/>
    <w:rsid w:val="7229187F"/>
    <w:rsid w:val="722C6DDA"/>
    <w:rsid w:val="723B48BD"/>
    <w:rsid w:val="723E182A"/>
    <w:rsid w:val="72401742"/>
    <w:rsid w:val="72447BF5"/>
    <w:rsid w:val="7248351D"/>
    <w:rsid w:val="72486BCB"/>
    <w:rsid w:val="725150A5"/>
    <w:rsid w:val="72657681"/>
    <w:rsid w:val="72657F1E"/>
    <w:rsid w:val="72671B3E"/>
    <w:rsid w:val="72671BC0"/>
    <w:rsid w:val="726A16B0"/>
    <w:rsid w:val="726C2438"/>
    <w:rsid w:val="726D2488"/>
    <w:rsid w:val="72716A9B"/>
    <w:rsid w:val="72823C75"/>
    <w:rsid w:val="72895FDA"/>
    <w:rsid w:val="728A22BB"/>
    <w:rsid w:val="728A58AF"/>
    <w:rsid w:val="728E03EE"/>
    <w:rsid w:val="72926394"/>
    <w:rsid w:val="7299525A"/>
    <w:rsid w:val="729A1F96"/>
    <w:rsid w:val="729A238A"/>
    <w:rsid w:val="72A70399"/>
    <w:rsid w:val="72A76461"/>
    <w:rsid w:val="72B1108D"/>
    <w:rsid w:val="72B62B48"/>
    <w:rsid w:val="72B63B45"/>
    <w:rsid w:val="72BA6194"/>
    <w:rsid w:val="72BA721C"/>
    <w:rsid w:val="72C1593C"/>
    <w:rsid w:val="72C401A6"/>
    <w:rsid w:val="72C852D9"/>
    <w:rsid w:val="72D26780"/>
    <w:rsid w:val="72D52EF9"/>
    <w:rsid w:val="72DA4759"/>
    <w:rsid w:val="72DF6B7C"/>
    <w:rsid w:val="72E43211"/>
    <w:rsid w:val="72E438D1"/>
    <w:rsid w:val="72E67A83"/>
    <w:rsid w:val="72ED2431"/>
    <w:rsid w:val="72EF3018"/>
    <w:rsid w:val="72F61720"/>
    <w:rsid w:val="72F83160"/>
    <w:rsid w:val="72FF004B"/>
    <w:rsid w:val="72FF629D"/>
    <w:rsid w:val="73025471"/>
    <w:rsid w:val="73041B05"/>
    <w:rsid w:val="730647AA"/>
    <w:rsid w:val="730B5700"/>
    <w:rsid w:val="731009FB"/>
    <w:rsid w:val="73114DE8"/>
    <w:rsid w:val="7313274C"/>
    <w:rsid w:val="732D105C"/>
    <w:rsid w:val="732E0930"/>
    <w:rsid w:val="732E6B82"/>
    <w:rsid w:val="732F685F"/>
    <w:rsid w:val="73310FF5"/>
    <w:rsid w:val="73331FDD"/>
    <w:rsid w:val="73335F46"/>
    <w:rsid w:val="73357976"/>
    <w:rsid w:val="73372A2D"/>
    <w:rsid w:val="733F2B3D"/>
    <w:rsid w:val="734273A9"/>
    <w:rsid w:val="7343263F"/>
    <w:rsid w:val="734A27AC"/>
    <w:rsid w:val="73515A0E"/>
    <w:rsid w:val="73530456"/>
    <w:rsid w:val="73586E67"/>
    <w:rsid w:val="735A1ECE"/>
    <w:rsid w:val="73613086"/>
    <w:rsid w:val="736425A4"/>
    <w:rsid w:val="73680B8A"/>
    <w:rsid w:val="73682094"/>
    <w:rsid w:val="736B19BB"/>
    <w:rsid w:val="736F233C"/>
    <w:rsid w:val="7390713E"/>
    <w:rsid w:val="73960BD1"/>
    <w:rsid w:val="73AA3A48"/>
    <w:rsid w:val="73AD2862"/>
    <w:rsid w:val="73AD7AA7"/>
    <w:rsid w:val="73B14FD7"/>
    <w:rsid w:val="73B30B3D"/>
    <w:rsid w:val="73B42F24"/>
    <w:rsid w:val="73B76B77"/>
    <w:rsid w:val="73B928EF"/>
    <w:rsid w:val="73C170DC"/>
    <w:rsid w:val="73C84F41"/>
    <w:rsid w:val="73C97ACC"/>
    <w:rsid w:val="73CB43D1"/>
    <w:rsid w:val="73CC5951"/>
    <w:rsid w:val="73D303AF"/>
    <w:rsid w:val="73D52935"/>
    <w:rsid w:val="73DC37B5"/>
    <w:rsid w:val="73E01C2A"/>
    <w:rsid w:val="73E322F4"/>
    <w:rsid w:val="73E409A2"/>
    <w:rsid w:val="73EB4AA8"/>
    <w:rsid w:val="73EC4CA1"/>
    <w:rsid w:val="73FB4172"/>
    <w:rsid w:val="73FC59E9"/>
    <w:rsid w:val="74090005"/>
    <w:rsid w:val="740D2C3B"/>
    <w:rsid w:val="740E026A"/>
    <w:rsid w:val="740F3D36"/>
    <w:rsid w:val="74106087"/>
    <w:rsid w:val="74173947"/>
    <w:rsid w:val="741B70BF"/>
    <w:rsid w:val="742A7349"/>
    <w:rsid w:val="742B6ADF"/>
    <w:rsid w:val="742C42E4"/>
    <w:rsid w:val="74367A9C"/>
    <w:rsid w:val="74367B7D"/>
    <w:rsid w:val="743941B4"/>
    <w:rsid w:val="74394FB2"/>
    <w:rsid w:val="7442625A"/>
    <w:rsid w:val="74453495"/>
    <w:rsid w:val="744620EA"/>
    <w:rsid w:val="74464817"/>
    <w:rsid w:val="744C5512"/>
    <w:rsid w:val="744E128A"/>
    <w:rsid w:val="74552A6A"/>
    <w:rsid w:val="7456013E"/>
    <w:rsid w:val="74582108"/>
    <w:rsid w:val="745A0E84"/>
    <w:rsid w:val="745E5245"/>
    <w:rsid w:val="746A0C2F"/>
    <w:rsid w:val="746A1E3C"/>
    <w:rsid w:val="74782849"/>
    <w:rsid w:val="747D56CB"/>
    <w:rsid w:val="748051BB"/>
    <w:rsid w:val="74815394"/>
    <w:rsid w:val="74820F33"/>
    <w:rsid w:val="74821CE8"/>
    <w:rsid w:val="748702F8"/>
    <w:rsid w:val="748736B2"/>
    <w:rsid w:val="748C3A1E"/>
    <w:rsid w:val="749000A3"/>
    <w:rsid w:val="74923DD8"/>
    <w:rsid w:val="74933140"/>
    <w:rsid w:val="7495686F"/>
    <w:rsid w:val="74964DB4"/>
    <w:rsid w:val="7496678D"/>
    <w:rsid w:val="74980278"/>
    <w:rsid w:val="749E7403"/>
    <w:rsid w:val="74A378D7"/>
    <w:rsid w:val="74A40EAA"/>
    <w:rsid w:val="74A92713"/>
    <w:rsid w:val="74AC1594"/>
    <w:rsid w:val="74B063EF"/>
    <w:rsid w:val="74B15375"/>
    <w:rsid w:val="74B16692"/>
    <w:rsid w:val="74BA0E59"/>
    <w:rsid w:val="74BA12F8"/>
    <w:rsid w:val="74C10A05"/>
    <w:rsid w:val="74C43F2B"/>
    <w:rsid w:val="74C57072"/>
    <w:rsid w:val="74C7103C"/>
    <w:rsid w:val="74CE4179"/>
    <w:rsid w:val="74CF286F"/>
    <w:rsid w:val="74D103DD"/>
    <w:rsid w:val="74D326B4"/>
    <w:rsid w:val="74DE40E9"/>
    <w:rsid w:val="74DF1EE2"/>
    <w:rsid w:val="74DF4AF5"/>
    <w:rsid w:val="74E514C2"/>
    <w:rsid w:val="74EB2271"/>
    <w:rsid w:val="74EC67E8"/>
    <w:rsid w:val="74EC7584"/>
    <w:rsid w:val="74ED54EF"/>
    <w:rsid w:val="74EF3FAF"/>
    <w:rsid w:val="74F00593"/>
    <w:rsid w:val="74F75A15"/>
    <w:rsid w:val="74F83220"/>
    <w:rsid w:val="74FC6F38"/>
    <w:rsid w:val="74FF04A3"/>
    <w:rsid w:val="7500407A"/>
    <w:rsid w:val="7501086A"/>
    <w:rsid w:val="75093403"/>
    <w:rsid w:val="751D2534"/>
    <w:rsid w:val="751F5863"/>
    <w:rsid w:val="752471AE"/>
    <w:rsid w:val="75297CA5"/>
    <w:rsid w:val="752C4383"/>
    <w:rsid w:val="752D2D9C"/>
    <w:rsid w:val="752D2E6B"/>
    <w:rsid w:val="75345FBE"/>
    <w:rsid w:val="75377F70"/>
    <w:rsid w:val="75383CE8"/>
    <w:rsid w:val="753C3A7F"/>
    <w:rsid w:val="753E4107"/>
    <w:rsid w:val="754F0AD7"/>
    <w:rsid w:val="75565E8D"/>
    <w:rsid w:val="755723C0"/>
    <w:rsid w:val="7557416E"/>
    <w:rsid w:val="755F5AE9"/>
    <w:rsid w:val="75644404"/>
    <w:rsid w:val="756B5481"/>
    <w:rsid w:val="75750A98"/>
    <w:rsid w:val="758233BE"/>
    <w:rsid w:val="7589009F"/>
    <w:rsid w:val="758B0CEE"/>
    <w:rsid w:val="758C6EDC"/>
    <w:rsid w:val="75942C3B"/>
    <w:rsid w:val="75954C96"/>
    <w:rsid w:val="75957465"/>
    <w:rsid w:val="759D7844"/>
    <w:rsid w:val="75A153E9"/>
    <w:rsid w:val="75AB356D"/>
    <w:rsid w:val="75AF5D58"/>
    <w:rsid w:val="75BE41ED"/>
    <w:rsid w:val="75CB21CC"/>
    <w:rsid w:val="75CC7BB9"/>
    <w:rsid w:val="75CD1AC7"/>
    <w:rsid w:val="75CD4430"/>
    <w:rsid w:val="75DE0275"/>
    <w:rsid w:val="75DF07AD"/>
    <w:rsid w:val="75E17EDC"/>
    <w:rsid w:val="75E32189"/>
    <w:rsid w:val="75E519E7"/>
    <w:rsid w:val="75E56AED"/>
    <w:rsid w:val="75EA553D"/>
    <w:rsid w:val="75F220E9"/>
    <w:rsid w:val="75F450B1"/>
    <w:rsid w:val="75F86E00"/>
    <w:rsid w:val="7601057E"/>
    <w:rsid w:val="760A5578"/>
    <w:rsid w:val="760E5349"/>
    <w:rsid w:val="76106BEC"/>
    <w:rsid w:val="761166AA"/>
    <w:rsid w:val="76124028"/>
    <w:rsid w:val="76151C7E"/>
    <w:rsid w:val="761608D4"/>
    <w:rsid w:val="76163F53"/>
    <w:rsid w:val="761A726D"/>
    <w:rsid w:val="762B28B2"/>
    <w:rsid w:val="7631406F"/>
    <w:rsid w:val="76380EF1"/>
    <w:rsid w:val="76390186"/>
    <w:rsid w:val="763C0DBB"/>
    <w:rsid w:val="763E2C4D"/>
    <w:rsid w:val="763E70DC"/>
    <w:rsid w:val="76465F91"/>
    <w:rsid w:val="76472434"/>
    <w:rsid w:val="764A3CD3"/>
    <w:rsid w:val="764A5A81"/>
    <w:rsid w:val="764F12E9"/>
    <w:rsid w:val="76500BBD"/>
    <w:rsid w:val="765849D5"/>
    <w:rsid w:val="7659378A"/>
    <w:rsid w:val="7661630D"/>
    <w:rsid w:val="76673004"/>
    <w:rsid w:val="76725892"/>
    <w:rsid w:val="76783DB3"/>
    <w:rsid w:val="76797716"/>
    <w:rsid w:val="76854D0B"/>
    <w:rsid w:val="76871F52"/>
    <w:rsid w:val="768C42EB"/>
    <w:rsid w:val="768D684C"/>
    <w:rsid w:val="76A64435"/>
    <w:rsid w:val="76AF7B14"/>
    <w:rsid w:val="76B31878"/>
    <w:rsid w:val="76B34AF9"/>
    <w:rsid w:val="76B7309F"/>
    <w:rsid w:val="76B90F9F"/>
    <w:rsid w:val="76C113A3"/>
    <w:rsid w:val="76C27D0D"/>
    <w:rsid w:val="76CC0E29"/>
    <w:rsid w:val="76CD220E"/>
    <w:rsid w:val="76D75A84"/>
    <w:rsid w:val="76D90BB3"/>
    <w:rsid w:val="76DB2B7D"/>
    <w:rsid w:val="76E3408D"/>
    <w:rsid w:val="76E46CF2"/>
    <w:rsid w:val="76E54F6D"/>
    <w:rsid w:val="76E63031"/>
    <w:rsid w:val="76EC4D8A"/>
    <w:rsid w:val="76F97A3E"/>
    <w:rsid w:val="76FB0F5B"/>
    <w:rsid w:val="76FB6D7B"/>
    <w:rsid w:val="76FF3BB0"/>
    <w:rsid w:val="77073972"/>
    <w:rsid w:val="770743C5"/>
    <w:rsid w:val="770B16B4"/>
    <w:rsid w:val="770F55EB"/>
    <w:rsid w:val="77112A42"/>
    <w:rsid w:val="771147F0"/>
    <w:rsid w:val="77177143"/>
    <w:rsid w:val="7718739B"/>
    <w:rsid w:val="771A7FCD"/>
    <w:rsid w:val="771B4819"/>
    <w:rsid w:val="771B6BD7"/>
    <w:rsid w:val="77286F6A"/>
    <w:rsid w:val="77287E05"/>
    <w:rsid w:val="772A140E"/>
    <w:rsid w:val="772B3B04"/>
    <w:rsid w:val="7731254A"/>
    <w:rsid w:val="773432D5"/>
    <w:rsid w:val="773439AB"/>
    <w:rsid w:val="773E7EA5"/>
    <w:rsid w:val="774A27AC"/>
    <w:rsid w:val="774D7D29"/>
    <w:rsid w:val="774E73F8"/>
    <w:rsid w:val="775D2D2D"/>
    <w:rsid w:val="776C53D2"/>
    <w:rsid w:val="77754D7F"/>
    <w:rsid w:val="77786F3B"/>
    <w:rsid w:val="777C0B7B"/>
    <w:rsid w:val="777E28EC"/>
    <w:rsid w:val="778236D6"/>
    <w:rsid w:val="77853BC8"/>
    <w:rsid w:val="778C451F"/>
    <w:rsid w:val="77933457"/>
    <w:rsid w:val="77975394"/>
    <w:rsid w:val="779A6594"/>
    <w:rsid w:val="779C40BA"/>
    <w:rsid w:val="779D7742"/>
    <w:rsid w:val="77A7509D"/>
    <w:rsid w:val="77AA1F9F"/>
    <w:rsid w:val="77B238DE"/>
    <w:rsid w:val="77B41C25"/>
    <w:rsid w:val="77BA4E88"/>
    <w:rsid w:val="77BE1482"/>
    <w:rsid w:val="77C3131B"/>
    <w:rsid w:val="77C33D3D"/>
    <w:rsid w:val="77C47A53"/>
    <w:rsid w:val="77D73698"/>
    <w:rsid w:val="77D9522E"/>
    <w:rsid w:val="77D961D0"/>
    <w:rsid w:val="77DE46D3"/>
    <w:rsid w:val="77E51F05"/>
    <w:rsid w:val="77E63E41"/>
    <w:rsid w:val="77E67A2B"/>
    <w:rsid w:val="77E80A40"/>
    <w:rsid w:val="77E94917"/>
    <w:rsid w:val="77EC2E96"/>
    <w:rsid w:val="77F725BD"/>
    <w:rsid w:val="78006D3F"/>
    <w:rsid w:val="78013949"/>
    <w:rsid w:val="780152E4"/>
    <w:rsid w:val="78051F90"/>
    <w:rsid w:val="78063AF0"/>
    <w:rsid w:val="780D2FE1"/>
    <w:rsid w:val="7811519F"/>
    <w:rsid w:val="781400F4"/>
    <w:rsid w:val="781412AF"/>
    <w:rsid w:val="7817505F"/>
    <w:rsid w:val="781B6D32"/>
    <w:rsid w:val="781F10E3"/>
    <w:rsid w:val="78234083"/>
    <w:rsid w:val="78246A6E"/>
    <w:rsid w:val="78257010"/>
    <w:rsid w:val="78275989"/>
    <w:rsid w:val="78286FC6"/>
    <w:rsid w:val="7832511A"/>
    <w:rsid w:val="78372035"/>
    <w:rsid w:val="783D1205"/>
    <w:rsid w:val="783F0EE9"/>
    <w:rsid w:val="7840713B"/>
    <w:rsid w:val="78437DD5"/>
    <w:rsid w:val="78454752"/>
    <w:rsid w:val="78465CA3"/>
    <w:rsid w:val="78485FF0"/>
    <w:rsid w:val="784A2957"/>
    <w:rsid w:val="784C3351"/>
    <w:rsid w:val="784D0218"/>
    <w:rsid w:val="785018A3"/>
    <w:rsid w:val="7856605E"/>
    <w:rsid w:val="7856695F"/>
    <w:rsid w:val="78583490"/>
    <w:rsid w:val="785A273B"/>
    <w:rsid w:val="785D5F3F"/>
    <w:rsid w:val="785E25C1"/>
    <w:rsid w:val="786077DD"/>
    <w:rsid w:val="786244D5"/>
    <w:rsid w:val="78624667"/>
    <w:rsid w:val="78656B4C"/>
    <w:rsid w:val="786646C8"/>
    <w:rsid w:val="78664B90"/>
    <w:rsid w:val="787127DE"/>
    <w:rsid w:val="78741052"/>
    <w:rsid w:val="7876453C"/>
    <w:rsid w:val="787E7C64"/>
    <w:rsid w:val="788A2F6A"/>
    <w:rsid w:val="788F1E71"/>
    <w:rsid w:val="78926C05"/>
    <w:rsid w:val="78947487"/>
    <w:rsid w:val="78990D1D"/>
    <w:rsid w:val="789C6821"/>
    <w:rsid w:val="789F26F7"/>
    <w:rsid w:val="78A06C1E"/>
    <w:rsid w:val="78A20A61"/>
    <w:rsid w:val="78A31AA5"/>
    <w:rsid w:val="78A7540C"/>
    <w:rsid w:val="78AA1EF3"/>
    <w:rsid w:val="78AA4877"/>
    <w:rsid w:val="78AF6C78"/>
    <w:rsid w:val="78B62577"/>
    <w:rsid w:val="78C06EBE"/>
    <w:rsid w:val="78C2430B"/>
    <w:rsid w:val="78CA5AE4"/>
    <w:rsid w:val="78D85842"/>
    <w:rsid w:val="78E12770"/>
    <w:rsid w:val="78E75809"/>
    <w:rsid w:val="78E958A0"/>
    <w:rsid w:val="78EA4E9C"/>
    <w:rsid w:val="78EA52F9"/>
    <w:rsid w:val="78FD35FF"/>
    <w:rsid w:val="79041222"/>
    <w:rsid w:val="79070949"/>
    <w:rsid w:val="79077C59"/>
    <w:rsid w:val="790944C2"/>
    <w:rsid w:val="79097DB8"/>
    <w:rsid w:val="790A7749"/>
    <w:rsid w:val="790B6B69"/>
    <w:rsid w:val="790C7D0C"/>
    <w:rsid w:val="790E7239"/>
    <w:rsid w:val="79197F8E"/>
    <w:rsid w:val="791A0B8A"/>
    <w:rsid w:val="792151BF"/>
    <w:rsid w:val="79246910"/>
    <w:rsid w:val="792A1B99"/>
    <w:rsid w:val="792D3569"/>
    <w:rsid w:val="792E15A4"/>
    <w:rsid w:val="792E51E6"/>
    <w:rsid w:val="79377117"/>
    <w:rsid w:val="79450781"/>
    <w:rsid w:val="7945566F"/>
    <w:rsid w:val="79492020"/>
    <w:rsid w:val="79496FDC"/>
    <w:rsid w:val="79527C02"/>
    <w:rsid w:val="79532E9E"/>
    <w:rsid w:val="79563C84"/>
    <w:rsid w:val="79594081"/>
    <w:rsid w:val="795A07EF"/>
    <w:rsid w:val="795C437E"/>
    <w:rsid w:val="79637563"/>
    <w:rsid w:val="79647D8A"/>
    <w:rsid w:val="7967301E"/>
    <w:rsid w:val="796F4047"/>
    <w:rsid w:val="797771EC"/>
    <w:rsid w:val="79784115"/>
    <w:rsid w:val="79792972"/>
    <w:rsid w:val="797E7806"/>
    <w:rsid w:val="797F5D9C"/>
    <w:rsid w:val="79884182"/>
    <w:rsid w:val="798C06DC"/>
    <w:rsid w:val="798E3ED6"/>
    <w:rsid w:val="79951709"/>
    <w:rsid w:val="799A3819"/>
    <w:rsid w:val="79A61220"/>
    <w:rsid w:val="79AA6825"/>
    <w:rsid w:val="79AB4A88"/>
    <w:rsid w:val="79B25C67"/>
    <w:rsid w:val="79B7045E"/>
    <w:rsid w:val="79B734C5"/>
    <w:rsid w:val="79BB3AEB"/>
    <w:rsid w:val="79C63460"/>
    <w:rsid w:val="79CD1958"/>
    <w:rsid w:val="79CF6D12"/>
    <w:rsid w:val="79D044EF"/>
    <w:rsid w:val="79D7762B"/>
    <w:rsid w:val="79D84160"/>
    <w:rsid w:val="79DC2E94"/>
    <w:rsid w:val="79E53841"/>
    <w:rsid w:val="79EB661C"/>
    <w:rsid w:val="79F11FE7"/>
    <w:rsid w:val="79F20AEC"/>
    <w:rsid w:val="79F73C64"/>
    <w:rsid w:val="79FB11E9"/>
    <w:rsid w:val="7A08012D"/>
    <w:rsid w:val="7A0D5743"/>
    <w:rsid w:val="7A11725E"/>
    <w:rsid w:val="7A130571"/>
    <w:rsid w:val="7A130F5D"/>
    <w:rsid w:val="7A205476"/>
    <w:rsid w:val="7A2111EE"/>
    <w:rsid w:val="7A230864"/>
    <w:rsid w:val="7A296670"/>
    <w:rsid w:val="7A2F605F"/>
    <w:rsid w:val="7A315C26"/>
    <w:rsid w:val="7A3733E5"/>
    <w:rsid w:val="7A3D6F5A"/>
    <w:rsid w:val="7A41719B"/>
    <w:rsid w:val="7A425846"/>
    <w:rsid w:val="7A470679"/>
    <w:rsid w:val="7A47496C"/>
    <w:rsid w:val="7A4B0019"/>
    <w:rsid w:val="7A50377F"/>
    <w:rsid w:val="7A50583C"/>
    <w:rsid w:val="7A540C7C"/>
    <w:rsid w:val="7A5F5873"/>
    <w:rsid w:val="7A72656A"/>
    <w:rsid w:val="7A744153"/>
    <w:rsid w:val="7A775F6D"/>
    <w:rsid w:val="7A7847A5"/>
    <w:rsid w:val="7A810EAF"/>
    <w:rsid w:val="7A884DCA"/>
    <w:rsid w:val="7A8D1184"/>
    <w:rsid w:val="7A94551C"/>
    <w:rsid w:val="7A9D67A7"/>
    <w:rsid w:val="7AA866CA"/>
    <w:rsid w:val="7AA959BA"/>
    <w:rsid w:val="7AAD4EF7"/>
    <w:rsid w:val="7AB2083E"/>
    <w:rsid w:val="7AB43E11"/>
    <w:rsid w:val="7AB553C8"/>
    <w:rsid w:val="7AB57DBA"/>
    <w:rsid w:val="7ACA53E2"/>
    <w:rsid w:val="7AD1258E"/>
    <w:rsid w:val="7AD80D59"/>
    <w:rsid w:val="7AD85BCB"/>
    <w:rsid w:val="7AD973D3"/>
    <w:rsid w:val="7ADA1202"/>
    <w:rsid w:val="7AE1332B"/>
    <w:rsid w:val="7AF03942"/>
    <w:rsid w:val="7AF42B0B"/>
    <w:rsid w:val="7AFD57B8"/>
    <w:rsid w:val="7AFD6CAC"/>
    <w:rsid w:val="7B092BB3"/>
    <w:rsid w:val="7B0F21BC"/>
    <w:rsid w:val="7B110A8B"/>
    <w:rsid w:val="7B144C77"/>
    <w:rsid w:val="7B1B4447"/>
    <w:rsid w:val="7B1E42CB"/>
    <w:rsid w:val="7B252618"/>
    <w:rsid w:val="7B2727C0"/>
    <w:rsid w:val="7B2F337F"/>
    <w:rsid w:val="7B33720B"/>
    <w:rsid w:val="7B407452"/>
    <w:rsid w:val="7B413F27"/>
    <w:rsid w:val="7B416646"/>
    <w:rsid w:val="7B4306FF"/>
    <w:rsid w:val="7B5B24DE"/>
    <w:rsid w:val="7B5B7588"/>
    <w:rsid w:val="7B705F89"/>
    <w:rsid w:val="7B7517F2"/>
    <w:rsid w:val="7B753561"/>
    <w:rsid w:val="7B75534E"/>
    <w:rsid w:val="7B8855BE"/>
    <w:rsid w:val="7B890DF9"/>
    <w:rsid w:val="7B89704B"/>
    <w:rsid w:val="7B9C12DD"/>
    <w:rsid w:val="7B9C3FB5"/>
    <w:rsid w:val="7BA23202"/>
    <w:rsid w:val="7BA63759"/>
    <w:rsid w:val="7BA963A8"/>
    <w:rsid w:val="7BAF6302"/>
    <w:rsid w:val="7BB975CD"/>
    <w:rsid w:val="7BC40083"/>
    <w:rsid w:val="7BC462D5"/>
    <w:rsid w:val="7BC85EBA"/>
    <w:rsid w:val="7BC9102F"/>
    <w:rsid w:val="7BCE22CB"/>
    <w:rsid w:val="7BD12934"/>
    <w:rsid w:val="7BD55DED"/>
    <w:rsid w:val="7BD71D77"/>
    <w:rsid w:val="7BD858DD"/>
    <w:rsid w:val="7BDF2F80"/>
    <w:rsid w:val="7BDF4EBD"/>
    <w:rsid w:val="7BE14791"/>
    <w:rsid w:val="7BE424D4"/>
    <w:rsid w:val="7BE75B20"/>
    <w:rsid w:val="7BE87230"/>
    <w:rsid w:val="7BEB1AB4"/>
    <w:rsid w:val="7BF33CC2"/>
    <w:rsid w:val="7BF9000D"/>
    <w:rsid w:val="7C044924"/>
    <w:rsid w:val="7C0529D9"/>
    <w:rsid w:val="7C0D37D8"/>
    <w:rsid w:val="7C1521AD"/>
    <w:rsid w:val="7C174657"/>
    <w:rsid w:val="7C1B458D"/>
    <w:rsid w:val="7C2649C6"/>
    <w:rsid w:val="7C2942BA"/>
    <w:rsid w:val="7C2A097C"/>
    <w:rsid w:val="7C2A25DC"/>
    <w:rsid w:val="7C2F0B00"/>
    <w:rsid w:val="7C32323F"/>
    <w:rsid w:val="7C324FED"/>
    <w:rsid w:val="7C3540D7"/>
    <w:rsid w:val="7C38637B"/>
    <w:rsid w:val="7C3D07C3"/>
    <w:rsid w:val="7C3F2289"/>
    <w:rsid w:val="7C3F3BF3"/>
    <w:rsid w:val="7C3F3CD9"/>
    <w:rsid w:val="7C3F595C"/>
    <w:rsid w:val="7C4202A8"/>
    <w:rsid w:val="7C481D5A"/>
    <w:rsid w:val="7C4B3876"/>
    <w:rsid w:val="7C50341E"/>
    <w:rsid w:val="7C5807CC"/>
    <w:rsid w:val="7C584300"/>
    <w:rsid w:val="7C5B4033"/>
    <w:rsid w:val="7C5B572A"/>
    <w:rsid w:val="7C615057"/>
    <w:rsid w:val="7C654EDD"/>
    <w:rsid w:val="7C6C6557"/>
    <w:rsid w:val="7C741AA9"/>
    <w:rsid w:val="7C786FF2"/>
    <w:rsid w:val="7C7A76F0"/>
    <w:rsid w:val="7C7C22A7"/>
    <w:rsid w:val="7C7E0232"/>
    <w:rsid w:val="7C8479D2"/>
    <w:rsid w:val="7C85667C"/>
    <w:rsid w:val="7C8B6DF3"/>
    <w:rsid w:val="7C8E53A1"/>
    <w:rsid w:val="7C8F3DFF"/>
    <w:rsid w:val="7C914409"/>
    <w:rsid w:val="7C933B95"/>
    <w:rsid w:val="7C9706CA"/>
    <w:rsid w:val="7C987DE2"/>
    <w:rsid w:val="7CA13F21"/>
    <w:rsid w:val="7CAE37FE"/>
    <w:rsid w:val="7CB177CB"/>
    <w:rsid w:val="7CB21B52"/>
    <w:rsid w:val="7CB85C7A"/>
    <w:rsid w:val="7CBB38D3"/>
    <w:rsid w:val="7CBC6FAC"/>
    <w:rsid w:val="7CC3033B"/>
    <w:rsid w:val="7CC80D9C"/>
    <w:rsid w:val="7CC8621A"/>
    <w:rsid w:val="7CCA184E"/>
    <w:rsid w:val="7CD42548"/>
    <w:rsid w:val="7CD5505C"/>
    <w:rsid w:val="7CDC6F1D"/>
    <w:rsid w:val="7CDD71CA"/>
    <w:rsid w:val="7CE3371D"/>
    <w:rsid w:val="7CE51182"/>
    <w:rsid w:val="7CED360A"/>
    <w:rsid w:val="7CF130FA"/>
    <w:rsid w:val="7CF31646"/>
    <w:rsid w:val="7CF404F4"/>
    <w:rsid w:val="7CF62BFD"/>
    <w:rsid w:val="7CF93D5D"/>
    <w:rsid w:val="7CF940E7"/>
    <w:rsid w:val="7CFD4E87"/>
    <w:rsid w:val="7D016ED4"/>
    <w:rsid w:val="7D020E63"/>
    <w:rsid w:val="7D07647A"/>
    <w:rsid w:val="7D0B085D"/>
    <w:rsid w:val="7D0B0B62"/>
    <w:rsid w:val="7D134A8A"/>
    <w:rsid w:val="7D151086"/>
    <w:rsid w:val="7D1B600B"/>
    <w:rsid w:val="7D201B8F"/>
    <w:rsid w:val="7D217DBB"/>
    <w:rsid w:val="7D285D72"/>
    <w:rsid w:val="7D292894"/>
    <w:rsid w:val="7D340724"/>
    <w:rsid w:val="7D347921"/>
    <w:rsid w:val="7D36553F"/>
    <w:rsid w:val="7D366DF4"/>
    <w:rsid w:val="7D3A5CE2"/>
    <w:rsid w:val="7D3B4375"/>
    <w:rsid w:val="7D3F6CBC"/>
    <w:rsid w:val="7D420092"/>
    <w:rsid w:val="7D484D1A"/>
    <w:rsid w:val="7D4937F0"/>
    <w:rsid w:val="7D494CE4"/>
    <w:rsid w:val="7D497CCB"/>
    <w:rsid w:val="7D4A7A7F"/>
    <w:rsid w:val="7D535AC7"/>
    <w:rsid w:val="7D56366F"/>
    <w:rsid w:val="7D592E1A"/>
    <w:rsid w:val="7D5E1E12"/>
    <w:rsid w:val="7D6A6376"/>
    <w:rsid w:val="7D6B6C05"/>
    <w:rsid w:val="7D7004C3"/>
    <w:rsid w:val="7D717D97"/>
    <w:rsid w:val="7D781B48"/>
    <w:rsid w:val="7D7B24D7"/>
    <w:rsid w:val="7D7B29C4"/>
    <w:rsid w:val="7D7D0406"/>
    <w:rsid w:val="7D800825"/>
    <w:rsid w:val="7D821FA4"/>
    <w:rsid w:val="7D824C94"/>
    <w:rsid w:val="7D831878"/>
    <w:rsid w:val="7D835EE2"/>
    <w:rsid w:val="7D851DEF"/>
    <w:rsid w:val="7D8A0E59"/>
    <w:rsid w:val="7D900D02"/>
    <w:rsid w:val="7D90224D"/>
    <w:rsid w:val="7D925EFD"/>
    <w:rsid w:val="7D9A3D9C"/>
    <w:rsid w:val="7DA168CE"/>
    <w:rsid w:val="7DA30B9E"/>
    <w:rsid w:val="7DA47A2D"/>
    <w:rsid w:val="7DA55F02"/>
    <w:rsid w:val="7DA64171"/>
    <w:rsid w:val="7DA77C5D"/>
    <w:rsid w:val="7DAC0DCF"/>
    <w:rsid w:val="7DAC4DB8"/>
    <w:rsid w:val="7DBC3708"/>
    <w:rsid w:val="7DBC4FFF"/>
    <w:rsid w:val="7DBE3EF7"/>
    <w:rsid w:val="7DC0651E"/>
    <w:rsid w:val="7DC102EE"/>
    <w:rsid w:val="7DC3101F"/>
    <w:rsid w:val="7DC425BD"/>
    <w:rsid w:val="7DC46119"/>
    <w:rsid w:val="7DD01B8F"/>
    <w:rsid w:val="7DD11A8C"/>
    <w:rsid w:val="7DDD6311"/>
    <w:rsid w:val="7DDE31B9"/>
    <w:rsid w:val="7DE07286"/>
    <w:rsid w:val="7DE40553"/>
    <w:rsid w:val="7DE77FC8"/>
    <w:rsid w:val="7DEE7639"/>
    <w:rsid w:val="7DF32EA2"/>
    <w:rsid w:val="7DF47BAF"/>
    <w:rsid w:val="7E00023B"/>
    <w:rsid w:val="7E026C41"/>
    <w:rsid w:val="7E07071A"/>
    <w:rsid w:val="7E072298"/>
    <w:rsid w:val="7E081B66"/>
    <w:rsid w:val="7E0F411B"/>
    <w:rsid w:val="7E10135E"/>
    <w:rsid w:val="7E1055C2"/>
    <w:rsid w:val="7E13752E"/>
    <w:rsid w:val="7E156974"/>
    <w:rsid w:val="7E157759"/>
    <w:rsid w:val="7E1737EC"/>
    <w:rsid w:val="7E1C3A72"/>
    <w:rsid w:val="7E1E0C2D"/>
    <w:rsid w:val="7E254984"/>
    <w:rsid w:val="7E29540D"/>
    <w:rsid w:val="7E3D0288"/>
    <w:rsid w:val="7E3D485C"/>
    <w:rsid w:val="7E407CA8"/>
    <w:rsid w:val="7E417ADC"/>
    <w:rsid w:val="7E460151"/>
    <w:rsid w:val="7E4F632A"/>
    <w:rsid w:val="7E590F57"/>
    <w:rsid w:val="7E595B1D"/>
    <w:rsid w:val="7E631DD5"/>
    <w:rsid w:val="7E680739"/>
    <w:rsid w:val="7E69160C"/>
    <w:rsid w:val="7E6A5A38"/>
    <w:rsid w:val="7E6D0702"/>
    <w:rsid w:val="7E6D4A02"/>
    <w:rsid w:val="7E8A52E3"/>
    <w:rsid w:val="7E921C8E"/>
    <w:rsid w:val="7E93145D"/>
    <w:rsid w:val="7E9417F3"/>
    <w:rsid w:val="7E955D07"/>
    <w:rsid w:val="7E9C190E"/>
    <w:rsid w:val="7E9F0934"/>
    <w:rsid w:val="7EAD4DFF"/>
    <w:rsid w:val="7EB4783D"/>
    <w:rsid w:val="7EB50157"/>
    <w:rsid w:val="7EBE700C"/>
    <w:rsid w:val="7EC249ED"/>
    <w:rsid w:val="7EC41D36"/>
    <w:rsid w:val="7ED30AD2"/>
    <w:rsid w:val="7ED44A81"/>
    <w:rsid w:val="7EDA4077"/>
    <w:rsid w:val="7EE96452"/>
    <w:rsid w:val="7EF1489B"/>
    <w:rsid w:val="7EF40C80"/>
    <w:rsid w:val="7EF6310D"/>
    <w:rsid w:val="7EF944E8"/>
    <w:rsid w:val="7F121122"/>
    <w:rsid w:val="7F15774A"/>
    <w:rsid w:val="7F172DC1"/>
    <w:rsid w:val="7F1E3F4E"/>
    <w:rsid w:val="7F225B91"/>
    <w:rsid w:val="7F2433D1"/>
    <w:rsid w:val="7F243A6F"/>
    <w:rsid w:val="7F2830FF"/>
    <w:rsid w:val="7F2A46A1"/>
    <w:rsid w:val="7F3114C5"/>
    <w:rsid w:val="7F345520"/>
    <w:rsid w:val="7F390D88"/>
    <w:rsid w:val="7F395EB5"/>
    <w:rsid w:val="7F3D2627"/>
    <w:rsid w:val="7F3E4BB4"/>
    <w:rsid w:val="7F3E5CFA"/>
    <w:rsid w:val="7F403679"/>
    <w:rsid w:val="7F472CCD"/>
    <w:rsid w:val="7F4D0C2B"/>
    <w:rsid w:val="7F570C65"/>
    <w:rsid w:val="7F64440C"/>
    <w:rsid w:val="7F6556D9"/>
    <w:rsid w:val="7F6F1EFC"/>
    <w:rsid w:val="7F737FFD"/>
    <w:rsid w:val="7F74259D"/>
    <w:rsid w:val="7F7428E8"/>
    <w:rsid w:val="7F7C618D"/>
    <w:rsid w:val="7F7C7499"/>
    <w:rsid w:val="7F7D0255"/>
    <w:rsid w:val="7F806886"/>
    <w:rsid w:val="7F806B31"/>
    <w:rsid w:val="7F834F1D"/>
    <w:rsid w:val="7F8E175B"/>
    <w:rsid w:val="7F8E4C30"/>
    <w:rsid w:val="7F8F454B"/>
    <w:rsid w:val="7F914E39"/>
    <w:rsid w:val="7F920D11"/>
    <w:rsid w:val="7F957C44"/>
    <w:rsid w:val="7F9B7898"/>
    <w:rsid w:val="7FB34697"/>
    <w:rsid w:val="7FBC56C9"/>
    <w:rsid w:val="7FBF688A"/>
    <w:rsid w:val="7FC0305E"/>
    <w:rsid w:val="7FC3762E"/>
    <w:rsid w:val="7FCA378E"/>
    <w:rsid w:val="7FCD66C5"/>
    <w:rsid w:val="7FD035AD"/>
    <w:rsid w:val="7FE453DD"/>
    <w:rsid w:val="7FEA1524"/>
    <w:rsid w:val="7FED5F6D"/>
    <w:rsid w:val="7FED6A83"/>
    <w:rsid w:val="7FED711F"/>
    <w:rsid w:val="7FF151BF"/>
    <w:rsid w:val="7FF1547C"/>
    <w:rsid w:val="7FF802FC"/>
    <w:rsid w:val="7FF9274C"/>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1"/>
    <w:pPr>
      <w:numPr>
        <w:ilvl w:val="1"/>
        <w:numId w:val="1"/>
      </w:numPr>
      <w:spacing w:line="360" w:lineRule="auto"/>
      <w:ind w:left="573" w:hanging="573"/>
      <w:outlineLvl w:val="1"/>
    </w:pPr>
    <w:rPr>
      <w:b/>
      <w:bCs/>
      <w:sz w:val="30"/>
      <w:szCs w:val="30"/>
    </w:rPr>
  </w:style>
  <w:style w:type="paragraph" w:styleId="4">
    <w:name w:val="heading 3"/>
    <w:basedOn w:val="1"/>
    <w:next w:val="1"/>
    <w:link w:val="54"/>
    <w:unhideWhenUsed/>
    <w:qFormat/>
    <w:uiPriority w:val="9"/>
    <w:pPr>
      <w:keepNext/>
      <w:keepLines/>
      <w:spacing w:before="260" w:after="260" w:line="416" w:lineRule="auto"/>
      <w:outlineLvl w:val="2"/>
    </w:pPr>
    <w:rPr>
      <w:b/>
      <w:bCs/>
      <w:sz w:val="32"/>
      <w:szCs w:val="32"/>
    </w:rPr>
  </w:style>
  <w:style w:type="paragraph" w:styleId="5">
    <w:name w:val="heading 6"/>
    <w:basedOn w:val="1"/>
    <w:next w:val="1"/>
    <w:link w:val="41"/>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7"/>
    <w:qFormat/>
    <w:uiPriority w:val="0"/>
    <w:pPr>
      <w:ind w:firstLine="420" w:firstLineChars="200"/>
    </w:pPr>
    <w:rPr>
      <w:rFonts w:ascii="Calibri" w:hAnsi="Calibri"/>
      <w:szCs w:val="20"/>
    </w:rPr>
  </w:style>
  <w:style w:type="paragraph" w:styleId="7">
    <w:name w:val="annotation text"/>
    <w:basedOn w:val="1"/>
    <w:link w:val="45"/>
    <w:qFormat/>
    <w:uiPriority w:val="99"/>
    <w:pPr>
      <w:jc w:val="left"/>
    </w:pPr>
  </w:style>
  <w:style w:type="paragraph" w:styleId="8">
    <w:name w:val="Salutation"/>
    <w:basedOn w:val="1"/>
    <w:next w:val="1"/>
    <w:qFormat/>
    <w:uiPriority w:val="99"/>
  </w:style>
  <w:style w:type="paragraph" w:styleId="9">
    <w:name w:val="Body Text"/>
    <w:basedOn w:val="1"/>
    <w:qFormat/>
    <w:uiPriority w:val="0"/>
    <w:pPr>
      <w:spacing w:after="120"/>
    </w:pPr>
    <w:rPr>
      <w:rFonts w:ascii="Calibri" w:hAnsi="Calibri"/>
      <w:szCs w:val="20"/>
    </w:rPr>
  </w:style>
  <w:style w:type="paragraph" w:styleId="10">
    <w:name w:val="Body Text Indent"/>
    <w:basedOn w:val="1"/>
    <w:next w:val="11"/>
    <w:link w:val="49"/>
    <w:qFormat/>
    <w:uiPriority w:val="0"/>
    <w:pPr>
      <w:spacing w:after="120"/>
      <w:ind w:left="420" w:leftChars="200"/>
    </w:pPr>
  </w:style>
  <w:style w:type="paragraph" w:customStyle="1" w:styleId="11">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2">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6"/>
    <w:qFormat/>
    <w:uiPriority w:val="0"/>
    <w:rPr>
      <w:rFonts w:ascii="宋体" w:hAnsi="Courier New" w:cstheme="minorBidi"/>
      <w:szCs w:val="22"/>
    </w:rPr>
  </w:style>
  <w:style w:type="paragraph" w:styleId="14">
    <w:name w:val="Body Text Indent 2"/>
    <w:basedOn w:val="1"/>
    <w:qFormat/>
    <w:uiPriority w:val="0"/>
    <w:pPr>
      <w:spacing w:after="120" w:line="480" w:lineRule="auto"/>
      <w:ind w:left="420" w:leftChars="200"/>
    </w:pPr>
  </w:style>
  <w:style w:type="paragraph" w:styleId="15">
    <w:name w:val="Balloon Text"/>
    <w:basedOn w:val="1"/>
    <w:link w:val="40"/>
    <w:unhideWhenUsed/>
    <w:qFormat/>
    <w:uiPriority w:val="99"/>
    <w:rPr>
      <w:sz w:val="18"/>
      <w:szCs w:val="18"/>
    </w:rPr>
  </w:style>
  <w:style w:type="paragraph" w:styleId="16">
    <w:name w:val="footer"/>
    <w:basedOn w:val="1"/>
    <w:link w:val="3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7">
    <w:name w:val="header"/>
    <w:basedOn w:val="1"/>
    <w:link w:val="35"/>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8">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Body Text 2"/>
    <w:basedOn w:val="1"/>
    <w:next w:val="1"/>
    <w:link w:val="51"/>
    <w:unhideWhenUsed/>
    <w:qFormat/>
    <w:uiPriority w:val="99"/>
    <w:pPr>
      <w:spacing w:after="120" w:line="480" w:lineRule="auto"/>
    </w:pPr>
  </w:style>
  <w:style w:type="paragraph" w:styleId="2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2">
    <w:name w:val="Normal (Web)"/>
    <w:basedOn w:val="1"/>
    <w:link w:val="37"/>
    <w:qFormat/>
    <w:uiPriority w:val="99"/>
    <w:pPr>
      <w:widowControl/>
      <w:spacing w:before="100" w:beforeAutospacing="1" w:after="100" w:afterAutospacing="1"/>
      <w:jc w:val="left"/>
    </w:pPr>
    <w:rPr>
      <w:rFonts w:ascii="宋体" w:hAnsi="宋体"/>
      <w:kern w:val="0"/>
      <w:sz w:val="24"/>
    </w:rPr>
  </w:style>
  <w:style w:type="paragraph" w:styleId="23">
    <w:name w:val="annotation subject"/>
    <w:basedOn w:val="7"/>
    <w:next w:val="7"/>
    <w:link w:val="61"/>
    <w:unhideWhenUsed/>
    <w:qFormat/>
    <w:uiPriority w:val="99"/>
    <w:rPr>
      <w:b/>
      <w:bCs/>
    </w:rPr>
  </w:style>
  <w:style w:type="paragraph" w:styleId="24">
    <w:name w:val="Body Text First Indent 2"/>
    <w:basedOn w:val="10"/>
    <w:next w:val="1"/>
    <w:link w:val="52"/>
    <w:unhideWhenUsed/>
    <w:qFormat/>
    <w:uiPriority w:val="99"/>
    <w:pPr>
      <w:ind w:firstLine="420" w:firstLineChars="200"/>
    </w:p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22"/>
    <w:rPr>
      <w:b/>
    </w:rPr>
  </w:style>
  <w:style w:type="character" w:styleId="29">
    <w:name w:val="page number"/>
    <w:basedOn w:val="27"/>
    <w:qFormat/>
    <w:uiPriority w:val="0"/>
  </w:style>
  <w:style w:type="character" w:styleId="30">
    <w:name w:val="Emphasis"/>
    <w:basedOn w:val="27"/>
    <w:qFormat/>
    <w:uiPriority w:val="20"/>
    <w:rPr>
      <w:i/>
    </w:rPr>
  </w:style>
  <w:style w:type="character" w:styleId="31">
    <w:name w:val="Hyperlink"/>
    <w:basedOn w:val="27"/>
    <w:unhideWhenUsed/>
    <w:qFormat/>
    <w:uiPriority w:val="99"/>
    <w:rPr>
      <w:color w:val="0000FF" w:themeColor="hyperlink"/>
      <w:u w:val="single"/>
      <w14:textFill>
        <w14:solidFill>
          <w14:schemeClr w14:val="hlink"/>
        </w14:solidFill>
      </w14:textFill>
    </w:rPr>
  </w:style>
  <w:style w:type="character" w:styleId="32">
    <w:name w:val="annotation reference"/>
    <w:basedOn w:val="27"/>
    <w:unhideWhenUsed/>
    <w:qFormat/>
    <w:uiPriority w:val="99"/>
    <w:rPr>
      <w:sz w:val="21"/>
      <w:szCs w:val="21"/>
    </w:rPr>
  </w:style>
  <w:style w:type="paragraph" w:customStyle="1" w:styleId="33">
    <w:name w:val="正文1"/>
    <w:basedOn w:val="1"/>
    <w:qFormat/>
    <w:uiPriority w:val="0"/>
    <w:pPr>
      <w:adjustRightInd w:val="0"/>
      <w:spacing w:line="460" w:lineRule="atLeast"/>
      <w:jc w:val="left"/>
      <w:textAlignment w:val="baseline"/>
    </w:pPr>
    <w:rPr>
      <w:rFonts w:ascii="宋体"/>
      <w:kern w:val="0"/>
      <w:sz w:val="28"/>
    </w:rPr>
  </w:style>
  <w:style w:type="paragraph" w:customStyle="1" w:styleId="34">
    <w:name w:val="Default"/>
    <w:basedOn w:val="1"/>
    <w:qFormat/>
    <w:uiPriority w:val="0"/>
    <w:pPr>
      <w:autoSpaceDE w:val="0"/>
      <w:autoSpaceDN w:val="0"/>
      <w:adjustRightInd w:val="0"/>
      <w:jc w:val="left"/>
    </w:pPr>
    <w:rPr>
      <w:rFonts w:ascii="Times New Roman" w:hAnsi="Times New Roman" w:eastAsia="宋体" w:cs="宋体"/>
      <w:color w:val="000000"/>
      <w:kern w:val="0"/>
      <w:sz w:val="24"/>
    </w:rPr>
  </w:style>
  <w:style w:type="character" w:customStyle="1" w:styleId="35">
    <w:name w:val="页眉 字符"/>
    <w:basedOn w:val="27"/>
    <w:link w:val="17"/>
    <w:qFormat/>
    <w:uiPriority w:val="0"/>
    <w:rPr>
      <w:sz w:val="18"/>
      <w:szCs w:val="18"/>
    </w:rPr>
  </w:style>
  <w:style w:type="character" w:customStyle="1" w:styleId="36">
    <w:name w:val="页脚 字符"/>
    <w:basedOn w:val="27"/>
    <w:link w:val="16"/>
    <w:qFormat/>
    <w:uiPriority w:val="99"/>
    <w:rPr>
      <w:sz w:val="18"/>
      <w:szCs w:val="18"/>
    </w:rPr>
  </w:style>
  <w:style w:type="character" w:customStyle="1" w:styleId="37">
    <w:name w:val="普通(网站) 字符"/>
    <w:link w:val="22"/>
    <w:qFormat/>
    <w:locked/>
    <w:uiPriority w:val="0"/>
    <w:rPr>
      <w:rFonts w:ascii="宋体" w:hAnsi="宋体" w:eastAsia="宋体" w:cs="Times New Roman"/>
      <w:kern w:val="0"/>
      <w:sz w:val="24"/>
      <w:szCs w:val="24"/>
    </w:rPr>
  </w:style>
  <w:style w:type="character" w:customStyle="1" w:styleId="38">
    <w:name w:val="标题 1 字符"/>
    <w:basedOn w:val="27"/>
    <w:link w:val="2"/>
    <w:qFormat/>
    <w:uiPriority w:val="9"/>
    <w:rPr>
      <w:rFonts w:ascii="Times New Roman" w:hAnsi="Times New Roman" w:eastAsia="宋体" w:cs="Times New Roman"/>
      <w:b/>
      <w:bCs/>
      <w:kern w:val="44"/>
      <w:sz w:val="44"/>
      <w:szCs w:val="44"/>
    </w:rPr>
  </w:style>
  <w:style w:type="paragraph" w:customStyle="1" w:styleId="3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0">
    <w:name w:val="批注框文本 字符"/>
    <w:basedOn w:val="27"/>
    <w:link w:val="15"/>
    <w:semiHidden/>
    <w:qFormat/>
    <w:uiPriority w:val="99"/>
    <w:rPr>
      <w:rFonts w:ascii="Times New Roman" w:hAnsi="Times New Roman" w:eastAsia="宋体" w:cs="Times New Roman"/>
      <w:sz w:val="18"/>
      <w:szCs w:val="18"/>
    </w:rPr>
  </w:style>
  <w:style w:type="character" w:customStyle="1" w:styleId="41">
    <w:name w:val="标题 6 字符"/>
    <w:basedOn w:val="27"/>
    <w:link w:val="5"/>
    <w:semiHidden/>
    <w:qFormat/>
    <w:uiPriority w:val="9"/>
    <w:rPr>
      <w:rFonts w:asciiTheme="majorHAnsi" w:hAnsiTheme="majorHAnsi" w:eastAsiaTheme="majorEastAsia" w:cstheme="majorBidi"/>
      <w:b/>
      <w:bCs/>
      <w:sz w:val="24"/>
      <w:szCs w:val="24"/>
    </w:rPr>
  </w:style>
  <w:style w:type="paragraph" w:customStyle="1" w:styleId="42">
    <w:name w:val="列出段落1"/>
    <w:basedOn w:val="1"/>
    <w:qFormat/>
    <w:uiPriority w:val="34"/>
    <w:pPr>
      <w:ind w:firstLine="420" w:firstLineChars="200"/>
    </w:pPr>
  </w:style>
  <w:style w:type="character" w:customStyle="1" w:styleId="43">
    <w:name w:val="B表头 Char Char"/>
    <w:link w:val="44"/>
    <w:qFormat/>
    <w:uiPriority w:val="0"/>
    <w:rPr>
      <w:rFonts w:ascii="Calibri" w:hAnsi="Calibri"/>
      <w:b/>
      <w:sz w:val="24"/>
      <w:szCs w:val="24"/>
    </w:rPr>
  </w:style>
  <w:style w:type="paragraph" w:customStyle="1" w:styleId="44">
    <w:name w:val="B表头"/>
    <w:link w:val="43"/>
    <w:qFormat/>
    <w:uiPriority w:val="0"/>
    <w:pPr>
      <w:jc w:val="center"/>
    </w:pPr>
    <w:rPr>
      <w:rFonts w:ascii="Calibri" w:hAnsi="Calibri" w:eastAsiaTheme="minorEastAsia" w:cstheme="minorBidi"/>
      <w:b/>
      <w:kern w:val="2"/>
      <w:sz w:val="24"/>
      <w:szCs w:val="24"/>
      <w:lang w:val="en-US" w:eastAsia="zh-CN" w:bidi="ar-SA"/>
    </w:rPr>
  </w:style>
  <w:style w:type="character" w:customStyle="1" w:styleId="45">
    <w:name w:val="批注文字 字符"/>
    <w:link w:val="7"/>
    <w:qFormat/>
    <w:uiPriority w:val="99"/>
    <w:rPr>
      <w:rFonts w:ascii="Times New Roman" w:hAnsi="Times New Roman" w:eastAsia="宋体" w:cs="Times New Roman"/>
      <w:szCs w:val="24"/>
    </w:rPr>
  </w:style>
  <w:style w:type="character" w:customStyle="1" w:styleId="46">
    <w:name w:val="纯文本 字符"/>
    <w:link w:val="13"/>
    <w:qFormat/>
    <w:uiPriority w:val="0"/>
    <w:rPr>
      <w:rFonts w:ascii="宋体" w:hAnsi="Courier New" w:eastAsia="宋体"/>
    </w:rPr>
  </w:style>
  <w:style w:type="character" w:customStyle="1" w:styleId="47">
    <w:name w:val="批注文字 Char1"/>
    <w:basedOn w:val="27"/>
    <w:semiHidden/>
    <w:qFormat/>
    <w:uiPriority w:val="99"/>
    <w:rPr>
      <w:rFonts w:ascii="Times New Roman" w:hAnsi="Times New Roman" w:eastAsia="宋体" w:cs="Times New Roman"/>
      <w:szCs w:val="24"/>
    </w:rPr>
  </w:style>
  <w:style w:type="character" w:customStyle="1" w:styleId="48">
    <w:name w:val="纯文本 Char1"/>
    <w:basedOn w:val="27"/>
    <w:semiHidden/>
    <w:qFormat/>
    <w:uiPriority w:val="99"/>
    <w:rPr>
      <w:rFonts w:ascii="宋体" w:hAnsi="Courier New" w:eastAsia="宋体" w:cs="Courier New"/>
      <w:szCs w:val="21"/>
    </w:rPr>
  </w:style>
  <w:style w:type="character" w:customStyle="1" w:styleId="49">
    <w:name w:val="正文文本缩进 字符"/>
    <w:link w:val="10"/>
    <w:qFormat/>
    <w:uiPriority w:val="0"/>
    <w:rPr>
      <w:rFonts w:ascii="Times New Roman" w:hAnsi="Times New Roman" w:eastAsia="宋体" w:cs="Times New Roman"/>
      <w:szCs w:val="24"/>
    </w:rPr>
  </w:style>
  <w:style w:type="character" w:customStyle="1" w:styleId="50">
    <w:name w:val="正文文本缩进 Char1"/>
    <w:basedOn w:val="27"/>
    <w:semiHidden/>
    <w:qFormat/>
    <w:uiPriority w:val="99"/>
    <w:rPr>
      <w:rFonts w:ascii="Times New Roman" w:hAnsi="Times New Roman" w:eastAsia="宋体" w:cs="Times New Roman"/>
      <w:szCs w:val="24"/>
    </w:rPr>
  </w:style>
  <w:style w:type="character" w:customStyle="1" w:styleId="51">
    <w:name w:val="正文文本 2 字符"/>
    <w:basedOn w:val="27"/>
    <w:link w:val="20"/>
    <w:qFormat/>
    <w:uiPriority w:val="99"/>
    <w:rPr>
      <w:rFonts w:ascii="Times New Roman" w:hAnsi="Times New Roman" w:eastAsia="宋体" w:cs="Times New Roman"/>
      <w:szCs w:val="24"/>
    </w:rPr>
  </w:style>
  <w:style w:type="character" w:customStyle="1" w:styleId="52">
    <w:name w:val="正文文本首行缩进 2 字符"/>
    <w:basedOn w:val="49"/>
    <w:link w:val="24"/>
    <w:semiHidden/>
    <w:qFormat/>
    <w:uiPriority w:val="99"/>
    <w:rPr>
      <w:rFonts w:ascii="Times New Roman" w:hAnsi="Times New Roman" w:eastAsia="宋体" w:cs="Times New Roman"/>
      <w:szCs w:val="24"/>
    </w:rPr>
  </w:style>
  <w:style w:type="paragraph" w:customStyle="1" w:styleId="53">
    <w:name w:val="主体文字"/>
    <w:basedOn w:val="13"/>
    <w:qFormat/>
    <w:uiPriority w:val="0"/>
    <w:pPr>
      <w:spacing w:line="360" w:lineRule="auto"/>
      <w:ind w:firstLine="540" w:firstLineChars="225"/>
    </w:pPr>
    <w:rPr>
      <w:rFonts w:cs="Times New Roman"/>
      <w:kern w:val="0"/>
      <w:sz w:val="24"/>
      <w:szCs w:val="21"/>
    </w:rPr>
  </w:style>
  <w:style w:type="character" w:customStyle="1" w:styleId="54">
    <w:name w:val="标题 3 字符"/>
    <w:basedOn w:val="27"/>
    <w:link w:val="4"/>
    <w:semiHidden/>
    <w:qFormat/>
    <w:uiPriority w:val="9"/>
    <w:rPr>
      <w:rFonts w:ascii="Times New Roman" w:hAnsi="Times New Roman" w:eastAsia="宋体" w:cs="Times New Roman"/>
      <w:b/>
      <w:bCs/>
      <w:sz w:val="32"/>
      <w:szCs w:val="32"/>
    </w:rPr>
  </w:style>
  <w:style w:type="paragraph" w:customStyle="1" w:styleId="55">
    <w:name w:val="样式 小四"/>
    <w:basedOn w:val="1"/>
    <w:link w:val="56"/>
    <w:qFormat/>
    <w:uiPriority w:val="0"/>
    <w:pPr>
      <w:spacing w:line="360" w:lineRule="auto"/>
      <w:ind w:firstLine="480"/>
    </w:pPr>
    <w:rPr>
      <w:rFonts w:ascii="Calibri" w:hAnsi="Calibri"/>
      <w:sz w:val="24"/>
    </w:rPr>
  </w:style>
  <w:style w:type="character" w:customStyle="1" w:styleId="56">
    <w:name w:val="样式 小四 Char Char"/>
    <w:link w:val="55"/>
    <w:qFormat/>
    <w:uiPriority w:val="0"/>
    <w:rPr>
      <w:rFonts w:ascii="Calibri" w:hAnsi="Calibri" w:eastAsia="宋体" w:cs="Times New Roman"/>
      <w:sz w:val="24"/>
      <w:szCs w:val="24"/>
    </w:rPr>
  </w:style>
  <w:style w:type="character" w:customStyle="1" w:styleId="57">
    <w:name w:val="正文缩进 字符"/>
    <w:link w:val="6"/>
    <w:qFormat/>
    <w:uiPriority w:val="0"/>
    <w:rPr>
      <w:rFonts w:ascii="Calibri" w:hAnsi="Calibri" w:eastAsia="宋体" w:cs="Times New Roman"/>
      <w:szCs w:val="20"/>
    </w:rPr>
  </w:style>
  <w:style w:type="character" w:customStyle="1" w:styleId="58">
    <w:name w:val="B表格文字 Char Char"/>
    <w:link w:val="59"/>
    <w:qFormat/>
    <w:uiPriority w:val="0"/>
    <w:rPr>
      <w:szCs w:val="24"/>
    </w:rPr>
  </w:style>
  <w:style w:type="paragraph" w:customStyle="1" w:styleId="59">
    <w:name w:val="B表格文字"/>
    <w:link w:val="58"/>
    <w:qFormat/>
    <w:uiPriority w:val="0"/>
    <w:pPr>
      <w:adjustRightInd w:val="0"/>
      <w:snapToGrid w:val="0"/>
      <w:jc w:val="center"/>
    </w:pPr>
    <w:rPr>
      <w:rFonts w:asciiTheme="minorHAnsi" w:hAnsiTheme="minorHAnsi" w:eastAsiaTheme="minorEastAsia" w:cstheme="minorBidi"/>
      <w:kern w:val="2"/>
      <w:sz w:val="21"/>
      <w:szCs w:val="24"/>
      <w:lang w:val="en-US" w:eastAsia="zh-CN" w:bidi="ar-SA"/>
    </w:rPr>
  </w:style>
  <w:style w:type="paragraph" w:customStyle="1" w:styleId="60">
    <w:name w:val="表格文字"/>
    <w:basedOn w:val="20"/>
    <w:qFormat/>
    <w:uiPriority w:val="0"/>
    <w:rPr>
      <w:szCs w:val="22"/>
    </w:rPr>
  </w:style>
  <w:style w:type="character" w:customStyle="1" w:styleId="61">
    <w:name w:val="批注主题 字符"/>
    <w:basedOn w:val="45"/>
    <w:link w:val="23"/>
    <w:semiHidden/>
    <w:qFormat/>
    <w:uiPriority w:val="99"/>
    <w:rPr>
      <w:rFonts w:ascii="Times New Roman" w:hAnsi="Times New Roman" w:eastAsia="宋体" w:cs="Times New Roman"/>
      <w:b/>
      <w:bCs/>
      <w:szCs w:val="24"/>
    </w:rPr>
  </w:style>
  <w:style w:type="paragraph" w:customStyle="1" w:styleId="6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63">
    <w:name w:val="B表头 Char"/>
    <w:qFormat/>
    <w:uiPriority w:val="0"/>
    <w:rPr>
      <w:rFonts w:ascii="Calibri" w:hAnsi="Calibri" w:eastAsia="黑体" w:cs="Times New Roman"/>
      <w:sz w:val="24"/>
      <w:szCs w:val="24"/>
    </w:rPr>
  </w:style>
  <w:style w:type="paragraph" w:customStyle="1" w:styleId="64">
    <w:name w:val="C正文"/>
    <w:basedOn w:val="1"/>
    <w:qFormat/>
    <w:uiPriority w:val="0"/>
    <w:pPr>
      <w:spacing w:line="360" w:lineRule="auto"/>
      <w:ind w:firstLine="200" w:firstLineChars="200"/>
      <w:contextualSpacing/>
    </w:pPr>
    <w:rPr>
      <w:sz w:val="24"/>
    </w:rPr>
  </w:style>
  <w:style w:type="paragraph" w:customStyle="1" w:styleId="65">
    <w:name w:val="aa正文 Char Char"/>
    <w:basedOn w:val="1"/>
    <w:link w:val="66"/>
    <w:qFormat/>
    <w:uiPriority w:val="0"/>
    <w:pPr>
      <w:spacing w:line="500" w:lineRule="exact"/>
      <w:ind w:firstLine="561"/>
    </w:pPr>
    <w:rPr>
      <w:sz w:val="24"/>
    </w:rPr>
  </w:style>
  <w:style w:type="character" w:customStyle="1" w:styleId="66">
    <w:name w:val="aa正文 Char Char Char"/>
    <w:link w:val="65"/>
    <w:qFormat/>
    <w:uiPriority w:val="0"/>
    <w:rPr>
      <w:rFonts w:ascii="Times New Roman" w:hAnsi="Times New Roman" w:eastAsia="宋体" w:cs="Times New Roman"/>
      <w:sz w:val="24"/>
      <w:szCs w:val="24"/>
    </w:rPr>
  </w:style>
  <w:style w:type="paragraph" w:customStyle="1" w:styleId="67">
    <w:name w:val="宋标一"/>
    <w:basedOn w:val="1"/>
    <w:qFormat/>
    <w:uiPriority w:val="0"/>
    <w:pPr>
      <w:spacing w:beforeLines="50" w:line="360" w:lineRule="auto"/>
      <w:ind w:firstLine="200" w:firstLineChars="200"/>
    </w:pPr>
    <w:rPr>
      <w:sz w:val="24"/>
    </w:rPr>
  </w:style>
  <w:style w:type="paragraph" w:customStyle="1" w:styleId="68">
    <w:name w:val="表格正文"/>
    <w:basedOn w:val="1"/>
    <w:qFormat/>
    <w:uiPriority w:val="0"/>
    <w:pPr>
      <w:jc w:val="center"/>
    </w:pPr>
    <w:rPr>
      <w:rFonts w:ascii="宋体"/>
      <w:szCs w:val="20"/>
    </w:rPr>
  </w:style>
  <w:style w:type="paragraph" w:customStyle="1" w:styleId="69">
    <w:name w:val="正文-欣欣"/>
    <w:basedOn w:val="1"/>
    <w:next w:val="1"/>
    <w:qFormat/>
    <w:uiPriority w:val="0"/>
    <w:pPr>
      <w:adjustRightInd w:val="0"/>
      <w:snapToGrid w:val="0"/>
      <w:ind w:firstLine="200" w:firstLineChars="200"/>
    </w:pPr>
    <w:rPr>
      <w:szCs w:val="30"/>
    </w:rPr>
  </w:style>
  <w:style w:type="paragraph" w:customStyle="1" w:styleId="70">
    <w:name w:val="样式 正文文本缩进 + 行距: 1.5 倍行距"/>
    <w:basedOn w:val="1"/>
    <w:qFormat/>
    <w:uiPriority w:val="0"/>
    <w:pPr>
      <w:spacing w:after="120"/>
      <w:ind w:left="90" w:leftChars="32" w:firstLine="560" w:firstLineChars="200"/>
    </w:pPr>
    <w:rPr>
      <w:rFonts w:cs="宋体"/>
    </w:rPr>
  </w:style>
  <w:style w:type="paragraph" w:customStyle="1" w:styleId="71">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72">
    <w:name w:val="Table Grid_0"/>
    <w:basedOn w:val="25"/>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character" w:customStyle="1" w:styleId="74">
    <w:name w:val="15"/>
    <w:qFormat/>
    <w:uiPriority w:val="0"/>
    <w:rPr>
      <w:rFonts w:hint="default" w:ascii="Times New Roman" w:hAnsi="Times New Roman" w:cs="Times New Roman"/>
      <w:color w:val="000000"/>
      <w:sz w:val="22"/>
      <w:szCs w:val="22"/>
    </w:rPr>
  </w:style>
  <w:style w:type="paragraph" w:customStyle="1" w:styleId="75">
    <w:name w:val="表头"/>
    <w:qFormat/>
    <w:uiPriority w:val="0"/>
    <w:pPr>
      <w:tabs>
        <w:tab w:val="left" w:pos="7380"/>
      </w:tabs>
      <w:snapToGrid w:val="0"/>
      <w:jc w:val="center"/>
    </w:pPr>
    <w:rPr>
      <w:rFonts w:ascii="Times New Roman" w:hAnsi="Times New Roman" w:eastAsia="宋体" w:cs="Times New Roman"/>
      <w:b/>
      <w:kern w:val="2"/>
      <w:sz w:val="24"/>
      <w:szCs w:val="24"/>
      <w:lang w:val="en-US" w:eastAsia="zh-CN" w:bidi="ar-SA"/>
    </w:rPr>
  </w:style>
  <w:style w:type="paragraph" w:customStyle="1" w:styleId="76">
    <w:name w:val="段落1"/>
    <w:basedOn w:val="1"/>
    <w:qFormat/>
    <w:uiPriority w:val="0"/>
    <w:pPr>
      <w:spacing w:line="480" w:lineRule="exact"/>
      <w:ind w:firstLine="200" w:firstLineChars="200"/>
    </w:pPr>
    <w:rPr>
      <w:sz w:val="28"/>
    </w:rPr>
  </w:style>
  <w:style w:type="paragraph" w:customStyle="1" w:styleId="77">
    <w:name w:val="JT正文两端对齐"/>
    <w:basedOn w:val="1"/>
    <w:qFormat/>
    <w:uiPriority w:val="0"/>
    <w:pPr>
      <w:spacing w:line="360" w:lineRule="auto"/>
      <w:ind w:firstLine="198" w:firstLineChars="200"/>
    </w:pPr>
    <w:rPr>
      <w:rFonts w:ascii="宋体" w:hAnsi="宋体"/>
      <w:sz w:val="24"/>
    </w:rPr>
  </w:style>
  <w:style w:type="paragraph" w:customStyle="1" w:styleId="78">
    <w:name w:val="JT居中表格文字"/>
    <w:basedOn w:val="1"/>
    <w:qFormat/>
    <w:uiPriority w:val="0"/>
    <w:pPr>
      <w:jc w:val="center"/>
    </w:pPr>
    <w:rPr>
      <w:rFonts w:ascii="宋体" w:hAnsi="宋体"/>
    </w:rPr>
  </w:style>
  <w:style w:type="paragraph" w:customStyle="1" w:styleId="79">
    <w:name w:val="Table Text"/>
    <w:basedOn w:val="1"/>
    <w:semiHidden/>
    <w:qFormat/>
    <w:uiPriority w:val="0"/>
    <w:rPr>
      <w:rFonts w:ascii="仿宋" w:hAnsi="仿宋" w:eastAsia="仿宋" w:cs="仿宋"/>
      <w:sz w:val="20"/>
      <w:szCs w:val="20"/>
      <w:lang w:val="en-US" w:eastAsia="en-US" w:bidi="ar-SA"/>
    </w:rPr>
  </w:style>
  <w:style w:type="paragraph" w:customStyle="1" w:styleId="80">
    <w:name w:val="石墨文档正文"/>
    <w:qFormat/>
    <w:uiPriority w:val="0"/>
    <w:rPr>
      <w:rFonts w:ascii="微软雅黑" w:hAnsi="微软雅黑" w:eastAsia="微软雅黑" w:cs="微软雅黑"/>
      <w:sz w:val="24"/>
      <w:szCs w:val="24"/>
      <w:lang w:val="en-US" w:eastAsia="zh-CN" w:bidi="ar-SA"/>
    </w:rPr>
  </w:style>
  <w:style w:type="paragraph" w:customStyle="1" w:styleId="81">
    <w:name w:val="Char4 Char Char Char Char Char Char1"/>
    <w:basedOn w:val="1"/>
    <w:autoRedefine/>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6.png"/><Relationship Id="rId26" Type="http://schemas.openxmlformats.org/officeDocument/2006/relationships/image" Target="media/image15.emf"/><Relationship Id="rId25" Type="http://schemas.openxmlformats.org/officeDocument/2006/relationships/oleObject" Target="embeddings/oleObject4.bin"/><Relationship Id="rId24" Type="http://schemas.openxmlformats.org/officeDocument/2006/relationships/image" Target="media/image14.wmf"/><Relationship Id="rId23" Type="http://schemas.openxmlformats.org/officeDocument/2006/relationships/oleObject" Target="embeddings/oleObject3.bin"/><Relationship Id="rId22" Type="http://schemas.openxmlformats.org/officeDocument/2006/relationships/image" Target="media/image13.wmf"/><Relationship Id="rId21" Type="http://schemas.openxmlformats.org/officeDocument/2006/relationships/oleObject" Target="embeddings/oleObject2.bin"/><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e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7d02c7d0-7a3a-4b1e-8c56-fbe271743231</errorID>
      <errorWord>|</errorWord>
      <group>L1_Format</group>
      <groupName>格式问题</groupName>
      <ability>L2_HalfPunc_CN</ability>
      <abilityName>全半角问题</abilityName>
      <candidateList>
        <item>｜</item>
      </candidateList>
      <explain>文本全半角错误。</explain>
      <paraID>49B0CE58</paraID>
      <start>7</start>
      <end>8</end>
      <status>unmodified</status>
      <modifiedWord/>
      <trackRevisions>false</trackRevisions>
    </reviewItem>
    <reviewItem>
      <errorID>eb7c7568-8ef3-48b1-ac41-5c5bec3d5366</errorID>
      <errorWord>（</errorWord>
      <group>L1_Punc</group>
      <groupName>标点问题</groupName>
      <ability>L2_Punc_CN</ability>
      <abilityName>标点符号问题</abilityName>
      <candidateList/>
      <explain>同一形式括号套用。</explain>
      <paraID>49B0CE58</paraID>
      <start>38</start>
      <end>39</end>
      <status>unmodified</status>
      <modifiedWord/>
      <trackRevisions>false</trackRevisions>
    </reviewItem>
    <reviewItem>
      <errorID>d1d47f73-2346-4846-9385-86835618db22</errorID>
      <errorWord>）</errorWord>
      <group>L1_Punc</group>
      <groupName>标点问题</groupName>
      <ability>L2_Punc_CN</ability>
      <abilityName>标点符号问题</abilityName>
      <candidateList/>
      <explain>同一形式括号套用。</explain>
      <paraID>49B0CE58</paraID>
      <start>58</start>
      <end>59</end>
      <status>unmodified</status>
      <modifiedWord/>
      <trackRevisions>false</trackRevisions>
    </reviewItem>
    <reviewItem>
      <errorID>fb00b143-546d-4d40-a312-38ae7062b9b9</errorID>
      <errorWord>（</errorWord>
      <group>L1_Punc</group>
      <groupName>标点问题</groupName>
      <ability>L2_Punc_CN</ability>
      <abilityName>标点符号问题</abilityName>
      <candidateList/>
      <explain>同一形式括号套用。</explain>
      <paraID>7042831D</paraID>
      <start>37</start>
      <end>38</end>
      <status>unmodified</status>
      <modifiedWord/>
      <trackRevisions>false</trackRevisions>
    </reviewItem>
    <reviewItem>
      <errorID>3296a7de-8eea-49ed-8558-5646b390b9c9</errorID>
      <errorWord>）</errorWord>
      <group>L1_Punc</group>
      <groupName>标点问题</groupName>
      <ability>L2_Punc_CN</ability>
      <abilityName>标点符号问题</abilityName>
      <candidateList/>
      <explain>同一形式括号套用。</explain>
      <paraID>7042831D</paraID>
      <start>57</start>
      <end>58</end>
      <status>unmodified</status>
      <modifiedWord/>
      <trackRevisions>false</trackRevisions>
    </reviewItem>
    <reviewItem>
      <errorID>bc85ba52-dccf-45c1-9bbf-242979ac0aa3</errorID>
      <errorWord>（</errorWord>
      <group>L1_Punc</group>
      <groupName>标点问题</groupName>
      <ability>L2_Punc_CN</ability>
      <abilityName>标点符号问题</abilityName>
      <candidateList/>
      <explain>同一形式括号套用。</explain>
      <paraID>404AC7F5</paraID>
      <start>40</start>
      <end>41</end>
      <status>unmodified</status>
      <modifiedWord/>
      <trackRevisions>false</trackRevisions>
    </reviewItem>
    <reviewItem>
      <errorID>8c537f93-25ce-459f-b8f6-6a5657483f04</errorID>
      <errorWord>）</errorWord>
      <group>L1_Punc</group>
      <groupName>标点问题</groupName>
      <ability>L2_Punc_CN</ability>
      <abilityName>标点符号问题</abilityName>
      <candidateList/>
      <explain>同一形式括号套用。</explain>
      <paraID>404AC7F5</paraID>
      <start>60</start>
      <end>61</end>
      <status>unmodified</status>
      <modifiedWord/>
      <trackRevisions>false</trackRevisions>
    </reviewItem>
    <reviewItem>
      <errorID>439cc806-ff79-4d91-b004-add6801962a3</errorID>
      <errorWord>（</errorWord>
      <group>L1_Punc</group>
      <groupName>标点问题</groupName>
      <ability>L2_Punc_CN</ability>
      <abilityName>标点符号问题</abilityName>
      <candidateList/>
      <explain>同一形式括号套用。</explain>
      <paraID>72A2C12B</paraID>
      <start>38</start>
      <end>39</end>
      <status>unmodified</status>
      <modifiedWord/>
      <trackRevisions>false</trackRevisions>
    </reviewItem>
    <reviewItem>
      <errorID>6c760654-20fe-4b7b-bbeb-983c666453a0</errorID>
      <errorWord>）</errorWord>
      <group>L1_Punc</group>
      <groupName>标点问题</groupName>
      <ability>L2_Punc_CN</ability>
      <abilityName>标点符号问题</abilityName>
      <candidateList/>
      <explain>同一形式括号套用。</explain>
      <paraID>72A2C12B</paraID>
      <start>60</start>
      <end>61</end>
      <status>unmodified</status>
      <modifiedWord/>
      <trackRevisions>false</trackRevisions>
    </reviewItem>
    <reviewItem>
      <errorID>a501b480-bb88-4059-912e-5394f30f1fd5</errorID>
      <errorWord>盘</errorWord>
      <group>L1_Grammar</group>
      <groupName>语法问题</groupName>
      <ability>L2_Order</ability>
      <abilityName>语序不当</abilityName>
      <candidateList>
        <item>的盘</item>
      </candidateList>
      <explain>句子可能没有遵循时空、逻辑顺序，或者介词、关联词等位置不当。</explain>
      <paraID>6A89F6B2</paraID>
      <start>36</start>
      <end>37</end>
      <status>unmodified</status>
      <modifiedWord/>
      <trackRevisions>false</trackRevisions>
    </reviewItem>
    <reviewItem>
      <errorID>c895a57e-de76-488f-9224-b59be826b403</errorID>
      <errorWord>配</errorWord>
      <group>L1_Word</group>
      <groupName>字词问题</groupName>
      <ability>L2_Typo</ability>
      <abilityName>字词错误</abilityName>
      <candidateList>
        <item>配电</item>
      </candidateList>
      <explain/>
      <paraID>3689D6B4</paraID>
      <start>155</start>
      <end>156</end>
      <status>unmodified</status>
      <modifiedWord/>
      <trackRevisions>false</trackRevisions>
    </reviewItem>
    <reviewItem>
      <errorID>9876635b-0f74-403f-8907-e224f0cf84e5</errorID>
      <errorWord>………</errorWord>
      <group>L1_Punc</group>
      <groupName>标点问题</groupName>
      <ability>L2_Punc_CN</ability>
      <abilityName>标点符号问题</abilityName>
      <candidateList>
        <item>……</item>
      </candidateList>
      <explain/>
      <paraID>511526A6</paraID>
      <start>0</start>
      <end>3</end>
      <status>unmodified</status>
      <modifiedWord/>
      <trackRevisions>false</trackRevisions>
    </reviewItem>
    <reviewItem>
      <errorID>f30e5226-8c95-450f-ac56-9544e62995f7</errorID>
      <errorWord>/）</errorWord>
      <group>L1_Punc</group>
      <groupName>标点问题</groupName>
      <ability>L2_Punc_CN</ability>
      <abilityName>标点符号问题</abilityName>
      <candidateList>
        <item>）</item>
      </candidateList>
      <explain/>
      <paraID>520C34F2</paraID>
      <start>144</start>
      <end>146</end>
      <status>unmodified</status>
      <modifiedWord/>
      <trackRevisions>false</trackRevisions>
    </reviewItem>
    <reviewItem>
      <errorID>a3d03967-2d56-4bea-8332-e922863d48a2</errorID>
      <errorWord>.</errorWord>
      <group>L1_Punc</group>
      <groupName>标点问题</groupName>
      <ability>L2_Punc_CN</ability>
      <abilityName>标点符号问题</abilityName>
      <candidateList/>
      <explain/>
      <paraID> 1ED47DE</paraID>
      <start>0</start>
      <end>1</end>
      <status>ignored</status>
      <modifiedWord/>
      <trackRevisions>false</trackRevisions>
    </reviewItem>
    <reviewItem>
      <errorID>71d69fcb-7e09-49ba-b855-77183eb456a6</errorID>
      <errorWord>矿产资源开采管理办法</errorWord>
      <group>L1_Knowledge</group>
      <groupName>知识性问题</groupName>
      <ability>L2_Knowledge</ability>
      <abilityName>其他知识</abilityName>
      <candidateList>
        <item>矿产资源开采登记管理办法</item>
      </candidateList>
      <explain>当前法律法规未收录或尚未生效，注意核查是否正确。</explain>
      <paraID>3D530766</paraID>
      <start>5</start>
      <end>15</end>
      <status>unmodified</status>
      <modifiedWord/>
      <trackRevisions>false</trackRevisions>
    </reviewItem>
    <reviewItem>
      <errorID>0dd885d6-18a4-4e8a-ba85-d0f405097224</errorID>
      <errorWord>达</errorWord>
      <group>L1_Word</group>
      <groupName>字词问题</groupName>
      <ability>L2_Typo</ability>
      <abilityName>字词错误</abilityName>
      <candidateList>
        <item>达到</item>
      </candidateList>
      <explain>〈动〉到（多指抽象事物或程度）：达得到｜达不到｜目的没有～｜～国际水平。</explain>
      <paraID>407CEB66</paraID>
      <start>20</start>
      <end>21</end>
      <status>unmodified</status>
      <modifiedWord/>
      <trackRevisions>false</trackRevisions>
    </reviewItem>
    <reviewItem>
      <errorID>4e3cf3ea-820e-4b56-9500-d5a1b70969af</errorID>
      <errorWord>禽畜</errorWord>
      <group>L1_Word</group>
      <groupName>字词问题</groupName>
      <ability>L2_Typo</ability>
      <abilityName>字词错误</abilityName>
      <candidateList>
        <item>畜禽</item>
      </candidateList>
      <explain/>
      <paraID>272EA270</paraID>
      <start>34</start>
      <end>36</end>
      <status>unmodified</status>
      <modifiedWord/>
      <trackRevisions>false</trackRevisions>
    </reviewItem>
    <reviewItem>
      <errorID>b875a175-3b18-4ec8-9c7c-721b1972ea66</errorID>
      <errorWord>控制控制</errorWord>
      <group>L1_Word</group>
      <groupName>字词问题</groupName>
      <ability>L2_Typo</ability>
      <abilityName>字词错误</abilityName>
      <candidateList>
        <item>控制</item>
      </candidateList>
      <explain/>
      <paraID>7D2A20EE</paraID>
      <start>13</start>
      <end>17</end>
      <status>unmodified</status>
      <modifiedWord/>
      <trackRevisions>false</trackRevisions>
    </reviewItem>
    <reviewItem>
      <errorID>b9ed8a84-dbda-4785-822b-426f8047b33d</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5E06125E</paraID>
      <start>4</start>
      <end>10</end>
      <status>unmodified</status>
      <modifiedWord/>
      <trackRevisions>false</trackRevisions>
    </reviewItem>
    <reviewItem>
      <errorID>71d69fcb-7e09-49ba-b855-77183eb456a6</errorID>
      <errorWord>矿产资源开采管理办法</errorWord>
      <group>L1_Knowledge</group>
      <groupName>知识性问题</groupName>
      <ability>L2_Knowledge</ability>
      <abilityName>其他知识</abilityName>
      <candidateList>
        <item>矿产资源开采登记管理办法</item>
      </candidateList>
      <explain>当前法律法规未收录或尚未生效，注意核查是否正确。</explain>
      <paraID> 97590C7</paraID>
      <start>5</start>
      <end>15</end>
      <status>unmodified</status>
      <modifiedWord/>
      <trackRevisions>false</trackRevisions>
    </reviewItem>
    <reviewItem>
      <errorID>0dd885d6-18a4-4e8a-ba85-d0f405097224</errorID>
      <errorWord>达</errorWord>
      <group>L1_Word</group>
      <groupName>字词问题</groupName>
      <ability>L2_Typo</ability>
      <abilityName>字词错误</abilityName>
      <candidateList>
        <item>达到</item>
      </candidateList>
      <explain>〈动〉到（多指抽象事物或程度）：达得到｜达不到｜目的没有～｜～国际水平。</explain>
      <paraID>297099D4</paraID>
      <start>20</start>
      <end>21</end>
      <status>unmodified</status>
      <modifiedWord/>
      <trackRevisions>false</trackRevisions>
    </reviewItem>
    <reviewItem>
      <errorID>4e3cf3ea-820e-4b56-9500-d5a1b70969af</errorID>
      <errorWord>禽畜</errorWord>
      <group>L1_Word</group>
      <groupName>字词问题</groupName>
      <ability>L2_Typo</ability>
      <abilityName>字词错误</abilityName>
      <candidateList>
        <item>畜禽</item>
      </candidateList>
      <explain/>
      <paraID>2F66A590</paraID>
      <start>34</start>
      <end>36</end>
      <status>unmodified</status>
      <modifiedWord/>
      <trackRevisions>false</trackRevisions>
    </reviewItem>
    <reviewItem>
      <errorID>b6fc2cb2-6ae2-4021-a295-da06e3a57815</errorID>
      <errorWord>控制控制</errorWord>
      <group>L1_Word</group>
      <groupName>字词问题</groupName>
      <ability>L2_Typo</ability>
      <abilityName>字词错误</abilityName>
      <candidateList>
        <item>控制</item>
      </candidateList>
      <explain/>
      <paraID>3EF7E385</paraID>
      <start>13</start>
      <end>17</end>
      <status>unmodified</status>
      <modifiedWord/>
      <trackRevisions>false</trackRevisions>
    </reviewItem>
    <reviewItem>
      <errorID>0c31b1b9-0dcd-460c-96c5-5fa126f63412</errorID>
      <errorWord>涉及</errorWord>
      <group>L1_Word</group>
      <groupName>字词问题</groupName>
      <ability>L2_Typo</ability>
      <abilityName>字词错误</abilityName>
      <candidateList>
        <item>设计</item>
      </candidateList>
      <explain>❶〈动〉在正式做某项工作之前，根据一定的目的要求，预先制定方法、图样等：～师｜～图纸。❷〈名〉设计的方案或规划的蓝图等：那两项～已经完成。</explain>
      <paraID> D52EF84</paraID>
      <start>50</start>
      <end>52</end>
      <status>unmodified</status>
      <modifiedWord/>
      <trackRevisions>false</trackRevisions>
    </reviewItem>
    <reviewItem>
      <errorID>11f9fd86-3956-424f-b7e1-d2546dce66f9</errorID>
      <errorWord>比</errorWord>
      <group>L1_Word</group>
      <groupName>字词问题</groupName>
      <ability>L2_Typo</ability>
      <abilityName>字词错误</abilityName>
      <candidateList>
        <item>比例</item>
      </candidateList>
      <explain>〈名〉❶表示两个比相等的式子，如3∶4＝9∶12。❷两个同类量之间的倍数关系：教师和学生的～已经达到要求。❸比重❷：在所销商品中，国货的～比较大。</explain>
      <paraID>290C4811</paraID>
      <start>41</start>
      <end>42</end>
      <status>unmodified</status>
      <modifiedWord/>
      <trackRevisions>false</trackRevisions>
    </reviewItem>
    <reviewItem>
      <errorID>32097b83-0849-4938-bcc6-6a016184a830</errorID>
      <errorWord>胶粘剂</errorWord>
      <group>L1_Word</group>
      <groupName>字词问题</groupName>
      <ability>L2_Typo</ability>
      <abilityName>字词错误</abilityName>
      <candidateList>
        <item>胶黏剂</item>
      </candidateList>
      <explain/>
      <paraID>6982D065</paraID>
      <start>52</start>
      <end>55</end>
      <status>unmodified</status>
      <modifiedWord/>
      <trackRevisions>false</trackRevisions>
    </reviewItem>
    <reviewItem>
      <errorID>5b0860fa-8f39-4821-a09f-e800cb3d9eba</errorID>
      <errorWord>敞开是</errorWord>
      <group>L1_Word</group>
      <groupName>字词问题</groupName>
      <ability>L2_Typo</ability>
      <abilityName>字词错误</abilityName>
      <candidateList>
        <item>敞开式</item>
      </candidateList>
      <explain/>
      <paraID>7856C7D9</paraID>
      <start>272</start>
      <end>275</end>
      <status>unmodified</status>
      <modifiedWord/>
      <trackRevisions>false</trackRevisions>
    </reviewItem>
    <reviewItem>
      <errorID>1d1e9c49-b9d4-49b9-a0ea-8b2de0d6d788</errorID>
      <errorWord>达</errorWord>
      <group>L1_Word</group>
      <groupName>字词问题</groupName>
      <ability>L2_Typo</ability>
      <abilityName>字词错误</abilityName>
      <candidateList>
        <item>达到</item>
      </candidateList>
      <explain>〈动〉到（多指抽象事物或程度）：达得到｜达不到｜目的没有～｜～国际水平。</explain>
      <paraID>7856C7D9</paraID>
      <start>338</start>
      <end>339</end>
      <status>unmodified</status>
      <modifiedWord/>
      <trackRevisions>false</trackRevisions>
    </reviewItem>
    <reviewItem>
      <errorID>7cfccf7d-74c5-4c43-a38b-e088a6f4efd1</errorID>
      <errorWord>控制控制</errorWord>
      <group>L1_Word</group>
      <groupName>字词问题</groupName>
      <ability>L2_Typo</ability>
      <abilityName>字词错误</abilityName>
      <candidateList>
        <item>控制</item>
      </candidateList>
      <explain/>
      <paraID>7048CAFE</paraID>
      <start>15</start>
      <end>19</end>
      <status>unmodified</status>
      <modifiedWord/>
      <trackRevisions>false</trackRevisions>
    </reviewItem>
    <reviewItem>
      <errorID>91545369-8314-4e6d-9164-35cecfc406c0</errorID>
      <errorWord>达</errorWord>
      <group>L1_Word</group>
      <groupName>字词问题</groupName>
      <ability>L2_Typo</ability>
      <abilityName>字词错误</abilityName>
      <candidateList>
        <item>达到</item>
      </candidateList>
      <explain>〈动〉到（多指抽象事物或程度）：达得到｜达不到｜目的没有～｜～国际水平。</explain>
      <paraID>1F419C0E</paraID>
      <start>22</start>
      <end>23</end>
      <status>unmodified</status>
      <modifiedWord/>
      <trackRevisions>false</trackRevisions>
    </reviewItem>
    <reviewItem>
      <errorID>ebd23b7c-01b9-40ed-874b-f0766ba87122</errorID>
      <errorWord>控制控制</errorWord>
      <group>L1_Word</group>
      <groupName>字词问题</groupName>
      <ability>L2_Typo</ability>
      <abilityName>字词错误</abilityName>
      <candidateList>
        <item>控制</item>
      </candidateList>
      <explain/>
      <paraID>5C0A84F1</paraID>
      <start>15</start>
      <end>19</end>
      <status>unmodified</status>
      <modifiedWord/>
      <trackRevisions>false</trackRevisions>
    </reviewItem>
    <reviewItem>
      <errorID>574f7eb7-91a7-4b96-aeb1-4b0b5837ad49</errorID>
      <errorWord>位</errorWord>
      <group>L1_Word</group>
      <groupName>字词问题</groupName>
      <ability>L2_Typo</ability>
      <abilityName>字词错误</abilityName>
      <candidateList>
        <item>位在</item>
      </candidateList>
      <explain/>
      <paraID>68E8F608</paraID>
      <start>94</start>
      <end>95</end>
      <status>unmodified</status>
      <modifiedWord/>
      <trackRevisions>false</trackRevisions>
    </reviewItem>
    <reviewItem>
      <errorID>ea373878-f0b4-4697-b1d0-2f55d202f390</errorID>
      <errorWord>（</errorWord>
      <group>L1_Punc</group>
      <groupName>标点问题</groupName>
      <ability>L2_Punc_CN</ability>
      <abilityName>标点符号问题</abilityName>
      <candidateList/>
      <explain>同一形式括号套用。</explain>
      <paraID>46D70F79</paraID>
      <start>41</start>
      <end>42</end>
      <status>unmodified</status>
      <modifiedWord/>
      <trackRevisions>false</trackRevisions>
    </reviewItem>
    <reviewItem>
      <errorID>582eb1d8-dae7-47a6-b788-4f8d2e9aa39b</errorID>
      <errorWord>）</errorWord>
      <group>L1_Punc</group>
      <groupName>标点问题</groupName>
      <ability>L2_Punc_CN</ability>
      <abilityName>标点符号问题</abilityName>
      <candidateList/>
      <explain>同一形式括号套用。</explain>
      <paraID>46D70F79</paraID>
      <start>43</start>
      <end>44</end>
      <status>unmodified</status>
      <modifiedWord/>
      <trackRevisions>false</trackRevisions>
    </reviewItem>
    <reviewItem>
      <errorID>21368c9d-8333-4f16-bd31-ec525d0f63db</errorID>
      <errorWord>尽量减少了</errorWord>
      <group>L1_Word</group>
      <groupName>字词问题</groupName>
      <ability>L2_Typo</ability>
      <abilityName>字词错误</abilityName>
      <candidateList>
        <item>尽量减少</item>
      </candidateList>
      <explain/>
      <paraID>680EAE3A</paraID>
      <start>35</start>
      <end>40</end>
      <status>unmodified</status>
      <modifiedWord/>
      <trackRevisions>false</trackRevisions>
    </reviewItem>
    <reviewItem>
      <errorID>4f879a88-8db2-42c3-a5a0-4d3eca5e6889</errorID>
      <errorWord>程</errorWord>
      <group>L1_Word</group>
      <groupName>字词问题</groupName>
      <ability>L2_Typo</ability>
      <abilityName>字词错误</abilityName>
      <candidateList>
        <item>程中</item>
      </candidateList>
      <explain/>
      <paraID>52F82D99</paraID>
      <start>30</start>
      <end>31</end>
      <status>unmodified</status>
      <modifiedWord/>
      <trackRevisions>false</trackRevisions>
    </reviewItem>
    <reviewItem>
      <errorID>6181b53e-8ba9-46d4-9fbf-2c09ae7a4bba</errorID>
      <errorWord>余方</errorWord>
      <group>L1_Word</group>
      <groupName>字词问题</groupName>
      <ability>L2_Typo</ability>
      <abilityName>字词错误</abilityName>
      <candidateList>
        <item>土方</item>
      </candidateList>
      <explain/>
      <paraID> 273E0E8</paraID>
      <start>19</start>
      <end>21</end>
      <status>unmodified</status>
      <modifiedWord/>
      <trackRevisions>false</trackRevisions>
    </reviewItem>
    <reviewItem>
      <errorID>dbf54d55-906d-46a2-9d8d-e7d560a9011a</errorID>
      <errorWord>属</errorWord>
      <group>L1_Word</group>
      <groupName>字词问题</groupName>
      <ability>L2_Typo</ability>
      <abilityName>字词错误</abilityName>
      <candidateList>
        <item>属于</item>
      </candidateList>
      <explain/>
      <paraID>4EDAB433</paraID>
      <start>14</start>
      <end>15</end>
      <status>unmodified</status>
      <modifiedWord/>
      <trackRevisions>false</trackRevisions>
    </reviewItem>
    <reviewItem>
      <errorID>0beabc7e-913a-48f1-8975-140d4aff2168</errorID>
      <errorWord>》</errorWord>
      <group>L1_Word</group>
      <groupName>字词问题</groupName>
      <ability>L2_Typo</ability>
      <abilityName>字词错误</abilityName>
      <candidateList>
        <item>》等</item>
      </candidateList>
      <explain/>
      <paraID>3BB382CC</paraID>
      <start>47</start>
      <end>48</end>
      <status>unmodified</status>
      <modifiedWord/>
      <trackRevisions>false</trackRevisions>
    </reviewItem>
    <reviewItem>
      <errorID>7874d848-1df9-47c9-ad7d-5ed782a5941e</errorID>
      <errorWord>位于位于</errorWord>
      <group>L1_Word</group>
      <groupName>字词问题</groupName>
      <ability>L2_Typo</ability>
      <abilityName>字词错误</abilityName>
      <candidateList>
        <item>位于</item>
      </candidateList>
      <explain/>
      <paraID>52E5D6FA</paraID>
      <start>10</start>
      <end>14</end>
      <status>unmodified</status>
      <modifiedWord/>
      <trackRevisions>false</trackRevisions>
    </reviewItem>
    <reviewItem>
      <errorID>1127c562-d437-4192-b6dd-3efc6a7bd763</errorID>
      <errorWord>约为</errorWord>
      <group>L1_Word</group>
      <groupName>字词问题</groupName>
      <ability>L2_Typo</ability>
      <abilityName>字词错误</abilityName>
      <candidateList>
        <item>约</item>
      </candidateList>
      <explain/>
      <paraID> E376A03</paraID>
      <start>22</start>
      <end>24</end>
      <status>unmodified</status>
      <modifiedWord/>
      <trackRevisions>false</trackRevisions>
    </reviewItem>
    <reviewItem>
      <errorID>9a631b89-1135-40d8-a58f-3ba4ac5f74de</errorID>
      <errorWord>约为</errorWord>
      <group>L1_Word</group>
      <groupName>字词问题</groupName>
      <ability>L2_Typo</ability>
      <abilityName>字词错误</abilityName>
      <candidateList>
        <item>约</item>
      </candidateList>
      <explain/>
      <paraID>6F45F5BD</paraID>
      <start>23</start>
      <end>25</end>
      <status>unmodified</status>
      <modifiedWord/>
      <trackRevisions>false</trackRevisions>
    </reviewItem>
    <reviewItem>
      <errorID>aa762168-966b-483a-9ab7-247e9e1f1f9b</errorID>
      <errorWord>做</errorWord>
      <group>L1_Word</group>
      <groupName>字词问题</groupName>
      <ability>L2_Typo</ability>
      <abilityName>字词错误</abilityName>
      <candidateList>
        <item>作</item>
      </candidateList>
      <explain>存在发音相同字词的误用。</explain>
      <paraID> 1B5164C</paraID>
      <start>12</start>
      <end>13</end>
      <status>unmodified</status>
      <modifiedWord/>
      <trackRevisions>false</trackRevisions>
    </reviewItem>
    <reviewItem>
      <errorID>a137675c-d3b7-42eb-90c3-b9c98a245d0d</errorID>
      <errorWord>，</errorWord>
      <group>L1_Format</group>
      <groupName>格式问题</groupName>
      <ability>L2_HalfPunc_CN</ability>
      <abilityName>全半角问题</abilityName>
      <candidateList>
        <item>,</item>
      </candidateList>
      <explain>文本全半角错误。</explain>
      <paraID>147D0349</paraID>
      <start>6</start>
      <end>7</end>
      <status>unmodified</status>
      <modifiedWord/>
      <trackRevisions>false</trackRevisions>
    </reviewItem>
    <reviewItem>
      <errorID>8cc779cf-1030-4877-b5ea-5b5edb1d60d5</errorID>
      <errorWord>（</errorWord>
      <group>L1_Punc</group>
      <groupName>标点问题</groupName>
      <ability>L2_Punc_CN</ability>
      <abilityName>标点符号问题</abilityName>
      <candidateList/>
      <explain>同一形式括号套用。</explain>
      <paraID>2FE05F05</paraID>
      <start>117</start>
      <end>118</end>
      <status>unmodified</status>
      <modifiedWord/>
      <trackRevisions>false</trackRevisions>
    </reviewItem>
    <reviewItem>
      <errorID>7bf7d4e2-e717-4899-a3bf-bf8f253c0625</errorID>
      <errorWord>）</errorWord>
      <group>L1_Punc</group>
      <groupName>标点问题</groupName>
      <ability>L2_Punc_CN</ability>
      <abilityName>标点符号问题</abilityName>
      <candidateList/>
      <explain>同一形式括号套用。</explain>
      <paraID>2FE05F05</paraID>
      <start>155</start>
      <end>156</end>
      <status>unmodified</status>
      <modifiedWord/>
      <trackRevisions>false</trackRevisions>
    </reviewItem>
    <reviewItem>
      <errorID>0188659b-b89d-43af-bf49-c9070042b8e7</errorID>
      <errorWord>（</errorWord>
      <group>L1_Punc</group>
      <groupName>标点问题</groupName>
      <ability>L2_Punc_CN</ability>
      <abilityName>标点符号问题</abilityName>
      <candidateList/>
      <explain>同一形式括号套用。</explain>
      <paraID>2FE05F05</paraID>
      <start>159</start>
      <end>160</end>
      <status>unmodified</status>
      <modifiedWord/>
      <trackRevisions>false</trackRevisions>
    </reviewItem>
    <reviewItem>
      <errorID>757ff66d-98b9-4032-a07a-050c7b0d320f</errorID>
      <errorWord>）</errorWord>
      <group>L1_Punc</group>
      <groupName>标点问题</groupName>
      <ability>L2_Punc_CN</ability>
      <abilityName>标点符号问题</abilityName>
      <candidateList/>
      <explain>同一形式括号套用。</explain>
      <paraID>2FE05F05</paraID>
      <start>200</start>
      <end>201</end>
      <status>unmodified</status>
      <modifiedWord/>
      <trackRevisions>false</trackRevisions>
    </reviewItem>
    <reviewItem>
      <errorID>9d989674-7da0-4098-a200-2258b8d912d9</errorID>
      <errorWord>（</errorWord>
      <group>L1_Punc</group>
      <groupName>标点问题</groupName>
      <ability>L2_Punc_CN</ability>
      <abilityName>标点符号问题</abilityName>
      <candidateList/>
      <explain>同一形式括号套用。</explain>
      <paraID>2FE05F05</paraID>
      <start>204</start>
      <end>205</end>
      <status>unmodified</status>
      <modifiedWord/>
      <trackRevisions>false</trackRevisions>
    </reviewItem>
    <reviewItem>
      <errorID>77a492eb-4022-44d3-a060-854157450b66</errorID>
      <errorWord>）</errorWord>
      <group>L1_Punc</group>
      <groupName>标点问题</groupName>
      <ability>L2_Punc_CN</ability>
      <abilityName>标点符号问题</abilityName>
      <candidateList/>
      <explain>同一形式括号套用。</explain>
      <paraID>2FE05F05</paraID>
      <start>236</start>
      <end>237</end>
      <status>unmodified</status>
      <modifiedWord/>
      <trackRevisions>false</trackRevisions>
    </reviewItem>
    <reviewItem>
      <errorID>cb7c4634-21ed-4107-8e2b-4353b24ec8d8</errorID>
      <errorWord>（</errorWord>
      <group>L1_Punc</group>
      <groupName>标点问题</groupName>
      <ability>L2_Punc_CN</ability>
      <abilityName>标点符号问题</abilityName>
      <candidateList/>
      <explain>同一形式括号套用。</explain>
      <paraID>2FE05F05</paraID>
      <start>291</start>
      <end>292</end>
      <status>unmodified</status>
      <modifiedWord/>
      <trackRevisions>false</trackRevisions>
    </reviewItem>
    <reviewItem>
      <errorID>82974d7c-a70a-4fa5-acee-1fecb349dab4</errorID>
      <errorWord>）</errorWord>
      <group>L1_Punc</group>
      <groupName>标点问题</groupName>
      <ability>L2_Punc_CN</ability>
      <abilityName>标点符号问题</abilityName>
      <candidateList/>
      <explain>同一形式括号套用。</explain>
      <paraID>2FE05F05</paraID>
      <start>327</start>
      <end>328</end>
      <status>unmodified</status>
      <modifiedWord/>
      <trackRevisions>false</trackRevisions>
    </reviewItem>
    <reviewItem>
      <errorID>28edf076-5ff9-4142-ab52-b29d23488708</errorID>
      <errorWord>一二线</errorWord>
      <group>L1_Punc</group>
      <groupName>标点问题</groupName>
      <ability>L2_Punc_CN</ability>
      <abilityName>标点符号问题</abilityName>
      <candidateList>
        <item>一、二线</item>
      </candidateList>
      <explain/>
      <paraID>35077396</paraID>
      <start>9</start>
      <end>12</end>
      <status>unmodified</status>
      <modifiedWord/>
      <trackRevisions>false</trackRevisions>
    </reviewItem>
    <reviewItem>
      <errorID>e51c25cf-4475-4397-9f13-770855c27cc2</errorID>
      <errorWord>设置</errorWord>
      <group>L1_Word</group>
      <groupName>字词问题</groupName>
      <ability>L2_Typo</ability>
      <abilityName>字词错误</abilityName>
      <candidateList>
        <item>设施</item>
      </candidateList>
      <explain>存在发音相近字词的误用。</explain>
      <paraID>7A442FEF</paraID>
      <start>5</start>
      <end>7</end>
      <status>unmodified</status>
      <modifiedWord/>
      <trackRevisions>false</trackRevisions>
    </reviewItem>
    <reviewItem>
      <errorID>3920bac3-7da8-4407-b215-0d91cfea6804</errorID>
      <errorWord>蓬</errorWord>
      <group>L1_Word</group>
      <groupName>字词问题</groupName>
      <ability>L2_Typo</ability>
      <abilityName>字词错误</abilityName>
      <candidateList>
        <item>篷</item>
      </candidateList>
      <explain>存在发音相同字词的误用。</explain>
      <paraID>30C256DB</paraID>
      <start>50</start>
      <end>51</end>
      <status>unmodified</status>
      <modifiedWord/>
      <trackRevisions>false</trackRevisions>
    </reviewItem>
    <reviewItem>
      <errorID>ed29a7f5-eb44-4be9-84cc-4b5b3eae34f2</errorID>
      <errorWord>施工人抬</errorWord>
      <group>L1_Word</group>
      <groupName>字词问题</groupName>
      <ability>L2_Typo</ability>
      <abilityName>字词错误</abilityName>
      <candidateList>
        <item>施工人员</item>
      </candidateList>
      <explain/>
      <paraID>4F496F11</paraID>
      <start>2</start>
      <end>6</end>
      <status>unmodified</status>
      <modifiedWord/>
      <trackRevisions>false</trackRevisions>
    </reviewItem>
    <reviewItem>
      <errorID>42b357a7-6e0e-4e3e-b3e2-ff6a54c5ac28</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71902E12</paraID>
      <start>276</start>
      <end>280</end>
      <status>unmodified</status>
      <modifiedWord/>
      <trackRevisions>false</trackRevisions>
    </reviewItem>
    <reviewItem>
      <errorID>6cb42b6f-ed47-4877-b00c-2afc5e9edf56</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38107AC5</paraID>
      <start>71</start>
      <end>75</end>
      <status>unmodified</status>
      <modifiedWord/>
      <trackRevisions>false</trackRevisions>
    </reviewItem>
    <reviewItem>
      <errorID>de9a3d37-71a7-45f7-a0b9-8db4485d70a5</errorID>
      <errorWord>一优</errorWord>
      <group>L1_Word</group>
      <groupName>字词问题</groupName>
      <ability>L2_Typo</ability>
      <abilityName>字词错误</abilityName>
      <candidateList>
        <item>一隅</item>
      </candidateList>
      <explain>存在发音相近字词的误用。</explain>
      <paraID>39CA9445</paraID>
      <start>2</start>
      <end>4</end>
      <status>unmodified</status>
      <modifiedWord/>
      <trackRevisions>false</trackRevisions>
    </reviewItem>
    <reviewItem>
      <errorID>b76d8e7f-fa11-47a7-b536-317e36cf7783</errorID>
      <errorWord>一优</errorWord>
      <group>L1_Word</group>
      <groupName>字词问题</groupName>
      <ability>L2_Typo</ability>
      <abilityName>字词错误</abilityName>
      <candidateList>
        <item>一隅</item>
      </candidateList>
      <explain>存在发音相近字词的误用。</explain>
      <paraID>21ABC510</paraID>
      <start>2</start>
      <end>4</end>
      <status>unmodified</status>
      <modifiedWord/>
      <trackRevisions>false</trackRevisions>
    </reviewItem>
    <reviewItem>
      <errorID>5b25a70c-4ed7-4fb6-a40f-192e3d1807e5</errorID>
      <errorWord>一优</errorWord>
      <group>L1_Word</group>
      <groupName>字词问题</groupName>
      <ability>L2_Typo</ability>
      <abilityName>字词错误</abilityName>
      <candidateList>
        <item>一隅</item>
      </candidateList>
      <explain>存在发音相近字词的误用。</explain>
      <paraID>48F05286</paraID>
      <start>2</start>
      <end>4</end>
      <status>unmodified</status>
      <modifiedWord/>
      <trackRevisions>false</trackRevisions>
    </reviewItem>
    <reviewItem>
      <errorID>c2a4efb9-b72f-4a27-915c-499aa732828f</errorID>
      <errorWord>一优</errorWord>
      <group>L1_Word</group>
      <groupName>字词问题</groupName>
      <ability>L2_Typo</ability>
      <abilityName>字词错误</abilityName>
      <candidateList>
        <item>一隅</item>
      </candidateList>
      <explain>存在发音相近字词的误用。</explain>
      <paraID>61443A09</paraID>
      <start>2</start>
      <end>4</end>
      <status>unmodified</status>
      <modifiedWord/>
      <trackRevisions>false</trackRevisions>
    </reviewItem>
    <reviewItem>
      <errorID>9ed45551-fccd-4720-993a-f7614caca7b5</errorID>
      <errorWord>一优</errorWord>
      <group>L1_Word</group>
      <groupName>字词问题</groupName>
      <ability>L2_Typo</ability>
      <abilityName>字词错误</abilityName>
      <candidateList>
        <item>一隅</item>
      </candidateList>
      <explain>存在发音相近字词的误用。</explain>
      <paraID>68BB94C2</paraID>
      <start>2</start>
      <end>4</end>
      <status>unmodified</status>
      <modifiedWord/>
      <trackRevisions>false</trackRevisions>
    </reviewItem>
    <reviewItem>
      <errorID>d56c91c4-b8d0-45f2-8974-4e51a47b6ae8</errorID>
      <errorWord>一优</errorWord>
      <group>L1_Word</group>
      <groupName>字词问题</groupName>
      <ability>L2_Typo</ability>
      <abilityName>字词错误</abilityName>
      <candidateList>
        <item>一隅</item>
      </candidateList>
      <explain>存在发音相近字词的误用。</explain>
      <paraID>503EB611</paraID>
      <start>2</start>
      <end>4</end>
      <status>unmodified</status>
      <modifiedWord/>
      <trackRevisions>false</trackRevisions>
    </reviewItem>
    <reviewItem>
      <errorID>7693122a-c7f2-4770-8aad-a4ab86fafaee</errorID>
      <errorWord>档</errorWord>
      <group>L1_Word</group>
      <groupName>字词问题</groupName>
      <ability>L2_Typo</ability>
      <abilityName>字词错误</abilityName>
      <candidateList>
        <item>挡</item>
      </candidateList>
      <explain>存在发音相同字词的误用。</explain>
      <paraID> B3504B9</paraID>
      <start>18</start>
      <end>19</end>
      <status>unmodified</status>
      <modifiedWord/>
      <trackRevisions>false</trackRevisions>
    </reviewItem>
    <reviewItem>
      <errorID>6c4e623b-8b6c-41ff-975f-a9cbaff6b7fa</errorID>
      <errorWord>一二线</errorWord>
      <group>L1_Punc</group>
      <groupName>标点问题</groupName>
      <ability>L2_Punc_CN</ability>
      <abilityName>标点符号问题</abilityName>
      <candidateList>
        <item>一、二线</item>
      </candidateList>
      <explain/>
      <paraID>69E117A9</paraID>
      <start>185</start>
      <end>188</end>
      <status>unmodified</status>
      <modifiedWord/>
      <trackRevisions>false</trackRevisions>
    </reviewItem>
    <reviewItem>
      <errorID>f663eeef-5a93-458f-9027-d8bb540cea9a</errorID>
      <errorWord>一二线</errorWord>
      <group>L1_Punc</group>
      <groupName>标点问题</groupName>
      <ability>L2_Punc_CN</ability>
      <abilityName>标点符号问题</abilityName>
      <candidateList>
        <item>一、二线</item>
      </candidateList>
      <explain/>
      <paraID>69E117A9</paraID>
      <start>210</start>
      <end>213</end>
      <status>unmodified</status>
      <modifiedWord/>
      <trackRevisions>false</trackRevisions>
    </reviewItem>
    <reviewItem>
      <errorID>95dd4fec-11aa-4891-84b8-ace87f8be0b0</errorID>
      <errorWord>一二线</errorWord>
      <group>L1_Punc</group>
      <groupName>标点问题</groupName>
      <ability>L2_Punc_CN</ability>
      <abilityName>标点符号问题</abilityName>
      <candidateList>
        <item>一、二线</item>
      </candidateList>
      <explain/>
      <paraID>69E117A9</paraID>
      <start>221</start>
      <end>224</end>
      <status>unmodified</status>
      <modifiedWord/>
      <trackRevisions>false</trackRevisions>
    </reviewItem>
    <reviewItem>
      <errorID>2733c588-289f-449c-a4f9-f70ba265680f</errorID>
      <errorWord>～</errorWord>
      <group>L1_Format</group>
      <groupName>格式问题</groupName>
      <ability>L2_HalfPunc_CN</ability>
      <abilityName>全半角问题</abilityName>
      <candidateList>
        <item>~</item>
      </candidateList>
      <explain>文本全半角错误。</explain>
      <paraID>76878F05</paraID>
      <start>3</start>
      <end>4</end>
      <status>unmodified</status>
      <modifiedWord/>
      <trackRevisions>false</trackRevisions>
    </reviewItem>
    <reviewItem>
      <errorID>225f6f6b-40f0-4db2-9efb-d7062d0b3276</errorID>
      <errorWord>～</errorWord>
      <group>L1_Format</group>
      <groupName>格式问题</groupName>
      <ability>L2_HalfPunc_CN</ability>
      <abilityName>全半角问题</abilityName>
      <candidateList>
        <item>~</item>
      </candidateList>
      <explain>文本全半角错误。</explain>
      <paraID>3785BEC5</paraID>
      <start>3</start>
      <end>4</end>
      <status>unmodified</status>
      <modifiedWord/>
      <trackRevisions>false</trackRevisions>
    </reviewItem>
    <reviewItem>
      <errorID>f442e8db-f6b8-48a0-8648-5a64f101763e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12ACCFE6</paraID>
      <start>15</start>
      <end>16</end>
      <status>unmodified</status>
      <modifiedWord/>
      <trackRevisions>false</trackRevisions>
    </reviewItem>
    <reviewItem>
      <errorID>a80e97a5-fb9c-4ebd-bff7-b0459db463fd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4CB490A5</paraID>
      <start>27</start>
      <end>28</end>
      <status>unmodified</status>
      <modifiedWord/>
      <trackRevisions>false</trackRevisions>
    </reviewItem>
    <reviewItem>
      <errorID>147cc53e-3fb3-4a32-b6e4-445cbf83c7d4</errorID>
      <errorWord>主要原料的轻工业基地和以天然气为主</errorWord>
      <group>L1_Grammar</group>
      <groupName>语法问题</groupName>
      <ability>L2_Grammar</ability>
      <abilityName>语法错误</abilityName>
      <candidateList>
        <item>原料的轻工业基地和以天然气为主</item>
      </candidateList>
      <explain>该表达中的“主要原料的轻工业基地和以天然气为主”存在语义重复。</explain>
      <paraID>6AC26111</paraID>
      <start>428</start>
      <end>445</end>
      <status>unmodified</status>
      <modifiedWord/>
      <trackRevisions>false</trackRevisions>
    </reviewItem>
    <reviewItem>
      <errorID>9675775f-13e5-496f-8b8c-56b3c16d8c0a</errorID>
      <errorWord>（</errorWord>
      <group>L1_Punc</group>
      <groupName>标点问题</groupName>
      <ability>L2_Punc_CN</ability>
      <abilityName>标点符号问题</abilityName>
      <candidateList/>
      <explain>同一形式括号套用。</explain>
      <paraID>78FC0DDC</paraID>
      <start>2</start>
      <end>3</end>
      <status>unmodified</status>
      <modifiedWord/>
      <trackRevisions>false</trackRevisions>
    </reviewItem>
    <reviewItem>
      <errorID>8faf7368-4fb5-4406-8a30-0d03eabc41bb</errorID>
      <errorWord>）</errorWord>
      <group>L1_Punc</group>
      <groupName>标点问题</groupName>
      <ability>L2_Punc_CN</ability>
      <abilityName>标点符号问题</abilityName>
      <candidateList/>
      <explain>同一形式括号套用。</explain>
      <paraID>78FC0DDC</paraID>
      <start>43</start>
      <end>44</end>
      <status>unmodified</status>
      <modifiedWord/>
      <trackRevisions>false</trackRevisions>
    </reviewItem>
    <reviewItem>
      <errorID>f65425da-aa60-477d-ba2e-d6341a1d569d</errorID>
      <errorWord>（</errorWord>
      <group>L1_Punc</group>
      <groupName>标点问题</groupName>
      <ability>L2_Punc_CN</ability>
      <abilityName>标点符号问题</abilityName>
      <candidateList/>
      <explain>同一形式括号套用。</explain>
      <paraID>685D1F97</paraID>
      <start>2</start>
      <end>3</end>
      <status>unmodified</status>
      <modifiedWord/>
      <trackRevisions>false</trackRevisions>
    </reviewItem>
    <reviewItem>
      <errorID>439aecf0-1884-4fb1-8efc-ec8f1c75a0e0</errorID>
      <errorWord>）</errorWord>
      <group>L1_Punc</group>
      <groupName>标点问题</groupName>
      <ability>L2_Punc_CN</ability>
      <abilityName>标点符号问题</abilityName>
      <candidateList/>
      <explain>同一形式括号套用。</explain>
      <paraID>685D1F97</paraID>
      <start>39</start>
      <end>40</end>
      <status>unmodified</status>
      <modifiedWord/>
      <trackRevisions>false</trackRevisions>
    </reviewItem>
    <reviewItem>
      <errorID>fc19dce2-552f-4c2e-9cb7-80d40f850060</errorID>
      <errorWord>（</errorWord>
      <group>L1_Punc</group>
      <groupName>标点问题</groupName>
      <ability>L2_Punc_CN</ability>
      <abilityName>标点符号问题</abilityName>
      <candidateList/>
      <explain>同一形式括号套用。</explain>
      <paraID>314CB7BF</paraID>
      <start>2</start>
      <end>3</end>
      <status>unmodified</status>
      <modifiedWord/>
      <trackRevisions>false</trackRevisions>
    </reviewItem>
    <reviewItem>
      <errorID>38b749f2-f650-4001-ab83-6c028f850f1d</errorID>
      <errorWord>）</errorWord>
      <group>L1_Punc</group>
      <groupName>标点问题</groupName>
      <ability>L2_Punc_CN</ability>
      <abilityName>标点符号问题</abilityName>
      <candidateList/>
      <explain>同一形式括号套用。</explain>
      <paraID>314CB7BF</paraID>
      <start>34</start>
      <end>35</end>
      <status>unmodified</status>
      <modifiedWord/>
      <trackRevisions>false</trackRevisions>
    </reviewItem>
    <reviewItem>
      <errorID>ae4de0de-4aeb-4a54-a341-88b5da92f043</errorID>
      <errorWord>（</errorWord>
      <group>L1_Punc</group>
      <groupName>标点问题</groupName>
      <ability>L2_Punc_CN</ability>
      <abilityName>标点符号问题</abilityName>
      <candidateList/>
      <explain>同一形式括号套用。</explain>
      <paraID>13A72FBB</paraID>
      <start>3</start>
      <end>4</end>
      <status>unmodified</status>
      <modifiedWord/>
      <trackRevisions>false</trackRevisions>
    </reviewItem>
    <reviewItem>
      <errorID>4e3cd19f-16ae-459a-a6da-73940f58efcc</errorID>
      <errorWord>）</errorWord>
      <group>L1_Punc</group>
      <groupName>标点问题</groupName>
      <ability>L2_Punc_CN</ability>
      <abilityName>标点符号问题</abilityName>
      <candidateList/>
      <explain>同一形式括号套用。</explain>
      <paraID>13A72FBB</paraID>
      <start>39</start>
      <end>40</end>
      <status>unmodified</status>
      <modifiedWord/>
      <trackRevisions>false</trackRevisions>
    </reviewItem>
    <reviewItem>
      <errorID>ec73d3e8-66bb-4cad-b09d-20480fc4385c</errorID>
      <errorWord>（</errorWord>
      <group>L1_Punc</group>
      <groupName>标点问题</groupName>
      <ability>L2_Punc_CN</ability>
      <abilityName>标点符号问题</abilityName>
      <candidateList/>
      <explain>同一形式括号套用。</explain>
      <paraID>74847BAF</paraID>
      <start>50</start>
      <end>51</end>
      <status>unmodified</status>
      <modifiedWord/>
      <trackRevisions>false</trackRevisions>
    </reviewItem>
    <reviewItem>
      <errorID>c816321a-3c07-430f-8e28-0234e23f7a3a</errorID>
      <errorWord>）</errorWord>
      <group>L1_Punc</group>
      <groupName>标点问题</groupName>
      <ability>L2_Punc_CN</ability>
      <abilityName>标点符号问题</abilityName>
      <candidateList/>
      <explain>同一形式括号套用。</explain>
      <paraID>74847BAF</paraID>
      <start>87</start>
      <end>88</end>
      <status>unmodified</status>
      <modifiedWord/>
      <trackRevisions>false</trackRevisions>
    </reviewItem>
    <reviewItem>
      <errorID>68a802b8-d7e8-4efd-a156-446a2b5210b6</errorID>
      <errorWord>（</errorWord>
      <group>L1_Punc</group>
      <groupName>标点问题</groupName>
      <ability>L2_Punc_CN</ability>
      <abilityName>标点符号问题</abilityName>
      <candidateList/>
      <explain>同一形式括号套用。</explain>
      <paraID>74847BAF</paraID>
      <start>100</start>
      <end>101</end>
      <status>unmodified</status>
      <modifiedWord/>
      <trackRevisions>false</trackRevisions>
    </reviewItem>
    <reviewItem>
      <errorID>cba2b147-b9b8-462a-94ea-12bcf2defb12</errorID>
      <errorWord>）</errorWord>
      <group>L1_Punc</group>
      <groupName>标点问题</groupName>
      <ability>L2_Punc_CN</ability>
      <abilityName>标点符号问题</abilityName>
      <candidateList/>
      <explain>同一形式括号套用。</explain>
      <paraID>74847BAF</paraID>
      <start>141</start>
      <end>142</end>
      <status>unmodified</status>
      <modifiedWord/>
      <trackRevisions>false</trackRevisions>
    </reviewItem>
    <reviewItem>
      <errorID>2332781c-8924-4ce0-9185-634b0fa61ed0</errorID>
      <errorWord>（</errorWord>
      <group>L1_Punc</group>
      <groupName>标点问题</groupName>
      <ability>L2_Punc_CN</ability>
      <abilityName>标点符号问题</abilityName>
      <candidateList/>
      <explain>同一形式括号套用。</explain>
      <paraID>74847BAF</paraID>
      <start>156</start>
      <end>157</end>
      <status>unmodified</status>
      <modifiedWord/>
      <trackRevisions>false</trackRevisions>
    </reviewItem>
    <reviewItem>
      <errorID>892d8c9a-d9d0-48c5-a6dd-cbc3855fced1</errorID>
      <errorWord>）</errorWord>
      <group>L1_Punc</group>
      <groupName>标点问题</groupName>
      <ability>L2_Punc_CN</ability>
      <abilityName>标点符号问题</abilityName>
      <candidateList/>
      <explain>同一形式括号套用。</explain>
      <paraID>74847BAF</paraID>
      <start>188</start>
      <end>189</end>
      <status>unmodified</status>
      <modifiedWord/>
      <trackRevisions>false</trackRevisions>
    </reviewItem>
    <reviewItem>
      <errorID>a25c13e1-00c7-4918-a773-38c5d1de3b06</errorID>
      <errorWord>（</errorWord>
      <group>L1_Punc</group>
      <groupName>标点问题</groupName>
      <ability>L2_Punc_CN</ability>
      <abilityName>标点符号问题</abilityName>
      <candidateList/>
      <explain>同一形式括号套用。</explain>
      <paraID>74847BAF</paraID>
      <start>261</start>
      <end>262</end>
      <status>unmodified</status>
      <modifiedWord/>
      <trackRevisions>false</trackRevisions>
    </reviewItem>
    <reviewItem>
      <errorID>c4a692e0-1ce8-444b-861f-c027d81654f1</errorID>
      <errorWord>）</errorWord>
      <group>L1_Punc</group>
      <groupName>标点问题</groupName>
      <ability>L2_Punc_CN</ability>
      <abilityName>标点符号问题</abilityName>
      <candidateList/>
      <explain>同一形式括号套用。</explain>
      <paraID>74847BAF</paraID>
      <start>297</start>
      <end>298</end>
      <status>unmodified</status>
      <modifiedWord/>
      <trackRevisions>false</trackRevisions>
    </reviewItem>
    <reviewItem>
      <errorID>d108f1da-c6a6-45b7-9075-027a9f67430b</errorID>
      <errorWord>（</errorWord>
      <group>L1_Punc</group>
      <groupName>标点问题</groupName>
      <ability>L2_Punc_CN</ability>
      <abilityName>标点符号问题</abilityName>
      <candidateList/>
      <explain>同一形式括号套用。</explain>
      <paraID>2917A079</paraID>
      <start>2</start>
      <end>3</end>
      <status>unmodified</status>
      <modifiedWord/>
      <trackRevisions>false</trackRevisions>
    </reviewItem>
    <reviewItem>
      <errorID>31f07105-2457-4e32-98be-3405f77134a4</errorID>
      <errorWord>）</errorWord>
      <group>L1_Punc</group>
      <groupName>标点问题</groupName>
      <ability>L2_Punc_CN</ability>
      <abilityName>标点符号问题</abilityName>
      <candidateList/>
      <explain>同一形式括号套用。</explain>
      <paraID>2917A079</paraID>
      <start>43</start>
      <end>44</end>
      <status>unmodified</status>
      <modifiedWord/>
      <trackRevisions>false</trackRevisions>
    </reviewItem>
    <reviewItem>
      <errorID>a44500d1-d16d-4931-820f-097a9fb216bf</errorID>
      <errorWord>（</errorWord>
      <group>L1_Punc</group>
      <groupName>标点问题</groupName>
      <ability>L2_Punc_CN</ability>
      <abilityName>标点符号问题</abilityName>
      <candidateList/>
      <explain>同一形式括号套用。</explain>
      <paraID>67D50AC8</paraID>
      <start>2</start>
      <end>3</end>
      <status>unmodified</status>
      <modifiedWord/>
      <trackRevisions>false</trackRevisions>
    </reviewItem>
    <reviewItem>
      <errorID>f2c86b0b-0231-4373-aae1-9c657398ab02</errorID>
      <errorWord>）</errorWord>
      <group>L1_Punc</group>
      <groupName>标点问题</groupName>
      <ability>L2_Punc_CN</ability>
      <abilityName>标点符号问题</abilityName>
      <candidateList/>
      <explain>同一形式括号套用。</explain>
      <paraID>67D50AC8</paraID>
      <start>34</start>
      <end>35</end>
      <status>unmodified</status>
      <modifiedWord/>
      <trackRevisions>false</trackRevisions>
    </reviewItem>
    <reviewItem>
      <errorID>1f0f6ae1-58fb-44ec-a42b-98ea824a1035</errorID>
      <errorWord>（</errorWord>
      <group>L1_Punc</group>
      <groupName>标点问题</groupName>
      <ability>L2_Punc_CN</ability>
      <abilityName>标点符号问题</abilityName>
      <candidateList/>
      <explain>同一形式括号套用。</explain>
      <paraID>7FC3E204</paraID>
      <start>2</start>
      <end>3</end>
      <status>unmodified</status>
      <modifiedWord/>
      <trackRevisions>false</trackRevisions>
    </reviewItem>
    <reviewItem>
      <errorID>c75c01a2-8e0c-4875-810e-5f6bcdde41b5</errorID>
      <errorWord>）</errorWord>
      <group>L1_Punc</group>
      <groupName>标点问题</groupName>
      <ability>L2_Punc_CN</ability>
      <abilityName>标点符号问题</abilityName>
      <candidateList/>
      <explain>同一形式括号套用。</explain>
      <paraID>7FC3E204</paraID>
      <start>39</start>
      <end>40</end>
      <status>unmodified</status>
      <modifiedWord/>
      <trackRevisions>false</trackRevisions>
    </reviewItem>
    <reviewItem>
      <errorID>ab969a25-e290-491d-83c7-184ae465a57e</errorID>
      <errorWord>（</errorWord>
      <group>L1_Punc</group>
      <groupName>标点问题</groupName>
      <ability>L2_Punc_CN</ability>
      <abilityName>标点符号问题</abilityName>
      <candidateList/>
      <explain>同一形式括号套用。</explain>
      <paraID>4750EA20</paraID>
      <start>3</start>
      <end>4</end>
      <status>unmodified</status>
      <modifiedWord/>
      <trackRevisions>false</trackRevisions>
    </reviewItem>
    <reviewItem>
      <errorID>215aab28-c73c-4150-9927-80490dd3f5a8</errorID>
      <errorWord>）</errorWord>
      <group>L1_Punc</group>
      <groupName>标点问题</groupName>
      <ability>L2_Punc_CN</ability>
      <abilityName>标点符号问题</abilityName>
      <candidateList/>
      <explain>同一形式括号套用。</explain>
      <paraID>4750EA20</paraID>
      <start>39</start>
      <end>40</end>
      <status>unmodified</status>
      <modifiedWord/>
      <trackRevisions>false</trackRevisions>
    </reviewItem>
    <reviewItem>
      <errorID>8bfb6e3f-85b0-441a-aab7-96ff2e0f58b7</errorID>
      <errorWord>（</errorWord>
      <group>L1_Punc</group>
      <groupName>标点问题</groupName>
      <ability>L2_Punc_CN</ability>
      <abilityName>标点符号问题</abilityName>
      <candidateList/>
      <explain>同一形式括号套用。</explain>
      <paraID>3065B2AC</paraID>
      <start>56</start>
      <end>57</end>
      <status>unmodified</status>
      <modifiedWord/>
      <trackRevisions>false</trackRevisions>
    </reviewItem>
    <reviewItem>
      <errorID>505bb35a-392a-4247-a9a2-80f9ba836cdb</errorID>
      <errorWord>）</errorWord>
      <group>L1_Punc</group>
      <groupName>标点问题</groupName>
      <ability>L2_Punc_CN</ability>
      <abilityName>标点符号问题</abilityName>
      <candidateList/>
      <explain>同一形式括号套用。</explain>
      <paraID>3065B2AC</paraID>
      <start>93</start>
      <end>94</end>
      <status>unmodified</status>
      <modifiedWord/>
      <trackRevisions>false</trackRevisions>
    </reviewItem>
    <reviewItem>
      <errorID>e0886ddc-7eda-48a8-98df-5cff20fd5838</errorID>
      <errorWord>（</errorWord>
      <group>L1_Punc</group>
      <groupName>标点问题</groupName>
      <ability>L2_Punc_CN</ability>
      <abilityName>标点符号问题</abilityName>
      <candidateList/>
      <explain>同一形式括号套用。</explain>
      <paraID>3065B2AC</paraID>
      <start>97</start>
      <end>98</end>
      <status>unmodified</status>
      <modifiedWord/>
      <trackRevisions>false</trackRevisions>
    </reviewItem>
    <reviewItem>
      <errorID>565dd606-b7d8-490d-983e-3ba472866dc4</errorID>
      <errorWord>）</errorWord>
      <group>L1_Punc</group>
      <groupName>标点问题</groupName>
      <ability>L2_Punc_CN</ability>
      <abilityName>标点符号问题</abilityName>
      <candidateList/>
      <explain>同一形式括号套用。</explain>
      <paraID>3065B2AC</paraID>
      <start>138</start>
      <end>139</end>
      <status>unmodified</status>
      <modifiedWord/>
      <trackRevisions>false</trackRevisions>
    </reviewItem>
    <reviewItem>
      <errorID>75a3fd0c-e5b3-44ed-83ea-3bad029ff6d6</errorID>
      <errorWord>（</errorWord>
      <group>L1_Punc</group>
      <groupName>标点问题</groupName>
      <ability>L2_Punc_CN</ability>
      <abilityName>标点符号问题</abilityName>
      <candidateList/>
      <explain>同一形式括号套用。</explain>
      <paraID>3065B2AC</paraID>
      <start>142</start>
      <end>143</end>
      <status>unmodified</status>
      <modifiedWord/>
      <trackRevisions>false</trackRevisions>
    </reviewItem>
    <reviewItem>
      <errorID>d81826cf-9730-4ac1-91cc-632eba01200a</errorID>
      <errorWord>）</errorWord>
      <group>L1_Punc</group>
      <groupName>标点问题</groupName>
      <ability>L2_Punc_CN</ability>
      <abilityName>标点符号问题</abilityName>
      <candidateList/>
      <explain>同一形式括号套用。</explain>
      <paraID>3065B2AC</paraID>
      <start>174</start>
      <end>175</end>
      <status>unmodified</status>
      <modifiedWord/>
      <trackRevisions>false</trackRevisions>
    </reviewItem>
    <reviewItem>
      <errorID>b4129995-1808-4901-83dd-c93bd50d0961</errorID>
      <errorWord>（</errorWord>
      <group>L1_Punc</group>
      <groupName>标点问题</groupName>
      <ability>L2_Punc_CN</ability>
      <abilityName>标点符号问题</abilityName>
      <candidateList/>
      <explain>同一形式括号套用。</explain>
      <paraID>3065B2AC</paraID>
      <start>229</start>
      <end>230</end>
      <status>unmodified</status>
      <modifiedWord/>
      <trackRevisions>false</trackRevisions>
    </reviewItem>
    <reviewItem>
      <errorID>d4b1661c-c9c7-4389-a880-c215cdc0f0b6</errorID>
      <errorWord>）</errorWord>
      <group>L1_Punc</group>
      <groupName>标点问题</groupName>
      <ability>L2_Punc_CN</ability>
      <abilityName>标点符号问题</abilityName>
      <candidateList/>
      <explain>同一形式括号套用。</explain>
      <paraID>3065B2AC</paraID>
      <start>265</start>
      <end>266</end>
      <status>unmodified</status>
      <modifiedWord/>
      <trackRevisions>false</trackRevisions>
    </reviewItem>
    <reviewItem>
      <errorID>70ddac10-8925-4c7e-8904-a545ba97ab94</errorID>
      <errorWord>II类</errorWord>
      <group>L1_Knowledge</group>
      <groupName>知识性问题</groupName>
      <ability>L2_Knowledge</ability>
      <abilityName>其他知识</abilityName>
      <candidateList>
        <item>Ⅱ类</item>
      </candidateList>
      <explain>中文环境下罗马数字格式错误。</explain>
      <paraID>2DE3BD9B</paraID>
      <start>49</start>
      <end>52</end>
      <status>unmodified</status>
      <modifiedWord/>
      <trackRevisions>false</trackRevisions>
    </reviewItem>
    <reviewItem>
      <errorID>1e7ce10d-b0cb-4c83-b517-13e0e016310a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729AE675</paraID>
      <start>10</start>
      <end>11</end>
      <status>unmodified</status>
      <modifiedWord/>
      <trackRevisions>false</trackRevisions>
    </reviewItem>
    <reviewItem>
      <errorID>e73cfb54-5c77-4ce3-8cbd-493dc716e359</errorID>
      <errorWord>{</errorWord>
      <group>L1_Format</group>
      <groupName>格式问题</groupName>
      <ability>L2_HalfPunc_CN</ability>
      <abilityName>全半角问题</abilityName>
      <candidateList>
        <item>｛</item>
      </candidateList>
      <explain>文本全半角错误。</explain>
      <paraID> 8DA2752</paraID>
      <start>116</start>
      <end>117</end>
      <status>unmodified</status>
      <modifiedWord/>
      <trackRevisions>false</trackRevisions>
    </reviewItem>
    <reviewItem>
      <errorID>b1a9edeb-2dbb-4026-a735-eb72414df2f7</errorID>
      <errorWord>，</errorWord>
      <group>L1_Format</group>
      <groupName>格式问题</groupName>
      <ability>L2_HalfPunc_CN</ability>
      <abilityName>全半角问题</abilityName>
      <candidateList>
        <item>, </item>
      </candidateList>
      <explain>文本全半角错误。</explain>
      <paraID> E493A99</paraID>
      <start>8</start>
      <end>9</end>
      <status>unmodified</status>
      <modifiedWord/>
      <trackRevisions>false</trackRevisions>
    </reviewItem>
    <reviewItem>
      <errorID>a49895fb-87f9-4a8e-94d8-cfa21115fcca</errorID>
      <errorWord>，</errorWord>
      <group>L1_Format</group>
      <groupName>格式问题</groupName>
      <ability>L2_HalfPunc_CN</ability>
      <abilityName>全半角问题</abilityName>
      <candidateList>
        <item>, </item>
      </candidateList>
      <explain>文本全半角错误。</explain>
      <paraID>2BD0F823</paraID>
      <start>7</start>
      <end>8</end>
      <status>unmodified</status>
      <modifiedWord/>
      <trackRevisions>false</trackRevisions>
    </reviewItem>
    <reviewItem>
      <errorID>2e520d7c-9b0e-45fd-ae22-2c62154bcbcb</errorID>
      <errorWord>（</errorWord>
      <group>L1_Format</group>
      <groupName>格式问题</groupName>
      <ability>L2_HalfPunc_CN</ability>
      <abilityName>全半角问题</abilityName>
      <candidateList>
        <item>(</item>
      </candidateList>
      <explain>文本全半角错误。</explain>
      <paraID> 9B96D54</paraID>
      <start>4</start>
      <end>5</end>
      <status>unmodified</status>
      <modifiedWord/>
      <trackRevisions>false</trackRevisions>
    </reviewItem>
    <reviewItem>
      <errorID>ca66d0f5-2875-4ca6-98f1-f148ca9f9099</errorID>
      <errorWord>）</errorWord>
      <group>L1_Format</group>
      <groupName>格式问题</groupName>
      <ability>L2_HalfPunc_CN</ability>
      <abilityName>全半角问题</abilityName>
      <candidateList>
        <item>)</item>
      </candidateList>
      <explain>文本全半角错误。</explain>
      <paraID> 9B96D54</paraID>
      <start>6</start>
      <end>7</end>
      <status>unmodified</status>
      <modifiedWord/>
      <trackRevisions>false</trackRevisions>
    </reviewItem>
    <reviewItem>
      <errorID>b2838109-6d46-46ec-902c-b87ceb2fb6c3</errorID>
      <errorWord>～</errorWord>
      <group>L1_Format</group>
      <groupName>格式问题</groupName>
      <ability>L2_HalfPunc_CN</ability>
      <abilityName>全半角问题</abilityName>
      <candidateList>
        <item>~</item>
      </candidateList>
      <explain>文本全半角错误。</explain>
      <paraID>574ADDD8</paraID>
      <start>3</start>
      <end>4</end>
      <status>unmodified</status>
      <modifiedWord/>
      <trackRevisions>false</trackRevisions>
    </reviewItem>
    <reviewItem>
      <errorID>6e958e73-21f5-40c9-9254-ce98ba2366b6</errorID>
      <errorWord>～</errorWord>
      <group>L1_Format</group>
      <groupName>格式问题</groupName>
      <ability>L2_HalfPunc_CN</ability>
      <abilityName>全半角问题</abilityName>
      <candidateList>
        <item>~</item>
      </candidateList>
      <explain>文本全半角错误。</explain>
      <paraID>357F6D78</paraID>
      <start>1</start>
      <end>2</end>
      <status>unmodified</status>
      <modifiedWord/>
      <trackRevisions>false</trackRevisions>
    </reviewItem>
    <reviewItem>
      <errorID>9049da11-5e75-43b7-911a-a9fb2306ff02</errorID>
      <errorWord>～</errorWord>
      <group>L1_Format</group>
      <groupName>格式问题</groupName>
      <ability>L2_HalfPunc_CN</ability>
      <abilityName>全半角问题</abilityName>
      <candidateList>
        <item>~</item>
      </candidateList>
      <explain>文本全半角错误。</explain>
      <paraID>640BB79D</paraID>
      <start>1</start>
      <end>2</end>
      <status>unmodified</status>
      <modifiedWord/>
      <trackRevisions>false</trackRevisions>
    </reviewItem>
    <reviewItem>
      <errorID>8531940e-be19-4daa-a794-290d0dd70512</errorID>
      <errorWord>％</errorWord>
      <group>L1_Format</group>
      <groupName>格式问题</groupName>
      <ability>L2_HalfPunc_CN</ability>
      <abilityName>全半角问题</abilityName>
      <candidateList>
        <item>%</item>
      </candidateList>
      <explain>文本全半角错误。</explain>
      <paraID>2C428FB8</paraID>
      <start>9</start>
      <end>10</end>
      <status>unmodified</status>
      <modifiedWord/>
      <trackRevisions>false</trackRevisions>
    </reviewItem>
    <reviewItem>
      <errorID>943965b5-bac6-44a9-9c8b-590196077863</errorID>
      <errorWord>％</errorWord>
      <group>L1_Format</group>
      <groupName>格式问题</groupName>
      <ability>L2_HalfPunc_CN</ability>
      <abilityName>全半角问题</abilityName>
      <candidateList>
        <item>%</item>
      </candidateList>
      <explain>文本全半角错误。</explain>
      <paraID>1896A7EF</paraID>
      <start>9</start>
      <end>10</end>
      <status>unmodified</status>
      <modifiedWord/>
      <trackRevisions>false</trackRevisions>
    </reviewItem>
    <reviewItem>
      <errorID>9a87cac6-659b-43ea-abcd-4c7fc5872fb7</errorID>
      <errorWord>％</errorWord>
      <group>L1_Format</group>
      <groupName>格式问题</groupName>
      <ability>L2_HalfPunc_CN</ability>
      <abilityName>全半角问题</abilityName>
      <candidateList>
        <item>%</item>
      </candidateList>
      <explain>文本全半角错误。</explain>
      <paraID>11A337E8</paraID>
      <start>9</start>
      <end>10</end>
      <status>unmodified</status>
      <modifiedWord/>
      <trackRevisions>false</trackRevisions>
    </reviewItem>
    <reviewItem>
      <errorID>da7c0515-c829-480d-8984-d867230a9324</errorID>
      <errorWord>（</errorWord>
      <group>L1_Punc</group>
      <groupName>标点问题</groupName>
      <ability>L2_Punc_CN</ability>
      <abilityName>标点符号问题</abilityName>
      <candidateList/>
      <explain>同一形式括号套用。</explain>
      <paraID>3BD53D6A</paraID>
      <start>134</start>
      <end>135</end>
      <status>unmodified</status>
      <modifiedWord/>
      <trackRevisions>false</trackRevisions>
    </reviewItem>
    <reviewItem>
      <errorID>686d8eef-18f5-4f8d-8951-7c89a89bf581</errorID>
      <errorWord>）</errorWord>
      <group>L1_Punc</group>
      <groupName>标点问题</groupName>
      <ability>L2_Punc_CN</ability>
      <abilityName>标点符号问题</abilityName>
      <candidateList/>
      <explain>同一形式括号套用。</explain>
      <paraID>3BD53D6A</paraID>
      <start>136</start>
      <end>137</end>
      <status>unmodified</status>
      <modifiedWord/>
      <trackRevisions>false</trackRevisions>
    </reviewItem>
    <reviewItem>
      <errorID>ce9bb042-8da2-4179-b3a9-38c1d606f2d1</errorID>
      <errorWord>（</errorWord>
      <group>L1_Punc</group>
      <groupName>标点问题</groupName>
      <ability>L2_Punc_CN</ability>
      <abilityName>标点符号问题</abilityName>
      <candidateList/>
      <explain>同一形式括号套用。</explain>
      <paraID>3BD53D6A</paraID>
      <start>144</start>
      <end>145</end>
      <status>unmodified</status>
      <modifiedWord/>
      <trackRevisions>false</trackRevisions>
    </reviewItem>
    <reviewItem>
      <errorID>585cb510-f563-4163-956a-8d08525e592c</errorID>
      <errorWord>）</errorWord>
      <group>L1_Punc</group>
      <groupName>标点问题</groupName>
      <ability>L2_Punc_CN</ability>
      <abilityName>标点符号问题</abilityName>
      <candidateList/>
      <explain>同一形式括号套用。</explain>
      <paraID>3BD53D6A</paraID>
      <start>146</start>
      <end>147</end>
      <status>unmodified</status>
      <modifiedWord/>
      <trackRevisions>false</trackRevisions>
    </reviewItem>
    <reviewItem>
      <errorID>9a276889-ea66-4909-b0ea-347328cc9050</errorID>
      <errorWord>（</errorWord>
      <group>L1_Punc</group>
      <groupName>标点问题</groupName>
      <ability>L2_Punc_CN</ability>
      <abilityName>标点符号问题</abilityName>
      <candidateList/>
      <explain>同一形式括号套用。</explain>
      <paraID>538126CE</paraID>
      <start>116</start>
      <end>117</end>
      <status>unmodified</status>
      <modifiedWord/>
      <trackRevisions>false</trackRevisions>
    </reviewItem>
    <reviewItem>
      <errorID>834b0130-fef2-42cd-8144-4352f400589e</errorID>
      <errorWord>）</errorWord>
      <group>L1_Punc</group>
      <groupName>标点问题</groupName>
      <ability>L2_Punc_CN</ability>
      <abilityName>标点符号问题</abilityName>
      <candidateList/>
      <explain>同一形式括号套用。</explain>
      <paraID>538126CE</paraID>
      <start>118</start>
      <end>119</end>
      <status>unmodified</status>
      <modifiedWord/>
      <trackRevisions>false</trackRevisions>
    </reviewItem>
    <reviewItem>
      <errorID>3c38db25-1994-4831-9c41-5a8bb77c3b12</errorID>
      <errorWord>（</errorWord>
      <group>L1_Punc</group>
      <groupName>标点问题</groupName>
      <ability>L2_Punc_CN</ability>
      <abilityName>标点符号问题</abilityName>
      <candidateList/>
      <explain>同一形式括号套用。</explain>
      <paraID>538126CE</paraID>
      <start>126</start>
      <end>127</end>
      <status>unmodified</status>
      <modifiedWord/>
      <trackRevisions>false</trackRevisions>
    </reviewItem>
    <reviewItem>
      <errorID>0b6bb7e6-92fb-4244-b039-75cbe04d0147</errorID>
      <errorWord>）</errorWord>
      <group>L1_Punc</group>
      <groupName>标点问题</groupName>
      <ability>L2_Punc_CN</ability>
      <abilityName>标点符号问题</abilityName>
      <candidateList/>
      <explain>同一形式括号套用。</explain>
      <paraID>538126CE</paraID>
      <start>128</start>
      <end>129</end>
      <status>unmodified</status>
      <modifiedWord/>
      <trackRevisions>false</trackRevisions>
    </reviewItem>
    <reviewItem>
      <errorID>1bdcc578-3ebc-4fac-845d-eef5d1a4c02f</errorID>
      <errorWord>&lt;</errorWord>
      <group>L1_Format</group>
      <groupName>格式问题</groupName>
      <ability>L2_HalfPunc_CN</ability>
      <abilityName>全半角问题</abilityName>
      <candidateList>
        <item>〈</item>
      </candidateList>
      <explain>文本全半角错误。</explain>
      <paraID>481158FF</paraID>
      <start>22</start>
      <end>23</end>
      <status>unmodified</status>
      <modifiedWord/>
      <trackRevisions>false</trackRevisions>
    </reviewItem>
    <reviewItem>
      <errorID>da69f50e-49b8-49a5-a679-4fbfe514ea54</errorID>
      <errorWord>&gt;</errorWord>
      <group>L1_Format</group>
      <groupName>格式问题</groupName>
      <ability>L2_HalfPunc_CN</ability>
      <abilityName>全半角问题</abilityName>
      <candidateList>
        <item>〉</item>
      </candidateList>
      <explain>文本全半角错误。</explain>
      <paraID>481158FF</paraID>
      <start>39</start>
      <end>40</end>
      <status>unmodified</status>
      <modifiedWord/>
      <trackRevisions>false</trackRevisions>
    </reviewItem>
    <reviewItem>
      <errorID>775a2bdb-d87d-488e-b14b-38ce9af2dac9</errorID>
      <errorWord>（</errorWord>
      <group>L1_Punc</group>
      <groupName>标点问题</groupName>
      <ability>L2_Punc_CN</ability>
      <abilityName>标点符号问题</abilityName>
      <candidateList/>
      <explain>同一形式括号套用。</explain>
      <paraID>1390015C</paraID>
      <start>67</start>
      <end>68</end>
      <status>unmodified</status>
      <modifiedWord/>
      <trackRevisions>false</trackRevisions>
    </reviewItem>
    <reviewItem>
      <errorID>725236c0-a417-4660-8612-57bc53a9bb18</errorID>
      <errorWord>）</errorWord>
      <group>L1_Punc</group>
      <groupName>标点问题</groupName>
      <ability>L2_Punc_CN</ability>
      <abilityName>标点符号问题</abilityName>
      <candidateList/>
      <explain>同一形式括号套用。</explain>
      <paraID>1390015C</paraID>
      <start>69</start>
      <end>70</end>
      <status>unmodified</status>
      <modifiedWord/>
      <trackRevisions>false</trackRevisions>
    </reviewItem>
    <reviewItem>
      <errorID>6a9bc888-7926-4919-90ea-b29b1d836fae</errorID>
      <errorWord>（</errorWord>
      <group>L1_Punc</group>
      <groupName>标点问题</groupName>
      <ability>L2_Punc_CN</ability>
      <abilityName>标点符号问题</abilityName>
      <candidateList/>
      <explain>同一形式括号套用。</explain>
      <paraID>1390015C</paraID>
      <start>77</start>
      <end>78</end>
      <status>unmodified</status>
      <modifiedWord/>
      <trackRevisions>false</trackRevisions>
    </reviewItem>
    <reviewItem>
      <errorID>63988462-fc3b-4e7e-b5e5-b0570c324eae</errorID>
      <errorWord>）</errorWord>
      <group>L1_Punc</group>
      <groupName>标点问题</groupName>
      <ability>L2_Punc_CN</ability>
      <abilityName>标点符号问题</abilityName>
      <candidateList/>
      <explain>同一形式括号套用。</explain>
      <paraID>1390015C</paraID>
      <start>79</start>
      <end>80</end>
      <status>unmodified</status>
      <modifiedWord/>
      <trackRevisions>false</trackRevisions>
    </reviewItem>
    <reviewItem>
      <errorID>e49da1a4-26bc-4d33-a0b7-d34849cfa8f8</errorID>
      <errorWord>（</errorWord>
      <group>L1_Punc</group>
      <groupName>标点问题</groupName>
      <ability>L2_Punc_CN</ability>
      <abilityName>标点符号问题</abilityName>
      <candidateList/>
      <explain>同一形式括号套用。</explain>
      <paraID>1390015C</paraID>
      <start>189</start>
      <end>190</end>
      <status>unmodified</status>
      <modifiedWord/>
      <trackRevisions>false</trackRevisions>
    </reviewItem>
    <reviewItem>
      <errorID>dbe834c1-4d99-46af-a462-2e0c1ec56fb0</errorID>
      <errorWord>）</errorWord>
      <group>L1_Punc</group>
      <groupName>标点问题</groupName>
      <ability>L2_Punc_CN</ability>
      <abilityName>标点符号问题</abilityName>
      <candidateList/>
      <explain>同一形式括号套用。</explain>
      <paraID>1390015C</paraID>
      <start>191</start>
      <end>192</end>
      <status>unmodified</status>
      <modifiedWord/>
      <trackRevisions>false</trackRevisions>
    </reviewItem>
    <reviewItem>
      <errorID>a7c02f16-b7b7-4213-b842-d358cf15f2a5</errorID>
      <errorWord>（</errorWord>
      <group>L1_Punc</group>
      <groupName>标点问题</groupName>
      <ability>L2_Punc_CN</ability>
      <abilityName>标点符号问题</abilityName>
      <candidateList/>
      <explain>同一形式括号套用。</explain>
      <paraID>1390015C</paraID>
      <start>199</start>
      <end>200</end>
      <status>unmodified</status>
      <modifiedWord/>
      <trackRevisions>false</trackRevisions>
    </reviewItem>
    <reviewItem>
      <errorID>ba52f4e3-fe4a-402f-837e-047928685f42</errorID>
      <errorWord>）</errorWord>
      <group>L1_Punc</group>
      <groupName>标点问题</groupName>
      <ability>L2_Punc_CN</ability>
      <abilityName>标点符号问题</abilityName>
      <candidateList/>
      <explain>同一形式括号套用。</explain>
      <paraID>1390015C</paraID>
      <start>201</start>
      <end>202</end>
      <status>unmodified</status>
      <modifiedWord/>
      <trackRevisions>false</trackRevisions>
    </reviewItem>
    <reviewItem>
      <errorID>98741ed7-00e7-4328-b8c4-98c416683e94</errorID>
      <errorWord>（</errorWord>
      <group>L1_Punc</group>
      <groupName>标点问题</groupName>
      <ability>L2_Punc_CN</ability>
      <abilityName>标点符号问题</abilityName>
      <candidateList/>
      <explain>同一形式括号套用。</explain>
      <paraID>1390015C</paraID>
      <start>252</start>
      <end>253</end>
      <status>unmodified</status>
      <modifiedWord/>
      <trackRevisions>false</trackRevisions>
    </reviewItem>
    <reviewItem>
      <errorID>0ab44e33-d372-4677-b775-c3d149fd9fbf</errorID>
      <errorWord>）</errorWord>
      <group>L1_Punc</group>
      <groupName>标点问题</groupName>
      <ability>L2_Punc_CN</ability>
      <abilityName>标点符号问题</abilityName>
      <candidateList/>
      <explain>同一形式括号套用。</explain>
      <paraID>1390015C</paraID>
      <start>254</start>
      <end>255</end>
      <status>unmodified</status>
      <modifiedWord/>
      <trackRevisions>false</trackRevisions>
    </reviewItem>
    <reviewItem>
      <errorID>dcab65f0-2986-4cc2-8906-f7f548744c3e</errorID>
      <errorWord>（</errorWord>
      <group>L1_Punc</group>
      <groupName>标点问题</groupName>
      <ability>L2_Punc_CN</ability>
      <abilityName>标点符号问题</abilityName>
      <candidateList/>
      <explain>同一形式括号套用。</explain>
      <paraID>1390015C</paraID>
      <start>263</start>
      <end>264</end>
      <status>unmodified</status>
      <modifiedWord/>
      <trackRevisions>false</trackRevisions>
    </reviewItem>
    <reviewItem>
      <errorID>817aa5f7-533c-4029-9222-c83ae256c0c0</errorID>
      <errorWord>）</errorWord>
      <group>L1_Punc</group>
      <groupName>标点问题</groupName>
      <ability>L2_Punc_CN</ability>
      <abilityName>标点符号问题</abilityName>
      <candidateList/>
      <explain>同一形式括号套用。</explain>
      <paraID>1390015C</paraID>
      <start>265</start>
      <end>266</end>
      <status>unmodified</status>
      <modifiedWord/>
      <trackRevisions>false</trackRevisions>
    </reviewItem>
    <reviewItem>
      <errorID>8d2733cf-df2a-4ac8-b2ff-c29310c3521c</errorID>
      <errorWord>（</errorWord>
      <group>L1_Punc</group>
      <groupName>标点问题</groupName>
      <ability>L2_Punc_CN</ability>
      <abilityName>标点符号问题</abilityName>
      <candidateList/>
      <explain>同一形式括号套用。</explain>
      <paraID>2A3C4C0D</paraID>
      <start>86</start>
      <end>87</end>
      <status>unmodified</status>
      <modifiedWord/>
      <trackRevisions>false</trackRevisions>
    </reviewItem>
    <reviewItem>
      <errorID>028ca84e-c705-4915-888a-68da6348001e</errorID>
      <errorWord>）</errorWord>
      <group>L1_Punc</group>
      <groupName>标点问题</groupName>
      <ability>L2_Punc_CN</ability>
      <abilityName>标点符号问题</abilityName>
      <candidateList/>
      <explain>同一形式括号套用。</explain>
      <paraID>2A3C4C0D</paraID>
      <start>88</start>
      <end>89</end>
      <status>unmodified</status>
      <modifiedWord/>
      <trackRevisions>false</trackRevisions>
    </reviewItem>
    <reviewItem>
      <errorID>d495c737-d234-4c46-b79d-bbe97ca52b22</errorID>
      <errorWord>（</errorWord>
      <group>L1_Punc</group>
      <groupName>标点问题</groupName>
      <ability>L2_Punc_CN</ability>
      <abilityName>标点符号问题</abilityName>
      <candidateList/>
      <explain>同一形式括号套用。</explain>
      <paraID>2A3C4C0D</paraID>
      <start>96</start>
      <end>97</end>
      <status>unmodified</status>
      <modifiedWord/>
      <trackRevisions>false</trackRevisions>
    </reviewItem>
    <reviewItem>
      <errorID>9f4a8cf3-585c-4b56-a23b-b0586e56ecf1</errorID>
      <errorWord>）</errorWord>
      <group>L1_Punc</group>
      <groupName>标点问题</groupName>
      <ability>L2_Punc_CN</ability>
      <abilityName>标点符号问题</abilityName>
      <candidateList/>
      <explain>同一形式括号套用。</explain>
      <paraID>2A3C4C0D</paraID>
      <start>98</start>
      <end>99</end>
      <status>unmodified</status>
      <modifiedWord/>
      <trackRevisions>false</trackRevisions>
    </reviewItem>
    <reviewItem>
      <errorID>c8db31ad-4e30-4ae8-a0ec-da2e920a98a6</errorID>
      <errorWord>（</errorWord>
      <group>L1_Punc</group>
      <groupName>标点问题</groupName>
      <ability>L2_Punc_CN</ability>
      <abilityName>标点符号问题</abilityName>
      <candidateList/>
      <explain>同一形式括号套用。</explain>
      <paraID>2A3C4C0D</paraID>
      <start>201</start>
      <end>202</end>
      <status>unmodified</status>
      <modifiedWord/>
      <trackRevisions>false</trackRevisions>
    </reviewItem>
    <reviewItem>
      <errorID>1d463310-f4fa-4f41-82b1-62f97f03dcc1</errorID>
      <errorWord>）</errorWord>
      <group>L1_Punc</group>
      <groupName>标点问题</groupName>
      <ability>L2_Punc_CN</ability>
      <abilityName>标点符号问题</abilityName>
      <candidateList/>
      <explain>同一形式括号套用。</explain>
      <paraID>2A3C4C0D</paraID>
      <start>203</start>
      <end>204</end>
      <status>unmodified</status>
      <modifiedWord/>
      <trackRevisions>false</trackRevisions>
    </reviewItem>
    <reviewItem>
      <errorID>e475a885-c7fb-427e-805f-1d7777e80c1a</errorID>
      <errorWord>（</errorWord>
      <group>L1_Punc</group>
      <groupName>标点问题</groupName>
      <ability>L2_Punc_CN</ability>
      <abilityName>标点符号问题</abilityName>
      <candidateList/>
      <explain>同一形式括号套用。</explain>
      <paraID>2A3C4C0D</paraID>
      <start>211</start>
      <end>212</end>
      <status>unmodified</status>
      <modifiedWord/>
      <trackRevisions>false</trackRevisions>
    </reviewItem>
    <reviewItem>
      <errorID>c5bc04e3-afad-4067-a956-71a572fd1a0b</errorID>
      <errorWord>）</errorWord>
      <group>L1_Punc</group>
      <groupName>标点问题</groupName>
      <ability>L2_Punc_CN</ability>
      <abilityName>标点符号问题</abilityName>
      <candidateList/>
      <explain>同一形式括号套用。</explain>
      <paraID>2A3C4C0D</paraID>
      <start>213</start>
      <end>214</end>
      <status>unmodified</status>
      <modifiedWord/>
      <trackRevisions>false</trackRevisions>
    </reviewItem>
    <reviewItem>
      <errorID>d0eeb7be-6665-4fc1-bf5b-fcef9a987448</errorID>
      <errorWord>（</errorWord>
      <group>L1_Punc</group>
      <groupName>标点问题</groupName>
      <ability>L2_Punc_CN</ability>
      <abilityName>标点符号问题</abilityName>
      <candidateList/>
      <explain>同一形式括号套用。</explain>
      <paraID>2A3C4C0D</paraID>
      <start>349</start>
      <end>350</end>
      <status>unmodified</status>
      <modifiedWord/>
      <trackRevisions>false</trackRevisions>
    </reviewItem>
    <reviewItem>
      <errorID>0abfe20d-cb1f-4a60-9495-875511212111</errorID>
      <errorWord>（</errorWord>
      <group>L1_Punc</group>
      <groupName>标点问题</groupName>
      <ability>L2_Punc_CN</ability>
      <abilityName>标点符号问题</abilityName>
      <candidateList/>
      <explain>同一形式括号套用。</explain>
      <paraID>2A3C4C0D</paraID>
      <start>368</start>
      <end>369</end>
      <status>unmodified</status>
      <modifiedWord/>
      <trackRevisions>false</trackRevisions>
    </reviewItem>
    <reviewItem>
      <errorID>f5fc3c06-d602-44da-b339-6a480e4d19e4</errorID>
      <errorWord>）</errorWord>
      <group>L1_Punc</group>
      <groupName>标点问题</groupName>
      <ability>L2_Punc_CN</ability>
      <abilityName>标点符号问题</abilityName>
      <candidateList/>
      <explain>同一形式括号套用。</explain>
      <paraID>2A3C4C0D</paraID>
      <start>370</start>
      <end>371</end>
      <status>unmodified</status>
      <modifiedWord/>
      <trackRevisions>false</trackRevisions>
    </reviewItem>
    <reviewItem>
      <errorID>4cfe8b9c-1548-4270-ba35-a05ef42aef12</errorID>
      <errorWord>本本项目</errorWord>
      <group>L1_Word</group>
      <groupName>字词问题</groupName>
      <ability>L2_Typo</ability>
      <abilityName>字词错误</abilityName>
      <candidateList>
        <item>本项目</item>
      </candidateList>
      <explain/>
      <paraID>53199A27</paraID>
      <start>9</start>
      <end>13</end>
      <status>unmodified</status>
      <modifiedWord/>
      <trackRevisions>false</trackRevisions>
    </reviewItem>
    <reviewItem>
      <errorID>705a87fd-5e0e-4c2d-a8bc-6624f8a8ba09</errorID>
      <errorWord>（</errorWord>
      <group>L1_Punc</group>
      <groupName>标点问题</groupName>
      <ability>L2_Punc_CN</ability>
      <abilityName>标点符号问题</abilityName>
      <candidateList/>
      <explain>同一形式括号套用。</explain>
      <paraID>25C2BBB7</paraID>
      <start>117</start>
      <end>118</end>
      <status>unmodified</status>
      <modifiedWord/>
      <trackRevisions>false</trackRevisions>
    </reviewItem>
    <reviewItem>
      <errorID>f8777a4a-50b8-469c-9e48-4160cd42a4c0</errorID>
      <errorWord>）</errorWord>
      <group>L1_Punc</group>
      <groupName>标点问题</groupName>
      <ability>L2_Punc_CN</ability>
      <abilityName>标点符号问题</abilityName>
      <candidateList/>
      <explain>同一形式括号套用。</explain>
      <paraID>25C2BBB7</paraID>
      <start>119</start>
      <end>120</end>
      <status>unmodified</status>
      <modifiedWord/>
      <trackRevisions>false</trackRevisions>
    </reviewItem>
    <reviewItem>
      <errorID>4d166cdd-2389-43fb-a8c5-4925670b60c0</errorID>
      <errorWord>（</errorWord>
      <group>L1_Punc</group>
      <groupName>标点问题</groupName>
      <ability>L2_Punc_CN</ability>
      <abilityName>标点符号问题</abilityName>
      <candidateList/>
      <explain>同一形式括号套用。</explain>
      <paraID>25C2BBB7</paraID>
      <start>128</start>
      <end>129</end>
      <status>unmodified</status>
      <modifiedWord/>
      <trackRevisions>false</trackRevisions>
    </reviewItem>
    <reviewItem>
      <errorID>c3a0aced-26aa-4933-9dc6-6eb53c842bcf</errorID>
      <errorWord>）</errorWord>
      <group>L1_Punc</group>
      <groupName>标点问题</groupName>
      <ability>L2_Punc_CN</ability>
      <abilityName>标点符号问题</abilityName>
      <candidateList/>
      <explain>同一形式括号套用。</explain>
      <paraID>25C2BBB7</paraID>
      <start>130</start>
      <end>131</end>
      <status>unmodified</status>
      <modifiedWord/>
      <trackRevisions>false</trackRevisions>
    </reviewItem>
    <reviewItem>
      <errorID>4be3effd-8422-4280-becc-7734a6dcafb3</errorID>
      <errorWord>（</errorWord>
      <group>L1_Punc</group>
      <groupName>标点问题</groupName>
      <ability>L2_Punc_CN</ability>
      <abilityName>标点符号问题</abilityName>
      <candidateList/>
      <explain>同一形式括号套用。</explain>
      <paraID>25C2BBB7</paraID>
      <start>185</start>
      <end>186</end>
      <status>unmodified</status>
      <modifiedWord/>
      <trackRevisions>false</trackRevisions>
    </reviewItem>
    <reviewItem>
      <errorID>c2ffbc38-89f3-4324-8099-2652c1362c52</errorID>
      <errorWord>）</errorWord>
      <group>L1_Punc</group>
      <groupName>标点问题</groupName>
      <ability>L2_Punc_CN</ability>
      <abilityName>标点符号问题</abilityName>
      <candidateList/>
      <explain>同一形式括号套用。</explain>
      <paraID>25C2BBB7</paraID>
      <start>187</start>
      <end>188</end>
      <status>unmodified</status>
      <modifiedWord/>
      <trackRevisions>false</trackRevisions>
    </reviewItem>
    <reviewItem>
      <errorID>e0f0bc4d-0a30-4232-b92e-7929e03fb9d6</errorID>
      <errorWord>（</errorWord>
      <group>L1_Punc</group>
      <groupName>标点问题</groupName>
      <ability>L2_Punc_CN</ability>
      <abilityName>标点符号问题</abilityName>
      <candidateList/>
      <explain>同一形式括号套用。</explain>
      <paraID>25C2BBB7</paraID>
      <start>196</start>
      <end>197</end>
      <status>unmodified</status>
      <modifiedWord/>
      <trackRevisions>false</trackRevisions>
    </reviewItem>
    <reviewItem>
      <errorID>81b60174-49c2-4281-8cfe-df0a47aae3db</errorID>
      <errorWord>）</errorWord>
      <group>L1_Punc</group>
      <groupName>标点问题</groupName>
      <ability>L2_Punc_CN</ability>
      <abilityName>标点符号问题</abilityName>
      <candidateList/>
      <explain>同一形式括号套用。</explain>
      <paraID>25C2BBB7</paraID>
      <start>198</start>
      <end>199</end>
      <status>unmodified</status>
      <modifiedWord/>
      <trackRevisions>false</trackRevisions>
    </reviewItem>
    <reviewItem>
      <errorID>b972173f-a6ad-4f77-a610-cd8932cd5c5f</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3B9FE01D</paraID>
      <start>53</start>
      <end>57</end>
      <status>unmodified</status>
      <modifiedWord/>
      <trackRevisions>false</trackRevisions>
    </reviewItem>
    <reviewItem>
      <errorID>ed617390-9bb5-4160-8f34-cd1ea33d9b26</errorID>
      <errorWord>（</errorWord>
      <group>L1_Punc</group>
      <groupName>标点问题</groupName>
      <ability>L2_Punc_CN</ability>
      <abilityName>标点符号问题</abilityName>
      <candidateList/>
      <explain>同一形式括号套用。</explain>
      <paraID>292D6D0B</paraID>
      <start>99</start>
      <end>100</end>
      <status>unmodified</status>
      <modifiedWord/>
      <trackRevisions>false</trackRevisions>
    </reviewItem>
    <reviewItem>
      <errorID>f131cbcf-210a-49ee-9e66-ae02f6d39b73</errorID>
      <errorWord>）</errorWord>
      <group>L1_Punc</group>
      <groupName>标点问题</groupName>
      <ability>L2_Punc_CN</ability>
      <abilityName>标点符号问题</abilityName>
      <candidateList/>
      <explain>同一形式括号套用。</explain>
      <paraID>292D6D0B</paraID>
      <start>101</start>
      <end>102</end>
      <status>unmodified</status>
      <modifiedWord/>
      <trackRevisions>false</trackRevisions>
    </reviewItem>
    <reviewItem>
      <errorID>a25ab09d-8daf-4559-b65e-37f03ccdbb62</errorID>
      <errorWord>（</errorWord>
      <group>L1_Punc</group>
      <groupName>标点问题</groupName>
      <ability>L2_Punc_CN</ability>
      <abilityName>标点符号问题</abilityName>
      <candidateList/>
      <explain>同一形式括号套用。</explain>
      <paraID>14DC12D7</paraID>
      <start>72</start>
      <end>73</end>
      <status>unmodified</status>
      <modifiedWord/>
      <trackRevisions>false</trackRevisions>
    </reviewItem>
    <reviewItem>
      <errorID>3548ad73-0b6e-4b33-bf1a-c64cdbb31eca</errorID>
      <errorWord>）</errorWord>
      <group>L1_Punc</group>
      <groupName>标点问题</groupName>
      <ability>L2_Punc_CN</ability>
      <abilityName>标点符号问题</abilityName>
      <candidateList/>
      <explain>同一形式括号套用。</explain>
      <paraID>14DC12D7</paraID>
      <start>74</start>
      <end>75</end>
      <status>unmodified</status>
      <modifiedWord/>
      <trackRevisions>false</trackRevisions>
    </reviewItem>
    <reviewItem>
      <errorID>addb2f53-c276-4b02-93d4-1006358fc65f</errorID>
      <errorWord>（</errorWord>
      <group>L1_Punc</group>
      <groupName>标点问题</groupName>
      <ability>L2_Punc_CN</ability>
      <abilityName>标点符号问题</abilityName>
      <candidateList/>
      <explain>同一形式括号套用。</explain>
      <paraID>14DC12D7</paraID>
      <start>127</start>
      <end>128</end>
      <status>unmodified</status>
      <modifiedWord/>
      <trackRevisions>false</trackRevisions>
    </reviewItem>
    <reviewItem>
      <errorID>3bd1a99c-ba05-4fc9-90b0-a56ae349b9a1</errorID>
      <errorWord>）</errorWord>
      <group>L1_Punc</group>
      <groupName>标点问题</groupName>
      <ability>L2_Punc_CN</ability>
      <abilityName>标点符号问题</abilityName>
      <candidateList/>
      <explain>同一形式括号套用。</explain>
      <paraID>14DC12D7</paraID>
      <start>129</start>
      <end>130</end>
      <status>unmodified</status>
      <modifiedWord/>
      <trackRevisions>false</trackRevisions>
    </reviewItem>
    <reviewItem>
      <errorID>8134ec13-3d1a-4696-9c99-8697c9c486a1</errorID>
      <errorWord>：&gt;</errorWord>
      <group>L1_Punc</group>
      <groupName>标点问题</groupName>
      <ability>L2_Punc_CN</ability>
      <abilityName>标点符号问题</abilityName>
      <candidateList>
        <item>：</item>
      </candidateList>
      <explain/>
      <paraID>67F4C2E6</paraID>
      <start>40</start>
      <end>42</end>
      <status>unmodified</status>
      <modifiedWord/>
      <trackRevisions>false</trackRevisions>
    </reviewItem>
    <reviewItem>
      <errorID>47c83952-4de3-4cde-bf24-9f42bdc3ac46</errorID>
      <errorWord>（</errorWord>
      <group>L1_Punc</group>
      <groupName>标点问题</groupName>
      <ability>L2_Punc_CN</ability>
      <abilityName>标点符号问题</abilityName>
      <candidateList/>
      <explain>同一形式括号套用。</explain>
      <paraID> 821AF82</paraID>
      <start>82</start>
      <end>83</end>
      <status>unmodified</status>
      <modifiedWord/>
      <trackRevisions>false</trackRevisions>
    </reviewItem>
    <reviewItem>
      <errorID>0a8d2274-918f-4690-960c-cabb0cdd939f</errorID>
      <errorWord>）</errorWord>
      <group>L1_Punc</group>
      <groupName>标点问题</groupName>
      <ability>L2_Punc_CN</ability>
      <abilityName>标点符号问题</abilityName>
      <candidateList/>
      <explain>同一形式括号套用。</explain>
      <paraID> 821AF82</paraID>
      <start>94</start>
      <end>95</end>
      <status>unmodified</status>
      <modifiedWord/>
      <trackRevisions>false</trackRevisions>
    </reviewItem>
    <reviewItem>
      <errorID>97e86709-dd85-4fd6-a2da-cc4f8636b77b</errorID>
      <errorWord>（</errorWord>
      <group>L1_Punc</group>
      <groupName>标点问题</groupName>
      <ability>L2_Punc_CN</ability>
      <abilityName>标点符号问题</abilityName>
      <candidateList/>
      <explain>同一形式括号套用。</explain>
      <paraID>41A39EF6</paraID>
      <start>48</start>
      <end>49</end>
      <status>unmodified</status>
      <modifiedWord/>
      <trackRevisions>false</trackRevisions>
    </reviewItem>
    <reviewItem>
      <errorID>b9198e97-367c-497d-8cc5-802ed686e046</errorID>
      <errorWord>）</errorWord>
      <group>L1_Punc</group>
      <groupName>标点问题</groupName>
      <ability>L2_Punc_CN</ability>
      <abilityName>标点符号问题</abilityName>
      <candidateList/>
      <explain>同一形式括号套用。</explain>
      <paraID>41A39EF6</paraID>
      <start>60</start>
      <end>61</end>
      <status>unmodified</status>
      <modifiedWord/>
      <trackRevisions>false</trackRevisions>
    </reviewItem>
    <reviewItem>
      <errorID>89332213-0a9a-4ed6-99dd-75b43828fd50</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1C2792C7</paraID>
      <start>71</start>
      <end>75</end>
      <status>unmodified</status>
      <modifiedWord/>
      <trackRevisions>false</trackRevisions>
    </reviewItem>
    <reviewItem>
      <errorID>9e39e762-a7f9-4fc5-86dd-19418e246e64</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134B6067</paraID>
      <start>212</start>
      <end>216</end>
      <status>unmodified</status>
      <modifiedWord/>
      <trackRevisions>false</trackRevisions>
    </reviewItem>
    <reviewItem>
      <errorID>67fbbb94-cb1a-4ed5-9617-d8ec37a5bb54</errorID>
      <errorWord>（</errorWord>
      <group>L1_Punc</group>
      <groupName>标点问题</groupName>
      <ability>L2_Punc_CN</ability>
      <abilityName>标点符号问题</abilityName>
      <candidateList/>
      <explain>同一形式括号套用。</explain>
      <paraID>39520095</paraID>
      <start>21</start>
      <end>22</end>
      <status>unmodified</status>
      <modifiedWord/>
      <trackRevisions>false</trackRevisions>
    </reviewItem>
    <reviewItem>
      <errorID>473330df-ed9c-419a-9b30-8dcb7c91189e</errorID>
      <errorWord>）</errorWord>
      <group>L1_Punc</group>
      <groupName>标点问题</groupName>
      <ability>L2_Punc_CN</ability>
      <abilityName>标点符号问题</abilityName>
      <candidateList/>
      <explain>同一形式括号套用。</explain>
      <paraID>39520095</paraID>
      <start>58</start>
      <end>59</end>
      <status>unmodified</status>
      <modifiedWord/>
      <trackRevisions>false</trackRevisions>
    </reviewItem>
    <reviewItem>
      <errorID>00084137-8bda-4e5a-b008-923f52d6399e</errorID>
      <errorWord>（</errorWord>
      <group>L1_Punc</group>
      <groupName>标点问题</groupName>
      <ability>L2_Punc_CN</ability>
      <abilityName>标点符号问题</abilityName>
      <candidateList/>
      <explain>同一形式括号套用。</explain>
      <paraID>39520095</paraID>
      <start>62</start>
      <end>63</end>
      <status>unmodified</status>
      <modifiedWord/>
      <trackRevisions>false</trackRevisions>
    </reviewItem>
    <reviewItem>
      <errorID>8063a9d4-2257-4cc4-b96d-a6d59e2e98fb</errorID>
      <errorWord>）</errorWord>
      <group>L1_Punc</group>
      <groupName>标点问题</groupName>
      <ability>L2_Punc_CN</ability>
      <abilityName>标点符号问题</abilityName>
      <candidateList/>
      <explain>同一形式括号套用。</explain>
      <paraID>39520095</paraID>
      <start>103</start>
      <end>104</end>
      <status>unmodified</status>
      <modifiedWord/>
      <trackRevisions>false</trackRevisions>
    </reviewItem>
    <reviewItem>
      <errorID>9dc01443-875c-42f9-b73f-054d26b745db</errorID>
      <errorWord>（</errorWord>
      <group>L1_Punc</group>
      <groupName>标点问题</groupName>
      <ability>L2_Punc_CN</ability>
      <abilityName>标点符号问题</abilityName>
      <candidateList/>
      <explain>同一形式括号套用。</explain>
      <paraID>39520095</paraID>
      <start>107</start>
      <end>108</end>
      <status>unmodified</status>
      <modifiedWord/>
      <trackRevisions>false</trackRevisions>
    </reviewItem>
    <reviewItem>
      <errorID>e2ea41d4-6a77-4364-9508-7bfc62ee1b1d</errorID>
      <errorWord>）</errorWord>
      <group>L1_Punc</group>
      <groupName>标点问题</groupName>
      <ability>L2_Punc_CN</ability>
      <abilityName>标点符号问题</abilityName>
      <candidateList/>
      <explain>同一形式括号套用。</explain>
      <paraID>39520095</paraID>
      <start>139</start>
      <end>140</end>
      <status>unmodified</status>
      <modifiedWord/>
      <trackRevisions>false</trackRevisions>
    </reviewItem>
    <reviewItem>
      <errorID>d818df89-8230-4f2f-ada7-2c502b6ee88d</errorID>
      <errorWord>（</errorWord>
      <group>L1_Punc</group>
      <groupName>标点问题</groupName>
      <ability>L2_Punc_CN</ability>
      <abilityName>标点符号问题</abilityName>
      <candidateList/>
      <explain>同一形式括号套用。</explain>
      <paraID>39520095</paraID>
      <start>194</start>
      <end>195</end>
      <status>unmodified</status>
      <modifiedWord/>
      <trackRevisions>false</trackRevisions>
    </reviewItem>
    <reviewItem>
      <errorID>fa33908d-3bda-4b7f-af38-7017d1382b89</errorID>
      <errorWord>）</errorWord>
      <group>L1_Punc</group>
      <groupName>标点问题</groupName>
      <ability>L2_Punc_CN</ability>
      <abilityName>标点符号问题</abilityName>
      <candidateList/>
      <explain>同一形式括号套用。</explain>
      <paraID>39520095</paraID>
      <start>230</start>
      <end>231</end>
      <status>unmodified</status>
      <modifiedWord/>
      <trackRevisions>false</trackRevisions>
    </reviewItem>
    <reviewItem>
      <errorID>9627947d-8335-423a-9117-c82db29e1abf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6CFF7FC8</paraID>
      <start>8</start>
      <end>9</end>
      <status>ignored</status>
      <modifiedWord/>
      <trackRevisions>false</trackRevisions>
    </reviewItem>
    <reviewItem>
      <errorID>f450ae92-b430-4b7d-bca9-12d4a7b14161</errorID>
      <errorWord>外面</errorWord>
      <group>L1_Word</group>
      <groupName>字词问题</groupName>
      <ability>L2_Typo</ability>
      <abilityName>字词错误</abilityName>
      <candidateList>
        <item>外</item>
      </candidateList>
      <explain/>
      <paraID>2B76A7A8</paraID>
      <start>20</start>
      <end>22</end>
      <status>unmodified</status>
      <modifiedWord/>
      <trackRevisions>false</trackRevisions>
    </reviewItem>
    <reviewItem>
      <errorID>1c5f02b1-1ffd-4894-8d04-d8b984994205</errorID>
      <errorWord> ro</errorWord>
      <group>L1_English</group>
      <groupName>英文问题</groupName>
      <ability>L2_Other_Grammar</ability>
      <abilityName>其他语法问题</abilityName>
      <candidateList>
        <item>r o</item>
      </candidateList>
      <explain>疑似单词/词组使用不当, 建议将 ro修改为r o</explain>
      <paraID> 81DA1F2</paraID>
      <start>14</start>
      <end>17</end>
      <status>unmodified</status>
      <modifiedWord/>
      <trackRevisions>false</trackRevisions>
    </reviewItem>
    <reviewItem>
      <errorID>7bb42037-b8e7-4a5f-878f-41e8620f2077</errorID>
      <errorWord>（</errorWord>
      <group>L1_Format</group>
      <groupName>格式问题</groupName>
      <ability>L2_HalfPunc_CN</ability>
      <abilityName>全半角问题</abilityName>
      <candidateList>
        <item>(</item>
      </candidateList>
      <explain>文本全半角错误。</explain>
      <paraID>  57ACD4</paraID>
      <start>10</start>
      <end>11</end>
      <status>unmodified</status>
      <modifiedWord/>
      <trackRevisions>false</trackRevisions>
    </reviewItem>
    <reviewItem>
      <errorID>1520cef8-2e37-4dad-85e5-8a9a96dd9b8e</errorID>
      <errorWord>）</errorWord>
      <group>L1_Format</group>
      <groupName>格式问题</groupName>
      <ability>L2_HalfPunc_CN</ability>
      <abilityName>全半角问题</abilityName>
      <candidateList>
        <item>)</item>
      </candidateList>
      <explain>文本全半角错误。</explain>
      <paraID>  57ACD4</paraID>
      <start>18</start>
      <end>19</end>
      <status>unmodified</status>
      <modifiedWord/>
      <trackRevisions>false</trackRevisions>
    </reviewItem>
    <reviewItem>
      <errorID>b25fe31e-a7be-4d7c-ae8b-c9cd2080e76d</errorID>
      <errorWord>实际情况做</errorWord>
      <group>L1_Word</group>
      <groupName>字词问题</groupName>
      <ability>L2_Typo</ability>
      <abilityName>字词错误</abilityName>
      <candidateList>
        <item>实际情况作</item>
      </candidateList>
      <explain/>
      <paraID>75B33C79</paraID>
      <start>23</start>
      <end>28</end>
      <status>unmodified</status>
      <modifiedWord/>
      <trackRevisions>false</trackRevisions>
    </reviewItem>
    <reviewItem>
      <errorID>da65627c-d5dd-4614-bf83-672039636865</errorID>
      <errorWord>（</errorWord>
      <group>L1_Format</group>
      <groupName>格式问题</groupName>
      <ability>L2_HalfPunc_CN</ability>
      <abilityName>全半角问题</abilityName>
      <candidateList>
        <item>(</item>
      </candidateList>
      <explain>文本全半角错误。</explain>
      <paraID>5EF96900</paraID>
      <start>4</start>
      <end>5</end>
      <status>unmodified</status>
      <modifiedWord/>
      <trackRevisions>false</trackRevisions>
    </reviewItem>
    <reviewItem>
      <errorID>c7f4227d-cbf8-4853-a317-92f766319be1</errorID>
      <errorWord>）</errorWord>
      <group>L1_Format</group>
      <groupName>格式问题</groupName>
      <ability>L2_HalfPunc_CN</ability>
      <abilityName>全半角问题</abilityName>
      <candidateList>
        <item>)</item>
      </candidateList>
      <explain>文本全半角错误。</explain>
      <paraID>5EF96900</paraID>
      <start>6</start>
      <end>7</end>
      <status>unmodified</status>
      <modifiedWord/>
      <trackRevisions>false</trackRevisions>
    </reviewItem>
    <reviewItem>
      <errorID>51da5680-b7a0-4864-b200-2a0849f148e4</errorID>
      <errorWord>（</errorWord>
      <group>L1_Format</group>
      <groupName>格式问题</groupName>
      <ability>L2_HalfPunc_CN</ability>
      <abilityName>全半角问题</abilityName>
      <candidateList>
        <item>(</item>
      </candidateList>
      <explain>文本全半角错误。</explain>
      <paraID>78A4AB61</paraID>
      <start>4</start>
      <end>5</end>
      <status>unmodified</status>
      <modifiedWord/>
      <trackRevisions>false</trackRevisions>
    </reviewItem>
    <reviewItem>
      <errorID>0f67ac17-ae42-4851-9134-6b6ed2c45272</errorID>
      <errorWord>）</errorWord>
      <group>L1_Format</group>
      <groupName>格式问题</groupName>
      <ability>L2_HalfPunc_CN</ability>
      <abilityName>全半角问题</abilityName>
      <candidateList>
        <item>)</item>
      </candidateList>
      <explain>文本全半角错误。</explain>
      <paraID>78A4AB61</paraID>
      <start>6</start>
      <end>7</end>
      <status>unmodified</status>
      <modifiedWord/>
      <trackRevisions>false</trackRevisions>
    </reviewItem>
    <reviewItem>
      <errorID>9dba1567-e140-428a-a5c8-8c892e60c0b1</errorID>
      <errorWord>（</errorWord>
      <group>L1_Format</group>
      <groupName>格式问题</groupName>
      <ability>L2_HalfPunc_CN</ability>
      <abilityName>全半角问题</abilityName>
      <candidateList>
        <item>(</item>
      </candidateList>
      <explain>文本全半角错误。</explain>
      <paraID>5775E036</paraID>
      <start>4</start>
      <end>5</end>
      <status>unmodified</status>
      <modifiedWord/>
      <trackRevisions>false</trackRevisions>
    </reviewItem>
    <reviewItem>
      <errorID>6b785c07-e960-42e6-9572-47f65de43047</errorID>
      <errorWord>）</errorWord>
      <group>L1_Format</group>
      <groupName>格式问题</groupName>
      <ability>L2_HalfPunc_CN</ability>
      <abilityName>全半角问题</abilityName>
      <candidateList>
        <item>)</item>
      </candidateList>
      <explain>文本全半角错误。</explain>
      <paraID>5775E036</paraID>
      <start>6</start>
      <end>7</end>
      <status>unmodified</status>
      <modifiedWord/>
      <trackRevisions>false</trackRevisions>
    </reviewItem>
    <reviewItem>
      <errorID>fecdef93-0991-450b-89a7-e3b11b330201</errorID>
      <errorWord>（</errorWord>
      <group>L1_Format</group>
      <groupName>格式问题</groupName>
      <ability>L2_HalfPunc_CN</ability>
      <abilityName>全半角问题</abilityName>
      <candidateList>
        <item>(</item>
      </candidateList>
      <explain>文本全半角错误。</explain>
      <paraID>5B661AED</paraID>
      <start>4</start>
      <end>5</end>
      <status>unmodified</status>
      <modifiedWord/>
      <trackRevisions>false</trackRevisions>
    </reviewItem>
    <reviewItem>
      <errorID>e2772574-63a4-4e2f-bf65-7881de16d506</errorID>
      <errorWord>）</errorWord>
      <group>L1_Format</group>
      <groupName>格式问题</groupName>
      <ability>L2_HalfPunc_CN</ability>
      <abilityName>全半角问题</abilityName>
      <candidateList>
        <item>)</item>
      </candidateList>
      <explain>文本全半角错误。</explain>
      <paraID>5B661AED</paraID>
      <start>6</start>
      <end>7</end>
      <status>unmodified</status>
      <modifiedWord/>
      <trackRevisions>false</trackRevisions>
    </reviewItem>
    <reviewItem>
      <errorID>5bdc9117-1fca-45ae-a021-4f4b0162a583</errorID>
      <errorWord>（</errorWord>
      <group>L1_Format</group>
      <groupName>格式问题</groupName>
      <ability>L2_HalfPunc_CN</ability>
      <abilityName>全半角问题</abilityName>
      <candidateList>
        <item>(</item>
      </candidateList>
      <explain>文本全半角错误。</explain>
      <paraID>3D7A63EE</paraID>
      <start>4</start>
      <end>5</end>
      <status>unmodified</status>
      <modifiedWord/>
      <trackRevisions>false</trackRevisions>
    </reviewItem>
    <reviewItem>
      <errorID>d95fef2b-2f16-416d-a365-0b0a32c76adb</errorID>
      <errorWord>）</errorWord>
      <group>L1_Format</group>
      <groupName>格式问题</groupName>
      <ability>L2_HalfPunc_CN</ability>
      <abilityName>全半角问题</abilityName>
      <candidateList>
        <item>)</item>
      </candidateList>
      <explain>文本全半角错误。</explain>
      <paraID>3D7A63EE</paraID>
      <start>6</start>
      <end>7</end>
      <status>unmodified</status>
      <modifiedWord/>
      <trackRevisions>false</trackRevisions>
    </reviewItem>
    <reviewItem>
      <errorID>97e6fc42-a4af-4820-adf1-7415aa0faaa1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322D2A0D</paraID>
      <start>34</start>
      <end>35</end>
      <status>unmodified</status>
      <modifiedWord/>
      <trackRevisions>false</trackRevisions>
    </reviewItem>
    <reviewItem>
      <errorID>86c2e9b2-c3b2-43a1-a53d-1071be158ce1</errorID>
      <errorWord>～</errorWord>
      <group>L1_Format</group>
      <groupName>格式问题</groupName>
      <ability>L2_HalfPunc_CN</ability>
      <abilityName>全半角问题</abilityName>
      <candidateList>
        <item>~</item>
      </candidateList>
      <explain>文本全半角错误。</explain>
      <paraID>27B54A8C</paraID>
      <start>5</start>
      <end>6</end>
      <status>unmodified</status>
      <modifiedWord/>
      <trackRevisions>false</trackRevisions>
    </reviewItem>
    <reviewItem>
      <errorID>d48465b4-4f15-45bb-abb4-718681b8b5b9</errorID>
      <errorWord>～</errorWord>
      <group>L1_Format</group>
      <groupName>格式问题</groupName>
      <ability>L2_HalfPunc_CN</ability>
      <abilityName>全半角问题</abilityName>
      <candidateList>
        <item>~</item>
      </candidateList>
      <explain>文本全半角错误。</explain>
      <paraID>66921957</paraID>
      <start>5</start>
      <end>6</end>
      <status>unmodified</status>
      <modifiedWord/>
      <trackRevisions>false</trackRevisions>
    </reviewItem>
    <reviewItem>
      <errorID>b784e734-abff-433e-9ee5-7f4aa997cb46</errorID>
      <errorWord>～</errorWord>
      <group>L1_Format</group>
      <groupName>格式问题</groupName>
      <ability>L2_HalfPunc_CN</ability>
      <abilityName>全半角问题</abilityName>
      <candidateList>
        <item>~</item>
      </candidateList>
      <explain>文本全半角错误。</explain>
      <paraID>6626D601</paraID>
      <start>4</start>
      <end>5</end>
      <status>unmodified</status>
      <modifiedWord/>
      <trackRevisions>false</trackRevisions>
    </reviewItem>
    <reviewItem>
      <errorID>4933ace3-4ee2-4a05-8e9a-6afde33f070b</errorID>
      <errorWord>～</errorWord>
      <group>L1_Format</group>
      <groupName>格式问题</groupName>
      <ability>L2_HalfPunc_CN</ability>
      <abilityName>全半角问题</abilityName>
      <candidateList>
        <item>~</item>
      </candidateList>
      <explain>文本全半角错误。</explain>
      <paraID>503DED9E</paraID>
      <start>3</start>
      <end>4</end>
      <status>unmodified</status>
      <modifiedWord/>
      <trackRevisions>false</trackRevisions>
    </reviewItem>
    <reviewItem>
      <errorID>e5de3ce2-a96f-4c5a-901b-99973cb824f0</errorID>
      <errorWord>～</errorWord>
      <group>L1_Format</group>
      <groupName>格式问题</groupName>
      <ability>L2_HalfPunc_CN</ability>
      <abilityName>全半角问题</abilityName>
      <candidateList>
        <item>~</item>
      </candidateList>
      <explain>文本全半角错误。</explain>
      <paraID>6FF43773</paraID>
      <start>5</start>
      <end>6</end>
      <status>unmodified</status>
      <modifiedWord/>
      <trackRevisions>false</trackRevisions>
    </reviewItem>
    <reviewItem>
      <errorID>14fcc409-7310-40fb-b149-160ec498ef58</errorID>
      <errorWord>～</errorWord>
      <group>L1_Format</group>
      <groupName>格式问题</groupName>
      <ability>L2_HalfPunc_CN</ability>
      <abilityName>全半角问题</abilityName>
      <candidateList>
        <item>~</item>
      </candidateList>
      <explain>文本全半角错误。</explain>
      <paraID>4A15A526</paraID>
      <start>5</start>
      <end>6</end>
      <status>unmodified</status>
      <modifiedWord/>
      <trackRevisions>false</trackRevisions>
    </reviewItem>
    <reviewItem>
      <errorID>b50acb98-b6a9-4c2e-9f4d-a8a5b729d83a</errorID>
      <errorWord>～</errorWord>
      <group>L1_Format</group>
      <groupName>格式问题</groupName>
      <ability>L2_HalfPunc_CN</ability>
      <abilityName>全半角问题</abilityName>
      <candidateList>
        <item>~</item>
      </candidateList>
      <explain>文本全半角错误。</explain>
      <paraID> 2319E10</paraID>
      <start>4</start>
      <end>5</end>
      <status>unmodified</status>
      <modifiedWord/>
      <trackRevisions>false</trackRevisions>
    </reviewItem>
    <reviewItem>
      <errorID>78fead7f-53f6-4239-b1b7-29a7af02de91</errorID>
      <errorWord>～</errorWord>
      <group>L1_Format</group>
      <groupName>格式问题</groupName>
      <ability>L2_HalfPunc_CN</ability>
      <abilityName>全半角问题</abilityName>
      <candidateList>
        <item>~</item>
      </candidateList>
      <explain>文本全半角错误。</explain>
      <paraID>3844EBFD</paraID>
      <start>3</start>
      <end>4</end>
      <status>unmodified</status>
      <modifiedWord/>
      <trackRevisions>false</trackRevisions>
    </reviewItem>
    <reviewItem>
      <errorID>a8381f44-1440-451d-ab96-dfb5c2f46d6e</errorID>
      <errorWord>（</errorWord>
      <group>L1_Punc</group>
      <groupName>标点问题</groupName>
      <ability>L2_Punc_CN</ability>
      <abilityName>标点符号问题</abilityName>
      <candidateList/>
      <explain>同一形式括号套用。</explain>
      <paraID>3F8083A8</paraID>
      <start>193</start>
      <end>194</end>
      <status>unmodified</status>
      <modifiedWord/>
      <trackRevisions>false</trackRevisions>
    </reviewItem>
    <reviewItem>
      <errorID>f425ba90-082e-4b65-b05c-99d3e2fecbff</errorID>
      <errorWord>）</errorWord>
      <group>L1_Punc</group>
      <groupName>标点问题</groupName>
      <ability>L2_Punc_CN</ability>
      <abilityName>标点符号问题</abilityName>
      <candidateList/>
      <explain>同一形式括号套用。</explain>
      <paraID>3F8083A8</paraID>
      <start>195</start>
      <end>196</end>
      <status>unmodified</status>
      <modifiedWord/>
      <trackRevisions>false</trackRevisions>
    </reviewItem>
    <reviewItem>
      <errorID>3f0598b2-77dc-4003-b725-1bec1fa2f492</errorID>
      <errorWord>（</errorWord>
      <group>L1_Punc</group>
      <groupName>标点问题</groupName>
      <ability>L2_Punc_CN</ability>
      <abilityName>标点符号问题</abilityName>
      <candidateList/>
      <explain>同一形式括号套用。</explain>
      <paraID>3F8083A8</paraID>
      <start>204</start>
      <end>205</end>
      <status>unmodified</status>
      <modifiedWord/>
      <trackRevisions>false</trackRevisions>
    </reviewItem>
    <reviewItem>
      <errorID>48ee95a4-0458-4d2d-b6d3-507fbcae1661</errorID>
      <errorWord>）</errorWord>
      <group>L1_Punc</group>
      <groupName>标点问题</groupName>
      <ability>L2_Punc_CN</ability>
      <abilityName>标点符号问题</abilityName>
      <candidateList/>
      <explain>同一形式括号套用。</explain>
      <paraID>3F8083A8</paraID>
      <start>206</start>
      <end>207</end>
      <status>unmodified</status>
      <modifiedWord/>
      <trackRevisions>false</trackRevisions>
    </reviewItem>
    <reviewItem>
      <errorID>49308a79-db3d-4045-9b00-d57af9178c32</errorID>
      <errorWord>几率</errorWord>
      <group>L1_Word</group>
      <groupName>字词问题</groupName>
      <ability>L2_Typo</ability>
      <abilityName>字词错误</abilityName>
      <candidateList>
        <item>概率</item>
      </candidateList>
      <explain/>
      <paraID>38BE1CDD</paraID>
      <start>26</start>
      <end>28</end>
      <status>unmodified</status>
      <modifiedWord/>
      <trackRevisions>false</trackRevisions>
    </reviewItem>
    <reviewItem>
      <errorID>a15cbb7b-aa09-4cb7-b71e-cb8c0e12fa06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7A04C9A9</paraID>
      <start>79</start>
      <end>80</end>
      <status>unmodified</status>
      <modifiedWord/>
      <trackRevisions>false</trackRevisions>
    </reviewItem>
    <reviewItem>
      <errorID>5b418ea1-5d13-44cd-8db2-30d5556ab977</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7A04C9A9</paraID>
      <start>219</start>
      <end>223</end>
      <status>unmodified</status>
      <modifiedWord/>
      <trackRevisions>false</trackRevisions>
    </reviewItem>
    <reviewItem>
      <errorID>2e1b805f-03cf-4b5b-9382-465206d29920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7A04C9A9</paraID>
      <start>233</start>
      <end>234</end>
      <status>unmodified</status>
      <modifiedWord/>
      <trackRevisions>false</trackRevisions>
    </reviewItem>
    <reviewItem>
      <errorID>11aa32bd-fe73-4979-8ef2-d044fa462268</errorID>
      <errorWord>几率</errorWord>
      <group>L1_Word</group>
      <groupName>字词问题</groupName>
      <ability>L2_Typo</ability>
      <abilityName>字词错误</abilityName>
      <candidateList>
        <item>概率</item>
      </candidateList>
      <explain/>
      <paraID>5AD98035</paraID>
      <start>195</start>
      <end>197</end>
      <status>unmodified</status>
      <modifiedWord/>
      <trackRevisions>false</trackRevisions>
    </reviewItem>
    <reviewItem>
      <errorID>2945c275-ac3f-429f-bab2-d63700513e68</errorID>
      <errorWord>（</errorWord>
      <group>L1_Punc</group>
      <groupName>标点问题</groupName>
      <ability>L2_Punc_CN</ability>
      <abilityName>标点符号问题</abilityName>
      <candidateList/>
      <explain>同一形式括号套用。</explain>
      <paraID>60AC30DA</paraID>
      <start>110</start>
      <end>111</end>
      <status>unmodified</status>
      <modifiedWord/>
      <trackRevisions>false</trackRevisions>
    </reviewItem>
    <reviewItem>
      <errorID>5a6bed0c-5a21-46ae-aad5-1fe28b8589bd</errorID>
      <errorWord>）</errorWord>
      <group>L1_Punc</group>
      <groupName>标点问题</groupName>
      <ability>L2_Punc_CN</ability>
      <abilityName>标点符号问题</abilityName>
      <candidateList/>
      <explain>同一形式括号套用。</explain>
      <paraID>60AC30DA</paraID>
      <start>112</start>
      <end>113</end>
      <status>unmodified</status>
      <modifiedWord/>
      <trackRevisions>false</trackRevisions>
    </reviewItem>
    <reviewItem>
      <errorID>5bb2ee7b-71f6-47fc-a244-09bb60c4e485</errorID>
      <errorWord>（</errorWord>
      <group>L1_Punc</group>
      <groupName>标点问题</groupName>
      <ability>L2_Punc_CN</ability>
      <abilityName>标点符号问题</abilityName>
      <candidateList/>
      <explain>同一形式括号套用。</explain>
      <paraID>60AC30DA</paraID>
      <start>121</start>
      <end>122</end>
      <status>unmodified</status>
      <modifiedWord/>
      <trackRevisions>false</trackRevisions>
    </reviewItem>
    <reviewItem>
      <errorID>08eb49af-37d2-4d6f-adcd-465082775c4f</errorID>
      <errorWord>）</errorWord>
      <group>L1_Punc</group>
      <groupName>标点问题</groupName>
      <ability>L2_Punc_CN</ability>
      <abilityName>标点符号问题</abilityName>
      <candidateList/>
      <explain>同一形式括号套用。</explain>
      <paraID>60AC30DA</paraID>
      <start>123</start>
      <end>124</end>
      <status>unmodified</status>
      <modifiedWord/>
      <trackRevisions>false</trackRevisions>
    </reviewItem>
    <reviewItem>
      <errorID>7e50f882-df87-4b44-9d00-8c1dc2b10b8b</errorID>
      <errorWord>（</errorWord>
      <group>L1_Punc</group>
      <groupName>标点问题</groupName>
      <ability>L2_Punc_CN</ability>
      <abilityName>标点符号问题</abilityName>
      <candidateList/>
      <explain>同一形式括号套用。</explain>
      <paraID>60AC30DA</paraID>
      <start>212</start>
      <end>213</end>
      <status>unmodified</status>
      <modifiedWord/>
      <trackRevisions>false</trackRevisions>
    </reviewItem>
    <reviewItem>
      <errorID>d92033b5-271e-4699-9307-672248f24204</errorID>
      <errorWord>）</errorWord>
      <group>L1_Punc</group>
      <groupName>标点问题</groupName>
      <ability>L2_Punc_CN</ability>
      <abilityName>标点符号问题</abilityName>
      <candidateList/>
      <explain>同一形式括号套用。</explain>
      <paraID>60AC30DA</paraID>
      <start>214</start>
      <end>215</end>
      <status>unmodified</status>
      <modifiedWord/>
      <trackRevisions>false</trackRevisions>
    </reviewItem>
    <reviewItem>
      <errorID>1eeec98c-1795-4055-8318-a290dbf90d92</errorID>
      <errorWord>（</errorWord>
      <group>L1_Punc</group>
      <groupName>标点问题</groupName>
      <ability>L2_Punc_CN</ability>
      <abilityName>标点符号问题</abilityName>
      <candidateList/>
      <explain>同一形式括号套用。</explain>
      <paraID>60AC30DA</paraID>
      <start>223</start>
      <end>224</end>
      <status>unmodified</status>
      <modifiedWord/>
      <trackRevisions>false</trackRevisions>
    </reviewItem>
    <reviewItem>
      <errorID>a2ba3d85-ebbd-4d5d-83cc-2e3098846e7c</errorID>
      <errorWord>）</errorWord>
      <group>L1_Punc</group>
      <groupName>标点问题</groupName>
      <ability>L2_Punc_CN</ability>
      <abilityName>标点符号问题</abilityName>
      <candidateList/>
      <explain>同一形式括号套用。</explain>
      <paraID>60AC30DA</paraID>
      <start>225</start>
      <end>226</end>
      <status>unmodified</status>
      <modifiedWord/>
      <trackRevisions>false</trackRevisions>
    </reviewItem>
    <reviewItem>
      <errorID>95e4417c-65c0-4840-98e8-153cc748b698</errorID>
      <errorWord>余方</errorWord>
      <group>L1_Word</group>
      <groupName>字词问题</groupName>
      <ability>L2_Typo</ability>
      <abilityName>字词错误</abilityName>
      <candidateList>
        <item>土方</item>
      </candidateList>
      <explain/>
      <paraID>105571A6</paraID>
      <start>30</start>
      <end>32</end>
      <status>unmodified</status>
      <modifiedWord/>
      <trackRevisions>false</trackRevisions>
    </reviewItem>
    <reviewItem>
      <errorID>39923e91-9391-4be1-aff8-9a0ad781e460</errorID>
      <errorWord>其它</errorWord>
      <group>L1_Word</group>
      <groupName>字词问题</groupName>
      <ability>L2_Alias</ability>
      <abilityName>也作/曾用词</abilityName>
      <candidateList>
        <item>其他</item>
      </candidateList>
      <explain>词汇[其它]为不规范表述或旧称，其规范书面表述为[其他]。</explain>
      <paraID>2E5C435E</paraID>
      <start>18</start>
      <end>20</end>
      <status>unmodified</status>
      <modifiedWord/>
      <trackRevisions>false</trackRevisions>
    </reviewItem>
    <reviewItem>
      <errorID>796eb446-ff8a-4af3-abd0-8d453e491de4</errorID>
      <errorWord>，</errorWord>
      <group>L1_Word</group>
      <groupName>字词问题</groupName>
      <ability>L2_Typo</ability>
      <abilityName>字词错误</abilityName>
      <candidateList>
        <item>，在</item>
      </candidateList>
      <explain/>
      <paraID>46EE876B</paraID>
      <start>37</start>
      <end>38</end>
      <status>unmodified</status>
      <modifiedWord/>
      <trackRevisions>false</trackRevisions>
    </reviewItem>
    <reviewItem>
      <errorID>43fac8c2-00f0-41e5-9e01-c0c4036dcbc0</errorID>
      <errorWord>余方</errorWord>
      <group>L1_Word</group>
      <groupName>字词问题</groupName>
      <ability>L2_Typo</ability>
      <abilityName>字词错误</abilityName>
      <candidateList>
        <item>土方</item>
      </candidateList>
      <explain/>
      <paraID>327134AA</paraID>
      <start>30</start>
      <end>32</end>
      <status>unmodified</status>
      <modifiedWord/>
      <trackRevisions>false</trackRevisions>
    </reviewItem>
    <reviewItem>
      <errorID>0abfd69e-b5f9-4726-8e92-577801a2687e</errorID>
      <errorWord>其它</errorWord>
      <group>L1_Word</group>
      <groupName>字词问题</groupName>
      <ability>L2_Alias</ability>
      <abilityName>也作/曾用词</abilityName>
      <candidateList>
        <item>其他</item>
      </candidateList>
      <explain>词汇[其它]为不规范表述或旧称，其规范书面表述为[其他]。</explain>
      <paraID>5E5B2729</paraID>
      <start>16</start>
      <end>18</end>
      <status>unmodified</status>
      <modifiedWord/>
      <trackRevisions>false</trackRevisions>
    </reviewItem>
    <reviewItem>
      <errorID>ce3c52bd-e96c-4d16-9604-87330ff2277a</errorID>
      <errorWord>，</errorWord>
      <group>L1_Word</group>
      <groupName>字词问题</groupName>
      <ability>L2_Typo</ability>
      <abilityName>字词错误</abilityName>
      <candidateList>
        <item>，在</item>
      </candidateList>
      <explain/>
      <paraID>455BD1B8</paraID>
      <start>70</start>
      <end>71</end>
      <status>unmodified</status>
      <modifiedWord/>
      <trackRevisions>false</trackRevisions>
    </reviewItem>
    <reviewItem>
      <errorID>188ff65f-2ee3-4afb-a7b6-dc0437c0d189</errorID>
      <errorWord>属</errorWord>
      <group>L1_Word</group>
      <groupName>字词问题</groupName>
      <ability>L2_Typo</ability>
      <abilityName>字词错误</abilityName>
      <candidateList>
        <item>属于</item>
      </candidateList>
      <explain/>
      <paraID> 4E7B108</paraID>
      <start>129</start>
      <end>130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24925b-14dd-4720-96b0-809d9ef4e86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130</Pages>
  <Words>3120</Words>
  <Characters>3967</Characters>
  <Lines>589</Lines>
  <Paragraphs>166</Paragraphs>
  <TotalTime>9</TotalTime>
  <ScaleCrop>false</ScaleCrop>
  <LinksUpToDate>false</LinksUpToDate>
  <CharactersWithSpaces>4017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2021-01-31T13:35:00Z</dcterms:created>
  <dc:creator>word</dc:creator>
  <cp:lastModifiedBy>等风</cp:lastModifiedBy>
  <cp:lastPrinted>2021-09-08T01:46:00Z</cp:lastPrinted>
  <dcterms:modified xsi:type="dcterms:W3CDTF">2026-07-15T00:52:02Z</dcterms:modified>
  <cp:revision>2090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D8716980C6EC423699D79F933C42057A_13</vt:lpwstr>
  </property>
  <property fmtid="{D5CDD505-2E9C-101B-9397-08002B2CF9AE}" pid="4" name="KSOTemplateDocerSaveRecord">
    <vt:lpwstr>eyJoZGlkIjoiNDE1YjM3OTVhNDdiNDkzZDkyYTdiMjQzNmVhMGI4OWIiLCJ1c2VySWQiOiI1MTQ5MTEwMzUifQ==</vt:lpwstr>
  </property>
</Properties>
</file>