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emf" ContentType="image/x-e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D0AEC4">
      <w:pPr>
        <w:adjustRightInd w:val="0"/>
        <w:snapToGrid w:val="0"/>
        <w:ind w:firstLine="1440"/>
        <w:jc w:val="center"/>
        <w:rPr>
          <w:rFonts w:eastAsia="方正小标宋_GBK" w:cs="Times New Roman"/>
          <w:bCs/>
          <w:sz w:val="72"/>
          <w:szCs w:val="72"/>
        </w:rPr>
      </w:pPr>
      <w:bookmarkStart w:id="0" w:name="_Toc24640"/>
      <w:bookmarkStart w:id="1" w:name="OLE_LINK69"/>
      <w:bookmarkStart w:id="2" w:name="OLE_LINK70"/>
      <w:bookmarkStart w:id="3" w:name="OLE_LINK38"/>
    </w:p>
    <w:p w14:paraId="12CD76D6">
      <w:pPr>
        <w:adjustRightInd w:val="0"/>
        <w:snapToGrid w:val="0"/>
        <w:ind w:firstLine="1440"/>
        <w:jc w:val="center"/>
        <w:rPr>
          <w:rFonts w:eastAsia="方正小标宋_GBK" w:cs="Times New Roman"/>
          <w:bCs/>
          <w:sz w:val="72"/>
          <w:szCs w:val="72"/>
        </w:rPr>
      </w:pPr>
    </w:p>
    <w:p w14:paraId="6F54BD37">
      <w:pPr>
        <w:adjustRightInd w:val="0"/>
        <w:snapToGrid w:val="0"/>
        <w:ind w:firstLine="0" w:firstLineChars="0"/>
        <w:jc w:val="center"/>
        <w:outlineLvl w:val="0"/>
        <w:rPr>
          <w:rFonts w:eastAsia="方正小标宋_GBK" w:cs="Times New Roman"/>
          <w:bCs/>
          <w:sz w:val="72"/>
          <w:szCs w:val="72"/>
        </w:rPr>
      </w:pPr>
      <w:r>
        <w:rPr>
          <w:rFonts w:eastAsia="方正小标宋_GBK" w:cs="Times New Roman"/>
          <w:bCs/>
          <w:sz w:val="72"/>
          <w:szCs w:val="72"/>
        </w:rPr>
        <w:t>建设项目环境影响报告表</w:t>
      </w:r>
    </w:p>
    <w:p w14:paraId="20EBE024">
      <w:pPr>
        <w:adjustRightInd w:val="0"/>
        <w:snapToGrid w:val="0"/>
        <w:spacing w:before="260" w:beforeLines="80"/>
        <w:ind w:firstLine="0" w:firstLineChars="0"/>
        <w:jc w:val="center"/>
        <w:rPr>
          <w:rFonts w:eastAsia="楷体_GB2312" w:cs="Times New Roman"/>
          <w:bCs/>
          <w:sz w:val="48"/>
          <w:szCs w:val="48"/>
        </w:rPr>
      </w:pPr>
      <w:r>
        <w:rPr>
          <w:rFonts w:eastAsia="楷体_GB2312" w:cs="Times New Roman"/>
          <w:bCs/>
          <w:sz w:val="48"/>
          <w:szCs w:val="48"/>
        </w:rPr>
        <w:t>（污染影响类）</w:t>
      </w:r>
    </w:p>
    <w:p w14:paraId="140293FB">
      <w:pPr>
        <w:adjustRightInd w:val="0"/>
        <w:snapToGrid w:val="0"/>
        <w:spacing w:before="260" w:beforeLines="80"/>
        <w:ind w:firstLine="0" w:firstLineChars="0"/>
        <w:jc w:val="center"/>
        <w:rPr>
          <w:rFonts w:eastAsia="楷体_GB2312" w:cs="Times New Roman"/>
          <w:bCs/>
          <w:sz w:val="48"/>
          <w:szCs w:val="48"/>
        </w:rPr>
      </w:pPr>
      <w:r>
        <w:rPr>
          <w:rFonts w:eastAsia="楷体_GB2312" w:cs="Times New Roman"/>
          <w:bCs/>
          <w:sz w:val="48"/>
          <w:szCs w:val="48"/>
        </w:rPr>
        <w:t>（</w:t>
      </w:r>
      <w:r>
        <w:rPr>
          <w:rFonts w:hint="eastAsia" w:eastAsia="楷体_GB2312" w:cs="Times New Roman"/>
          <w:bCs/>
          <w:sz w:val="48"/>
          <w:szCs w:val="48"/>
        </w:rPr>
        <w:t>送审本</w:t>
      </w:r>
      <w:r>
        <w:rPr>
          <w:rFonts w:eastAsia="楷体_GB2312" w:cs="Times New Roman"/>
          <w:bCs/>
          <w:sz w:val="48"/>
          <w:szCs w:val="48"/>
        </w:rPr>
        <w:t>）</w:t>
      </w:r>
    </w:p>
    <w:p w14:paraId="41F3C1ED">
      <w:pPr>
        <w:adjustRightInd w:val="0"/>
        <w:snapToGrid w:val="0"/>
        <w:spacing w:before="260" w:beforeLines="80"/>
        <w:ind w:firstLine="960"/>
        <w:jc w:val="center"/>
        <w:rPr>
          <w:rFonts w:eastAsia="楷体_GB2312" w:cs="Times New Roman"/>
          <w:bCs/>
          <w:sz w:val="48"/>
          <w:szCs w:val="48"/>
        </w:rPr>
      </w:pPr>
    </w:p>
    <w:p w14:paraId="3F636E59">
      <w:pPr>
        <w:ind w:firstLine="1040"/>
        <w:jc w:val="center"/>
        <w:rPr>
          <w:rFonts w:eastAsia="仿宋" w:cs="Times New Roman"/>
          <w:sz w:val="52"/>
          <w:szCs w:val="52"/>
        </w:rPr>
      </w:pPr>
    </w:p>
    <w:p w14:paraId="648D3096">
      <w:pPr>
        <w:adjustRightInd w:val="0"/>
        <w:snapToGrid w:val="0"/>
        <w:spacing w:line="288" w:lineRule="auto"/>
        <w:ind w:firstLine="0" w:firstLineChars="0"/>
        <w:rPr>
          <w:rFonts w:eastAsia="仿宋" w:cs="Times New Roman"/>
          <w:sz w:val="44"/>
          <w:szCs w:val="44"/>
        </w:rPr>
      </w:pPr>
    </w:p>
    <w:p w14:paraId="178DC5AF">
      <w:pPr>
        <w:adjustRightInd w:val="0"/>
        <w:snapToGrid w:val="0"/>
        <w:spacing w:line="288" w:lineRule="auto"/>
        <w:ind w:firstLine="1080" w:firstLineChars="300"/>
        <w:rPr>
          <w:rFonts w:eastAsia="仿宋_GB2312" w:cs="Times New Roman"/>
          <w:sz w:val="36"/>
          <w:szCs w:val="36"/>
          <w:u w:val="single"/>
        </w:rPr>
      </w:pPr>
      <w:r>
        <w:rPr>
          <w:rFonts w:eastAsia="仿宋_GB2312" w:cs="Times New Roman"/>
          <w:sz w:val="36"/>
          <w:szCs w:val="36"/>
        </w:rPr>
        <w:t>项目名称：</w:t>
      </w:r>
      <w:r>
        <w:rPr>
          <w:rFonts w:eastAsia="仿宋_GB2312" w:cs="Times New Roman"/>
          <w:sz w:val="36"/>
          <w:szCs w:val="36"/>
          <w:u w:val="single"/>
        </w:rPr>
        <w:t xml:space="preserve">   龙港中高档家具生产项目二期   </w:t>
      </w:r>
    </w:p>
    <w:p w14:paraId="34E58039">
      <w:pPr>
        <w:adjustRightInd w:val="0"/>
        <w:snapToGrid w:val="0"/>
        <w:spacing w:line="288" w:lineRule="auto"/>
        <w:ind w:firstLine="1080" w:firstLineChars="300"/>
        <w:rPr>
          <w:rFonts w:eastAsia="仿宋_GB2312" w:cs="Times New Roman"/>
          <w:sz w:val="36"/>
          <w:szCs w:val="36"/>
          <w:u w:val="single"/>
        </w:rPr>
      </w:pPr>
      <w:r>
        <w:rPr>
          <w:rFonts w:eastAsia="仿宋_GB2312" w:cs="Times New Roman"/>
          <w:sz w:val="36"/>
          <w:szCs w:val="36"/>
        </w:rPr>
        <w:t>建设单位（盖章）：</w:t>
      </w:r>
      <w:r>
        <w:rPr>
          <w:rFonts w:eastAsia="仿宋_GB2312" w:cs="Times New Roman"/>
          <w:sz w:val="36"/>
          <w:szCs w:val="36"/>
          <w:u w:val="single"/>
        </w:rPr>
        <w:t xml:space="preserve">四川森港莱工贸有限公司  </w:t>
      </w:r>
    </w:p>
    <w:p w14:paraId="6374E6A4">
      <w:pPr>
        <w:adjustRightInd w:val="0"/>
        <w:snapToGrid w:val="0"/>
        <w:spacing w:line="288" w:lineRule="auto"/>
        <w:ind w:firstLine="1080" w:firstLineChars="300"/>
        <w:rPr>
          <w:rFonts w:eastAsia="仿宋_GB2312" w:cs="Times New Roman"/>
          <w:sz w:val="36"/>
          <w:szCs w:val="36"/>
          <w:u w:val="single"/>
        </w:rPr>
      </w:pPr>
      <w:r>
        <w:rPr>
          <w:rFonts w:eastAsia="仿宋_GB2312" w:cs="Times New Roman"/>
          <w:sz w:val="36"/>
          <w:szCs w:val="36"/>
        </w:rPr>
        <w:t>编制日期：</w:t>
      </w:r>
      <w:r>
        <w:rPr>
          <w:rFonts w:eastAsia="仿宋_GB2312" w:cs="Times New Roman"/>
          <w:sz w:val="36"/>
          <w:szCs w:val="36"/>
          <w:u w:val="single"/>
        </w:rPr>
        <w:t xml:space="preserve">           202</w:t>
      </w:r>
      <w:r>
        <w:rPr>
          <w:rFonts w:hint="eastAsia" w:eastAsia="仿宋_GB2312" w:cs="Times New Roman"/>
          <w:sz w:val="36"/>
          <w:szCs w:val="36"/>
          <w:u w:val="single"/>
        </w:rPr>
        <w:t>6</w:t>
      </w:r>
      <w:r>
        <w:rPr>
          <w:rFonts w:eastAsia="仿宋_GB2312" w:cs="Times New Roman"/>
          <w:sz w:val="36"/>
          <w:szCs w:val="36"/>
          <w:u w:val="single"/>
        </w:rPr>
        <w:t>年</w:t>
      </w:r>
      <w:r>
        <w:rPr>
          <w:rFonts w:hint="eastAsia" w:eastAsia="仿宋_GB2312" w:cs="Times New Roman"/>
          <w:sz w:val="36"/>
          <w:szCs w:val="36"/>
          <w:u w:val="single"/>
        </w:rPr>
        <w:t>7</w:t>
      </w:r>
      <w:r>
        <w:rPr>
          <w:rFonts w:eastAsia="仿宋_GB2312" w:cs="Times New Roman"/>
          <w:sz w:val="36"/>
          <w:szCs w:val="36"/>
          <w:u w:val="single"/>
        </w:rPr>
        <w:t xml:space="preserve">月           </w:t>
      </w:r>
    </w:p>
    <w:p w14:paraId="16C11CEA">
      <w:pPr>
        <w:adjustRightInd w:val="0"/>
        <w:snapToGrid w:val="0"/>
        <w:spacing w:line="288" w:lineRule="auto"/>
        <w:ind w:firstLine="720"/>
        <w:rPr>
          <w:rFonts w:eastAsia="仿宋_GB2312" w:cs="Times New Roman"/>
          <w:sz w:val="36"/>
          <w:szCs w:val="36"/>
          <w:u w:val="single"/>
        </w:rPr>
      </w:pPr>
      <w:bookmarkStart w:id="4" w:name="_Hlk57884087"/>
    </w:p>
    <w:p w14:paraId="097EEFBD">
      <w:pPr>
        <w:adjustRightInd w:val="0"/>
        <w:snapToGrid w:val="0"/>
        <w:spacing w:line="288" w:lineRule="auto"/>
        <w:ind w:firstLine="720"/>
        <w:rPr>
          <w:rFonts w:eastAsia="仿宋_GB2312" w:cs="Times New Roman"/>
          <w:sz w:val="36"/>
          <w:szCs w:val="36"/>
        </w:rPr>
      </w:pPr>
    </w:p>
    <w:p w14:paraId="65BFD803">
      <w:pPr>
        <w:adjustRightInd w:val="0"/>
        <w:snapToGrid w:val="0"/>
        <w:spacing w:line="288" w:lineRule="auto"/>
        <w:ind w:firstLine="720"/>
        <w:rPr>
          <w:rFonts w:eastAsia="仿宋_GB2312" w:cs="Times New Roman"/>
          <w:sz w:val="36"/>
          <w:szCs w:val="36"/>
        </w:rPr>
      </w:pPr>
    </w:p>
    <w:p w14:paraId="0BCEC755">
      <w:pPr>
        <w:adjustRightInd w:val="0"/>
        <w:snapToGrid w:val="0"/>
        <w:spacing w:line="288" w:lineRule="auto"/>
        <w:ind w:firstLine="720"/>
        <w:rPr>
          <w:rFonts w:eastAsia="仿宋_GB2312" w:cs="Times New Roman"/>
          <w:sz w:val="36"/>
          <w:szCs w:val="36"/>
        </w:rPr>
      </w:pPr>
    </w:p>
    <w:bookmarkEnd w:id="4"/>
    <w:p w14:paraId="16C1ABFF">
      <w:pPr>
        <w:adjustRightInd w:val="0"/>
        <w:snapToGrid w:val="0"/>
        <w:spacing w:line="288" w:lineRule="auto"/>
        <w:ind w:firstLine="720"/>
        <w:jc w:val="center"/>
        <w:rPr>
          <w:rFonts w:eastAsia="楷体_GB2312" w:cs="Times New Roman"/>
          <w:sz w:val="36"/>
          <w:szCs w:val="36"/>
        </w:rPr>
      </w:pPr>
      <w:r>
        <w:rPr>
          <w:rFonts w:eastAsia="楷体_GB2312" w:cs="Times New Roman"/>
          <w:sz w:val="36"/>
          <w:szCs w:val="36"/>
        </w:rPr>
        <w:t>中华人民共和国生态环境部制</w:t>
      </w:r>
    </w:p>
    <w:p w14:paraId="1EF01E3F">
      <w:pPr>
        <w:pStyle w:val="2"/>
        <w:rPr>
          <w:rFonts w:ascii="Times New Roman" w:hAnsi="Times New Roman"/>
        </w:rPr>
        <w:sectPr>
          <w:headerReference r:id="rId7" w:type="first"/>
          <w:footerReference r:id="rId10" w:type="first"/>
          <w:headerReference r:id="rId5" w:type="default"/>
          <w:footerReference r:id="rId8" w:type="default"/>
          <w:headerReference r:id="rId6" w:type="even"/>
          <w:footerReference r:id="rId9" w:type="even"/>
          <w:pgSz w:w="11906" w:h="16838"/>
          <w:pgMar w:top="1440" w:right="1080" w:bottom="1440" w:left="1080" w:header="851" w:footer="567" w:gutter="0"/>
          <w:cols w:space="425" w:num="1"/>
          <w:docGrid w:type="lines" w:linePitch="326" w:charSpace="0"/>
        </w:sectPr>
      </w:pPr>
    </w:p>
    <w:p w14:paraId="7CC50ABC">
      <w:pPr>
        <w:pStyle w:val="2"/>
        <w:rPr>
          <w:rFonts w:ascii="Times New Roman" w:hAnsi="Times New Roman"/>
        </w:rPr>
      </w:pPr>
      <w:r>
        <w:rPr>
          <w:rFonts w:ascii="Times New Roman" w:hAnsi="Times New Roman"/>
        </w:rPr>
        <w:fldChar w:fldCharType="begin"/>
      </w:r>
      <w:r>
        <w:rPr>
          <w:rFonts w:ascii="Times New Roman" w:hAnsi="Times New Roman"/>
        </w:rPr>
        <w:instrText xml:space="preserve"> SEQ seq \h </w:instrText>
      </w:r>
      <w:r>
        <w:rPr>
          <w:rFonts w:ascii="Times New Roman" w:hAnsi="Times New Roman"/>
        </w:rPr>
        <w:fldChar w:fldCharType="end"/>
      </w:r>
      <w:r>
        <w:rPr>
          <w:rFonts w:ascii="Times New Roman" w:hAnsi="Times New Roman"/>
        </w:rPr>
        <w:t>建设项目基本情况</w:t>
      </w:r>
      <w:bookmarkEnd w:id="0"/>
    </w:p>
    <w:bookmarkEnd w:id="1"/>
    <w:bookmarkEnd w:id="2"/>
    <w:tbl>
      <w:tblPr>
        <w:tblStyle w:val="33"/>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57" w:type="dxa"/>
          <w:bottom w:w="0" w:type="dxa"/>
          <w:right w:w="57" w:type="dxa"/>
        </w:tblCellMar>
      </w:tblPr>
      <w:tblGrid>
        <w:gridCol w:w="982"/>
        <w:gridCol w:w="3665"/>
        <w:gridCol w:w="1714"/>
        <w:gridCol w:w="3365"/>
      </w:tblGrid>
      <w:tr w14:paraId="2D46884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737" w:hRule="atLeast"/>
          <w:jc w:val="center"/>
        </w:trPr>
        <w:tc>
          <w:tcPr>
            <w:tcW w:w="505" w:type="pct"/>
            <w:tcMar>
              <w:top w:w="16" w:type="dxa"/>
              <w:left w:w="16" w:type="dxa"/>
              <w:right w:w="16" w:type="dxa"/>
            </w:tcMar>
            <w:vAlign w:val="center"/>
          </w:tcPr>
          <w:p w14:paraId="2E39C2D0">
            <w:pPr>
              <w:pStyle w:val="30"/>
              <w:rPr>
                <w:rFonts w:cs="Times New Roman"/>
              </w:rPr>
            </w:pPr>
            <w:r>
              <w:rPr>
                <w:rFonts w:cs="Times New Roman"/>
              </w:rPr>
              <w:t>建设项目名称</w:t>
            </w:r>
          </w:p>
        </w:tc>
        <w:tc>
          <w:tcPr>
            <w:tcW w:w="4495" w:type="pct"/>
            <w:gridSpan w:val="3"/>
            <w:vAlign w:val="center"/>
          </w:tcPr>
          <w:p w14:paraId="78F36A6B">
            <w:pPr>
              <w:pStyle w:val="25"/>
              <w:rPr>
                <w:rFonts w:cs="Times New Roman"/>
              </w:rPr>
            </w:pPr>
            <w:bookmarkStart w:id="5" w:name="_Hlk220076263"/>
            <w:r>
              <w:rPr>
                <w:rFonts w:cs="Times New Roman"/>
              </w:rPr>
              <w:t>龙港中高档家具生产项目二期</w:t>
            </w:r>
            <w:bookmarkEnd w:id="5"/>
          </w:p>
        </w:tc>
      </w:tr>
      <w:bookmarkEnd w:id="3"/>
      <w:tr w14:paraId="3C6307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678" w:hRule="atLeast"/>
          <w:jc w:val="center"/>
        </w:trPr>
        <w:tc>
          <w:tcPr>
            <w:tcW w:w="505" w:type="pct"/>
            <w:tcMar>
              <w:top w:w="16" w:type="dxa"/>
              <w:left w:w="16" w:type="dxa"/>
              <w:right w:w="16" w:type="dxa"/>
            </w:tcMar>
            <w:vAlign w:val="center"/>
          </w:tcPr>
          <w:p w14:paraId="05E7CE83">
            <w:pPr>
              <w:pStyle w:val="30"/>
              <w:rPr>
                <w:rFonts w:cs="Times New Roman"/>
              </w:rPr>
            </w:pPr>
            <w:r>
              <w:rPr>
                <w:rFonts w:cs="Times New Roman"/>
              </w:rPr>
              <w:t>项目代码</w:t>
            </w:r>
          </w:p>
        </w:tc>
        <w:tc>
          <w:tcPr>
            <w:tcW w:w="4495" w:type="pct"/>
            <w:gridSpan w:val="3"/>
            <w:vAlign w:val="center"/>
          </w:tcPr>
          <w:p w14:paraId="28EA3795">
            <w:pPr>
              <w:pStyle w:val="25"/>
              <w:rPr>
                <w:rFonts w:cs="Times New Roman"/>
              </w:rPr>
            </w:pPr>
            <w:r>
              <w:rPr>
                <w:rFonts w:cs="Times New Roman"/>
              </w:rPr>
              <w:t>川投资备【2309-511924-04-01-828166】FGQB-0027号</w:t>
            </w:r>
          </w:p>
        </w:tc>
      </w:tr>
      <w:tr w14:paraId="240D66B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737" w:hRule="atLeast"/>
          <w:jc w:val="center"/>
        </w:trPr>
        <w:tc>
          <w:tcPr>
            <w:tcW w:w="505" w:type="pct"/>
            <w:tcMar>
              <w:top w:w="16" w:type="dxa"/>
              <w:left w:w="16" w:type="dxa"/>
              <w:right w:w="16" w:type="dxa"/>
            </w:tcMar>
            <w:vAlign w:val="center"/>
          </w:tcPr>
          <w:p w14:paraId="3E19FDF6">
            <w:pPr>
              <w:pStyle w:val="30"/>
              <w:rPr>
                <w:rFonts w:cs="Times New Roman"/>
              </w:rPr>
            </w:pPr>
            <w:r>
              <w:rPr>
                <w:rFonts w:cs="Times New Roman"/>
              </w:rPr>
              <w:t>建设单位联系人</w:t>
            </w:r>
          </w:p>
        </w:tc>
        <w:tc>
          <w:tcPr>
            <w:tcW w:w="1884" w:type="pct"/>
            <w:vAlign w:val="center"/>
          </w:tcPr>
          <w:p w14:paraId="0630ACCC">
            <w:pPr>
              <w:pStyle w:val="25"/>
              <w:rPr>
                <w:rFonts w:cs="Times New Roman"/>
              </w:rPr>
            </w:pPr>
            <w:bookmarkStart w:id="6" w:name="_Hlk233991865"/>
            <w:r>
              <w:rPr>
                <w:rFonts w:hint="eastAsia" w:cs="Times New Roman"/>
              </w:rPr>
              <w:t>熊正朋</w:t>
            </w:r>
            <w:bookmarkEnd w:id="6"/>
          </w:p>
        </w:tc>
        <w:tc>
          <w:tcPr>
            <w:tcW w:w="881" w:type="pct"/>
            <w:vAlign w:val="center"/>
          </w:tcPr>
          <w:p w14:paraId="1461CD34">
            <w:pPr>
              <w:pStyle w:val="30"/>
              <w:rPr>
                <w:rFonts w:cs="Times New Roman"/>
              </w:rPr>
            </w:pPr>
            <w:r>
              <w:rPr>
                <w:rFonts w:cs="Times New Roman"/>
              </w:rPr>
              <w:t>联系方式</w:t>
            </w:r>
          </w:p>
        </w:tc>
        <w:tc>
          <w:tcPr>
            <w:tcW w:w="1730" w:type="pct"/>
            <w:vAlign w:val="center"/>
          </w:tcPr>
          <w:p w14:paraId="0709F51F">
            <w:pPr>
              <w:pStyle w:val="25"/>
              <w:rPr>
                <w:rFonts w:cs="Times New Roman"/>
              </w:rPr>
            </w:pPr>
            <w:bookmarkStart w:id="7" w:name="_Hlk233991876"/>
            <w:r>
              <w:rPr>
                <w:rFonts w:cs="Times New Roman"/>
              </w:rPr>
              <w:t>13980290900</w:t>
            </w:r>
            <w:bookmarkEnd w:id="7"/>
          </w:p>
        </w:tc>
      </w:tr>
      <w:tr w14:paraId="05E4D76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497" w:hRule="atLeast"/>
          <w:jc w:val="center"/>
        </w:trPr>
        <w:tc>
          <w:tcPr>
            <w:tcW w:w="505" w:type="pct"/>
            <w:tcMar>
              <w:top w:w="16" w:type="dxa"/>
              <w:left w:w="16" w:type="dxa"/>
              <w:right w:w="16" w:type="dxa"/>
            </w:tcMar>
            <w:vAlign w:val="center"/>
          </w:tcPr>
          <w:p w14:paraId="3129C2F6">
            <w:pPr>
              <w:pStyle w:val="30"/>
              <w:rPr>
                <w:rFonts w:cs="Times New Roman"/>
              </w:rPr>
            </w:pPr>
            <w:r>
              <w:rPr>
                <w:rFonts w:cs="Times New Roman"/>
              </w:rPr>
              <w:t>建设地点</w:t>
            </w:r>
          </w:p>
        </w:tc>
        <w:tc>
          <w:tcPr>
            <w:tcW w:w="4495" w:type="pct"/>
            <w:gridSpan w:val="3"/>
            <w:vAlign w:val="center"/>
          </w:tcPr>
          <w:p w14:paraId="2A291A5B">
            <w:pPr>
              <w:pStyle w:val="25"/>
              <w:rPr>
                <w:rFonts w:cs="Times New Roman"/>
              </w:rPr>
            </w:pPr>
            <w:r>
              <w:rPr>
                <w:rFonts w:hint="eastAsia" w:cs="Times New Roman"/>
              </w:rPr>
              <w:t>四川省</w:t>
            </w:r>
            <w:bookmarkStart w:id="8" w:name="_Hlk233991781"/>
            <w:r>
              <w:rPr>
                <w:rFonts w:hint="eastAsia" w:cs="Times New Roman"/>
              </w:rPr>
              <w:t>巴中市经济开发区兴文街道办事处中山北路21号附1号</w:t>
            </w:r>
            <w:bookmarkEnd w:id="8"/>
          </w:p>
        </w:tc>
      </w:tr>
      <w:tr w14:paraId="7241366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497" w:hRule="atLeast"/>
          <w:jc w:val="center"/>
        </w:trPr>
        <w:tc>
          <w:tcPr>
            <w:tcW w:w="505" w:type="pct"/>
            <w:tcMar>
              <w:top w:w="16" w:type="dxa"/>
              <w:left w:w="16" w:type="dxa"/>
              <w:right w:w="16" w:type="dxa"/>
            </w:tcMar>
            <w:vAlign w:val="center"/>
          </w:tcPr>
          <w:p w14:paraId="372727D6">
            <w:pPr>
              <w:pStyle w:val="30"/>
              <w:rPr>
                <w:rFonts w:cs="Times New Roman"/>
              </w:rPr>
            </w:pPr>
            <w:r>
              <w:rPr>
                <w:rFonts w:cs="Times New Roman"/>
              </w:rPr>
              <w:t>地理坐标</w:t>
            </w:r>
          </w:p>
        </w:tc>
        <w:tc>
          <w:tcPr>
            <w:tcW w:w="4495" w:type="pct"/>
            <w:gridSpan w:val="3"/>
            <w:vAlign w:val="center"/>
          </w:tcPr>
          <w:p w14:paraId="74300BCA">
            <w:pPr>
              <w:pStyle w:val="25"/>
              <w:rPr>
                <w:rFonts w:cs="Times New Roman"/>
              </w:rPr>
            </w:pPr>
            <w:r>
              <w:rPr>
                <w:rFonts w:cs="Times New Roman"/>
              </w:rPr>
              <w:t>（东经106.883</w:t>
            </w:r>
            <w:r>
              <w:rPr>
                <w:rFonts w:hint="eastAsia" w:cs="Times New Roman"/>
              </w:rPr>
              <w:t>670</w:t>
            </w:r>
            <w:r>
              <w:rPr>
                <w:rFonts w:cs="Times New Roman"/>
              </w:rPr>
              <w:t>，北纬31.860</w:t>
            </w:r>
            <w:r>
              <w:rPr>
                <w:rFonts w:hint="eastAsia" w:cs="Times New Roman"/>
              </w:rPr>
              <w:t>643</w:t>
            </w:r>
            <w:r>
              <w:rPr>
                <w:rFonts w:cs="Times New Roman"/>
              </w:rPr>
              <w:t>）</w:t>
            </w:r>
          </w:p>
        </w:tc>
      </w:tr>
      <w:tr w14:paraId="0272307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1361" w:hRule="atLeast"/>
          <w:jc w:val="center"/>
        </w:trPr>
        <w:tc>
          <w:tcPr>
            <w:tcW w:w="505" w:type="pct"/>
            <w:tcMar>
              <w:top w:w="16" w:type="dxa"/>
              <w:left w:w="16" w:type="dxa"/>
              <w:right w:w="16" w:type="dxa"/>
            </w:tcMar>
            <w:vAlign w:val="center"/>
          </w:tcPr>
          <w:p w14:paraId="4AD1B8C2">
            <w:pPr>
              <w:pStyle w:val="30"/>
              <w:rPr>
                <w:rFonts w:cs="Times New Roman"/>
              </w:rPr>
            </w:pPr>
            <w:r>
              <w:rPr>
                <w:rFonts w:cs="Times New Roman"/>
              </w:rPr>
              <w:t>国民经济行业类别</w:t>
            </w:r>
          </w:p>
        </w:tc>
        <w:tc>
          <w:tcPr>
            <w:tcW w:w="1884" w:type="pct"/>
            <w:vAlign w:val="center"/>
          </w:tcPr>
          <w:p w14:paraId="6AA9B720">
            <w:pPr>
              <w:pStyle w:val="25"/>
              <w:rPr>
                <w:rFonts w:cs="Times New Roman"/>
              </w:rPr>
            </w:pPr>
            <w:bookmarkStart w:id="9" w:name="OLE_LINK172"/>
            <w:bookmarkStart w:id="10" w:name="OLE_LINK167"/>
            <w:r>
              <w:rPr>
                <w:rFonts w:cs="Times New Roman"/>
              </w:rPr>
              <w:t>C</w:t>
            </w:r>
            <w:bookmarkEnd w:id="9"/>
            <w:bookmarkEnd w:id="10"/>
            <w:r>
              <w:rPr>
                <w:rFonts w:hint="eastAsia" w:cs="Times New Roman"/>
              </w:rPr>
              <w:t>2021胶合板制造</w:t>
            </w:r>
          </w:p>
        </w:tc>
        <w:tc>
          <w:tcPr>
            <w:tcW w:w="881" w:type="pct"/>
            <w:vAlign w:val="center"/>
          </w:tcPr>
          <w:p w14:paraId="0BE33FDD">
            <w:pPr>
              <w:pStyle w:val="30"/>
              <w:rPr>
                <w:rFonts w:cs="Times New Roman"/>
              </w:rPr>
            </w:pPr>
            <w:bookmarkStart w:id="11" w:name="_Hlk49843745"/>
            <w:r>
              <w:rPr>
                <w:rFonts w:cs="Times New Roman"/>
              </w:rPr>
              <w:t>建设项目</w:t>
            </w:r>
          </w:p>
          <w:p w14:paraId="2815B0B7">
            <w:pPr>
              <w:pStyle w:val="30"/>
              <w:rPr>
                <w:rFonts w:cs="Times New Roman"/>
              </w:rPr>
            </w:pPr>
            <w:r>
              <w:rPr>
                <w:rFonts w:cs="Times New Roman"/>
              </w:rPr>
              <w:t>行业类别</w:t>
            </w:r>
            <w:bookmarkEnd w:id="11"/>
          </w:p>
        </w:tc>
        <w:tc>
          <w:tcPr>
            <w:tcW w:w="1730" w:type="pct"/>
            <w:vAlign w:val="center"/>
          </w:tcPr>
          <w:p w14:paraId="6329357E">
            <w:pPr>
              <w:pStyle w:val="25"/>
              <w:spacing w:line="240" w:lineRule="auto"/>
              <w:rPr>
                <w:rFonts w:cs="Times New Roman"/>
              </w:rPr>
            </w:pPr>
            <w:r>
              <w:rPr>
                <w:rFonts w:hint="eastAsia" w:cs="Times New Roman"/>
              </w:rPr>
              <w:t>十七</w:t>
            </w:r>
            <w:r>
              <w:rPr>
                <w:rFonts w:cs="Times New Roman"/>
              </w:rPr>
              <w:t>、</w:t>
            </w:r>
            <w:r>
              <w:rPr>
                <w:rFonts w:hint="eastAsia" w:cs="Times New Roman"/>
              </w:rPr>
              <w:t>木材加工和木、竹、藤、棕、草制品业</w:t>
            </w:r>
            <w:r>
              <w:rPr>
                <w:rFonts w:cs="Times New Roman"/>
              </w:rPr>
              <w:t xml:space="preserve"> 3</w:t>
            </w:r>
            <w:r>
              <w:rPr>
                <w:rFonts w:hint="eastAsia" w:cs="Times New Roman"/>
              </w:rPr>
              <w:t>4</w:t>
            </w:r>
          </w:p>
          <w:p w14:paraId="3EF61AE2">
            <w:pPr>
              <w:pStyle w:val="25"/>
              <w:spacing w:line="240" w:lineRule="auto"/>
              <w:rPr>
                <w:rFonts w:cs="Times New Roman"/>
              </w:rPr>
            </w:pPr>
            <w:r>
              <w:rPr>
                <w:rFonts w:hint="eastAsia" w:cs="Times New Roman"/>
              </w:rPr>
              <w:t>人造板制造 202</w:t>
            </w:r>
            <w:r>
              <w:rPr>
                <w:rFonts w:cs="Times New Roman"/>
              </w:rPr>
              <w:t xml:space="preserve"> /其他</w:t>
            </w:r>
          </w:p>
        </w:tc>
      </w:tr>
      <w:tr w14:paraId="0E171C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1361" w:hRule="atLeast"/>
          <w:jc w:val="center"/>
        </w:trPr>
        <w:tc>
          <w:tcPr>
            <w:tcW w:w="505" w:type="pct"/>
            <w:tcMar>
              <w:top w:w="16" w:type="dxa"/>
              <w:left w:w="16" w:type="dxa"/>
              <w:right w:w="16" w:type="dxa"/>
            </w:tcMar>
            <w:vAlign w:val="center"/>
          </w:tcPr>
          <w:p w14:paraId="71B9E8F8">
            <w:pPr>
              <w:pStyle w:val="30"/>
              <w:rPr>
                <w:rFonts w:cs="Times New Roman"/>
              </w:rPr>
            </w:pPr>
            <w:r>
              <w:rPr>
                <w:rFonts w:cs="Times New Roman"/>
              </w:rPr>
              <w:t>建设性质</w:t>
            </w:r>
          </w:p>
        </w:tc>
        <w:tc>
          <w:tcPr>
            <w:tcW w:w="1884" w:type="pct"/>
            <w:vAlign w:val="center"/>
          </w:tcPr>
          <w:p w14:paraId="042B6497">
            <w:pPr>
              <w:pStyle w:val="29"/>
              <w:spacing w:line="360" w:lineRule="exact"/>
              <w:rPr>
                <w:rFonts w:cs="Times New Roman"/>
              </w:rPr>
            </w:pPr>
            <w:r>
              <w:rPr>
                <w:rFonts w:cs="Times New Roman"/>
              </w:rPr>
              <w:sym w:font="Wingdings 2" w:char="00A3"/>
            </w:r>
            <w:r>
              <w:rPr>
                <w:rFonts w:cs="Times New Roman"/>
              </w:rPr>
              <w:t>新建（迁建）</w:t>
            </w:r>
          </w:p>
          <w:p w14:paraId="0FBEAE07">
            <w:pPr>
              <w:pStyle w:val="29"/>
              <w:spacing w:line="360" w:lineRule="exact"/>
              <w:rPr>
                <w:rFonts w:cs="Times New Roman"/>
              </w:rPr>
            </w:pPr>
            <w:r>
              <w:rPr>
                <w:rFonts w:cs="Times New Roman"/>
              </w:rPr>
              <w:sym w:font="Wingdings 2" w:char="00A3"/>
            </w:r>
            <w:r>
              <w:rPr>
                <w:rFonts w:cs="Times New Roman"/>
              </w:rPr>
              <w:t>改建</w:t>
            </w:r>
          </w:p>
          <w:p w14:paraId="21270CB9">
            <w:pPr>
              <w:pStyle w:val="29"/>
              <w:spacing w:line="360" w:lineRule="exact"/>
              <w:rPr>
                <w:rFonts w:cs="Times New Roman"/>
              </w:rPr>
            </w:pPr>
            <w:r>
              <w:rPr>
                <w:rFonts w:ascii="Segoe UI Symbol" w:hAnsi="Segoe UI Symbol" w:cs="Segoe UI Symbol"/>
              </w:rPr>
              <w:t>☑</w:t>
            </w:r>
            <w:r>
              <w:rPr>
                <w:rFonts w:cs="Times New Roman"/>
              </w:rPr>
              <w:t>扩建</w:t>
            </w:r>
          </w:p>
          <w:p w14:paraId="721FE84D">
            <w:pPr>
              <w:pStyle w:val="29"/>
              <w:spacing w:line="360" w:lineRule="exact"/>
              <w:rPr>
                <w:rFonts w:cs="Times New Roman"/>
              </w:rPr>
            </w:pPr>
            <w:r>
              <w:rPr>
                <w:rFonts w:cs="Times New Roman"/>
              </w:rPr>
              <w:sym w:font="Wingdings 2" w:char="00A3"/>
            </w:r>
            <w:r>
              <w:rPr>
                <w:rFonts w:cs="Times New Roman"/>
              </w:rPr>
              <w:t xml:space="preserve"> 技术改造</w:t>
            </w:r>
          </w:p>
        </w:tc>
        <w:tc>
          <w:tcPr>
            <w:tcW w:w="881" w:type="pct"/>
            <w:vAlign w:val="center"/>
          </w:tcPr>
          <w:p w14:paraId="4D1FBCAC">
            <w:pPr>
              <w:pStyle w:val="30"/>
              <w:rPr>
                <w:rFonts w:cs="Times New Roman"/>
              </w:rPr>
            </w:pPr>
            <w:r>
              <w:rPr>
                <w:rFonts w:cs="Times New Roman"/>
              </w:rPr>
              <w:t>建设项目</w:t>
            </w:r>
          </w:p>
          <w:p w14:paraId="5595DF23">
            <w:pPr>
              <w:pStyle w:val="30"/>
              <w:rPr>
                <w:rFonts w:cs="Times New Roman"/>
              </w:rPr>
            </w:pPr>
            <w:r>
              <w:rPr>
                <w:rFonts w:cs="Times New Roman"/>
              </w:rPr>
              <w:t>申报情形</w:t>
            </w:r>
          </w:p>
        </w:tc>
        <w:tc>
          <w:tcPr>
            <w:tcW w:w="1730" w:type="pct"/>
            <w:vAlign w:val="center"/>
          </w:tcPr>
          <w:p w14:paraId="719E1495">
            <w:pPr>
              <w:pStyle w:val="29"/>
              <w:spacing w:line="360" w:lineRule="exact"/>
              <w:rPr>
                <w:rFonts w:cs="Times New Roman"/>
              </w:rPr>
            </w:pPr>
            <w:r>
              <w:rPr>
                <w:rFonts w:ascii="Segoe UI Symbol" w:hAnsi="Segoe UI Symbol" w:cs="Segoe UI Symbol"/>
              </w:rPr>
              <w:t>☑</w:t>
            </w:r>
            <w:r>
              <w:rPr>
                <w:rFonts w:cs="Times New Roman"/>
              </w:rPr>
              <w:t>首次申报项目</w:t>
            </w:r>
          </w:p>
          <w:p w14:paraId="58889449">
            <w:pPr>
              <w:pStyle w:val="29"/>
              <w:spacing w:line="360" w:lineRule="exact"/>
              <w:rPr>
                <w:rFonts w:cs="Times New Roman"/>
              </w:rPr>
            </w:pPr>
            <w:r>
              <w:rPr>
                <w:rFonts w:cs="Times New Roman"/>
              </w:rPr>
              <w:sym w:font="Wingdings 2" w:char="00A3"/>
            </w:r>
            <w:r>
              <w:rPr>
                <w:rFonts w:cs="Times New Roman"/>
              </w:rPr>
              <w:t xml:space="preserve"> 不予批准后再次申报项目</w:t>
            </w:r>
          </w:p>
          <w:p w14:paraId="0AAD8D9D">
            <w:pPr>
              <w:pStyle w:val="29"/>
              <w:spacing w:line="360" w:lineRule="exact"/>
              <w:rPr>
                <w:rFonts w:cs="Times New Roman"/>
              </w:rPr>
            </w:pPr>
            <w:r>
              <w:rPr>
                <w:rFonts w:cs="Times New Roman"/>
              </w:rPr>
              <w:sym w:font="Wingdings 2" w:char="00A3"/>
            </w:r>
            <w:r>
              <w:rPr>
                <w:rFonts w:cs="Times New Roman"/>
              </w:rPr>
              <w:t xml:space="preserve"> 超五年重新审核项目</w:t>
            </w:r>
          </w:p>
          <w:p w14:paraId="3F1E7263">
            <w:pPr>
              <w:pStyle w:val="29"/>
              <w:spacing w:line="360" w:lineRule="exact"/>
              <w:rPr>
                <w:rFonts w:cs="Times New Roman"/>
              </w:rPr>
            </w:pPr>
            <w:r>
              <w:rPr>
                <w:rFonts w:cs="Times New Roman"/>
              </w:rPr>
              <w:sym w:font="Wingdings 2" w:char="00A3"/>
            </w:r>
            <w:r>
              <w:rPr>
                <w:rFonts w:cs="Times New Roman"/>
              </w:rPr>
              <w:t xml:space="preserve"> 重大变动重新报批项目</w:t>
            </w:r>
          </w:p>
        </w:tc>
      </w:tr>
      <w:tr w14:paraId="447E7D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1361" w:hRule="atLeast"/>
          <w:jc w:val="center"/>
        </w:trPr>
        <w:tc>
          <w:tcPr>
            <w:tcW w:w="505" w:type="pct"/>
            <w:tcMar>
              <w:top w:w="16" w:type="dxa"/>
              <w:left w:w="16" w:type="dxa"/>
              <w:right w:w="16" w:type="dxa"/>
            </w:tcMar>
            <w:vAlign w:val="center"/>
          </w:tcPr>
          <w:p w14:paraId="27A1C15F">
            <w:pPr>
              <w:pStyle w:val="30"/>
              <w:rPr>
                <w:rFonts w:cs="Times New Roman"/>
              </w:rPr>
            </w:pPr>
            <w:r>
              <w:rPr>
                <w:rFonts w:cs="Times New Roman"/>
              </w:rPr>
              <w:t>项目审批（核准/备案）部门（选填）</w:t>
            </w:r>
          </w:p>
        </w:tc>
        <w:tc>
          <w:tcPr>
            <w:tcW w:w="1884" w:type="pct"/>
            <w:vAlign w:val="center"/>
          </w:tcPr>
          <w:p w14:paraId="0384221F">
            <w:pPr>
              <w:pStyle w:val="25"/>
              <w:rPr>
                <w:rFonts w:cs="Times New Roman"/>
              </w:rPr>
            </w:pPr>
            <w:r>
              <w:rPr>
                <w:rFonts w:cs="Times New Roman"/>
              </w:rPr>
              <w:t>四川巴中经济开发区</w:t>
            </w:r>
            <w:r>
              <w:rPr>
                <w:rFonts w:hint="eastAsia" w:cs="Times New Roman"/>
              </w:rPr>
              <w:t>科技创新和</w:t>
            </w:r>
            <w:r>
              <w:rPr>
                <w:rFonts w:cs="Times New Roman"/>
              </w:rPr>
              <w:t>经济发展局</w:t>
            </w:r>
          </w:p>
        </w:tc>
        <w:tc>
          <w:tcPr>
            <w:tcW w:w="881" w:type="pct"/>
            <w:vAlign w:val="center"/>
          </w:tcPr>
          <w:p w14:paraId="7F1DB31C">
            <w:pPr>
              <w:pStyle w:val="30"/>
              <w:rPr>
                <w:rFonts w:cs="Times New Roman"/>
              </w:rPr>
            </w:pPr>
            <w:r>
              <w:rPr>
                <w:rFonts w:cs="Times New Roman"/>
              </w:rPr>
              <w:t>项目审批（核准/备案）文号（选填）</w:t>
            </w:r>
          </w:p>
        </w:tc>
        <w:tc>
          <w:tcPr>
            <w:tcW w:w="1730" w:type="pct"/>
            <w:vAlign w:val="center"/>
          </w:tcPr>
          <w:p w14:paraId="316D2DB0">
            <w:pPr>
              <w:pStyle w:val="25"/>
              <w:rPr>
                <w:rFonts w:cs="Times New Roman"/>
              </w:rPr>
            </w:pPr>
            <w:r>
              <w:rPr>
                <w:rFonts w:cs="Times New Roman"/>
              </w:rPr>
              <w:t>川投资备【2309-511924-04-01-828166】FGQB-0027号</w:t>
            </w:r>
          </w:p>
        </w:tc>
      </w:tr>
      <w:tr w14:paraId="6A21E26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737" w:hRule="atLeast"/>
          <w:jc w:val="center"/>
        </w:trPr>
        <w:tc>
          <w:tcPr>
            <w:tcW w:w="505" w:type="pct"/>
            <w:tcMar>
              <w:top w:w="16" w:type="dxa"/>
              <w:left w:w="16" w:type="dxa"/>
              <w:right w:w="16" w:type="dxa"/>
            </w:tcMar>
            <w:vAlign w:val="center"/>
          </w:tcPr>
          <w:p w14:paraId="43ACD22D">
            <w:pPr>
              <w:pStyle w:val="30"/>
              <w:rPr>
                <w:rFonts w:cs="Times New Roman"/>
              </w:rPr>
            </w:pPr>
            <w:r>
              <w:rPr>
                <w:rFonts w:cs="Times New Roman"/>
              </w:rPr>
              <w:t>总投资（万元）</w:t>
            </w:r>
          </w:p>
        </w:tc>
        <w:tc>
          <w:tcPr>
            <w:tcW w:w="1884" w:type="pct"/>
            <w:vAlign w:val="center"/>
          </w:tcPr>
          <w:p w14:paraId="5807E4BC">
            <w:pPr>
              <w:pStyle w:val="25"/>
              <w:rPr>
                <w:rFonts w:cs="Times New Roman"/>
              </w:rPr>
            </w:pPr>
            <w:r>
              <w:rPr>
                <w:rFonts w:hint="eastAsia" w:cs="Times New Roman"/>
              </w:rPr>
              <w:t>1</w:t>
            </w:r>
            <w:r>
              <w:rPr>
                <w:rFonts w:cs="Times New Roman"/>
              </w:rPr>
              <w:t>000</w:t>
            </w:r>
          </w:p>
        </w:tc>
        <w:tc>
          <w:tcPr>
            <w:tcW w:w="881" w:type="pct"/>
            <w:tcMar>
              <w:top w:w="16" w:type="dxa"/>
              <w:left w:w="16" w:type="dxa"/>
              <w:right w:w="16" w:type="dxa"/>
            </w:tcMar>
            <w:vAlign w:val="center"/>
          </w:tcPr>
          <w:p w14:paraId="41DED8B6">
            <w:pPr>
              <w:pStyle w:val="30"/>
              <w:rPr>
                <w:rFonts w:cs="Times New Roman"/>
              </w:rPr>
            </w:pPr>
            <w:r>
              <w:rPr>
                <w:rFonts w:cs="Times New Roman"/>
              </w:rPr>
              <w:t>环保投资</w:t>
            </w:r>
          </w:p>
          <w:p w14:paraId="1D2CA4D9">
            <w:pPr>
              <w:pStyle w:val="30"/>
              <w:rPr>
                <w:rFonts w:cs="Times New Roman"/>
              </w:rPr>
            </w:pPr>
            <w:r>
              <w:rPr>
                <w:rFonts w:cs="Times New Roman"/>
              </w:rPr>
              <w:t>（万元）</w:t>
            </w:r>
          </w:p>
        </w:tc>
        <w:tc>
          <w:tcPr>
            <w:tcW w:w="1730" w:type="pct"/>
            <w:vAlign w:val="center"/>
          </w:tcPr>
          <w:p w14:paraId="54BCCD6E">
            <w:pPr>
              <w:pStyle w:val="25"/>
              <w:rPr>
                <w:rFonts w:cs="Times New Roman"/>
              </w:rPr>
            </w:pPr>
            <w:r>
              <w:rPr>
                <w:rFonts w:hint="eastAsia" w:cs="Times New Roman"/>
              </w:rPr>
              <w:t>40.8</w:t>
            </w:r>
          </w:p>
        </w:tc>
      </w:tr>
      <w:tr w14:paraId="27856E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737" w:hRule="atLeast"/>
          <w:jc w:val="center"/>
        </w:trPr>
        <w:tc>
          <w:tcPr>
            <w:tcW w:w="505" w:type="pct"/>
            <w:tcMar>
              <w:top w:w="16" w:type="dxa"/>
              <w:left w:w="16" w:type="dxa"/>
              <w:right w:w="16" w:type="dxa"/>
            </w:tcMar>
            <w:vAlign w:val="center"/>
          </w:tcPr>
          <w:p w14:paraId="30F87E43">
            <w:pPr>
              <w:pStyle w:val="30"/>
              <w:rPr>
                <w:rFonts w:cs="Times New Roman"/>
              </w:rPr>
            </w:pPr>
            <w:r>
              <w:rPr>
                <w:rFonts w:cs="Times New Roman"/>
              </w:rPr>
              <w:t>环保投资占比（%）</w:t>
            </w:r>
          </w:p>
        </w:tc>
        <w:tc>
          <w:tcPr>
            <w:tcW w:w="1884" w:type="pct"/>
            <w:vAlign w:val="center"/>
          </w:tcPr>
          <w:p w14:paraId="4810A42F">
            <w:pPr>
              <w:pStyle w:val="25"/>
              <w:rPr>
                <w:rFonts w:cs="Times New Roman"/>
              </w:rPr>
            </w:pPr>
            <w:r>
              <w:rPr>
                <w:rFonts w:hint="eastAsia" w:cs="Times New Roman"/>
              </w:rPr>
              <w:t>4.08</w:t>
            </w:r>
          </w:p>
        </w:tc>
        <w:tc>
          <w:tcPr>
            <w:tcW w:w="881" w:type="pct"/>
            <w:tcMar>
              <w:top w:w="16" w:type="dxa"/>
              <w:left w:w="16" w:type="dxa"/>
              <w:right w:w="16" w:type="dxa"/>
            </w:tcMar>
            <w:vAlign w:val="center"/>
          </w:tcPr>
          <w:p w14:paraId="417782BB">
            <w:pPr>
              <w:pStyle w:val="30"/>
              <w:rPr>
                <w:rFonts w:cs="Times New Roman"/>
              </w:rPr>
            </w:pPr>
            <w:r>
              <w:rPr>
                <w:rFonts w:cs="Times New Roman"/>
              </w:rPr>
              <w:t>施工工期</w:t>
            </w:r>
          </w:p>
        </w:tc>
        <w:tc>
          <w:tcPr>
            <w:tcW w:w="1730" w:type="pct"/>
            <w:vAlign w:val="center"/>
          </w:tcPr>
          <w:p w14:paraId="20DF09BD">
            <w:pPr>
              <w:pStyle w:val="25"/>
              <w:rPr>
                <w:rFonts w:cs="Times New Roman"/>
              </w:rPr>
            </w:pPr>
            <w:r>
              <w:rPr>
                <w:rFonts w:cs="Times New Roman"/>
              </w:rPr>
              <w:t>4个月</w:t>
            </w:r>
          </w:p>
        </w:tc>
      </w:tr>
      <w:tr w14:paraId="3F16D71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400" w:hRule="atLeast"/>
          <w:jc w:val="center"/>
        </w:trPr>
        <w:tc>
          <w:tcPr>
            <w:tcW w:w="505" w:type="pct"/>
            <w:tcMar>
              <w:top w:w="16" w:type="dxa"/>
              <w:left w:w="16" w:type="dxa"/>
              <w:right w:w="16" w:type="dxa"/>
            </w:tcMar>
            <w:vAlign w:val="center"/>
          </w:tcPr>
          <w:p w14:paraId="44E472BC">
            <w:pPr>
              <w:pStyle w:val="30"/>
              <w:rPr>
                <w:rFonts w:cs="Times New Roman"/>
              </w:rPr>
            </w:pPr>
            <w:r>
              <w:rPr>
                <w:rFonts w:cs="Times New Roman"/>
              </w:rPr>
              <w:t>是否开工建设</w:t>
            </w:r>
          </w:p>
        </w:tc>
        <w:tc>
          <w:tcPr>
            <w:tcW w:w="1884" w:type="pct"/>
            <w:vAlign w:val="center"/>
          </w:tcPr>
          <w:p w14:paraId="0B126114">
            <w:pPr>
              <w:pStyle w:val="29"/>
              <w:rPr>
                <w:rFonts w:cs="Times New Roman"/>
              </w:rPr>
            </w:pPr>
            <w:r>
              <w:rPr>
                <w:rFonts w:cs="Times New Roman"/>
              </w:rPr>
              <w:sym w:font="Wingdings 2" w:char="00A3"/>
            </w:r>
            <w:r>
              <w:rPr>
                <w:rFonts w:cs="Times New Roman"/>
              </w:rPr>
              <w:t>否</w:t>
            </w:r>
          </w:p>
          <w:p w14:paraId="5B22FA61">
            <w:pPr>
              <w:pStyle w:val="29"/>
              <w:rPr>
                <w:rFonts w:cs="Times New Roman"/>
              </w:rPr>
            </w:pPr>
            <w:r>
              <w:rPr>
                <w:rFonts w:cs="Times New Roman"/>
              </w:rPr>
              <w:t>■是：</w:t>
            </w:r>
            <w:r>
              <w:rPr>
                <w:rFonts w:hint="eastAsia"/>
                <w:u w:val="single"/>
              </w:rPr>
              <w:t>项目目前已完成生产设备安装，尚未投入生产。</w:t>
            </w:r>
            <w:r>
              <w:rPr>
                <w:rFonts w:hint="eastAsia" w:cs="Times New Roman"/>
                <w:u w:val="single"/>
              </w:rPr>
              <w:t>2026年3月26日，巴中</w:t>
            </w:r>
            <w:r>
              <w:rPr>
                <w:rFonts w:cs="Times New Roman"/>
                <w:u w:val="single"/>
              </w:rPr>
              <w:t>市生态环境局下达了《</w:t>
            </w:r>
            <w:r>
              <w:rPr>
                <w:rFonts w:hint="eastAsia" w:cs="Times New Roman"/>
                <w:u w:val="single"/>
              </w:rPr>
              <w:t>不予行政处罚事先告知书</w:t>
            </w:r>
            <w:r>
              <w:rPr>
                <w:rFonts w:cs="Times New Roman"/>
                <w:u w:val="single"/>
              </w:rPr>
              <w:t>》（</w:t>
            </w:r>
            <w:r>
              <w:rPr>
                <w:rFonts w:hint="eastAsia" w:cs="Times New Roman"/>
                <w:u w:val="single"/>
              </w:rPr>
              <w:t>巴环境不罚告字[2026]J03号</w:t>
            </w:r>
            <w:r>
              <w:rPr>
                <w:rFonts w:cs="Times New Roman"/>
                <w:u w:val="single"/>
              </w:rPr>
              <w:t>）。</w:t>
            </w:r>
            <w:r>
              <w:rPr>
                <w:rFonts w:hint="eastAsia" w:cs="Times New Roman"/>
                <w:u w:val="single"/>
              </w:rPr>
              <w:t>对上述违法行为不予行政处罚。</w:t>
            </w:r>
          </w:p>
        </w:tc>
        <w:tc>
          <w:tcPr>
            <w:tcW w:w="881" w:type="pct"/>
            <w:tcMar>
              <w:top w:w="16" w:type="dxa"/>
              <w:left w:w="16" w:type="dxa"/>
              <w:right w:w="16" w:type="dxa"/>
            </w:tcMar>
            <w:vAlign w:val="center"/>
          </w:tcPr>
          <w:p w14:paraId="67EC4B54">
            <w:pPr>
              <w:pStyle w:val="30"/>
              <w:rPr>
                <w:rFonts w:cs="Times New Roman"/>
              </w:rPr>
            </w:pPr>
            <w:r>
              <w:rPr>
                <w:rFonts w:cs="Times New Roman"/>
              </w:rPr>
              <w:t>用地面积（m</w:t>
            </w:r>
            <w:r>
              <w:rPr>
                <w:rFonts w:cs="Times New Roman"/>
                <w:vertAlign w:val="superscript"/>
              </w:rPr>
              <w:t>2</w:t>
            </w:r>
            <w:r>
              <w:rPr>
                <w:rFonts w:cs="Times New Roman"/>
              </w:rPr>
              <w:t>）</w:t>
            </w:r>
          </w:p>
        </w:tc>
        <w:tc>
          <w:tcPr>
            <w:tcW w:w="1730" w:type="pct"/>
            <w:vAlign w:val="center"/>
          </w:tcPr>
          <w:p w14:paraId="6F12CB86">
            <w:pPr>
              <w:pStyle w:val="25"/>
              <w:rPr>
                <w:rFonts w:cs="Times New Roman"/>
              </w:rPr>
            </w:pPr>
            <w:r>
              <w:rPr>
                <w:rFonts w:hint="eastAsia" w:cs="Times New Roman"/>
              </w:rPr>
              <w:t>0</w:t>
            </w:r>
            <w:r>
              <w:rPr>
                <w:rFonts w:cs="Times New Roman"/>
              </w:rPr>
              <w:t>m</w:t>
            </w:r>
            <w:r>
              <w:rPr>
                <w:rFonts w:cs="Times New Roman"/>
                <w:vertAlign w:val="superscript"/>
              </w:rPr>
              <w:t>2</w:t>
            </w:r>
            <w:r>
              <w:rPr>
                <w:rFonts w:hint="eastAsia" w:cs="Times New Roman"/>
              </w:rPr>
              <w:t>，不新增用地面积</w:t>
            </w:r>
          </w:p>
        </w:tc>
      </w:tr>
      <w:tr w14:paraId="5CE80EF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64" w:hRule="atLeast"/>
          <w:jc w:val="center"/>
        </w:trPr>
        <w:tc>
          <w:tcPr>
            <w:tcW w:w="505" w:type="pct"/>
            <w:tcMar>
              <w:top w:w="16" w:type="dxa"/>
              <w:left w:w="16" w:type="dxa"/>
              <w:right w:w="16" w:type="dxa"/>
            </w:tcMar>
            <w:vAlign w:val="center"/>
          </w:tcPr>
          <w:p w14:paraId="6A46F15C">
            <w:pPr>
              <w:pStyle w:val="30"/>
              <w:rPr>
                <w:rFonts w:cs="Times New Roman"/>
              </w:rPr>
            </w:pPr>
            <w:r>
              <w:rPr>
                <w:rFonts w:cs="Times New Roman"/>
              </w:rPr>
              <w:t>专项评价设置情况</w:t>
            </w:r>
          </w:p>
        </w:tc>
        <w:tc>
          <w:tcPr>
            <w:tcW w:w="4495" w:type="pct"/>
            <w:gridSpan w:val="3"/>
            <w:vAlign w:val="center"/>
          </w:tcPr>
          <w:p w14:paraId="3EA64C5C">
            <w:pPr>
              <w:widowControl/>
              <w:ind w:firstLine="480"/>
              <w:jc w:val="left"/>
              <w:rPr>
                <w:rFonts w:cs="Times New Roman"/>
                <w:kern w:val="0"/>
                <w:lang w:bidi="ar"/>
              </w:rPr>
            </w:pPr>
            <w:r>
              <w:rPr>
                <w:rFonts w:cs="Times New Roman"/>
                <w:kern w:val="0"/>
                <w:lang w:bidi="ar"/>
              </w:rPr>
              <w:t>根据《建设项目环境影响报告表编制技术指南（污染影响类）（试行）》，专项评价设置原则如下表所示。</w:t>
            </w:r>
          </w:p>
          <w:p w14:paraId="0CCC3B85">
            <w:pPr>
              <w:pStyle w:val="13"/>
              <w:rPr>
                <w:rFonts w:cs="Times New Roman"/>
              </w:rPr>
            </w:pPr>
            <w:r>
              <w:rPr>
                <w:rFonts w:cs="Times New Roman"/>
              </w:rPr>
              <w:t xml:space="preserve">表 </w:t>
            </w:r>
            <w:r>
              <w:rPr>
                <w:rFonts w:cs="Times New Roman"/>
              </w:rPr>
              <w:fldChar w:fldCharType="begin"/>
            </w:r>
            <w:r>
              <w:rPr>
                <w:rFonts w:cs="Times New Roman"/>
              </w:rPr>
              <w:instrText xml:space="preserve"> SEQ seq \c </w:instrText>
            </w:r>
            <w:r>
              <w:rPr>
                <w:rFonts w:cs="Times New Roman"/>
              </w:rPr>
              <w:fldChar w:fldCharType="separate"/>
            </w:r>
            <w:r>
              <w:rPr>
                <w:rFonts w:cs="Times New Roman"/>
              </w:rPr>
              <w:t>1</w:t>
            </w:r>
            <w:r>
              <w:rPr>
                <w:rFonts w:cs="Times New Roman"/>
              </w:rPr>
              <w:fldChar w:fldCharType="end"/>
            </w:r>
            <w:r>
              <w:rPr>
                <w:rFonts w:cs="Times New Roman"/>
              </w:rPr>
              <w:noBreakHyphen/>
            </w:r>
            <w:r>
              <w:rPr>
                <w:rFonts w:cs="Times New Roman"/>
              </w:rPr>
              <w:fldChar w:fldCharType="begin"/>
            </w:r>
            <w:r>
              <w:rPr>
                <w:rFonts w:cs="Times New Roman"/>
              </w:rPr>
              <w:instrText xml:space="preserve"> SEQ 表 \* ARABIC \s 1 </w:instrText>
            </w:r>
            <w:r>
              <w:rPr>
                <w:rFonts w:cs="Times New Roman"/>
              </w:rPr>
              <w:fldChar w:fldCharType="separate"/>
            </w:r>
            <w:r>
              <w:rPr>
                <w:rFonts w:cs="Times New Roman"/>
              </w:rPr>
              <w:t>1</w:t>
            </w:r>
            <w:r>
              <w:rPr>
                <w:rFonts w:cs="Times New Roman"/>
              </w:rPr>
              <w:fldChar w:fldCharType="end"/>
            </w:r>
            <w:r>
              <w:rPr>
                <w:rFonts w:hint="eastAsia" w:cs="Times New Roman"/>
              </w:rPr>
              <w:t xml:space="preserve">  </w:t>
            </w:r>
            <w:r>
              <w:rPr>
                <w:rFonts w:cs="Times New Roman"/>
              </w:rPr>
              <w:t>本项目环境影响评价报告表专项设置对照表</w:t>
            </w:r>
          </w:p>
          <w:tbl>
            <w:tblPr>
              <w:tblStyle w:val="33"/>
              <w:tblW w:w="4991" w:type="pct"/>
              <w:jc w:val="center"/>
              <w:tblBorders>
                <w:top w:val="single" w:color="auto" w:sz="4" w:space="0"/>
                <w:left w:val="single" w:color="auto" w:sz="6" w:space="0"/>
                <w:bottom w:val="single" w:color="auto" w:sz="4" w:space="0"/>
                <w:right w:val="singl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1100"/>
              <w:gridCol w:w="3099"/>
              <w:gridCol w:w="3011"/>
              <w:gridCol w:w="1388"/>
            </w:tblGrid>
            <w:tr w14:paraId="1378A8B7">
              <w:tblPrEx>
                <w:tblBorders>
                  <w:top w:val="single" w:color="auto" w:sz="4" w:space="0"/>
                  <w:left w:val="single" w:color="auto" w:sz="6"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640" w:type="pct"/>
                  <w:vAlign w:val="center"/>
                </w:tcPr>
                <w:p w14:paraId="1214057B">
                  <w:pPr>
                    <w:pStyle w:val="53"/>
                    <w:rPr>
                      <w:rFonts w:cs="Times New Roman"/>
                    </w:rPr>
                  </w:pPr>
                  <w:r>
                    <w:rPr>
                      <w:rFonts w:cs="Times New Roman"/>
                    </w:rPr>
                    <w:t>专项评价类别</w:t>
                  </w:r>
                </w:p>
              </w:tc>
              <w:tc>
                <w:tcPr>
                  <w:tcW w:w="1802" w:type="pct"/>
                  <w:vAlign w:val="center"/>
                </w:tcPr>
                <w:p w14:paraId="252300F3">
                  <w:pPr>
                    <w:pStyle w:val="53"/>
                    <w:rPr>
                      <w:rFonts w:cs="Times New Roman"/>
                    </w:rPr>
                  </w:pPr>
                  <w:r>
                    <w:rPr>
                      <w:rFonts w:cs="Times New Roman"/>
                    </w:rPr>
                    <w:t>设置原则</w:t>
                  </w:r>
                </w:p>
              </w:tc>
              <w:tc>
                <w:tcPr>
                  <w:tcW w:w="1751" w:type="pct"/>
                  <w:vAlign w:val="center"/>
                </w:tcPr>
                <w:p w14:paraId="4AE825C5">
                  <w:pPr>
                    <w:pStyle w:val="53"/>
                    <w:rPr>
                      <w:rFonts w:cs="Times New Roman"/>
                    </w:rPr>
                  </w:pPr>
                  <w:r>
                    <w:rPr>
                      <w:rFonts w:cs="Times New Roman"/>
                    </w:rPr>
                    <w:t>本项目情况</w:t>
                  </w:r>
                </w:p>
              </w:tc>
              <w:tc>
                <w:tcPr>
                  <w:tcW w:w="808" w:type="pct"/>
                  <w:vAlign w:val="center"/>
                </w:tcPr>
                <w:p w14:paraId="46FDD8F2">
                  <w:pPr>
                    <w:pStyle w:val="53"/>
                    <w:rPr>
                      <w:rFonts w:cs="Times New Roman"/>
                    </w:rPr>
                  </w:pPr>
                  <w:r>
                    <w:rPr>
                      <w:rFonts w:cs="Times New Roman"/>
                    </w:rPr>
                    <w:t>专项评价设置情况</w:t>
                  </w:r>
                </w:p>
              </w:tc>
            </w:tr>
            <w:tr w14:paraId="49367402">
              <w:tblPrEx>
                <w:tblBorders>
                  <w:top w:val="single" w:color="auto" w:sz="4" w:space="0"/>
                  <w:left w:val="single" w:color="auto" w:sz="6"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767" w:hRule="atLeast"/>
                <w:jc w:val="center"/>
              </w:trPr>
              <w:tc>
                <w:tcPr>
                  <w:tcW w:w="640" w:type="pct"/>
                  <w:vAlign w:val="center"/>
                </w:tcPr>
                <w:p w14:paraId="16ED1E12">
                  <w:pPr>
                    <w:pStyle w:val="14"/>
                    <w:rPr>
                      <w:rFonts w:cs="Times New Roman"/>
                    </w:rPr>
                  </w:pPr>
                  <w:r>
                    <w:rPr>
                      <w:rFonts w:cs="Times New Roman"/>
                    </w:rPr>
                    <w:t>大气</w:t>
                  </w:r>
                </w:p>
              </w:tc>
              <w:tc>
                <w:tcPr>
                  <w:tcW w:w="1802" w:type="pct"/>
                  <w:vAlign w:val="center"/>
                </w:tcPr>
                <w:p w14:paraId="21A744C0">
                  <w:pPr>
                    <w:pStyle w:val="14"/>
                    <w:rPr>
                      <w:rFonts w:cs="Times New Roman"/>
                    </w:rPr>
                  </w:pPr>
                  <w:r>
                    <w:rPr>
                      <w:rFonts w:cs="Times New Roman"/>
                    </w:rPr>
                    <w:t>排放废气含有毒有害污染物、二噁英、苯并[a]芘、氰化物、氯气且厂界外500米范围内有环境空气保护目标</w:t>
                  </w:r>
                </w:p>
              </w:tc>
              <w:tc>
                <w:tcPr>
                  <w:tcW w:w="1751" w:type="pct"/>
                  <w:vAlign w:val="center"/>
                </w:tcPr>
                <w:p w14:paraId="290533AC">
                  <w:pPr>
                    <w:pStyle w:val="14"/>
                    <w:rPr>
                      <w:rFonts w:cs="Times New Roman"/>
                    </w:rPr>
                  </w:pPr>
                  <w:r>
                    <w:rPr>
                      <w:rFonts w:hint="eastAsia" w:cs="Times New Roman"/>
                    </w:rPr>
                    <w:t>本项目排放废气中含有甲醛，属于《有毒有害大气污染物名录》中的污染物，由于本项目厂界外500米范围内无环境空气保护目标，故无需开展大气专项评价。</w:t>
                  </w:r>
                </w:p>
              </w:tc>
              <w:tc>
                <w:tcPr>
                  <w:tcW w:w="808" w:type="pct"/>
                  <w:vAlign w:val="center"/>
                </w:tcPr>
                <w:p w14:paraId="479C109F">
                  <w:pPr>
                    <w:pStyle w:val="14"/>
                    <w:rPr>
                      <w:rFonts w:cs="Times New Roman"/>
                    </w:rPr>
                  </w:pPr>
                  <w:r>
                    <w:rPr>
                      <w:rFonts w:cs="Times New Roman"/>
                    </w:rPr>
                    <w:t>不设置</w:t>
                  </w:r>
                </w:p>
              </w:tc>
            </w:tr>
            <w:tr w14:paraId="6E95E09F">
              <w:tblPrEx>
                <w:tblBorders>
                  <w:top w:val="single" w:color="auto" w:sz="4" w:space="0"/>
                  <w:left w:val="single" w:color="auto" w:sz="6"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640" w:type="pct"/>
                  <w:vAlign w:val="center"/>
                </w:tcPr>
                <w:p w14:paraId="490D5F2C">
                  <w:pPr>
                    <w:pStyle w:val="14"/>
                    <w:rPr>
                      <w:rFonts w:cs="Times New Roman"/>
                    </w:rPr>
                  </w:pPr>
                  <w:r>
                    <w:rPr>
                      <w:rFonts w:cs="Times New Roman"/>
                    </w:rPr>
                    <w:t>地表水</w:t>
                  </w:r>
                </w:p>
              </w:tc>
              <w:tc>
                <w:tcPr>
                  <w:tcW w:w="1802" w:type="pct"/>
                  <w:vAlign w:val="center"/>
                </w:tcPr>
                <w:p w14:paraId="2108EAC9">
                  <w:pPr>
                    <w:pStyle w:val="14"/>
                    <w:rPr>
                      <w:rFonts w:cs="Times New Roman"/>
                    </w:rPr>
                  </w:pPr>
                  <w:r>
                    <w:rPr>
                      <w:rFonts w:cs="Times New Roman"/>
                    </w:rPr>
                    <w:t>新增工业废水直排建设项目（槽罐车外送污水处理厂的除外），新增废水直排的污水集中处理厂</w:t>
                  </w:r>
                </w:p>
              </w:tc>
              <w:tc>
                <w:tcPr>
                  <w:tcW w:w="1751" w:type="pct"/>
                  <w:vAlign w:val="center"/>
                </w:tcPr>
                <w:p w14:paraId="6E23E5A7">
                  <w:pPr>
                    <w:pStyle w:val="14"/>
                    <w:rPr>
                      <w:rFonts w:cs="Times New Roman"/>
                    </w:rPr>
                  </w:pPr>
                  <w:r>
                    <w:rPr>
                      <w:rFonts w:cs="Times New Roman"/>
                    </w:rPr>
                    <w:t>本项目不涉及工业废水直接排放。</w:t>
                  </w:r>
                </w:p>
              </w:tc>
              <w:tc>
                <w:tcPr>
                  <w:tcW w:w="808" w:type="pct"/>
                  <w:vAlign w:val="center"/>
                </w:tcPr>
                <w:p w14:paraId="722E2031">
                  <w:pPr>
                    <w:pStyle w:val="14"/>
                    <w:rPr>
                      <w:rFonts w:cs="Times New Roman"/>
                    </w:rPr>
                  </w:pPr>
                  <w:r>
                    <w:rPr>
                      <w:rFonts w:cs="Times New Roman"/>
                    </w:rPr>
                    <w:t>不设置</w:t>
                  </w:r>
                </w:p>
              </w:tc>
            </w:tr>
            <w:tr w14:paraId="7F4CE6B0">
              <w:tblPrEx>
                <w:tblBorders>
                  <w:top w:val="single" w:color="auto" w:sz="4" w:space="0"/>
                  <w:left w:val="single" w:color="auto" w:sz="6"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40" w:type="pct"/>
                  <w:vAlign w:val="center"/>
                </w:tcPr>
                <w:p w14:paraId="06D73877">
                  <w:pPr>
                    <w:pStyle w:val="14"/>
                    <w:rPr>
                      <w:rFonts w:cs="Times New Roman"/>
                    </w:rPr>
                  </w:pPr>
                  <w:r>
                    <w:rPr>
                      <w:rFonts w:cs="Times New Roman"/>
                    </w:rPr>
                    <w:t>环境风险</w:t>
                  </w:r>
                </w:p>
              </w:tc>
              <w:tc>
                <w:tcPr>
                  <w:tcW w:w="1802" w:type="pct"/>
                  <w:vAlign w:val="center"/>
                </w:tcPr>
                <w:p w14:paraId="099DD4B9">
                  <w:pPr>
                    <w:pStyle w:val="14"/>
                    <w:rPr>
                      <w:rFonts w:cs="Times New Roman"/>
                    </w:rPr>
                  </w:pPr>
                  <w:r>
                    <w:rPr>
                      <w:rFonts w:cs="Times New Roman"/>
                    </w:rPr>
                    <w:t>有毒有害和易燃易爆危险物质存储量超过临界量的建设项目。</w:t>
                  </w:r>
                </w:p>
              </w:tc>
              <w:tc>
                <w:tcPr>
                  <w:tcW w:w="1751" w:type="pct"/>
                  <w:vAlign w:val="center"/>
                </w:tcPr>
                <w:p w14:paraId="06F6661F">
                  <w:pPr>
                    <w:pStyle w:val="14"/>
                    <w:rPr>
                      <w:rFonts w:cs="Times New Roman"/>
                    </w:rPr>
                  </w:pPr>
                  <w:r>
                    <w:rPr>
                      <w:rFonts w:cs="Times New Roman"/>
                    </w:rPr>
                    <w:t>本项目危险物质存储量未超过临界量。</w:t>
                  </w:r>
                </w:p>
              </w:tc>
              <w:tc>
                <w:tcPr>
                  <w:tcW w:w="808" w:type="pct"/>
                  <w:vAlign w:val="center"/>
                </w:tcPr>
                <w:p w14:paraId="35B86D7B">
                  <w:pPr>
                    <w:pStyle w:val="14"/>
                    <w:rPr>
                      <w:rFonts w:cs="Times New Roman"/>
                    </w:rPr>
                  </w:pPr>
                  <w:r>
                    <w:rPr>
                      <w:rFonts w:cs="Times New Roman"/>
                    </w:rPr>
                    <w:t>不设置</w:t>
                  </w:r>
                </w:p>
              </w:tc>
            </w:tr>
            <w:tr w14:paraId="03177EE3">
              <w:tblPrEx>
                <w:tblBorders>
                  <w:top w:val="single" w:color="auto" w:sz="4" w:space="0"/>
                  <w:left w:val="single" w:color="auto" w:sz="6"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640" w:type="pct"/>
                  <w:vAlign w:val="center"/>
                </w:tcPr>
                <w:p w14:paraId="443AFA6E">
                  <w:pPr>
                    <w:pStyle w:val="14"/>
                    <w:rPr>
                      <w:rFonts w:cs="Times New Roman"/>
                    </w:rPr>
                  </w:pPr>
                  <w:r>
                    <w:rPr>
                      <w:rFonts w:cs="Times New Roman"/>
                    </w:rPr>
                    <w:t>生态</w:t>
                  </w:r>
                </w:p>
              </w:tc>
              <w:tc>
                <w:tcPr>
                  <w:tcW w:w="1802" w:type="pct"/>
                  <w:vAlign w:val="center"/>
                </w:tcPr>
                <w:p w14:paraId="25A6179E">
                  <w:pPr>
                    <w:pStyle w:val="14"/>
                    <w:rPr>
                      <w:rFonts w:cs="Times New Roman"/>
                    </w:rPr>
                  </w:pPr>
                  <w:r>
                    <w:rPr>
                      <w:rFonts w:cs="Times New Roman"/>
                    </w:rPr>
                    <w:t>取水口下游500米范围内有重要水生生物的自然产卵场、索饵场、越冬场和洄游通道的新增河道取水</w:t>
                  </w:r>
                </w:p>
              </w:tc>
              <w:tc>
                <w:tcPr>
                  <w:tcW w:w="1751" w:type="pct"/>
                  <w:vAlign w:val="center"/>
                </w:tcPr>
                <w:p w14:paraId="6FE4D114">
                  <w:pPr>
                    <w:pStyle w:val="14"/>
                    <w:rPr>
                      <w:rFonts w:cs="Times New Roman"/>
                    </w:rPr>
                  </w:pPr>
                  <w:r>
                    <w:rPr>
                      <w:rFonts w:cs="Times New Roman"/>
                    </w:rPr>
                    <w:t>本项目供水来自城镇自来水管网，不涉及河道取水。</w:t>
                  </w:r>
                </w:p>
              </w:tc>
              <w:tc>
                <w:tcPr>
                  <w:tcW w:w="808" w:type="pct"/>
                  <w:vAlign w:val="center"/>
                </w:tcPr>
                <w:p w14:paraId="3835CD73">
                  <w:pPr>
                    <w:pStyle w:val="14"/>
                    <w:rPr>
                      <w:rFonts w:cs="Times New Roman"/>
                    </w:rPr>
                  </w:pPr>
                  <w:r>
                    <w:rPr>
                      <w:rFonts w:cs="Times New Roman"/>
                    </w:rPr>
                    <w:t>不设置</w:t>
                  </w:r>
                </w:p>
              </w:tc>
            </w:tr>
            <w:tr w14:paraId="6ED91F5B">
              <w:tblPrEx>
                <w:tblBorders>
                  <w:top w:val="single" w:color="auto" w:sz="4" w:space="0"/>
                  <w:left w:val="single" w:color="auto" w:sz="6"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640" w:type="pct"/>
                  <w:vAlign w:val="center"/>
                </w:tcPr>
                <w:p w14:paraId="376B703B">
                  <w:pPr>
                    <w:pStyle w:val="14"/>
                    <w:rPr>
                      <w:rFonts w:cs="Times New Roman"/>
                    </w:rPr>
                  </w:pPr>
                  <w:r>
                    <w:rPr>
                      <w:rFonts w:cs="Times New Roman"/>
                    </w:rPr>
                    <w:t>海洋</w:t>
                  </w:r>
                </w:p>
              </w:tc>
              <w:tc>
                <w:tcPr>
                  <w:tcW w:w="1802" w:type="pct"/>
                  <w:vAlign w:val="center"/>
                </w:tcPr>
                <w:p w14:paraId="2FBD4FE5">
                  <w:pPr>
                    <w:pStyle w:val="14"/>
                    <w:rPr>
                      <w:rFonts w:cs="Times New Roman"/>
                    </w:rPr>
                  </w:pPr>
                  <w:r>
                    <w:rPr>
                      <w:rFonts w:cs="Times New Roman"/>
                    </w:rPr>
                    <w:t>直接向海排放污染物的海洋工程建设项目</w:t>
                  </w:r>
                </w:p>
              </w:tc>
              <w:tc>
                <w:tcPr>
                  <w:tcW w:w="1751" w:type="pct"/>
                  <w:vAlign w:val="center"/>
                </w:tcPr>
                <w:p w14:paraId="0CAEC11D">
                  <w:pPr>
                    <w:pStyle w:val="14"/>
                    <w:rPr>
                      <w:rFonts w:cs="Times New Roman"/>
                    </w:rPr>
                  </w:pPr>
                  <w:r>
                    <w:rPr>
                      <w:rFonts w:cs="Times New Roman"/>
                    </w:rPr>
                    <w:t>本项目不属于海洋工程建设项目</w:t>
                  </w:r>
                </w:p>
              </w:tc>
              <w:tc>
                <w:tcPr>
                  <w:tcW w:w="808" w:type="pct"/>
                  <w:vAlign w:val="center"/>
                </w:tcPr>
                <w:p w14:paraId="27331C80">
                  <w:pPr>
                    <w:pStyle w:val="14"/>
                    <w:rPr>
                      <w:rFonts w:cs="Times New Roman"/>
                    </w:rPr>
                  </w:pPr>
                  <w:r>
                    <w:rPr>
                      <w:rFonts w:cs="Times New Roman"/>
                    </w:rPr>
                    <w:t>不设置</w:t>
                  </w:r>
                </w:p>
              </w:tc>
            </w:tr>
          </w:tbl>
          <w:p w14:paraId="1A94E37E">
            <w:pPr>
              <w:ind w:firstLine="480"/>
              <w:rPr>
                <w:rFonts w:cs="Times New Roman"/>
              </w:rPr>
            </w:pPr>
            <w:r>
              <w:rPr>
                <w:rFonts w:cs="Times New Roman"/>
              </w:rPr>
              <w:t>因此，本项目</w:t>
            </w:r>
            <w:r>
              <w:rPr>
                <w:rFonts w:hint="eastAsia" w:cs="Times New Roman"/>
              </w:rPr>
              <w:t>不</w:t>
            </w:r>
            <w:r>
              <w:rPr>
                <w:rFonts w:cs="Times New Roman"/>
              </w:rPr>
              <w:t>设置专项评价。</w:t>
            </w:r>
          </w:p>
        </w:tc>
      </w:tr>
      <w:tr w14:paraId="7FC2C02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643" w:hRule="atLeast"/>
          <w:jc w:val="center"/>
        </w:trPr>
        <w:tc>
          <w:tcPr>
            <w:tcW w:w="505" w:type="pct"/>
            <w:vAlign w:val="center"/>
          </w:tcPr>
          <w:p w14:paraId="4D924044">
            <w:pPr>
              <w:pStyle w:val="30"/>
              <w:rPr>
                <w:rFonts w:cs="Times New Roman"/>
              </w:rPr>
            </w:pPr>
            <w:r>
              <w:rPr>
                <w:rFonts w:cs="Times New Roman"/>
              </w:rPr>
              <w:t>规划情况</w:t>
            </w:r>
          </w:p>
        </w:tc>
        <w:tc>
          <w:tcPr>
            <w:tcW w:w="4495" w:type="pct"/>
            <w:gridSpan w:val="3"/>
            <w:vAlign w:val="center"/>
          </w:tcPr>
          <w:p w14:paraId="7EB84F2F">
            <w:pPr>
              <w:ind w:firstLine="480"/>
              <w:rPr>
                <w:rFonts w:cs="Times New Roman"/>
              </w:rPr>
            </w:pPr>
            <w:r>
              <w:rPr>
                <w:rFonts w:cs="Times New Roman"/>
              </w:rPr>
              <w:t>（1）《四川巴中经济开发区规划修编》。</w:t>
            </w:r>
          </w:p>
        </w:tc>
      </w:tr>
      <w:tr w14:paraId="073383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1814" w:hRule="atLeast"/>
          <w:jc w:val="center"/>
        </w:trPr>
        <w:tc>
          <w:tcPr>
            <w:tcW w:w="505" w:type="pct"/>
            <w:vAlign w:val="center"/>
          </w:tcPr>
          <w:p w14:paraId="6D52583B">
            <w:pPr>
              <w:pStyle w:val="30"/>
              <w:rPr>
                <w:rFonts w:cs="Times New Roman"/>
              </w:rPr>
            </w:pPr>
            <w:r>
              <w:rPr>
                <w:rFonts w:cs="Times New Roman"/>
              </w:rPr>
              <w:t>规划环境影响评价情况</w:t>
            </w:r>
          </w:p>
        </w:tc>
        <w:tc>
          <w:tcPr>
            <w:tcW w:w="4495" w:type="pct"/>
            <w:gridSpan w:val="3"/>
            <w:vAlign w:val="center"/>
          </w:tcPr>
          <w:p w14:paraId="0B0FB4F7">
            <w:pPr>
              <w:ind w:firstLine="480"/>
              <w:rPr>
                <w:rFonts w:cs="Times New Roman"/>
              </w:rPr>
            </w:pPr>
            <w:r>
              <w:rPr>
                <w:rFonts w:cs="Times New Roman"/>
              </w:rPr>
              <w:t>规划环境影响评价文件名称：《</w:t>
            </w:r>
            <w:bookmarkStart w:id="12" w:name="OLE_LINK185"/>
            <w:bookmarkStart w:id="13" w:name="OLE_LINK188"/>
            <w:r>
              <w:rPr>
                <w:rFonts w:cs="Times New Roman"/>
              </w:rPr>
              <w:t>四川巴中经济开发区</w:t>
            </w:r>
            <w:r>
              <w:rPr>
                <w:rFonts w:hint="eastAsia" w:cs="Times New Roman"/>
              </w:rPr>
              <w:t>规划修编</w:t>
            </w:r>
            <w:r>
              <w:rPr>
                <w:rFonts w:cs="Times New Roman"/>
              </w:rPr>
              <w:t>环境影响报告书</w:t>
            </w:r>
            <w:bookmarkEnd w:id="12"/>
            <w:bookmarkEnd w:id="13"/>
            <w:r>
              <w:rPr>
                <w:rFonts w:cs="Times New Roman"/>
              </w:rPr>
              <w:t>》</w:t>
            </w:r>
          </w:p>
          <w:p w14:paraId="749E2000">
            <w:pPr>
              <w:ind w:firstLine="480"/>
              <w:rPr>
                <w:rFonts w:cs="Times New Roman"/>
              </w:rPr>
            </w:pPr>
            <w:r>
              <w:rPr>
                <w:rFonts w:cs="Times New Roman"/>
              </w:rPr>
              <w:t>审查机关：四川省生态环境厅</w:t>
            </w:r>
          </w:p>
          <w:p w14:paraId="713E89A5">
            <w:pPr>
              <w:ind w:firstLine="480"/>
              <w:rPr>
                <w:rFonts w:cs="Times New Roman"/>
              </w:rPr>
            </w:pPr>
            <w:r>
              <w:rPr>
                <w:rFonts w:cs="Times New Roman"/>
              </w:rPr>
              <w:t>审查文件名称及文号：关于印发《四川巴中经济开发区</w:t>
            </w:r>
            <w:r>
              <w:rPr>
                <w:rFonts w:hint="eastAsia" w:cs="Times New Roman"/>
              </w:rPr>
              <w:t>规划修编</w:t>
            </w:r>
            <w:r>
              <w:rPr>
                <w:rFonts w:cs="Times New Roman"/>
              </w:rPr>
              <w:t>环境影响报告书》审查意见的函（川环建函〔2023〕29号）</w:t>
            </w:r>
          </w:p>
        </w:tc>
      </w:tr>
      <w:tr w14:paraId="4D979DA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1021" w:hRule="atLeast"/>
          <w:jc w:val="center"/>
        </w:trPr>
        <w:tc>
          <w:tcPr>
            <w:tcW w:w="505" w:type="pct"/>
            <w:vAlign w:val="center"/>
          </w:tcPr>
          <w:p w14:paraId="5E4DF86D">
            <w:pPr>
              <w:pStyle w:val="30"/>
              <w:rPr>
                <w:rFonts w:cs="Times New Roman"/>
              </w:rPr>
            </w:pPr>
            <w:r>
              <w:rPr>
                <w:rFonts w:cs="Times New Roman"/>
              </w:rPr>
              <w:t>规划及规划环境影响评价符合性分析</w:t>
            </w:r>
          </w:p>
        </w:tc>
        <w:tc>
          <w:tcPr>
            <w:tcW w:w="4495" w:type="pct"/>
            <w:gridSpan w:val="3"/>
            <w:vAlign w:val="center"/>
          </w:tcPr>
          <w:p w14:paraId="7040633C">
            <w:pPr>
              <w:pStyle w:val="3"/>
              <w:spacing w:before="163"/>
            </w:pPr>
            <w:r>
              <w:t>1、</w:t>
            </w:r>
            <w:r>
              <w:rPr>
                <w:rFonts w:hint="eastAsia"/>
              </w:rPr>
              <w:t>本项目</w:t>
            </w:r>
            <w:r>
              <w:t>与四川巴中经济开发区规划修编符合性分析</w:t>
            </w:r>
          </w:p>
          <w:p w14:paraId="712BD560">
            <w:pPr>
              <w:ind w:firstLine="480"/>
              <w:rPr>
                <w:rFonts w:cs="Times New Roman"/>
              </w:rPr>
            </w:pPr>
            <w:r>
              <w:rPr>
                <w:rFonts w:cs="Times New Roman"/>
              </w:rPr>
              <w:t>2022年11月四川巴中经济开发区管理委员会组织编制了《四川巴中经济开发区规划修编》，规划面积1677.3513hm</w:t>
            </w:r>
            <w:r>
              <w:rPr>
                <w:rFonts w:cs="Times New Roman"/>
                <w:vertAlign w:val="superscript"/>
              </w:rPr>
              <w:t>2</w:t>
            </w:r>
            <w:r>
              <w:rPr>
                <w:rFonts w:cs="Times New Roman"/>
              </w:rPr>
              <w:t>(包括核心区规划面积约1389.9942hm</w:t>
            </w:r>
            <w:r>
              <w:rPr>
                <w:rFonts w:cs="Times New Roman"/>
                <w:vertAlign w:val="superscript"/>
              </w:rPr>
              <w:t>2</w:t>
            </w:r>
            <w:r>
              <w:rPr>
                <w:rFonts w:cs="Times New Roman"/>
              </w:rPr>
              <w:t>、曾口区块规划面积约191.8105hm</w:t>
            </w:r>
            <w:r>
              <w:rPr>
                <w:rFonts w:cs="Times New Roman"/>
                <w:vertAlign w:val="superscript"/>
              </w:rPr>
              <w:t>2</w:t>
            </w:r>
            <w:r>
              <w:rPr>
                <w:rFonts w:cs="Times New Roman"/>
              </w:rPr>
              <w:t>及金堂区块规划面积约95.5466hm</w:t>
            </w:r>
            <w:r>
              <w:rPr>
                <w:rFonts w:cs="Times New Roman"/>
                <w:vertAlign w:val="superscript"/>
              </w:rPr>
              <w:t>2</w:t>
            </w:r>
            <w:r>
              <w:rPr>
                <w:rFonts w:cs="Times New Roman"/>
              </w:rPr>
              <w:t>)，以机械、电子、服装为主导产业，辅助发展生物医药、新能源新材料及天然气化工。</w:t>
            </w:r>
          </w:p>
          <w:p w14:paraId="39A5C953">
            <w:pPr>
              <w:ind w:firstLine="480"/>
              <w:rPr>
                <w:rFonts w:cs="Times New Roman"/>
                <w:bCs/>
              </w:rPr>
            </w:pPr>
            <w:r>
              <w:rPr>
                <w:rFonts w:cs="Times New Roman"/>
                <w:bCs/>
              </w:rPr>
              <w:t>本项目位于</w:t>
            </w:r>
            <w:r>
              <w:rPr>
                <w:rFonts w:hint="eastAsia" w:cs="Times New Roman"/>
                <w:bCs/>
              </w:rPr>
              <w:t>四川巴中经济开发区</w:t>
            </w:r>
            <w:r>
              <w:rPr>
                <w:rFonts w:cs="Times New Roman"/>
                <w:bCs/>
              </w:rPr>
              <w:t>核心区，用地为工业用地，</w:t>
            </w:r>
            <w:r>
              <w:rPr>
                <w:rFonts w:hint="eastAsia" w:cs="Times New Roman"/>
                <w:bCs/>
              </w:rPr>
              <w:t>符合</w:t>
            </w:r>
            <w:r>
              <w:rPr>
                <w:rFonts w:cs="Times New Roman"/>
                <w:bCs/>
              </w:rPr>
              <w:t>四川巴中经济开发区规划修编</w:t>
            </w:r>
            <w:r>
              <w:rPr>
                <w:rFonts w:hint="eastAsia" w:cs="Times New Roman"/>
                <w:bCs/>
              </w:rPr>
              <w:t>的用地布局规划要求。</w:t>
            </w:r>
          </w:p>
          <w:p w14:paraId="28293BF6">
            <w:pPr>
              <w:ind w:firstLine="480"/>
              <w:rPr>
                <w:rFonts w:cs="Times New Roman"/>
                <w:bCs/>
              </w:rPr>
            </w:pPr>
            <w:r>
              <w:rPr>
                <w:rFonts w:hint="eastAsia" w:cs="Times New Roman"/>
                <w:bCs/>
              </w:rPr>
              <w:t>本项目属</w:t>
            </w:r>
            <w:r>
              <w:rPr>
                <w:rFonts w:cs="Times New Roman"/>
              </w:rPr>
              <w:t>C</w:t>
            </w:r>
            <w:r>
              <w:rPr>
                <w:rFonts w:hint="eastAsia" w:cs="Times New Roman"/>
              </w:rPr>
              <w:t>2021胶合板制造</w:t>
            </w:r>
            <w:r>
              <w:rPr>
                <w:rFonts w:hint="eastAsia" w:cs="Times New Roman"/>
                <w:bCs/>
              </w:rPr>
              <w:t>，不属于</w:t>
            </w:r>
            <w:r>
              <w:rPr>
                <w:rFonts w:cs="Times New Roman"/>
                <w:bCs/>
              </w:rPr>
              <w:t>四川巴中经济开发区</w:t>
            </w:r>
            <w:r>
              <w:rPr>
                <w:rFonts w:hint="eastAsia" w:cs="Times New Roman"/>
                <w:bCs/>
              </w:rPr>
              <w:t>核心区的主导产业，但也不属于禁止入园的行业类别，属于允许类，符合</w:t>
            </w:r>
            <w:r>
              <w:rPr>
                <w:rFonts w:cs="Times New Roman"/>
                <w:bCs/>
              </w:rPr>
              <w:t>四川巴中经济开发区规划修编</w:t>
            </w:r>
            <w:r>
              <w:rPr>
                <w:rFonts w:hint="eastAsia" w:cs="Times New Roman"/>
                <w:bCs/>
              </w:rPr>
              <w:t>的产业布局规划要求。</w:t>
            </w:r>
          </w:p>
          <w:p w14:paraId="50EE18CB">
            <w:pPr>
              <w:ind w:firstLine="480"/>
              <w:rPr>
                <w:rFonts w:cs="Times New Roman"/>
              </w:rPr>
            </w:pPr>
            <w:bookmarkStart w:id="14" w:name="OLE_LINK111"/>
            <w:bookmarkStart w:id="15" w:name="OLE_LINK108"/>
            <w:bookmarkStart w:id="16" w:name="OLE_LINK110"/>
            <w:r>
              <w:rPr>
                <w:rFonts w:hint="eastAsia" w:cs="Times New Roman"/>
              </w:rPr>
              <w:t>汇总本项目</w:t>
            </w:r>
            <w:bookmarkEnd w:id="14"/>
            <w:bookmarkEnd w:id="15"/>
            <w:bookmarkEnd w:id="16"/>
            <w:r>
              <w:rPr>
                <w:rFonts w:cs="Times New Roman"/>
              </w:rPr>
              <w:t>与四川巴中经济开发区规划修编的符合性分析如下：</w:t>
            </w:r>
          </w:p>
          <w:p w14:paraId="593A0813">
            <w:pPr>
              <w:pStyle w:val="13"/>
              <w:rPr>
                <w:rFonts w:cs="Times New Roman"/>
              </w:rPr>
            </w:pPr>
            <w:r>
              <w:rPr>
                <w:rFonts w:cs="Times New Roman"/>
              </w:rPr>
              <w:t xml:space="preserve">表 </w:t>
            </w:r>
            <w:r>
              <w:rPr>
                <w:rFonts w:cs="Times New Roman"/>
              </w:rPr>
              <w:fldChar w:fldCharType="begin"/>
            </w:r>
            <w:r>
              <w:rPr>
                <w:rFonts w:cs="Times New Roman"/>
              </w:rPr>
              <w:instrText xml:space="preserve"> SEQ seq \c </w:instrText>
            </w:r>
            <w:r>
              <w:rPr>
                <w:rFonts w:cs="Times New Roman"/>
              </w:rPr>
              <w:fldChar w:fldCharType="separate"/>
            </w:r>
            <w:r>
              <w:rPr>
                <w:rFonts w:cs="Times New Roman"/>
              </w:rPr>
              <w:t>1</w:t>
            </w:r>
            <w:r>
              <w:rPr>
                <w:rFonts w:cs="Times New Roman"/>
              </w:rPr>
              <w:fldChar w:fldCharType="end"/>
            </w:r>
            <w:r>
              <w:rPr>
                <w:rFonts w:cs="Times New Roman"/>
              </w:rPr>
              <w:noBreakHyphen/>
            </w:r>
            <w:r>
              <w:rPr>
                <w:rFonts w:hint="eastAsia" w:cs="Times New Roman"/>
              </w:rPr>
              <w:t>2</w:t>
            </w:r>
            <w:r>
              <w:rPr>
                <w:rFonts w:cs="Times New Roman"/>
              </w:rPr>
              <w:t xml:space="preserve"> 本项目与</w:t>
            </w:r>
            <w:bookmarkStart w:id="17" w:name="OLE_LINK21"/>
            <w:bookmarkStart w:id="18" w:name="OLE_LINK26"/>
            <w:r>
              <w:rPr>
                <w:rFonts w:cs="Times New Roman"/>
              </w:rPr>
              <w:t>四川巴中经济开发区规划修编</w:t>
            </w:r>
            <w:bookmarkEnd w:id="17"/>
            <w:bookmarkEnd w:id="18"/>
            <w:r>
              <w:rPr>
                <w:rFonts w:cs="Times New Roman"/>
              </w:rPr>
              <w:t>符合性分析</w:t>
            </w:r>
          </w:p>
          <w:tbl>
            <w:tblPr>
              <w:tblStyle w:val="3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6"/>
              <w:gridCol w:w="4426"/>
              <w:gridCol w:w="2383"/>
              <w:gridCol w:w="865"/>
            </w:tblGrid>
            <w:tr w14:paraId="18267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pct"/>
                  <w:vAlign w:val="center"/>
                </w:tcPr>
                <w:p w14:paraId="2254A30F">
                  <w:pPr>
                    <w:pStyle w:val="53"/>
                    <w:rPr>
                      <w:rFonts w:cs="Times New Roman"/>
                    </w:rPr>
                  </w:pPr>
                  <w:r>
                    <w:rPr>
                      <w:rFonts w:cs="Times New Roman"/>
                    </w:rPr>
                    <w:t>类别</w:t>
                  </w:r>
                </w:p>
              </w:tc>
              <w:tc>
                <w:tcPr>
                  <w:tcW w:w="2567" w:type="pct"/>
                  <w:vAlign w:val="center"/>
                </w:tcPr>
                <w:p w14:paraId="24004E58">
                  <w:pPr>
                    <w:pStyle w:val="53"/>
                    <w:rPr>
                      <w:rFonts w:cs="Times New Roman"/>
                    </w:rPr>
                  </w:pPr>
                  <w:r>
                    <w:rPr>
                      <w:rFonts w:cs="Times New Roman"/>
                    </w:rPr>
                    <w:t>规划修编要求</w:t>
                  </w:r>
                </w:p>
              </w:tc>
              <w:tc>
                <w:tcPr>
                  <w:tcW w:w="1382" w:type="pct"/>
                  <w:vAlign w:val="center"/>
                </w:tcPr>
                <w:p w14:paraId="3ACA3BEB">
                  <w:pPr>
                    <w:pStyle w:val="53"/>
                    <w:rPr>
                      <w:rFonts w:cs="Times New Roman"/>
                    </w:rPr>
                  </w:pPr>
                  <w:r>
                    <w:rPr>
                      <w:rFonts w:cs="Times New Roman"/>
                    </w:rPr>
                    <w:t>本项目情况</w:t>
                  </w:r>
                </w:p>
              </w:tc>
              <w:tc>
                <w:tcPr>
                  <w:tcW w:w="502" w:type="pct"/>
                  <w:vAlign w:val="center"/>
                </w:tcPr>
                <w:p w14:paraId="7B6977D1">
                  <w:pPr>
                    <w:pStyle w:val="53"/>
                    <w:rPr>
                      <w:rFonts w:cs="Times New Roman"/>
                    </w:rPr>
                  </w:pPr>
                  <w:r>
                    <w:rPr>
                      <w:rFonts w:cs="Times New Roman"/>
                    </w:rPr>
                    <w:t>符合性</w:t>
                  </w:r>
                </w:p>
              </w:tc>
            </w:tr>
            <w:tr w14:paraId="498AE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pct"/>
                  <w:vAlign w:val="center"/>
                </w:tcPr>
                <w:p w14:paraId="16CDC1AC">
                  <w:pPr>
                    <w:pStyle w:val="14"/>
                    <w:rPr>
                      <w:rFonts w:cs="Times New Roman"/>
                    </w:rPr>
                  </w:pPr>
                  <w:r>
                    <w:rPr>
                      <w:rFonts w:cs="Times New Roman"/>
                    </w:rPr>
                    <w:t>产业布局规划</w:t>
                  </w:r>
                </w:p>
              </w:tc>
              <w:tc>
                <w:tcPr>
                  <w:tcW w:w="2567" w:type="pct"/>
                  <w:vAlign w:val="center"/>
                </w:tcPr>
                <w:p w14:paraId="6E8B95AF">
                  <w:pPr>
                    <w:pStyle w:val="14"/>
                    <w:rPr>
                      <w:rFonts w:cs="Times New Roman"/>
                    </w:rPr>
                  </w:pPr>
                  <w:r>
                    <w:rPr>
                      <w:rFonts w:cs="Times New Roman"/>
                      <w:szCs w:val="21"/>
                    </w:rPr>
                    <w:t>规划区以机械、电子、服装为主导产业，辅助发展生物医药、新能源新材料及天然气化工。其中核心区以机械、电子、服装为主导产业，辅助发展生物医药、新能源新材料。</w:t>
                  </w:r>
                </w:p>
              </w:tc>
              <w:tc>
                <w:tcPr>
                  <w:tcW w:w="1382" w:type="pct"/>
                  <w:vAlign w:val="center"/>
                </w:tcPr>
                <w:p w14:paraId="7BFA4F3C">
                  <w:pPr>
                    <w:pStyle w:val="14"/>
                    <w:rPr>
                      <w:rFonts w:cs="Times New Roman"/>
                    </w:rPr>
                  </w:pPr>
                  <w:r>
                    <w:rPr>
                      <w:rFonts w:cs="Times New Roman"/>
                      <w:szCs w:val="21"/>
                    </w:rPr>
                    <w:t>本项目属</w:t>
                  </w:r>
                  <w:r>
                    <w:rPr>
                      <w:rFonts w:cs="Times New Roman"/>
                    </w:rPr>
                    <w:t>C</w:t>
                  </w:r>
                  <w:r>
                    <w:rPr>
                      <w:rFonts w:hint="eastAsia" w:cs="Times New Roman"/>
                    </w:rPr>
                    <w:t>2021胶合板制造</w:t>
                  </w:r>
                  <w:r>
                    <w:rPr>
                      <w:rFonts w:cs="Times New Roman"/>
                      <w:szCs w:val="21"/>
                    </w:rPr>
                    <w:t>，不属于园区主导产业，但也不属于禁止入园行业。</w:t>
                  </w:r>
                </w:p>
              </w:tc>
              <w:tc>
                <w:tcPr>
                  <w:tcW w:w="502" w:type="pct"/>
                  <w:vAlign w:val="center"/>
                </w:tcPr>
                <w:p w14:paraId="4CBEA9F5">
                  <w:pPr>
                    <w:pStyle w:val="14"/>
                    <w:rPr>
                      <w:rFonts w:cs="Times New Roman"/>
                    </w:rPr>
                  </w:pPr>
                  <w:r>
                    <w:rPr>
                      <w:rFonts w:cs="Times New Roman"/>
                    </w:rPr>
                    <w:t>符合</w:t>
                  </w:r>
                </w:p>
              </w:tc>
            </w:tr>
            <w:tr w14:paraId="14534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pct"/>
                  <w:vAlign w:val="center"/>
                </w:tcPr>
                <w:p w14:paraId="71628405">
                  <w:pPr>
                    <w:pStyle w:val="14"/>
                    <w:rPr>
                      <w:rFonts w:cs="Times New Roman"/>
                    </w:rPr>
                  </w:pPr>
                  <w:r>
                    <w:rPr>
                      <w:rFonts w:cs="Times New Roman"/>
                    </w:rPr>
                    <w:t>用地布局规划</w:t>
                  </w:r>
                </w:p>
              </w:tc>
              <w:tc>
                <w:tcPr>
                  <w:tcW w:w="2567" w:type="pct"/>
                  <w:vAlign w:val="center"/>
                </w:tcPr>
                <w:p w14:paraId="6B6FA76E">
                  <w:pPr>
                    <w:pStyle w:val="14"/>
                    <w:rPr>
                      <w:rFonts w:cs="Times New Roman"/>
                    </w:rPr>
                  </w:pPr>
                  <w:r>
                    <w:rPr>
                      <w:rFonts w:cs="Times New Roman"/>
                    </w:rPr>
                    <w:t>规划区规划总面积1677.3513hm</w:t>
                  </w:r>
                  <w:r>
                    <w:rPr>
                      <w:rFonts w:cs="Times New Roman"/>
                      <w:vertAlign w:val="superscript"/>
                    </w:rPr>
                    <w:t>2</w:t>
                  </w:r>
                  <w:r>
                    <w:rPr>
                      <w:rFonts w:cs="Times New Roman"/>
                    </w:rPr>
                    <w:t>，包含核心区1389.9942hm</w:t>
                  </w:r>
                  <w:r>
                    <w:rPr>
                      <w:rFonts w:cs="Times New Roman"/>
                      <w:vertAlign w:val="superscript"/>
                    </w:rPr>
                    <w:t>2</w:t>
                  </w:r>
                  <w:r>
                    <w:rPr>
                      <w:rFonts w:cs="Times New Roman"/>
                    </w:rPr>
                    <w:t>，曾口区块191.8105hm</w:t>
                  </w:r>
                  <w:r>
                    <w:rPr>
                      <w:rFonts w:cs="Times New Roman"/>
                      <w:vertAlign w:val="superscript"/>
                    </w:rPr>
                    <w:t>2</w:t>
                  </w:r>
                  <w:r>
                    <w:rPr>
                      <w:rFonts w:cs="Times New Roman"/>
                    </w:rPr>
                    <w:t>，金堂区块95.5466hm</w:t>
                  </w:r>
                  <w:r>
                    <w:rPr>
                      <w:rFonts w:cs="Times New Roman"/>
                      <w:vertAlign w:val="superscript"/>
                    </w:rPr>
                    <w:t>2</w:t>
                  </w:r>
                  <w:r>
                    <w:rPr>
                      <w:rFonts w:cs="Times New Roman"/>
                    </w:rPr>
                    <w:t>。其中规划城市建设用地1660.5188公顷，占规划总面积的99.00%。</w:t>
                  </w:r>
                </w:p>
              </w:tc>
              <w:tc>
                <w:tcPr>
                  <w:tcW w:w="1382" w:type="pct"/>
                  <w:vAlign w:val="center"/>
                </w:tcPr>
                <w:p w14:paraId="35770B4A">
                  <w:pPr>
                    <w:pStyle w:val="14"/>
                    <w:rPr>
                      <w:rFonts w:cs="Times New Roman"/>
                    </w:rPr>
                  </w:pPr>
                  <w:r>
                    <w:rPr>
                      <w:rFonts w:cs="Times New Roman"/>
                    </w:rPr>
                    <w:t>项目位于四川巴中经济开发区兴文街道办事处</w:t>
                  </w:r>
                  <w:r>
                    <w:rPr>
                      <w:rFonts w:hint="eastAsia" w:cs="Times New Roman"/>
                    </w:rPr>
                    <w:t>中山北路21号附1号</w:t>
                  </w:r>
                  <w:r>
                    <w:rPr>
                      <w:rFonts w:cs="Times New Roman"/>
                    </w:rPr>
                    <w:t>，用地类型为工业用地。</w:t>
                  </w:r>
                </w:p>
              </w:tc>
              <w:tc>
                <w:tcPr>
                  <w:tcW w:w="502" w:type="pct"/>
                  <w:vAlign w:val="center"/>
                </w:tcPr>
                <w:p w14:paraId="32F8F81D">
                  <w:pPr>
                    <w:pStyle w:val="14"/>
                    <w:rPr>
                      <w:rFonts w:cs="Times New Roman"/>
                    </w:rPr>
                  </w:pPr>
                  <w:r>
                    <w:rPr>
                      <w:rFonts w:cs="Times New Roman"/>
                    </w:rPr>
                    <w:t>符合</w:t>
                  </w:r>
                </w:p>
              </w:tc>
            </w:tr>
            <w:tr w14:paraId="3919E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pct"/>
                  <w:vAlign w:val="center"/>
                </w:tcPr>
                <w:p w14:paraId="5B19ADE1">
                  <w:pPr>
                    <w:pStyle w:val="14"/>
                    <w:rPr>
                      <w:rFonts w:cs="Times New Roman"/>
                    </w:rPr>
                  </w:pPr>
                  <w:r>
                    <w:rPr>
                      <w:rFonts w:cs="Times New Roman"/>
                    </w:rPr>
                    <w:t>排水规划</w:t>
                  </w:r>
                </w:p>
              </w:tc>
              <w:tc>
                <w:tcPr>
                  <w:tcW w:w="2567" w:type="pct"/>
                  <w:vAlign w:val="center"/>
                </w:tcPr>
                <w:p w14:paraId="033088ED">
                  <w:pPr>
                    <w:pStyle w:val="14"/>
                    <w:rPr>
                      <w:rFonts w:cs="Times New Roman"/>
                    </w:rPr>
                  </w:pPr>
                  <w:r>
                    <w:rPr>
                      <w:rFonts w:cs="Times New Roman"/>
                    </w:rPr>
                    <w:t>经济开发区核心区污水由在经开区南侧、河流下游的K10-04地块内的污水处理厂进行处理。规划污水处理厂出水标准不得低于一级标准的A标准。</w:t>
                  </w:r>
                </w:p>
              </w:tc>
              <w:tc>
                <w:tcPr>
                  <w:tcW w:w="1382" w:type="pct"/>
                  <w:vAlign w:val="center"/>
                </w:tcPr>
                <w:p w14:paraId="7801AD0F">
                  <w:pPr>
                    <w:pStyle w:val="14"/>
                    <w:rPr>
                      <w:rFonts w:cs="Times New Roman"/>
                    </w:rPr>
                  </w:pPr>
                  <w:r>
                    <w:rPr>
                      <w:rFonts w:cs="Times New Roman"/>
                    </w:rPr>
                    <w:t>项目雨污分流，</w:t>
                  </w:r>
                  <w:bookmarkStart w:id="19" w:name="OLE_LINK27"/>
                  <w:r>
                    <w:rPr>
                      <w:rFonts w:hint="eastAsia" w:cs="Times New Roman"/>
                    </w:rPr>
                    <w:t>无生产废水产生，生活污水</w:t>
                  </w:r>
                  <w:r>
                    <w:rPr>
                      <w:rFonts w:cs="Times New Roman"/>
                    </w:rPr>
                    <w:t>预处理后经市政管网送巴中经开区污水处理厂处理后达标排放。</w:t>
                  </w:r>
                  <w:bookmarkEnd w:id="19"/>
                </w:p>
              </w:tc>
              <w:tc>
                <w:tcPr>
                  <w:tcW w:w="502" w:type="pct"/>
                  <w:vAlign w:val="center"/>
                </w:tcPr>
                <w:p w14:paraId="735904CC">
                  <w:pPr>
                    <w:pStyle w:val="14"/>
                    <w:rPr>
                      <w:rFonts w:cs="Times New Roman"/>
                    </w:rPr>
                  </w:pPr>
                  <w:r>
                    <w:rPr>
                      <w:rFonts w:cs="Times New Roman"/>
                    </w:rPr>
                    <w:t>符合</w:t>
                  </w:r>
                </w:p>
              </w:tc>
            </w:tr>
            <w:tr w14:paraId="0B7E2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pct"/>
                  <w:vAlign w:val="center"/>
                </w:tcPr>
                <w:p w14:paraId="3226EE37">
                  <w:pPr>
                    <w:pStyle w:val="14"/>
                    <w:rPr>
                      <w:rFonts w:cs="Times New Roman"/>
                    </w:rPr>
                  </w:pPr>
                  <w:r>
                    <w:rPr>
                      <w:rFonts w:cs="Times New Roman"/>
                    </w:rPr>
                    <w:t>能源</w:t>
                  </w:r>
                </w:p>
                <w:p w14:paraId="1A8D6F54">
                  <w:pPr>
                    <w:pStyle w:val="14"/>
                    <w:rPr>
                      <w:rFonts w:cs="Times New Roman"/>
                    </w:rPr>
                  </w:pPr>
                  <w:r>
                    <w:rPr>
                      <w:rFonts w:cs="Times New Roman"/>
                    </w:rPr>
                    <w:t>规划</w:t>
                  </w:r>
                </w:p>
              </w:tc>
              <w:tc>
                <w:tcPr>
                  <w:tcW w:w="2567" w:type="pct"/>
                  <w:vAlign w:val="center"/>
                </w:tcPr>
                <w:p w14:paraId="3EF49799">
                  <w:pPr>
                    <w:pStyle w:val="14"/>
                    <w:rPr>
                      <w:rFonts w:cs="Times New Roman"/>
                    </w:rPr>
                  </w:pPr>
                  <w:r>
                    <w:rPr>
                      <w:rFonts w:cs="Times New Roman"/>
                    </w:rPr>
                    <w:t>规划以清洁能源天然气和电为主，禁止使用燃煤。鼓励企业新建或改建燃气锅炉安装低氮燃烧器。</w:t>
                  </w:r>
                </w:p>
              </w:tc>
              <w:tc>
                <w:tcPr>
                  <w:tcW w:w="1382" w:type="pct"/>
                  <w:vAlign w:val="center"/>
                </w:tcPr>
                <w:p w14:paraId="48689742">
                  <w:pPr>
                    <w:pStyle w:val="14"/>
                    <w:rPr>
                      <w:rFonts w:cs="Times New Roman"/>
                    </w:rPr>
                  </w:pPr>
                  <w:r>
                    <w:rPr>
                      <w:rFonts w:cs="Times New Roman"/>
                    </w:rPr>
                    <w:t>项目以电、天然气为能源，不涉及高污染燃料的使用。新建的天然气</w:t>
                  </w:r>
                  <w:r>
                    <w:rPr>
                      <w:rFonts w:hint="eastAsia" w:cs="Times New Roman"/>
                    </w:rPr>
                    <w:t>模温机自带</w:t>
                  </w:r>
                  <w:r>
                    <w:rPr>
                      <w:rFonts w:cs="Times New Roman"/>
                    </w:rPr>
                    <w:t>安装低氮燃烧器。</w:t>
                  </w:r>
                </w:p>
              </w:tc>
              <w:tc>
                <w:tcPr>
                  <w:tcW w:w="502" w:type="pct"/>
                  <w:vAlign w:val="center"/>
                </w:tcPr>
                <w:p w14:paraId="6F7F8E2C">
                  <w:pPr>
                    <w:pStyle w:val="14"/>
                    <w:rPr>
                      <w:rFonts w:cs="Times New Roman"/>
                    </w:rPr>
                  </w:pPr>
                  <w:r>
                    <w:rPr>
                      <w:rFonts w:cs="Times New Roman"/>
                    </w:rPr>
                    <w:t>符合</w:t>
                  </w:r>
                </w:p>
              </w:tc>
            </w:tr>
          </w:tbl>
          <w:p w14:paraId="02B61980">
            <w:pPr>
              <w:ind w:firstLine="480"/>
              <w:rPr>
                <w:rFonts w:cs="Times New Roman"/>
                <w:kern w:val="0"/>
                <w:szCs w:val="24"/>
              </w:rPr>
            </w:pPr>
            <w:r>
              <w:rPr>
                <w:rFonts w:cs="Times New Roman"/>
                <w:kern w:val="0"/>
                <w:szCs w:val="24"/>
              </w:rPr>
              <w:t>综上，本项目符合四川巴中经济开发区规划修编的要求。</w:t>
            </w:r>
          </w:p>
          <w:p w14:paraId="1EFD02E4">
            <w:pPr>
              <w:pStyle w:val="3"/>
              <w:spacing w:before="163"/>
            </w:pPr>
            <w:r>
              <w:t>4、与《</w:t>
            </w:r>
            <w:bookmarkStart w:id="20" w:name="OLE_LINK104"/>
            <w:bookmarkStart w:id="21" w:name="OLE_LINK100"/>
            <w:bookmarkStart w:id="22" w:name="OLE_LINK101"/>
            <w:r>
              <w:t>四川巴中经济开发区规划修编环境影响报告书</w:t>
            </w:r>
            <w:bookmarkEnd w:id="20"/>
            <w:bookmarkEnd w:id="21"/>
            <w:bookmarkEnd w:id="22"/>
            <w:r>
              <w:t>》及审查意见的符合性分析</w:t>
            </w:r>
          </w:p>
          <w:p w14:paraId="6B64B1EE">
            <w:pPr>
              <w:ind w:firstLine="480"/>
              <w:rPr>
                <w:rFonts w:cs="Times New Roman"/>
              </w:rPr>
            </w:pPr>
            <w:r>
              <w:rPr>
                <w:rFonts w:eastAsia="TimesNewRomanPSMT" w:cs="Times New Roman"/>
              </w:rPr>
              <w:t>2023</w:t>
            </w:r>
            <w:r>
              <w:rPr>
                <w:rFonts w:cs="Times New Roman"/>
              </w:rPr>
              <w:t>年，四川巴中经济开发区管理委员会委托信息产业电子第十一设计研究院科技工程股份有限公司编制了《四川巴中经济开发区规划修编环境影响报告书》，并通过四川省生态环境厅审查（川环建函〔</w:t>
            </w:r>
            <w:r>
              <w:rPr>
                <w:rFonts w:eastAsia="TimesNewRomanPSMT" w:cs="Times New Roman"/>
              </w:rPr>
              <w:t>2023</w:t>
            </w:r>
            <w:r>
              <w:rPr>
                <w:rFonts w:cs="Times New Roman"/>
              </w:rPr>
              <w:t>〕</w:t>
            </w:r>
            <w:r>
              <w:rPr>
                <w:rFonts w:eastAsia="TimesNewRomanPSMT" w:cs="Times New Roman"/>
              </w:rPr>
              <w:t>29</w:t>
            </w:r>
            <w:r>
              <w:rPr>
                <w:rFonts w:cs="Times New Roman"/>
              </w:rPr>
              <w:t>号）。</w:t>
            </w:r>
          </w:p>
          <w:p w14:paraId="110AE4C9">
            <w:pPr>
              <w:ind w:firstLine="480"/>
              <w:rPr>
                <w:rFonts w:cs="Times New Roman"/>
                <w:bCs/>
              </w:rPr>
            </w:pPr>
            <w:r>
              <w:rPr>
                <w:rFonts w:cs="Times New Roman"/>
                <w:bCs/>
              </w:rPr>
              <w:t>本项目位于</w:t>
            </w:r>
            <w:r>
              <w:rPr>
                <w:rFonts w:hint="eastAsia" w:cs="Times New Roman"/>
                <w:bCs/>
              </w:rPr>
              <w:t>四川巴中经济开发区</w:t>
            </w:r>
            <w:r>
              <w:rPr>
                <w:rFonts w:cs="Times New Roman"/>
                <w:bCs/>
              </w:rPr>
              <w:t>核心区</w:t>
            </w:r>
            <w:r>
              <w:rPr>
                <w:rFonts w:hint="eastAsia" w:cs="Times New Roman"/>
                <w:bCs/>
              </w:rPr>
              <w:t>内</w:t>
            </w:r>
            <w:r>
              <w:rPr>
                <w:rFonts w:cs="Times New Roman"/>
                <w:bCs/>
              </w:rPr>
              <w:t>，</w:t>
            </w:r>
            <w:r>
              <w:rPr>
                <w:rFonts w:hint="eastAsia" w:cs="Times New Roman"/>
                <w:bCs/>
              </w:rPr>
              <w:t>根据土地出让协议及园区用地规划图，本项目</w:t>
            </w:r>
            <w:r>
              <w:rPr>
                <w:rFonts w:cs="Times New Roman"/>
                <w:bCs/>
              </w:rPr>
              <w:t>用地为工业用地，</w:t>
            </w:r>
            <w:r>
              <w:rPr>
                <w:rFonts w:hint="eastAsia" w:cs="Times New Roman"/>
                <w:bCs/>
              </w:rPr>
              <w:t>符合《</w:t>
            </w:r>
            <w:r>
              <w:rPr>
                <w:rFonts w:cs="Times New Roman"/>
                <w:bCs/>
              </w:rPr>
              <w:t>四川巴中经济开发区规划修编环境影响报告书</w:t>
            </w:r>
            <w:r>
              <w:rPr>
                <w:rFonts w:hint="eastAsia" w:cs="Times New Roman"/>
                <w:bCs/>
              </w:rPr>
              <w:t>》及其审查意见要求要求。</w:t>
            </w:r>
          </w:p>
          <w:p w14:paraId="69F7A718">
            <w:pPr>
              <w:ind w:firstLine="480"/>
              <w:rPr>
                <w:rFonts w:cs="Times New Roman"/>
                <w:bCs/>
              </w:rPr>
            </w:pPr>
            <w:r>
              <w:rPr>
                <w:rFonts w:hint="eastAsia" w:cs="Times New Roman"/>
                <w:bCs/>
              </w:rPr>
              <w:t>根据《</w:t>
            </w:r>
            <w:r>
              <w:rPr>
                <w:rFonts w:cs="Times New Roman"/>
                <w:bCs/>
              </w:rPr>
              <w:t>四川巴中经济开发区规划修编环境影响报告书</w:t>
            </w:r>
            <w:r>
              <w:rPr>
                <w:rFonts w:hint="eastAsia" w:cs="Times New Roman"/>
                <w:bCs/>
              </w:rPr>
              <w:t>》及其审查意见，核心区</w:t>
            </w:r>
            <w:r>
              <w:rPr>
                <w:rFonts w:cs="Times New Roman"/>
                <w:bCs/>
              </w:rPr>
              <w:t>以机械、电子、服装为主导产业，辅助发展生物医药、新能源新材料</w:t>
            </w:r>
            <w:r>
              <w:rPr>
                <w:rFonts w:hint="eastAsia" w:cs="Times New Roman"/>
                <w:bCs/>
              </w:rPr>
              <w:t>，本项目属C2021胶合板制造，不属于</w:t>
            </w:r>
            <w:r>
              <w:rPr>
                <w:rFonts w:cs="Times New Roman"/>
                <w:bCs/>
              </w:rPr>
              <w:t>四川巴中经济开发区</w:t>
            </w:r>
            <w:r>
              <w:rPr>
                <w:rFonts w:hint="eastAsia" w:cs="Times New Roman"/>
                <w:bCs/>
              </w:rPr>
              <w:t>核心区的主导产业，但对照负面准入清单、分区管控要求，也均不属于禁止入园的行业类别，属于允许类，符合要求。</w:t>
            </w:r>
          </w:p>
          <w:p w14:paraId="5CD226C6">
            <w:pPr>
              <w:ind w:firstLine="480"/>
              <w:rPr>
                <w:rFonts w:cs="Times New Roman"/>
              </w:rPr>
            </w:pPr>
            <w:r>
              <w:rPr>
                <w:rFonts w:hint="eastAsia" w:cs="Times New Roman"/>
              </w:rPr>
              <w:t>汇总本项目</w:t>
            </w:r>
            <w:r>
              <w:rPr>
                <w:rFonts w:cs="Times New Roman"/>
              </w:rPr>
              <w:t>与园区规划环评</w:t>
            </w:r>
            <w:r>
              <w:rPr>
                <w:rFonts w:hint="eastAsia" w:cs="Times New Roman"/>
              </w:rPr>
              <w:t>准入要求</w:t>
            </w:r>
            <w:r>
              <w:rPr>
                <w:rFonts w:cs="Times New Roman"/>
              </w:rPr>
              <w:t>符合性分析见下表。</w:t>
            </w:r>
          </w:p>
          <w:p w14:paraId="052658B8">
            <w:pPr>
              <w:pStyle w:val="13"/>
              <w:keepNext/>
              <w:rPr>
                <w:rFonts w:cs="Times New Roman"/>
              </w:rPr>
            </w:pPr>
            <w:r>
              <w:rPr>
                <w:rFonts w:cs="Times New Roman"/>
              </w:rPr>
              <w:t xml:space="preserve">表 </w:t>
            </w:r>
            <w:r>
              <w:rPr>
                <w:rFonts w:cs="Times New Roman"/>
              </w:rPr>
              <w:fldChar w:fldCharType="begin"/>
            </w:r>
            <w:r>
              <w:rPr>
                <w:rFonts w:cs="Times New Roman"/>
              </w:rPr>
              <w:instrText xml:space="preserve"> SEQ seq \c </w:instrText>
            </w:r>
            <w:r>
              <w:rPr>
                <w:rFonts w:cs="Times New Roman"/>
              </w:rPr>
              <w:fldChar w:fldCharType="separate"/>
            </w:r>
            <w:r>
              <w:rPr>
                <w:rFonts w:cs="Times New Roman"/>
              </w:rPr>
              <w:t>1</w:t>
            </w:r>
            <w:r>
              <w:rPr>
                <w:rFonts w:cs="Times New Roman"/>
              </w:rPr>
              <w:fldChar w:fldCharType="end"/>
            </w:r>
            <w:r>
              <w:rPr>
                <w:rFonts w:cs="Times New Roman"/>
              </w:rPr>
              <w:noBreakHyphen/>
            </w:r>
            <w:r>
              <w:rPr>
                <w:rFonts w:hint="eastAsia" w:cs="Times New Roman"/>
              </w:rPr>
              <w:t>3</w:t>
            </w:r>
            <w:r>
              <w:rPr>
                <w:rFonts w:cs="Times New Roman"/>
              </w:rPr>
              <w:t xml:space="preserve"> 本项目与园区规划环境影响报告书及其审查意见符合性分析</w:t>
            </w:r>
          </w:p>
          <w:tbl>
            <w:tblPr>
              <w:tblStyle w:val="3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1"/>
              <w:gridCol w:w="4420"/>
              <w:gridCol w:w="2550"/>
              <w:gridCol w:w="869"/>
            </w:tblGrid>
            <w:tr w14:paraId="66A52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Align w:val="center"/>
                </w:tcPr>
                <w:p w14:paraId="2B2635B4">
                  <w:pPr>
                    <w:pStyle w:val="53"/>
                    <w:rPr>
                      <w:rFonts w:cs="Times New Roman"/>
                    </w:rPr>
                  </w:pPr>
                  <w:r>
                    <w:rPr>
                      <w:rFonts w:cs="Times New Roman"/>
                    </w:rPr>
                    <w:t>类别</w:t>
                  </w:r>
                </w:p>
              </w:tc>
              <w:tc>
                <w:tcPr>
                  <w:tcW w:w="2564" w:type="pct"/>
                  <w:vAlign w:val="center"/>
                </w:tcPr>
                <w:p w14:paraId="73E71055">
                  <w:pPr>
                    <w:pStyle w:val="53"/>
                    <w:rPr>
                      <w:rFonts w:cs="Times New Roman"/>
                    </w:rPr>
                  </w:pPr>
                  <w:r>
                    <w:rPr>
                      <w:rFonts w:cs="Times New Roman"/>
                      <w:szCs w:val="21"/>
                    </w:rPr>
                    <w:t>规划环境影响报告书及审查意见要求</w:t>
                  </w:r>
                </w:p>
              </w:tc>
              <w:tc>
                <w:tcPr>
                  <w:tcW w:w="1479" w:type="pct"/>
                  <w:vAlign w:val="center"/>
                </w:tcPr>
                <w:p w14:paraId="026A73D6">
                  <w:pPr>
                    <w:pStyle w:val="53"/>
                    <w:rPr>
                      <w:rFonts w:cs="Times New Roman"/>
                    </w:rPr>
                  </w:pPr>
                  <w:r>
                    <w:rPr>
                      <w:rFonts w:cs="Times New Roman"/>
                      <w:szCs w:val="21"/>
                    </w:rPr>
                    <w:t>本项目情况</w:t>
                  </w:r>
                </w:p>
              </w:tc>
              <w:tc>
                <w:tcPr>
                  <w:tcW w:w="504" w:type="pct"/>
                  <w:vAlign w:val="center"/>
                </w:tcPr>
                <w:p w14:paraId="48EA7C08">
                  <w:pPr>
                    <w:pStyle w:val="53"/>
                    <w:rPr>
                      <w:rFonts w:cs="Times New Roman"/>
                    </w:rPr>
                  </w:pPr>
                  <w:r>
                    <w:rPr>
                      <w:rFonts w:cs="Times New Roman"/>
                    </w:rPr>
                    <w:t>符合性</w:t>
                  </w:r>
                </w:p>
              </w:tc>
            </w:tr>
            <w:tr w14:paraId="6F261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Align w:val="center"/>
                </w:tcPr>
                <w:p w14:paraId="69E0BB76">
                  <w:pPr>
                    <w:autoSpaceDE w:val="0"/>
                    <w:autoSpaceDN w:val="0"/>
                    <w:adjustRightInd w:val="0"/>
                    <w:spacing w:line="240" w:lineRule="auto"/>
                    <w:ind w:firstLine="0" w:firstLineChars="0"/>
                    <w:jc w:val="left"/>
                    <w:rPr>
                      <w:rFonts w:cs="Times New Roman"/>
                    </w:rPr>
                  </w:pPr>
                  <w:r>
                    <w:rPr>
                      <w:rFonts w:cs="Times New Roman"/>
                      <w:sz w:val="21"/>
                      <w:szCs w:val="21"/>
                    </w:rPr>
                    <w:t>产业定位</w:t>
                  </w:r>
                </w:p>
              </w:tc>
              <w:tc>
                <w:tcPr>
                  <w:tcW w:w="2564" w:type="pct"/>
                  <w:vAlign w:val="center"/>
                </w:tcPr>
                <w:p w14:paraId="6D848531">
                  <w:pPr>
                    <w:pStyle w:val="14"/>
                    <w:rPr>
                      <w:rFonts w:cs="Times New Roman"/>
                    </w:rPr>
                  </w:pPr>
                  <w:r>
                    <w:rPr>
                      <w:rFonts w:cs="Times New Roman"/>
                    </w:rPr>
                    <w:t>核心区：</w:t>
                  </w:r>
                  <w:bookmarkStart w:id="23" w:name="OLE_LINK107"/>
                  <w:bookmarkStart w:id="24" w:name="OLE_LINK105"/>
                  <w:bookmarkStart w:id="25" w:name="OLE_LINK106"/>
                  <w:r>
                    <w:rPr>
                      <w:rFonts w:cs="Times New Roman"/>
                    </w:rPr>
                    <w:t>以机械、电子、服装为主导产业，辅助发展生物医药、新能源新材料</w:t>
                  </w:r>
                  <w:bookmarkEnd w:id="23"/>
                  <w:bookmarkEnd w:id="24"/>
                  <w:bookmarkEnd w:id="25"/>
                </w:p>
              </w:tc>
              <w:tc>
                <w:tcPr>
                  <w:tcW w:w="1479" w:type="pct"/>
                  <w:vAlign w:val="center"/>
                </w:tcPr>
                <w:p w14:paraId="0FF69526">
                  <w:pPr>
                    <w:pStyle w:val="14"/>
                    <w:rPr>
                      <w:rFonts w:cs="Times New Roman"/>
                    </w:rPr>
                  </w:pPr>
                  <w:r>
                    <w:rPr>
                      <w:rFonts w:cs="Times New Roman"/>
                      <w:szCs w:val="21"/>
                    </w:rPr>
                    <w:t>本项目属</w:t>
                  </w:r>
                  <w:r>
                    <w:rPr>
                      <w:rFonts w:cs="Times New Roman"/>
                    </w:rPr>
                    <w:t>C</w:t>
                  </w:r>
                  <w:r>
                    <w:rPr>
                      <w:rFonts w:hint="eastAsia" w:cs="Times New Roman"/>
                    </w:rPr>
                    <w:t>2021胶合板制造</w:t>
                  </w:r>
                  <w:r>
                    <w:rPr>
                      <w:rFonts w:cs="Times New Roman"/>
                      <w:szCs w:val="21"/>
                    </w:rPr>
                    <w:t>，不属于园区主导产业，但也不属于禁止入园行业。</w:t>
                  </w:r>
                </w:p>
              </w:tc>
              <w:tc>
                <w:tcPr>
                  <w:tcW w:w="504" w:type="pct"/>
                  <w:vAlign w:val="center"/>
                </w:tcPr>
                <w:p w14:paraId="01C49F76">
                  <w:pPr>
                    <w:pStyle w:val="14"/>
                    <w:rPr>
                      <w:rFonts w:cs="Times New Roman"/>
                    </w:rPr>
                  </w:pPr>
                  <w:bookmarkStart w:id="26" w:name="OLE_LINK12"/>
                  <w:r>
                    <w:rPr>
                      <w:rFonts w:cs="Times New Roman"/>
                    </w:rPr>
                    <w:t>符合</w:t>
                  </w:r>
                  <w:bookmarkEnd w:id="26"/>
                </w:p>
              </w:tc>
            </w:tr>
            <w:tr w14:paraId="28470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restart"/>
                  <w:vAlign w:val="center"/>
                </w:tcPr>
                <w:p w14:paraId="24681EAC">
                  <w:pPr>
                    <w:pStyle w:val="14"/>
                    <w:rPr>
                      <w:rFonts w:cs="Times New Roman"/>
                    </w:rPr>
                  </w:pPr>
                  <w:r>
                    <w:rPr>
                      <w:rFonts w:cs="Times New Roman"/>
                    </w:rPr>
                    <w:t>负面准入清单</w:t>
                  </w:r>
                </w:p>
              </w:tc>
              <w:tc>
                <w:tcPr>
                  <w:tcW w:w="2564" w:type="pct"/>
                  <w:vAlign w:val="center"/>
                </w:tcPr>
                <w:p w14:paraId="496D7623">
                  <w:pPr>
                    <w:pStyle w:val="14"/>
                    <w:rPr>
                      <w:rFonts w:cs="Times New Roman"/>
                    </w:rPr>
                  </w:pPr>
                  <w:r>
                    <w:rPr>
                      <w:rFonts w:cs="Times New Roman"/>
                    </w:rPr>
                    <w:t>（</w:t>
                  </w:r>
                  <w:r>
                    <w:rPr>
                      <w:rFonts w:eastAsia="TimesNewRomanPSMT" w:cs="Times New Roman"/>
                    </w:rPr>
                    <w:t>1</w:t>
                  </w:r>
                  <w:r>
                    <w:rPr>
                      <w:rFonts w:cs="Times New Roman"/>
                    </w:rPr>
                    <w:t>）禁止新建、扩建法律法规和相关政策明令禁止的落后产能项目。禁止新建《产业结构调整指导目录》中淘汰、限制类项目，对属于限制类的现有生产能力允许企业在一定期限内采取措施改造升级。</w:t>
                  </w:r>
                </w:p>
              </w:tc>
              <w:tc>
                <w:tcPr>
                  <w:tcW w:w="1479" w:type="pct"/>
                  <w:vAlign w:val="center"/>
                </w:tcPr>
                <w:p w14:paraId="075A0BC3">
                  <w:pPr>
                    <w:pStyle w:val="14"/>
                    <w:rPr>
                      <w:rFonts w:cs="Times New Roman"/>
                    </w:rPr>
                  </w:pPr>
                  <w:r>
                    <w:rPr>
                      <w:rFonts w:cs="Times New Roman"/>
                    </w:rPr>
                    <w:t>本项目不属于《产业结构调整指导目录》中淘汰、限制类项目。</w:t>
                  </w:r>
                </w:p>
              </w:tc>
              <w:tc>
                <w:tcPr>
                  <w:tcW w:w="504" w:type="pct"/>
                  <w:vAlign w:val="center"/>
                </w:tcPr>
                <w:p w14:paraId="2481F2A9">
                  <w:pPr>
                    <w:pStyle w:val="14"/>
                    <w:rPr>
                      <w:rFonts w:cs="Times New Roman"/>
                    </w:rPr>
                  </w:pPr>
                  <w:r>
                    <w:rPr>
                      <w:rFonts w:cs="Times New Roman"/>
                    </w:rPr>
                    <w:t>符合</w:t>
                  </w:r>
                </w:p>
              </w:tc>
            </w:tr>
            <w:tr w14:paraId="36BB6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vAlign w:val="center"/>
                </w:tcPr>
                <w:p w14:paraId="47F4A5C2">
                  <w:pPr>
                    <w:pStyle w:val="14"/>
                    <w:rPr>
                      <w:rFonts w:cs="Times New Roman"/>
                    </w:rPr>
                  </w:pPr>
                </w:p>
              </w:tc>
              <w:tc>
                <w:tcPr>
                  <w:tcW w:w="2564" w:type="pct"/>
                  <w:vAlign w:val="center"/>
                </w:tcPr>
                <w:p w14:paraId="0F87D00E">
                  <w:pPr>
                    <w:pStyle w:val="14"/>
                    <w:rPr>
                      <w:rFonts w:cs="Times New Roman"/>
                    </w:rPr>
                  </w:pPr>
                  <w:r>
                    <w:rPr>
                      <w:rFonts w:cs="Times New Roman"/>
                    </w:rPr>
                    <w:t>（</w:t>
                  </w:r>
                  <w:r>
                    <w:rPr>
                      <w:rFonts w:eastAsia="TimesNewRomanPSMT" w:cs="Times New Roman"/>
                    </w:rPr>
                    <w:t>2</w:t>
                  </w:r>
                  <w:r>
                    <w:rPr>
                      <w:rFonts w:cs="Times New Roman"/>
                    </w:rPr>
                    <w:t>）禁止新建、扩建不符合国家产能置换要求的严重过剩产能行业的项目，禁止新建、扩建不符合要求的高耗能高排放项目。</w:t>
                  </w:r>
                </w:p>
              </w:tc>
              <w:tc>
                <w:tcPr>
                  <w:tcW w:w="1479" w:type="pct"/>
                  <w:vAlign w:val="center"/>
                </w:tcPr>
                <w:p w14:paraId="684574FC">
                  <w:pPr>
                    <w:pStyle w:val="14"/>
                    <w:rPr>
                      <w:rFonts w:cs="Times New Roman"/>
                    </w:rPr>
                  </w:pPr>
                  <w:r>
                    <w:rPr>
                      <w:rFonts w:cs="Times New Roman"/>
                    </w:rPr>
                    <w:t>本项目不属于产能过剩行业的项目，不属于高耗能高排放项目。</w:t>
                  </w:r>
                </w:p>
              </w:tc>
              <w:tc>
                <w:tcPr>
                  <w:tcW w:w="504" w:type="pct"/>
                  <w:vAlign w:val="center"/>
                </w:tcPr>
                <w:p w14:paraId="4BA5E7D3">
                  <w:pPr>
                    <w:pStyle w:val="14"/>
                    <w:rPr>
                      <w:rFonts w:cs="Times New Roman"/>
                    </w:rPr>
                  </w:pPr>
                  <w:r>
                    <w:rPr>
                      <w:rFonts w:cs="Times New Roman"/>
                    </w:rPr>
                    <w:t>符合</w:t>
                  </w:r>
                </w:p>
              </w:tc>
            </w:tr>
            <w:tr w14:paraId="3D276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vAlign w:val="center"/>
                </w:tcPr>
                <w:p w14:paraId="4DB6AC84">
                  <w:pPr>
                    <w:pStyle w:val="14"/>
                    <w:rPr>
                      <w:rFonts w:cs="Times New Roman"/>
                    </w:rPr>
                  </w:pPr>
                </w:p>
              </w:tc>
              <w:tc>
                <w:tcPr>
                  <w:tcW w:w="2564" w:type="pct"/>
                  <w:vAlign w:val="center"/>
                </w:tcPr>
                <w:p w14:paraId="7405128D">
                  <w:pPr>
                    <w:pStyle w:val="14"/>
                    <w:rPr>
                      <w:rFonts w:cs="Times New Roman"/>
                    </w:rPr>
                  </w:pPr>
                  <w:r>
                    <w:rPr>
                      <w:rFonts w:cs="Times New Roman"/>
                    </w:rPr>
                    <w:t>（</w:t>
                  </w:r>
                  <w:r>
                    <w:rPr>
                      <w:rFonts w:eastAsia="TimesNewRomanPSMT" w:cs="Times New Roman"/>
                    </w:rPr>
                    <w:t>3</w:t>
                  </w:r>
                  <w:r>
                    <w:rPr>
                      <w:rFonts w:cs="Times New Roman"/>
                    </w:rPr>
                    <w:t>）禁止引入不符合国家、地方重金属污染防治规范的项目。</w:t>
                  </w:r>
                </w:p>
              </w:tc>
              <w:tc>
                <w:tcPr>
                  <w:tcW w:w="1479" w:type="pct"/>
                  <w:vAlign w:val="center"/>
                </w:tcPr>
                <w:p w14:paraId="01A599D2">
                  <w:pPr>
                    <w:pStyle w:val="14"/>
                    <w:rPr>
                      <w:rFonts w:cs="Times New Roman"/>
                    </w:rPr>
                  </w:pPr>
                  <w:r>
                    <w:rPr>
                      <w:rFonts w:cs="Times New Roman"/>
                    </w:rPr>
                    <w:t>本项目不涉及重金属排放。</w:t>
                  </w:r>
                </w:p>
              </w:tc>
              <w:tc>
                <w:tcPr>
                  <w:tcW w:w="504" w:type="pct"/>
                  <w:vAlign w:val="center"/>
                </w:tcPr>
                <w:p w14:paraId="490AC4A9">
                  <w:pPr>
                    <w:pStyle w:val="14"/>
                    <w:rPr>
                      <w:rFonts w:cs="Times New Roman"/>
                    </w:rPr>
                  </w:pPr>
                  <w:r>
                    <w:rPr>
                      <w:rFonts w:cs="Times New Roman"/>
                    </w:rPr>
                    <w:t>符合</w:t>
                  </w:r>
                </w:p>
              </w:tc>
            </w:tr>
            <w:tr w14:paraId="56AAD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vAlign w:val="center"/>
                </w:tcPr>
                <w:p w14:paraId="2C20288B">
                  <w:pPr>
                    <w:pStyle w:val="14"/>
                    <w:rPr>
                      <w:rFonts w:cs="Times New Roman"/>
                    </w:rPr>
                  </w:pPr>
                </w:p>
              </w:tc>
              <w:tc>
                <w:tcPr>
                  <w:tcW w:w="2564" w:type="pct"/>
                  <w:vAlign w:val="center"/>
                </w:tcPr>
                <w:p w14:paraId="68C0362F">
                  <w:pPr>
                    <w:pStyle w:val="14"/>
                    <w:rPr>
                      <w:rFonts w:cs="Times New Roman"/>
                    </w:rPr>
                  </w:pPr>
                  <w:r>
                    <w:rPr>
                      <w:rFonts w:cs="Times New Roman"/>
                    </w:rPr>
                    <w:t>（</w:t>
                  </w:r>
                  <w:r>
                    <w:rPr>
                      <w:rFonts w:eastAsia="TimesNewRomanPSMT" w:cs="Times New Roman"/>
                    </w:rPr>
                    <w:t>4</w:t>
                  </w:r>
                  <w:r>
                    <w:rPr>
                      <w:rFonts w:cs="Times New Roman"/>
                    </w:rPr>
                    <w:t>）禁止引入清洁生产水平不能达二级或国内先进水平的项目。</w:t>
                  </w:r>
                </w:p>
              </w:tc>
              <w:tc>
                <w:tcPr>
                  <w:tcW w:w="1479" w:type="pct"/>
                  <w:vAlign w:val="center"/>
                </w:tcPr>
                <w:p w14:paraId="30EB932D">
                  <w:pPr>
                    <w:pStyle w:val="14"/>
                    <w:rPr>
                      <w:rFonts w:cs="Times New Roman"/>
                    </w:rPr>
                  </w:pPr>
                  <w:r>
                    <w:rPr>
                      <w:rFonts w:cs="Times New Roman"/>
                    </w:rPr>
                    <w:t>本项目清洁生产水平不低于全国平均水平。</w:t>
                  </w:r>
                </w:p>
              </w:tc>
              <w:tc>
                <w:tcPr>
                  <w:tcW w:w="504" w:type="pct"/>
                  <w:vAlign w:val="center"/>
                </w:tcPr>
                <w:p w14:paraId="5879E09D">
                  <w:pPr>
                    <w:pStyle w:val="14"/>
                    <w:rPr>
                      <w:rFonts w:cs="Times New Roman"/>
                    </w:rPr>
                  </w:pPr>
                  <w:r>
                    <w:rPr>
                      <w:rFonts w:cs="Times New Roman"/>
                    </w:rPr>
                    <w:t>符合</w:t>
                  </w:r>
                </w:p>
              </w:tc>
            </w:tr>
            <w:tr w14:paraId="19F1B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vAlign w:val="center"/>
                </w:tcPr>
                <w:p w14:paraId="739B962B">
                  <w:pPr>
                    <w:pStyle w:val="14"/>
                    <w:rPr>
                      <w:rFonts w:cs="Times New Roman"/>
                    </w:rPr>
                  </w:pPr>
                </w:p>
              </w:tc>
              <w:tc>
                <w:tcPr>
                  <w:tcW w:w="2564" w:type="pct"/>
                  <w:vAlign w:val="center"/>
                </w:tcPr>
                <w:p w14:paraId="32DCE4CF">
                  <w:pPr>
                    <w:pStyle w:val="14"/>
                    <w:rPr>
                      <w:rFonts w:cs="Times New Roman"/>
                    </w:rPr>
                  </w:pPr>
                  <w:r>
                    <w:rPr>
                      <w:rFonts w:cs="Times New Roman"/>
                    </w:rPr>
                    <w:t>（</w:t>
                  </w:r>
                  <w:r>
                    <w:rPr>
                      <w:rFonts w:eastAsia="TimesNewRomanPSMT" w:cs="Times New Roman"/>
                    </w:rPr>
                    <w:t>5</w:t>
                  </w:r>
                  <w:r>
                    <w:rPr>
                      <w:rFonts w:cs="Times New Roman"/>
                    </w:rPr>
                    <w:t>）禁止新建制浆造纸</w:t>
                  </w:r>
                  <w:r>
                    <w:rPr>
                      <w:rFonts w:eastAsia="TimesNewRomanPSMT" w:cs="Times New Roman"/>
                    </w:rPr>
                    <w:t>(</w:t>
                  </w:r>
                  <w:r>
                    <w:rPr>
                      <w:rFonts w:cs="Times New Roman"/>
                    </w:rPr>
                    <w:t>含废纸制浆</w:t>
                  </w:r>
                  <w:r>
                    <w:rPr>
                      <w:rFonts w:eastAsia="TimesNewRomanPSMT" w:cs="Times New Roman"/>
                    </w:rPr>
                    <w:t>)</w:t>
                  </w:r>
                  <w:r>
                    <w:rPr>
                      <w:rFonts w:cs="Times New Roman"/>
                    </w:rPr>
                    <w:t>、印染染整、制革、水泥、冶炼及与主导产业不相容的项目。</w:t>
                  </w:r>
                </w:p>
              </w:tc>
              <w:tc>
                <w:tcPr>
                  <w:tcW w:w="1479" w:type="pct"/>
                  <w:vAlign w:val="center"/>
                </w:tcPr>
                <w:p w14:paraId="5F42B655">
                  <w:pPr>
                    <w:pStyle w:val="14"/>
                    <w:rPr>
                      <w:rFonts w:cs="Times New Roman"/>
                    </w:rPr>
                  </w:pPr>
                  <w:r>
                    <w:rPr>
                      <w:rFonts w:cs="Times New Roman"/>
                    </w:rPr>
                    <w:t>本项目不属于与主导产业不相容的项目。</w:t>
                  </w:r>
                </w:p>
              </w:tc>
              <w:tc>
                <w:tcPr>
                  <w:tcW w:w="504" w:type="pct"/>
                  <w:vAlign w:val="center"/>
                </w:tcPr>
                <w:p w14:paraId="1D59D29E">
                  <w:pPr>
                    <w:pStyle w:val="14"/>
                    <w:rPr>
                      <w:rFonts w:cs="Times New Roman"/>
                    </w:rPr>
                  </w:pPr>
                  <w:r>
                    <w:rPr>
                      <w:rFonts w:cs="Times New Roman"/>
                    </w:rPr>
                    <w:t>符合</w:t>
                  </w:r>
                </w:p>
              </w:tc>
            </w:tr>
            <w:tr w14:paraId="455AA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vAlign w:val="center"/>
                </w:tcPr>
                <w:p w14:paraId="68B653B7">
                  <w:pPr>
                    <w:pStyle w:val="14"/>
                    <w:rPr>
                      <w:rFonts w:cs="Times New Roman"/>
                    </w:rPr>
                  </w:pPr>
                </w:p>
              </w:tc>
              <w:tc>
                <w:tcPr>
                  <w:tcW w:w="2564" w:type="pct"/>
                  <w:vAlign w:val="center"/>
                </w:tcPr>
                <w:p w14:paraId="35B68419">
                  <w:pPr>
                    <w:pStyle w:val="14"/>
                    <w:rPr>
                      <w:rFonts w:cs="Times New Roman"/>
                    </w:rPr>
                  </w:pPr>
                  <w:r>
                    <w:rPr>
                      <w:rFonts w:cs="Times New Roman"/>
                    </w:rPr>
                    <w:t>（</w:t>
                  </w:r>
                  <w:r>
                    <w:rPr>
                      <w:rFonts w:eastAsia="TimesNewRomanPSMT" w:cs="Times New Roman"/>
                    </w:rPr>
                    <w:t>6</w:t>
                  </w:r>
                  <w:r>
                    <w:rPr>
                      <w:rFonts w:cs="Times New Roman"/>
                    </w:rPr>
                    <w:t>）禁止高污染燃料。</w:t>
                  </w:r>
                </w:p>
              </w:tc>
              <w:tc>
                <w:tcPr>
                  <w:tcW w:w="1479" w:type="pct"/>
                  <w:vAlign w:val="center"/>
                </w:tcPr>
                <w:p w14:paraId="35F68D26">
                  <w:pPr>
                    <w:pStyle w:val="14"/>
                    <w:rPr>
                      <w:rFonts w:cs="Times New Roman"/>
                    </w:rPr>
                  </w:pPr>
                  <w:r>
                    <w:rPr>
                      <w:rFonts w:cs="Times New Roman"/>
                    </w:rPr>
                    <w:t>项目以电、天然气为能源，不涉及高污染燃料使用。</w:t>
                  </w:r>
                </w:p>
              </w:tc>
              <w:tc>
                <w:tcPr>
                  <w:tcW w:w="504" w:type="pct"/>
                  <w:vAlign w:val="center"/>
                </w:tcPr>
                <w:p w14:paraId="4E91AB05">
                  <w:pPr>
                    <w:pStyle w:val="14"/>
                    <w:rPr>
                      <w:rFonts w:cs="Times New Roman"/>
                    </w:rPr>
                  </w:pPr>
                  <w:r>
                    <w:rPr>
                      <w:rFonts w:cs="Times New Roman"/>
                    </w:rPr>
                    <w:t>符合</w:t>
                  </w:r>
                </w:p>
              </w:tc>
            </w:tr>
            <w:tr w14:paraId="7FD59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restart"/>
                  <w:vAlign w:val="center"/>
                </w:tcPr>
                <w:p w14:paraId="427F4CD1">
                  <w:pPr>
                    <w:pStyle w:val="14"/>
                    <w:rPr>
                      <w:rFonts w:cs="Times New Roman"/>
                    </w:rPr>
                  </w:pPr>
                  <w:r>
                    <w:rPr>
                      <w:rFonts w:cs="Times New Roman"/>
                    </w:rPr>
                    <w:t>分区管控要求</w:t>
                  </w:r>
                </w:p>
              </w:tc>
              <w:tc>
                <w:tcPr>
                  <w:tcW w:w="2564" w:type="pct"/>
                  <w:vAlign w:val="center"/>
                </w:tcPr>
                <w:p w14:paraId="28B2D57A">
                  <w:pPr>
                    <w:pStyle w:val="14"/>
                    <w:rPr>
                      <w:rFonts w:cs="Times New Roman"/>
                    </w:rPr>
                  </w:pPr>
                  <w:r>
                    <w:rPr>
                      <w:rFonts w:cs="Times New Roman"/>
                    </w:rPr>
                    <w:t>（1）阳台河岸线1km范围内禁止新建、改扩建化工项目(节能、安全环保改造除外)；</w:t>
                  </w:r>
                </w:p>
              </w:tc>
              <w:tc>
                <w:tcPr>
                  <w:tcW w:w="1479" w:type="pct"/>
                  <w:vAlign w:val="center"/>
                </w:tcPr>
                <w:p w14:paraId="6FB48435">
                  <w:pPr>
                    <w:pStyle w:val="14"/>
                    <w:rPr>
                      <w:rFonts w:cs="Times New Roman"/>
                    </w:rPr>
                  </w:pPr>
                  <w:r>
                    <w:rPr>
                      <w:rFonts w:cs="Times New Roman"/>
                    </w:rPr>
                    <w:t>本项目不属于化工项目。</w:t>
                  </w:r>
                </w:p>
              </w:tc>
              <w:tc>
                <w:tcPr>
                  <w:tcW w:w="504" w:type="pct"/>
                  <w:vAlign w:val="center"/>
                </w:tcPr>
                <w:p w14:paraId="7B40CBC1">
                  <w:pPr>
                    <w:pStyle w:val="14"/>
                    <w:rPr>
                      <w:rFonts w:cs="Times New Roman"/>
                    </w:rPr>
                  </w:pPr>
                  <w:r>
                    <w:rPr>
                      <w:rFonts w:cs="Times New Roman"/>
                    </w:rPr>
                    <w:t>符合</w:t>
                  </w:r>
                </w:p>
              </w:tc>
            </w:tr>
            <w:tr w14:paraId="02813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vAlign w:val="center"/>
                </w:tcPr>
                <w:p w14:paraId="40233651">
                  <w:pPr>
                    <w:pStyle w:val="14"/>
                    <w:rPr>
                      <w:rFonts w:cs="Times New Roman"/>
                    </w:rPr>
                  </w:pPr>
                </w:p>
              </w:tc>
              <w:tc>
                <w:tcPr>
                  <w:tcW w:w="2564" w:type="pct"/>
                  <w:vAlign w:val="center"/>
                </w:tcPr>
                <w:p w14:paraId="21E78949">
                  <w:pPr>
                    <w:pStyle w:val="14"/>
                    <w:rPr>
                      <w:rFonts w:cs="Times New Roman"/>
                    </w:rPr>
                  </w:pPr>
                  <w:r>
                    <w:rPr>
                      <w:rFonts w:cs="Times New Roman"/>
                    </w:rPr>
                    <w:t>（2）禁止引入化学原料药、发酵类抗生素项目；</w:t>
                  </w:r>
                </w:p>
              </w:tc>
              <w:tc>
                <w:tcPr>
                  <w:tcW w:w="1479" w:type="pct"/>
                  <w:vAlign w:val="center"/>
                </w:tcPr>
                <w:p w14:paraId="4A8A706A">
                  <w:pPr>
                    <w:pStyle w:val="14"/>
                    <w:rPr>
                      <w:rFonts w:cs="Times New Roman"/>
                    </w:rPr>
                  </w:pPr>
                  <w:r>
                    <w:rPr>
                      <w:rFonts w:cs="Times New Roman"/>
                    </w:rPr>
                    <w:t>本项目不属于化学原料药、发酵类抗生素项目。</w:t>
                  </w:r>
                </w:p>
              </w:tc>
              <w:tc>
                <w:tcPr>
                  <w:tcW w:w="504" w:type="pct"/>
                  <w:vAlign w:val="center"/>
                </w:tcPr>
                <w:p w14:paraId="3C076382">
                  <w:pPr>
                    <w:pStyle w:val="14"/>
                    <w:rPr>
                      <w:rFonts w:cs="Times New Roman"/>
                    </w:rPr>
                  </w:pPr>
                  <w:r>
                    <w:rPr>
                      <w:rFonts w:cs="Times New Roman"/>
                    </w:rPr>
                    <w:t>符合</w:t>
                  </w:r>
                </w:p>
              </w:tc>
            </w:tr>
            <w:tr w14:paraId="49B25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vAlign w:val="center"/>
                </w:tcPr>
                <w:p w14:paraId="319884A8">
                  <w:pPr>
                    <w:pStyle w:val="14"/>
                    <w:rPr>
                      <w:rFonts w:cs="Times New Roman"/>
                    </w:rPr>
                  </w:pPr>
                </w:p>
              </w:tc>
              <w:tc>
                <w:tcPr>
                  <w:tcW w:w="2564" w:type="pct"/>
                  <w:vAlign w:val="center"/>
                </w:tcPr>
                <w:p w14:paraId="4325E96A">
                  <w:pPr>
                    <w:pStyle w:val="14"/>
                    <w:rPr>
                      <w:rFonts w:cs="Times New Roman"/>
                    </w:rPr>
                  </w:pPr>
                  <w:r>
                    <w:rPr>
                      <w:rFonts w:cs="Times New Roman"/>
                    </w:rPr>
                    <w:t>（3）禁止引入专业电镀，排放含铅、汞、镉、铬、砷废水的项目；</w:t>
                  </w:r>
                </w:p>
              </w:tc>
              <w:tc>
                <w:tcPr>
                  <w:tcW w:w="1479" w:type="pct"/>
                  <w:vAlign w:val="center"/>
                </w:tcPr>
                <w:p w14:paraId="207863D2">
                  <w:pPr>
                    <w:pStyle w:val="14"/>
                    <w:rPr>
                      <w:rFonts w:cs="Times New Roman"/>
                    </w:rPr>
                  </w:pPr>
                  <w:r>
                    <w:rPr>
                      <w:rFonts w:cs="Times New Roman"/>
                    </w:rPr>
                    <w:t>本项目不涉及专业电镀，不涉及重金属排放。</w:t>
                  </w:r>
                </w:p>
              </w:tc>
              <w:tc>
                <w:tcPr>
                  <w:tcW w:w="504" w:type="pct"/>
                  <w:vAlign w:val="center"/>
                </w:tcPr>
                <w:p w14:paraId="459A40BC">
                  <w:pPr>
                    <w:pStyle w:val="14"/>
                    <w:rPr>
                      <w:rFonts w:cs="Times New Roman"/>
                    </w:rPr>
                  </w:pPr>
                  <w:r>
                    <w:rPr>
                      <w:rFonts w:cs="Times New Roman"/>
                    </w:rPr>
                    <w:t>符合</w:t>
                  </w:r>
                </w:p>
              </w:tc>
            </w:tr>
            <w:tr w14:paraId="445FE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vAlign w:val="center"/>
                </w:tcPr>
                <w:p w14:paraId="59C60107">
                  <w:pPr>
                    <w:pStyle w:val="14"/>
                    <w:rPr>
                      <w:rFonts w:cs="Times New Roman"/>
                    </w:rPr>
                  </w:pPr>
                </w:p>
              </w:tc>
              <w:tc>
                <w:tcPr>
                  <w:tcW w:w="2564" w:type="pct"/>
                  <w:vAlign w:val="center"/>
                </w:tcPr>
                <w:p w14:paraId="1C225A8A">
                  <w:pPr>
                    <w:pStyle w:val="14"/>
                    <w:rPr>
                      <w:rFonts w:cs="Times New Roman"/>
                    </w:rPr>
                  </w:pPr>
                  <w:r>
                    <w:rPr>
                      <w:rFonts w:cs="Times New Roman"/>
                    </w:rPr>
                    <w:t>（4）禁止引入危化品仓储项目。</w:t>
                  </w:r>
                </w:p>
              </w:tc>
              <w:tc>
                <w:tcPr>
                  <w:tcW w:w="1479" w:type="pct"/>
                  <w:vAlign w:val="center"/>
                </w:tcPr>
                <w:p w14:paraId="6CF8104F">
                  <w:pPr>
                    <w:pStyle w:val="14"/>
                    <w:rPr>
                      <w:rFonts w:cs="Times New Roman"/>
                    </w:rPr>
                  </w:pPr>
                  <w:r>
                    <w:rPr>
                      <w:rFonts w:cs="Times New Roman"/>
                    </w:rPr>
                    <w:t>本项目不属于危化品仓储项目。</w:t>
                  </w:r>
                </w:p>
              </w:tc>
              <w:tc>
                <w:tcPr>
                  <w:tcW w:w="504" w:type="pct"/>
                  <w:vAlign w:val="center"/>
                </w:tcPr>
                <w:p w14:paraId="03969F0A">
                  <w:pPr>
                    <w:pStyle w:val="14"/>
                    <w:rPr>
                      <w:rFonts w:cs="Times New Roman"/>
                    </w:rPr>
                  </w:pPr>
                  <w:r>
                    <w:rPr>
                      <w:rFonts w:cs="Times New Roman"/>
                    </w:rPr>
                    <w:t>符合</w:t>
                  </w:r>
                </w:p>
              </w:tc>
            </w:tr>
            <w:tr w14:paraId="43C64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Align w:val="center"/>
                </w:tcPr>
                <w:p w14:paraId="2ED37478">
                  <w:pPr>
                    <w:pStyle w:val="14"/>
                    <w:rPr>
                      <w:rFonts w:cs="Times New Roman"/>
                    </w:rPr>
                  </w:pPr>
                  <w:r>
                    <w:rPr>
                      <w:rFonts w:cs="Times New Roman"/>
                    </w:rPr>
                    <w:t>能源</w:t>
                  </w:r>
                </w:p>
                <w:p w14:paraId="0127E49B">
                  <w:pPr>
                    <w:pStyle w:val="14"/>
                    <w:rPr>
                      <w:rFonts w:cs="Times New Roman"/>
                    </w:rPr>
                  </w:pPr>
                  <w:r>
                    <w:rPr>
                      <w:rFonts w:cs="Times New Roman"/>
                    </w:rPr>
                    <w:t>规划</w:t>
                  </w:r>
                </w:p>
              </w:tc>
              <w:tc>
                <w:tcPr>
                  <w:tcW w:w="2564" w:type="pct"/>
                  <w:vAlign w:val="center"/>
                </w:tcPr>
                <w:p w14:paraId="7279CCF2">
                  <w:pPr>
                    <w:pStyle w:val="14"/>
                    <w:rPr>
                      <w:rFonts w:cs="Times New Roman"/>
                    </w:rPr>
                  </w:pPr>
                  <w:r>
                    <w:rPr>
                      <w:rFonts w:cs="Times New Roman"/>
                    </w:rPr>
                    <w:t>规划以清洁能源天然气和电为主，禁止使用燃煤。鼓励企业新建或改建燃气锅炉安装低氮燃烧器。</w:t>
                  </w:r>
                </w:p>
              </w:tc>
              <w:tc>
                <w:tcPr>
                  <w:tcW w:w="1479" w:type="pct"/>
                  <w:vAlign w:val="center"/>
                </w:tcPr>
                <w:p w14:paraId="45B85A6C">
                  <w:pPr>
                    <w:pStyle w:val="14"/>
                    <w:rPr>
                      <w:rFonts w:cs="Times New Roman"/>
                    </w:rPr>
                  </w:pPr>
                  <w:r>
                    <w:rPr>
                      <w:rFonts w:cs="Times New Roman"/>
                    </w:rPr>
                    <w:t>项目以电、天然气为能源，不涉及燃煤使用。新建的</w:t>
                  </w:r>
                  <w:r>
                    <w:rPr>
                      <w:rFonts w:hint="eastAsia" w:cs="Times New Roman"/>
                    </w:rPr>
                    <w:t>模温机自带</w:t>
                  </w:r>
                  <w:r>
                    <w:rPr>
                      <w:rFonts w:cs="Times New Roman"/>
                    </w:rPr>
                    <w:t>安装低氮燃烧器。</w:t>
                  </w:r>
                </w:p>
              </w:tc>
              <w:tc>
                <w:tcPr>
                  <w:tcW w:w="504" w:type="pct"/>
                  <w:vAlign w:val="center"/>
                </w:tcPr>
                <w:p w14:paraId="4C71C603">
                  <w:pPr>
                    <w:pStyle w:val="14"/>
                    <w:rPr>
                      <w:rFonts w:cs="Times New Roman"/>
                    </w:rPr>
                  </w:pPr>
                  <w:r>
                    <w:rPr>
                      <w:rFonts w:cs="Times New Roman"/>
                    </w:rPr>
                    <w:t>符合</w:t>
                  </w:r>
                </w:p>
              </w:tc>
            </w:tr>
            <w:tr w14:paraId="11A25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restart"/>
                  <w:vAlign w:val="center"/>
                </w:tcPr>
                <w:p w14:paraId="2892D9D5">
                  <w:pPr>
                    <w:pStyle w:val="14"/>
                    <w:rPr>
                      <w:rFonts w:cs="Times New Roman"/>
                    </w:rPr>
                  </w:pPr>
                  <w:r>
                    <w:rPr>
                      <w:rFonts w:cs="Times New Roman"/>
                    </w:rPr>
                    <w:t>环境保护规划</w:t>
                  </w:r>
                </w:p>
              </w:tc>
              <w:tc>
                <w:tcPr>
                  <w:tcW w:w="2564" w:type="pct"/>
                  <w:vAlign w:val="center"/>
                </w:tcPr>
                <w:p w14:paraId="24BB7894">
                  <w:pPr>
                    <w:pStyle w:val="14"/>
                    <w:rPr>
                      <w:rFonts w:cs="Times New Roman"/>
                      <w:bCs/>
                    </w:rPr>
                  </w:pPr>
                  <w:r>
                    <w:rPr>
                      <w:rFonts w:cs="Times New Roman"/>
                      <w:bCs/>
                    </w:rPr>
                    <w:t>水污染防治：通过治理污染，系统组织排放，提高污水处理比率，河流水质达到《地表水环境质量标准》(GB3838-2002)Ⅲ类标准。</w:t>
                  </w:r>
                </w:p>
              </w:tc>
              <w:tc>
                <w:tcPr>
                  <w:tcW w:w="1479" w:type="pct"/>
                  <w:vAlign w:val="center"/>
                </w:tcPr>
                <w:p w14:paraId="470D8215">
                  <w:pPr>
                    <w:pStyle w:val="14"/>
                    <w:rPr>
                      <w:rFonts w:cs="Times New Roman"/>
                      <w:bCs/>
                    </w:rPr>
                  </w:pPr>
                  <w:r>
                    <w:rPr>
                      <w:rFonts w:cs="Times New Roman"/>
                      <w:bCs/>
                    </w:rPr>
                    <w:t>本项目</w:t>
                  </w:r>
                  <w:r>
                    <w:rPr>
                      <w:rFonts w:hint="eastAsia" w:cs="Times New Roman"/>
                      <w:bCs/>
                    </w:rPr>
                    <w:t>无生产废水产生；生活污水预处理后</w:t>
                  </w:r>
                  <w:r>
                    <w:rPr>
                      <w:rFonts w:cs="Times New Roman"/>
                      <w:bCs/>
                    </w:rPr>
                    <w:t>经市政管网收集后送巴中经开区污水处理厂处理后达标排放。</w:t>
                  </w:r>
                </w:p>
              </w:tc>
              <w:tc>
                <w:tcPr>
                  <w:tcW w:w="504" w:type="pct"/>
                  <w:vAlign w:val="center"/>
                </w:tcPr>
                <w:p w14:paraId="6C4441EF">
                  <w:pPr>
                    <w:pStyle w:val="14"/>
                    <w:rPr>
                      <w:rFonts w:cs="Times New Roman"/>
                    </w:rPr>
                  </w:pPr>
                  <w:r>
                    <w:rPr>
                      <w:rFonts w:cs="Times New Roman"/>
                    </w:rPr>
                    <w:t>符合</w:t>
                  </w:r>
                </w:p>
              </w:tc>
            </w:tr>
            <w:tr w14:paraId="034FC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vAlign w:val="center"/>
                </w:tcPr>
                <w:p w14:paraId="1B7001D1">
                  <w:pPr>
                    <w:pStyle w:val="14"/>
                    <w:rPr>
                      <w:rFonts w:cs="Times New Roman"/>
                    </w:rPr>
                  </w:pPr>
                </w:p>
              </w:tc>
              <w:tc>
                <w:tcPr>
                  <w:tcW w:w="2564" w:type="pct"/>
                  <w:vAlign w:val="center"/>
                </w:tcPr>
                <w:p w14:paraId="330261BA">
                  <w:pPr>
                    <w:pStyle w:val="14"/>
                    <w:rPr>
                      <w:rFonts w:cs="Times New Roman"/>
                    </w:rPr>
                  </w:pPr>
                  <w:r>
                    <w:rPr>
                      <w:rFonts w:cs="Times New Roman"/>
                    </w:rPr>
                    <w:t>大气污染防治：建设烟尘控制区，且覆盖率达90%以上。在产业结构政策上，严格限制大气污染严重的项目，项目必须科学选址。改善道路和交通状况，减少汽车尾气污染。加强管理和监督，限时施工等措施减少建筑工地扬尘污染，搞好道路和城市区域绿化，减轻大气环境污染影响。</w:t>
                  </w:r>
                </w:p>
              </w:tc>
              <w:tc>
                <w:tcPr>
                  <w:tcW w:w="1479" w:type="pct"/>
                  <w:vAlign w:val="center"/>
                </w:tcPr>
                <w:p w14:paraId="7D6BFC40">
                  <w:pPr>
                    <w:pStyle w:val="14"/>
                    <w:rPr>
                      <w:rFonts w:cs="Times New Roman"/>
                    </w:rPr>
                  </w:pPr>
                  <w:r>
                    <w:rPr>
                      <w:rFonts w:cs="Times New Roman"/>
                    </w:rPr>
                    <w:t>项目各类废气均采取治理措施，能够达标排放，不会对大气环境造成明显影响。</w:t>
                  </w:r>
                </w:p>
              </w:tc>
              <w:tc>
                <w:tcPr>
                  <w:tcW w:w="504" w:type="pct"/>
                  <w:vAlign w:val="center"/>
                </w:tcPr>
                <w:p w14:paraId="32B921BB">
                  <w:pPr>
                    <w:pStyle w:val="14"/>
                    <w:rPr>
                      <w:rFonts w:cs="Times New Roman"/>
                    </w:rPr>
                  </w:pPr>
                  <w:r>
                    <w:rPr>
                      <w:rFonts w:cs="Times New Roman"/>
                    </w:rPr>
                    <w:t>符合</w:t>
                  </w:r>
                </w:p>
              </w:tc>
            </w:tr>
            <w:tr w14:paraId="178D7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vAlign w:val="center"/>
                </w:tcPr>
                <w:p w14:paraId="27968378">
                  <w:pPr>
                    <w:pStyle w:val="14"/>
                    <w:rPr>
                      <w:rFonts w:cs="Times New Roman"/>
                    </w:rPr>
                  </w:pPr>
                </w:p>
              </w:tc>
              <w:tc>
                <w:tcPr>
                  <w:tcW w:w="2564" w:type="pct"/>
                  <w:vAlign w:val="center"/>
                </w:tcPr>
                <w:p w14:paraId="543E5834">
                  <w:pPr>
                    <w:pStyle w:val="14"/>
                    <w:rPr>
                      <w:rFonts w:cs="Times New Roman"/>
                    </w:rPr>
                  </w:pPr>
                  <w:r>
                    <w:rPr>
                      <w:rFonts w:cs="Times New Roman"/>
                    </w:rPr>
                    <w:t>噪声污染防治：（1）控制噪声源，合理布局各功能区；（2）交通干道两侧建立绿化林带，其余各级道路两侧设置绿化带。</w:t>
                  </w:r>
                </w:p>
              </w:tc>
              <w:tc>
                <w:tcPr>
                  <w:tcW w:w="1479" w:type="pct"/>
                  <w:vAlign w:val="center"/>
                </w:tcPr>
                <w:p w14:paraId="76CAA9EA">
                  <w:pPr>
                    <w:pStyle w:val="14"/>
                    <w:rPr>
                      <w:rFonts w:cs="Times New Roman"/>
                    </w:rPr>
                  </w:pPr>
                  <w:r>
                    <w:rPr>
                      <w:rFonts w:cs="Times New Roman"/>
                    </w:rPr>
                    <w:t>项目通过合理布局、选用低噪声设备、距离衰减等措施降低噪声污染。</w:t>
                  </w:r>
                </w:p>
              </w:tc>
              <w:tc>
                <w:tcPr>
                  <w:tcW w:w="504" w:type="pct"/>
                  <w:vAlign w:val="center"/>
                </w:tcPr>
                <w:p w14:paraId="57E56CD8">
                  <w:pPr>
                    <w:pStyle w:val="14"/>
                    <w:rPr>
                      <w:rFonts w:cs="Times New Roman"/>
                    </w:rPr>
                  </w:pPr>
                  <w:r>
                    <w:rPr>
                      <w:rFonts w:cs="Times New Roman"/>
                    </w:rPr>
                    <w:t>符合</w:t>
                  </w:r>
                </w:p>
              </w:tc>
            </w:tr>
            <w:tr w14:paraId="6FC27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 w:type="pct"/>
                  <w:vMerge w:val="continue"/>
                  <w:vAlign w:val="center"/>
                </w:tcPr>
                <w:p w14:paraId="293246AF">
                  <w:pPr>
                    <w:pStyle w:val="14"/>
                    <w:rPr>
                      <w:rFonts w:cs="Times New Roman"/>
                    </w:rPr>
                  </w:pPr>
                </w:p>
              </w:tc>
              <w:tc>
                <w:tcPr>
                  <w:tcW w:w="2564" w:type="pct"/>
                  <w:vAlign w:val="center"/>
                </w:tcPr>
                <w:p w14:paraId="08CE6518">
                  <w:pPr>
                    <w:pStyle w:val="14"/>
                    <w:rPr>
                      <w:rFonts w:cs="Times New Roman"/>
                    </w:rPr>
                  </w:pPr>
                  <w:r>
                    <w:rPr>
                      <w:rFonts w:cs="Times New Roman"/>
                    </w:rPr>
                    <w:t>固体废物防治：经开区的生活垃圾无害化处理率达到100%，由设置垃圾转运站统一运至巴中市垃圾处理厂处理；危险废物无害化处置率达到100%，规划区各企业自建危险废物暂存间，分类收集暂存各类危险废物，并委托资质单位进行处理。</w:t>
                  </w:r>
                </w:p>
                <w:p w14:paraId="71090210">
                  <w:pPr>
                    <w:pStyle w:val="14"/>
                    <w:rPr>
                      <w:rFonts w:cs="Times New Roman"/>
                    </w:rPr>
                  </w:pPr>
                  <w:r>
                    <w:rPr>
                      <w:rFonts w:cs="Times New Roman"/>
                    </w:rPr>
                    <w:t>工业固体废弃物综合利用率达到85%以上，统一由企业自身处理后，统一运至巴中市垃圾处理厂处理。</w:t>
                  </w:r>
                </w:p>
              </w:tc>
              <w:tc>
                <w:tcPr>
                  <w:tcW w:w="1479" w:type="pct"/>
                  <w:vAlign w:val="center"/>
                </w:tcPr>
                <w:p w14:paraId="01A1106F">
                  <w:pPr>
                    <w:pStyle w:val="14"/>
                    <w:rPr>
                      <w:rFonts w:cs="Times New Roman"/>
                    </w:rPr>
                  </w:pPr>
                  <w:r>
                    <w:rPr>
                      <w:rFonts w:cs="Times New Roman"/>
                    </w:rPr>
                    <w:t>项目生活垃圾经垃圾桶收集后交由环卫部门统一清运处理；危险废物经危废暂存间收集后交由有资质单位处理；一般固废经一般固废暂存区收集后统一处理。</w:t>
                  </w:r>
                </w:p>
              </w:tc>
              <w:tc>
                <w:tcPr>
                  <w:tcW w:w="504" w:type="pct"/>
                  <w:vAlign w:val="center"/>
                </w:tcPr>
                <w:p w14:paraId="1B00261A">
                  <w:pPr>
                    <w:pStyle w:val="14"/>
                    <w:rPr>
                      <w:rFonts w:cs="Times New Roman"/>
                    </w:rPr>
                  </w:pPr>
                  <w:r>
                    <w:rPr>
                      <w:rFonts w:cs="Times New Roman"/>
                    </w:rPr>
                    <w:t>符合</w:t>
                  </w:r>
                </w:p>
              </w:tc>
            </w:tr>
          </w:tbl>
          <w:p w14:paraId="12E746E6">
            <w:pPr>
              <w:ind w:firstLine="480"/>
              <w:rPr>
                <w:rFonts w:cs="Times New Roman"/>
              </w:rPr>
            </w:pPr>
            <w:r>
              <w:rPr>
                <w:rFonts w:cs="Times New Roman"/>
              </w:rPr>
              <w:t>综上，本项目建设符合《四川巴中经济开发区规划修编环境影响报告书》与其批复的要求。</w:t>
            </w:r>
          </w:p>
        </w:tc>
      </w:tr>
      <w:tr w14:paraId="76C4D3D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1021" w:hRule="atLeast"/>
          <w:jc w:val="center"/>
        </w:trPr>
        <w:tc>
          <w:tcPr>
            <w:tcW w:w="505" w:type="pct"/>
            <w:vAlign w:val="center"/>
          </w:tcPr>
          <w:p w14:paraId="4C88D18F">
            <w:pPr>
              <w:pStyle w:val="30"/>
              <w:rPr>
                <w:rFonts w:cs="Times New Roman"/>
              </w:rPr>
            </w:pPr>
            <w:r>
              <w:rPr>
                <w:rFonts w:cs="Times New Roman"/>
              </w:rPr>
              <w:t>其他符合性分析</w:t>
            </w:r>
          </w:p>
        </w:tc>
        <w:tc>
          <w:tcPr>
            <w:tcW w:w="4495" w:type="pct"/>
            <w:gridSpan w:val="3"/>
            <w:vAlign w:val="center"/>
          </w:tcPr>
          <w:p w14:paraId="37DC4161">
            <w:pPr>
              <w:pStyle w:val="3"/>
              <w:spacing w:before="163"/>
            </w:pPr>
            <w:r>
              <w:t>1、产业政策符合性分析</w:t>
            </w:r>
          </w:p>
          <w:p w14:paraId="17C4E555">
            <w:pPr>
              <w:ind w:firstLine="480"/>
              <w:rPr>
                <w:rFonts w:cs="Times New Roman"/>
                <w:b/>
              </w:rPr>
            </w:pPr>
            <w:r>
              <w:rPr>
                <w:rFonts w:cs="Times New Roman"/>
              </w:rPr>
              <w:t>本项目产品主要为</w:t>
            </w:r>
            <w:r>
              <w:rPr>
                <w:rFonts w:hint="eastAsia" w:cs="Times New Roman"/>
              </w:rPr>
              <w:t>颗粒板贴面</w:t>
            </w:r>
            <w:r>
              <w:rPr>
                <w:rFonts w:cs="Times New Roman"/>
              </w:rPr>
              <w:t>，根据《国民经济行业分类》（</w:t>
            </w:r>
            <w:r>
              <w:rPr>
                <w:rFonts w:eastAsia="TimesNewRomanPSMT" w:cs="Times New Roman"/>
              </w:rPr>
              <w:t>GB/T 4754-2017</w:t>
            </w:r>
            <w:r>
              <w:rPr>
                <w:rFonts w:cs="Times New Roman"/>
              </w:rPr>
              <w:t>）</w:t>
            </w:r>
            <w:r>
              <w:rPr>
                <w:rFonts w:hint="eastAsia" w:cs="Times New Roman"/>
              </w:rPr>
              <w:t>、</w:t>
            </w:r>
            <w:r>
              <w:rPr>
                <w:rFonts w:eastAsia="TimesNewRomanPSMT" w:cs="Times New Roman"/>
              </w:rPr>
              <w:t>1</w:t>
            </w:r>
            <w:r>
              <w:rPr>
                <w:rFonts w:cs="Times New Roman"/>
              </w:rPr>
              <w:t>号修改清单</w:t>
            </w:r>
            <w:r>
              <w:rPr>
                <w:rFonts w:hint="eastAsia" w:cs="Times New Roman"/>
              </w:rPr>
              <w:t>及</w:t>
            </w:r>
            <w:r>
              <w:rPr>
                <w:rFonts w:hint="eastAsia" w:cs="Times New Roman"/>
                <w:bCs/>
              </w:rPr>
              <w:t>国家统计局发布的</w:t>
            </w:r>
            <w:bookmarkStart w:id="27" w:name="OLE_LINK380"/>
            <w:bookmarkStart w:id="28" w:name="OLE_LINK378"/>
            <w:bookmarkStart w:id="29" w:name="OLE_LINK379"/>
            <w:r>
              <w:rPr>
                <w:rFonts w:hint="eastAsia" w:cs="Times New Roman"/>
                <w:bCs/>
              </w:rPr>
              <w:t>《2</w:t>
            </w:r>
            <w:r>
              <w:rPr>
                <w:rFonts w:cs="Times New Roman"/>
                <w:bCs/>
              </w:rPr>
              <w:t>017</w:t>
            </w:r>
            <w:r>
              <w:rPr>
                <w:rFonts w:hint="eastAsia" w:cs="Times New Roman"/>
                <w:bCs/>
              </w:rPr>
              <w:t>国民经济行业分类注释》</w:t>
            </w:r>
            <w:r>
              <w:rPr>
                <w:rFonts w:cs="Times New Roman"/>
                <w:bCs/>
              </w:rPr>
              <w:t>，</w:t>
            </w:r>
            <w:r>
              <w:rPr>
                <w:rFonts w:hint="eastAsia" w:cs="Times New Roman"/>
                <w:bCs/>
              </w:rPr>
              <w:t>明确属于</w:t>
            </w:r>
            <w:bookmarkStart w:id="30" w:name="OLE_LINK395"/>
            <w:r>
              <w:rPr>
                <w:rFonts w:hint="eastAsia" w:cs="Times New Roman"/>
                <w:bCs/>
              </w:rPr>
              <w:t>C2021胶合板制造行业</w:t>
            </w:r>
            <w:bookmarkEnd w:id="27"/>
            <w:bookmarkEnd w:id="28"/>
            <w:bookmarkEnd w:id="29"/>
            <w:r>
              <w:rPr>
                <w:rFonts w:hint="eastAsia" w:cs="Times New Roman"/>
                <w:bCs/>
              </w:rPr>
              <w:t>。</w:t>
            </w:r>
            <w:bookmarkEnd w:id="30"/>
          </w:p>
          <w:p w14:paraId="779E9F1B">
            <w:pPr>
              <w:ind w:firstLine="480"/>
              <w:rPr>
                <w:rFonts w:cs="Times New Roman"/>
              </w:rPr>
            </w:pPr>
            <w:r>
              <w:rPr>
                <w:rFonts w:cs="Times New Roman"/>
              </w:rPr>
              <w:t>根据《产业结构调整指导目录》（</w:t>
            </w:r>
            <w:r>
              <w:rPr>
                <w:rFonts w:eastAsia="TimesNewRomanPSMT" w:cs="Times New Roman"/>
              </w:rPr>
              <w:t>2024</w:t>
            </w:r>
            <w:r>
              <w:rPr>
                <w:rFonts w:cs="Times New Roman"/>
              </w:rPr>
              <w:t>年本）中有关条款，本项目不属于鼓励类，也不属于限制类和淘汰类，属于允许建设项目。</w:t>
            </w:r>
          </w:p>
          <w:p w14:paraId="1B4AB59D">
            <w:pPr>
              <w:ind w:firstLine="480"/>
              <w:rPr>
                <w:rFonts w:cs="Times New Roman"/>
              </w:rPr>
            </w:pPr>
            <w:r>
              <w:rPr>
                <w:rFonts w:cs="Times New Roman"/>
              </w:rPr>
              <w:t>根据工信部《部分工业行业淘汰落后生产工艺装备和产品指导目录（</w:t>
            </w:r>
            <w:r>
              <w:rPr>
                <w:rFonts w:eastAsia="TimesNewRomanPSMT" w:cs="Times New Roman"/>
              </w:rPr>
              <w:t>2010</w:t>
            </w:r>
            <w:r>
              <w:rPr>
                <w:rFonts w:cs="Times New Roman"/>
              </w:rPr>
              <w:t>年本）》，本项目选用生产设备中无该指导名录中要求淘汰的生产工艺装备。</w:t>
            </w:r>
          </w:p>
          <w:p w14:paraId="1C26039B">
            <w:pPr>
              <w:ind w:firstLine="480"/>
              <w:rPr>
                <w:rFonts w:cs="Times New Roman"/>
              </w:rPr>
            </w:pPr>
            <w:r>
              <w:rPr>
                <w:rFonts w:cs="Times New Roman"/>
              </w:rPr>
              <w:t>根据《限制用地项目目录（</w:t>
            </w:r>
            <w:r>
              <w:rPr>
                <w:rFonts w:eastAsia="TimesNewRomanPSMT" w:cs="Times New Roman"/>
              </w:rPr>
              <w:t>2012</w:t>
            </w:r>
            <w:r>
              <w:rPr>
                <w:rFonts w:cs="Times New Roman"/>
              </w:rPr>
              <w:t>年本）》和《禁止用地项目目录（</w:t>
            </w:r>
            <w:r>
              <w:rPr>
                <w:rFonts w:eastAsia="TimesNewRomanPSMT" w:cs="Times New Roman"/>
              </w:rPr>
              <w:t>2012</w:t>
            </w:r>
            <w:r>
              <w:rPr>
                <w:rFonts w:cs="Times New Roman"/>
              </w:rPr>
              <w:t>年本）》，本项目未列入《限制用地项目目录（</w:t>
            </w:r>
            <w:r>
              <w:rPr>
                <w:rFonts w:eastAsia="TimesNewRomanPSMT" w:cs="Times New Roman"/>
              </w:rPr>
              <w:t>2012</w:t>
            </w:r>
            <w:r>
              <w:rPr>
                <w:rFonts w:cs="Times New Roman"/>
              </w:rPr>
              <w:t>年本）》和《禁止用地项目目录（</w:t>
            </w:r>
            <w:r>
              <w:rPr>
                <w:rFonts w:eastAsia="TimesNewRomanPSMT" w:cs="Times New Roman"/>
              </w:rPr>
              <w:t>2012</w:t>
            </w:r>
            <w:r>
              <w:rPr>
                <w:rFonts w:cs="Times New Roman"/>
              </w:rPr>
              <w:t>年本）》中，不属于限制和禁止的项目。</w:t>
            </w:r>
          </w:p>
          <w:p w14:paraId="7965144B">
            <w:pPr>
              <w:ind w:firstLine="480"/>
              <w:rPr>
                <w:rFonts w:cs="Times New Roman"/>
              </w:rPr>
            </w:pPr>
            <w:r>
              <w:rPr>
                <w:rFonts w:cs="Times New Roman"/>
              </w:rPr>
              <w:t>本项目不属于《市场准入负面清单（</w:t>
            </w:r>
            <w:r>
              <w:rPr>
                <w:rFonts w:eastAsia="TimesNewRomanPSMT" w:cs="Times New Roman"/>
              </w:rPr>
              <w:t>2022</w:t>
            </w:r>
            <w:r>
              <w:rPr>
                <w:rFonts w:cs="Times New Roman"/>
              </w:rPr>
              <w:t>年版）》中所列示的负面清单行业。同时，项目经四川巴中经济开发区</w:t>
            </w:r>
            <w:r>
              <w:rPr>
                <w:rFonts w:hint="eastAsia" w:cs="Times New Roman"/>
              </w:rPr>
              <w:t>科技创新和</w:t>
            </w:r>
            <w:r>
              <w:rPr>
                <w:rFonts w:cs="Times New Roman"/>
              </w:rPr>
              <w:t>经济发展局以“川投资备【2309-511924-04-01-828166】 FGQB-0027号”进行备案。</w:t>
            </w:r>
          </w:p>
          <w:p w14:paraId="35C869EC">
            <w:pPr>
              <w:ind w:firstLine="480"/>
              <w:rPr>
                <w:rFonts w:cs="Times New Roman"/>
              </w:rPr>
            </w:pPr>
            <w:r>
              <w:rPr>
                <w:rFonts w:cs="Times New Roman"/>
              </w:rPr>
              <w:t>综上，本项目符合国家现行产业政策。</w:t>
            </w:r>
          </w:p>
          <w:p w14:paraId="64945321">
            <w:pPr>
              <w:pStyle w:val="3"/>
              <w:spacing w:before="163"/>
            </w:pPr>
            <w:r>
              <w:t>2、土地利用规划符合性分析</w:t>
            </w:r>
          </w:p>
          <w:p w14:paraId="2946155F">
            <w:pPr>
              <w:ind w:firstLine="480"/>
              <w:rPr>
                <w:rFonts w:cs="Times New Roman"/>
              </w:rPr>
            </w:pPr>
            <w:r>
              <w:rPr>
                <w:rFonts w:cs="Times New Roman"/>
              </w:rPr>
              <w:t>本项目位于巴中市经济开发区</w:t>
            </w:r>
            <w:bookmarkStart w:id="31" w:name="OLE_LINK1"/>
            <w:bookmarkStart w:id="32" w:name="OLE_LINK5"/>
            <w:r>
              <w:rPr>
                <w:rFonts w:cs="Times New Roman"/>
              </w:rPr>
              <w:t>兴文街道</w:t>
            </w:r>
            <w:bookmarkEnd w:id="31"/>
            <w:r>
              <w:rPr>
                <w:rFonts w:hint="eastAsia" w:cs="Times New Roman"/>
              </w:rPr>
              <w:t>办事处中山北路21号附1号</w:t>
            </w:r>
            <w:bookmarkEnd w:id="32"/>
            <w:r>
              <w:rPr>
                <w:rFonts w:cs="Times New Roman"/>
              </w:rPr>
              <w:t>。本项目</w:t>
            </w:r>
            <w:r>
              <w:rPr>
                <w:rFonts w:hint="eastAsia" w:cs="Times New Roman"/>
              </w:rPr>
              <w:t>属于改扩建，在原有厂址的二车间新增设备新建一条颗粒板贴面生产线。四川森港莱工贸有限公司已取得房屋不动产权证（川 (2022) 巴中市市不动产权第0005652号），房屋用途为工业用地，宗地面积为23334.69平方米，建筑面积3172.64平方米。</w:t>
            </w:r>
          </w:p>
          <w:p w14:paraId="00AEA513">
            <w:pPr>
              <w:ind w:firstLine="480"/>
              <w:rPr>
                <w:rFonts w:cs="Times New Roman"/>
                <w:bCs/>
              </w:rPr>
            </w:pPr>
            <w:r>
              <w:rPr>
                <w:rFonts w:hint="eastAsia" w:cs="Times New Roman"/>
                <w:bCs/>
              </w:rPr>
              <w:t>根据四川巴中经济开发区规划修编土地利用规划图，本项目所在地块属工业用地。</w:t>
            </w:r>
          </w:p>
          <w:p w14:paraId="46FF68EC">
            <w:pPr>
              <w:ind w:firstLine="480"/>
              <w:rPr>
                <w:rFonts w:cs="Times New Roman"/>
              </w:rPr>
            </w:pPr>
            <w:r>
              <w:rPr>
                <w:rFonts w:hint="eastAsia" w:cs="Times New Roman"/>
              </w:rPr>
              <w:t>综上</w:t>
            </w:r>
            <w:r>
              <w:rPr>
                <w:rFonts w:cs="Times New Roman"/>
              </w:rPr>
              <w:t>，本项目用地符合当地土地利用规划。</w:t>
            </w:r>
          </w:p>
          <w:p w14:paraId="4F690737">
            <w:pPr>
              <w:pStyle w:val="3"/>
              <w:spacing w:before="163"/>
            </w:pPr>
            <w:r>
              <w:rPr>
                <w:rFonts w:hint="eastAsia"/>
              </w:rPr>
              <w:t>3、与巴中市国土空间总体规划（2021—2035年）符合性分析</w:t>
            </w:r>
          </w:p>
          <w:p w14:paraId="0B46BA5A">
            <w:pPr>
              <w:ind w:firstLine="480"/>
            </w:pPr>
            <w:r>
              <w:t>根据</w:t>
            </w:r>
            <w:r>
              <w:rPr>
                <w:rFonts w:hint="eastAsia"/>
              </w:rPr>
              <w:t>2025年06月26日巴中市自然资源和规划局巴中市投资促进局发布的《巴中市国土空间总体规划》（2021—2035年），本项目与巴中市国土空间总体规划的符合性见下表。</w:t>
            </w:r>
          </w:p>
          <w:p w14:paraId="3367BB5B">
            <w:pPr>
              <w:pStyle w:val="13"/>
              <w:keepNext/>
              <w:spacing w:after="0" w:line="360" w:lineRule="auto"/>
              <w:rPr>
                <w:rFonts w:cs="Times New Roman"/>
              </w:rPr>
            </w:pPr>
            <w:r>
              <w:rPr>
                <w:rFonts w:cs="Times New Roman"/>
              </w:rPr>
              <w:t xml:space="preserve">表 </w:t>
            </w:r>
            <w:r>
              <w:rPr>
                <w:rFonts w:cs="Times New Roman"/>
              </w:rPr>
              <w:fldChar w:fldCharType="begin"/>
            </w:r>
            <w:r>
              <w:rPr>
                <w:rFonts w:cs="Times New Roman"/>
              </w:rPr>
              <w:instrText xml:space="preserve"> SEQ seq \c </w:instrText>
            </w:r>
            <w:r>
              <w:rPr>
                <w:rFonts w:cs="Times New Roman"/>
              </w:rPr>
              <w:fldChar w:fldCharType="separate"/>
            </w:r>
            <w:r>
              <w:rPr>
                <w:rFonts w:cs="Times New Roman"/>
              </w:rPr>
              <w:t>1</w:t>
            </w:r>
            <w:r>
              <w:rPr>
                <w:rFonts w:cs="Times New Roman"/>
              </w:rPr>
              <w:fldChar w:fldCharType="end"/>
            </w:r>
            <w:r>
              <w:rPr>
                <w:rFonts w:cs="Times New Roman"/>
              </w:rPr>
              <w:noBreakHyphen/>
            </w:r>
            <w:r>
              <w:rPr>
                <w:rFonts w:hint="eastAsia" w:cs="Times New Roman"/>
              </w:rPr>
              <w:t>4项目与</w:t>
            </w:r>
            <w:r>
              <w:rPr>
                <w:rFonts w:hint="eastAsia"/>
              </w:rPr>
              <w:t>《巴中市国土空间总体规划》（2021—2035年）符合性分析</w:t>
            </w:r>
          </w:p>
          <w:tbl>
            <w:tblPr>
              <w:tblStyle w:val="34"/>
              <w:tblW w:w="90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8"/>
              <w:gridCol w:w="5520"/>
              <w:gridCol w:w="2040"/>
              <w:gridCol w:w="822"/>
            </w:tblGrid>
            <w:tr w14:paraId="10913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8" w:type="dxa"/>
                </w:tcPr>
                <w:p w14:paraId="2D8B4F6D">
                  <w:pPr>
                    <w:snapToGrid w:val="0"/>
                    <w:spacing w:line="240" w:lineRule="auto"/>
                    <w:ind w:firstLine="0" w:firstLineChars="0"/>
                    <w:rPr>
                      <w:rFonts w:hint="eastAsia" w:ascii="宋体" w:hAnsi="宋体" w:cs="宋体"/>
                      <w:sz w:val="21"/>
                      <w:szCs w:val="21"/>
                    </w:rPr>
                  </w:pPr>
                  <w:r>
                    <w:rPr>
                      <w:rFonts w:hint="eastAsia" w:ascii="宋体" w:hAnsi="宋体" w:cs="宋体"/>
                      <w:sz w:val="21"/>
                      <w:szCs w:val="21"/>
                    </w:rPr>
                    <w:t>编号</w:t>
                  </w:r>
                </w:p>
              </w:tc>
              <w:tc>
                <w:tcPr>
                  <w:tcW w:w="5520" w:type="dxa"/>
                </w:tcPr>
                <w:p w14:paraId="5472D95F">
                  <w:pPr>
                    <w:snapToGrid w:val="0"/>
                    <w:spacing w:line="240" w:lineRule="auto"/>
                    <w:ind w:firstLine="0" w:firstLineChars="0"/>
                    <w:rPr>
                      <w:rFonts w:hint="eastAsia" w:ascii="宋体" w:hAnsi="宋体" w:cs="宋体"/>
                      <w:sz w:val="21"/>
                      <w:szCs w:val="21"/>
                    </w:rPr>
                  </w:pPr>
                  <w:r>
                    <w:rPr>
                      <w:rFonts w:hint="eastAsia" w:ascii="宋体" w:hAnsi="宋体" w:cs="宋体"/>
                      <w:sz w:val="21"/>
                      <w:szCs w:val="21"/>
                    </w:rPr>
                    <w:t>要求</w:t>
                  </w:r>
                </w:p>
              </w:tc>
              <w:tc>
                <w:tcPr>
                  <w:tcW w:w="2040" w:type="dxa"/>
                </w:tcPr>
                <w:p w14:paraId="5509E402">
                  <w:pPr>
                    <w:snapToGrid w:val="0"/>
                    <w:spacing w:line="240" w:lineRule="auto"/>
                    <w:ind w:firstLine="0" w:firstLineChars="0"/>
                    <w:rPr>
                      <w:rFonts w:hint="eastAsia" w:ascii="宋体" w:hAnsi="宋体" w:cs="宋体"/>
                      <w:sz w:val="21"/>
                      <w:szCs w:val="21"/>
                    </w:rPr>
                  </w:pPr>
                  <w:r>
                    <w:rPr>
                      <w:rFonts w:hint="eastAsia" w:ascii="宋体" w:hAnsi="宋体" w:cs="宋体"/>
                      <w:sz w:val="21"/>
                      <w:szCs w:val="21"/>
                    </w:rPr>
                    <w:t>本项目情况</w:t>
                  </w:r>
                </w:p>
              </w:tc>
              <w:tc>
                <w:tcPr>
                  <w:tcW w:w="822" w:type="dxa"/>
                </w:tcPr>
                <w:p w14:paraId="777CFA0A">
                  <w:pPr>
                    <w:snapToGrid w:val="0"/>
                    <w:spacing w:line="240" w:lineRule="auto"/>
                    <w:ind w:firstLine="0" w:firstLineChars="0"/>
                    <w:rPr>
                      <w:rFonts w:hint="eastAsia" w:ascii="宋体" w:hAnsi="宋体" w:cs="宋体"/>
                      <w:sz w:val="21"/>
                      <w:szCs w:val="21"/>
                    </w:rPr>
                  </w:pPr>
                  <w:r>
                    <w:rPr>
                      <w:rFonts w:hint="eastAsia" w:ascii="宋体" w:hAnsi="宋体" w:cs="宋体"/>
                      <w:sz w:val="21"/>
                      <w:szCs w:val="21"/>
                    </w:rPr>
                    <w:t>符合性</w:t>
                  </w:r>
                </w:p>
              </w:tc>
            </w:tr>
            <w:tr w14:paraId="74FC0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8" w:type="dxa"/>
                </w:tcPr>
                <w:p w14:paraId="2F347090">
                  <w:pPr>
                    <w:snapToGrid w:val="0"/>
                    <w:spacing w:line="240" w:lineRule="auto"/>
                    <w:ind w:firstLine="0" w:firstLineChars="0"/>
                    <w:rPr>
                      <w:rFonts w:hint="eastAsia" w:ascii="宋体" w:hAnsi="宋体" w:cs="宋体"/>
                      <w:sz w:val="21"/>
                      <w:szCs w:val="21"/>
                    </w:rPr>
                  </w:pPr>
                  <w:r>
                    <w:rPr>
                      <w:rFonts w:hint="eastAsia" w:ascii="宋体" w:hAnsi="宋体" w:cs="宋体"/>
                      <w:sz w:val="21"/>
                      <w:szCs w:val="21"/>
                    </w:rPr>
                    <w:t>1</w:t>
                  </w:r>
                </w:p>
              </w:tc>
              <w:tc>
                <w:tcPr>
                  <w:tcW w:w="5520" w:type="dxa"/>
                </w:tcPr>
                <w:p w14:paraId="09CF16E3">
                  <w:pPr>
                    <w:pStyle w:val="28"/>
                    <w:widowControl/>
                    <w:wordWrap w:val="0"/>
                    <w:snapToGrid w:val="0"/>
                    <w:spacing w:beforeAutospacing="0" w:afterAutospacing="0" w:line="240" w:lineRule="auto"/>
                    <w:ind w:firstLine="0" w:firstLineChars="0"/>
                    <w:jc w:val="both"/>
                    <w:rPr>
                      <w:rFonts w:hint="eastAsia" w:ascii="宋体" w:hAnsi="宋体" w:cs="宋体"/>
                      <w:sz w:val="21"/>
                      <w:szCs w:val="21"/>
                    </w:rPr>
                  </w:pPr>
                  <w:r>
                    <w:rPr>
                      <w:rFonts w:hint="eastAsia" w:ascii="宋体" w:hAnsi="宋体" w:cs="宋体"/>
                      <w:sz w:val="21"/>
                      <w:szCs w:val="21"/>
                      <w:shd w:val="clear" w:color="auto" w:fill="FFFFFF"/>
                    </w:rPr>
                    <w:t>第81条 推动先进制造业与城镇协调布局</w:t>
                  </w:r>
                </w:p>
                <w:p w14:paraId="68ADBC62">
                  <w:pPr>
                    <w:snapToGrid w:val="0"/>
                    <w:spacing w:line="240" w:lineRule="auto"/>
                    <w:ind w:firstLine="0" w:firstLineChars="0"/>
                    <w:rPr>
                      <w:rFonts w:hint="eastAsia" w:ascii="宋体" w:hAnsi="宋体" w:cs="宋体"/>
                      <w:sz w:val="21"/>
                      <w:szCs w:val="21"/>
                    </w:rPr>
                  </w:pPr>
                  <w:r>
                    <w:rPr>
                      <w:rFonts w:hint="eastAsia" w:ascii="宋体" w:hAnsi="宋体" w:cs="宋体"/>
                      <w:sz w:val="21"/>
                      <w:szCs w:val="21"/>
                      <w:shd w:val="clear" w:color="auto" w:fill="FFFFFF"/>
                    </w:rPr>
                    <w:t>立足工业园区产业基础、要素禀赋、交通区位等条件，按照“大园区小集中、小切口大发展”思路，坚持全市一盘棋，坚持因地制宜、因势利导、差异发展，突出四川巴中经济开发区引领带动功能，加快做大做强县（区）“1+1”产业，引导园区探索培育符合自身比较优势、契合资源要素特征的产业，持续提升细分产业显示度，构建“一核引领、五区联动”工业园区空间布局。</w:t>
                  </w:r>
                </w:p>
              </w:tc>
              <w:tc>
                <w:tcPr>
                  <w:tcW w:w="2040" w:type="dxa"/>
                </w:tcPr>
                <w:p w14:paraId="6C20E519">
                  <w:pPr>
                    <w:snapToGrid w:val="0"/>
                    <w:spacing w:line="240" w:lineRule="auto"/>
                    <w:ind w:firstLine="0" w:firstLineChars="0"/>
                    <w:rPr>
                      <w:rFonts w:hint="eastAsia" w:ascii="宋体" w:hAnsi="宋体" w:cs="宋体"/>
                      <w:sz w:val="21"/>
                      <w:szCs w:val="21"/>
                    </w:rPr>
                  </w:pPr>
                  <w:r>
                    <w:rPr>
                      <w:rFonts w:hint="eastAsia" w:ascii="宋体" w:hAnsi="宋体" w:cs="宋体"/>
                      <w:sz w:val="21"/>
                      <w:szCs w:val="21"/>
                    </w:rPr>
                    <w:t>项目位于工业园区内，符合园区发展规划。项目建成后能带动地方经济，实现年产值1000万，带动就业。</w:t>
                  </w:r>
                </w:p>
              </w:tc>
              <w:tc>
                <w:tcPr>
                  <w:tcW w:w="822" w:type="dxa"/>
                </w:tcPr>
                <w:p w14:paraId="4501E6B2">
                  <w:pPr>
                    <w:snapToGrid w:val="0"/>
                    <w:spacing w:line="240" w:lineRule="auto"/>
                    <w:ind w:firstLine="0" w:firstLineChars="0"/>
                    <w:rPr>
                      <w:rFonts w:hint="eastAsia" w:ascii="宋体" w:hAnsi="宋体" w:cs="宋体"/>
                      <w:sz w:val="21"/>
                      <w:szCs w:val="21"/>
                    </w:rPr>
                  </w:pPr>
                  <w:r>
                    <w:rPr>
                      <w:rFonts w:hint="eastAsia" w:ascii="宋体" w:hAnsi="宋体" w:cs="宋体"/>
                      <w:sz w:val="21"/>
                      <w:szCs w:val="21"/>
                    </w:rPr>
                    <w:t>符合</w:t>
                  </w:r>
                </w:p>
              </w:tc>
            </w:tr>
            <w:tr w14:paraId="1EF9A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8" w:type="dxa"/>
                </w:tcPr>
                <w:p w14:paraId="0305090F">
                  <w:pPr>
                    <w:snapToGrid w:val="0"/>
                    <w:spacing w:line="240" w:lineRule="auto"/>
                    <w:ind w:firstLine="0" w:firstLineChars="0"/>
                    <w:rPr>
                      <w:rFonts w:hint="eastAsia" w:ascii="宋体" w:hAnsi="宋体" w:cs="宋体"/>
                      <w:sz w:val="21"/>
                      <w:szCs w:val="21"/>
                    </w:rPr>
                  </w:pPr>
                  <w:r>
                    <w:rPr>
                      <w:rFonts w:hint="eastAsia" w:ascii="宋体" w:hAnsi="宋体" w:cs="宋体"/>
                      <w:sz w:val="21"/>
                      <w:szCs w:val="21"/>
                    </w:rPr>
                    <w:t>2</w:t>
                  </w:r>
                </w:p>
              </w:tc>
              <w:tc>
                <w:tcPr>
                  <w:tcW w:w="5520" w:type="dxa"/>
                </w:tcPr>
                <w:p w14:paraId="7339451C">
                  <w:pPr>
                    <w:pStyle w:val="28"/>
                    <w:widowControl/>
                    <w:wordWrap w:val="0"/>
                    <w:snapToGrid w:val="0"/>
                    <w:spacing w:beforeAutospacing="0" w:afterAutospacing="0" w:line="240" w:lineRule="auto"/>
                    <w:ind w:firstLine="0" w:firstLineChars="0"/>
                    <w:jc w:val="both"/>
                    <w:rPr>
                      <w:rFonts w:hint="eastAsia" w:ascii="宋体" w:hAnsi="宋体" w:cs="宋体"/>
                      <w:sz w:val="21"/>
                      <w:szCs w:val="21"/>
                    </w:rPr>
                  </w:pPr>
                  <w:r>
                    <w:rPr>
                      <w:rFonts w:hint="eastAsia" w:ascii="宋体" w:hAnsi="宋体" w:cs="宋体"/>
                      <w:sz w:val="21"/>
                      <w:szCs w:val="21"/>
                      <w:shd w:val="clear" w:color="auto" w:fill="FFFFFF"/>
                    </w:rPr>
                    <w:t>第82条 统筹产业园区与城镇功能空间布局</w:t>
                  </w:r>
                </w:p>
                <w:p w14:paraId="771D3A02">
                  <w:pPr>
                    <w:pStyle w:val="28"/>
                    <w:widowControl/>
                    <w:wordWrap w:val="0"/>
                    <w:snapToGrid w:val="0"/>
                    <w:spacing w:beforeAutospacing="0" w:afterAutospacing="0" w:line="240" w:lineRule="auto"/>
                    <w:ind w:firstLine="0" w:firstLineChars="0"/>
                    <w:jc w:val="both"/>
                    <w:rPr>
                      <w:rFonts w:hint="eastAsia" w:ascii="宋体" w:hAnsi="宋体" w:cs="宋体"/>
                      <w:sz w:val="21"/>
                      <w:szCs w:val="21"/>
                    </w:rPr>
                  </w:pPr>
                  <w:r>
                    <w:rPr>
                      <w:rFonts w:hint="eastAsia" w:ascii="宋体" w:hAnsi="宋体" w:cs="宋体"/>
                      <w:sz w:val="21"/>
                      <w:szCs w:val="21"/>
                      <w:shd w:val="clear" w:color="auto" w:fill="FFFFFF"/>
                    </w:rPr>
                    <w:t>根据行业类型和环保要求，加强新建开发（园）区与市县国土空间规划的衔接，科学推进产城融合。巴中市现有两个省级经济开发区，其中四川巴中经济开发区于2003年设立，主导产业为机械电子、服装纺织和食品医药，四至范围东至巴州区兴文镇郑家山村和玲珑村，结合巴中市发展需求，省级经济开发区努力打造国家级经济开发区，积极推进经济开发区的扩区建设，优先保障产业园区的用地，优化产业发展方向，支撑产业培育振兴，加强产业园区与城区的通道联系和设施对接，引领园区高质量发展。</w:t>
                  </w:r>
                </w:p>
              </w:tc>
              <w:tc>
                <w:tcPr>
                  <w:tcW w:w="2040" w:type="dxa"/>
                </w:tcPr>
                <w:p w14:paraId="374752CB">
                  <w:pPr>
                    <w:snapToGrid w:val="0"/>
                    <w:spacing w:line="240" w:lineRule="auto"/>
                    <w:ind w:firstLine="0" w:firstLineChars="0"/>
                    <w:rPr>
                      <w:rFonts w:hint="eastAsia" w:ascii="宋体" w:hAnsi="宋体" w:cs="宋体"/>
                      <w:sz w:val="21"/>
                      <w:szCs w:val="21"/>
                    </w:rPr>
                  </w:pPr>
                  <w:r>
                    <w:rPr>
                      <w:rFonts w:hint="eastAsia" w:ascii="宋体" w:hAnsi="宋体" w:cs="宋体"/>
                      <w:sz w:val="21"/>
                      <w:szCs w:val="21"/>
                      <w:shd w:val="clear" w:color="auto" w:fill="FFFFFF"/>
                    </w:rPr>
                    <w:t>项目位于巴中经济开发区，用地性质为工业，产品为家具制造类，符合园区与城镇功能空间布局。</w:t>
                  </w:r>
                </w:p>
              </w:tc>
              <w:tc>
                <w:tcPr>
                  <w:tcW w:w="822" w:type="dxa"/>
                </w:tcPr>
                <w:p w14:paraId="463FF729">
                  <w:pPr>
                    <w:snapToGrid w:val="0"/>
                    <w:spacing w:line="240" w:lineRule="auto"/>
                    <w:ind w:firstLine="0" w:firstLineChars="0"/>
                    <w:rPr>
                      <w:rFonts w:hint="eastAsia" w:ascii="宋体" w:hAnsi="宋体" w:cs="宋体"/>
                      <w:sz w:val="21"/>
                      <w:szCs w:val="21"/>
                    </w:rPr>
                  </w:pPr>
                  <w:r>
                    <w:rPr>
                      <w:rFonts w:hint="eastAsia" w:ascii="宋体" w:hAnsi="宋体" w:cs="宋体"/>
                      <w:sz w:val="21"/>
                      <w:szCs w:val="21"/>
                    </w:rPr>
                    <w:t>符合</w:t>
                  </w:r>
                </w:p>
              </w:tc>
            </w:tr>
            <w:tr w14:paraId="11E99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8" w:type="dxa"/>
                </w:tcPr>
                <w:p w14:paraId="6AE1AF4A">
                  <w:pPr>
                    <w:snapToGrid w:val="0"/>
                    <w:spacing w:line="240" w:lineRule="auto"/>
                    <w:ind w:firstLine="0" w:firstLineChars="0"/>
                    <w:rPr>
                      <w:rFonts w:hint="eastAsia" w:ascii="宋体" w:hAnsi="宋体" w:cs="宋体"/>
                      <w:sz w:val="21"/>
                      <w:szCs w:val="21"/>
                    </w:rPr>
                  </w:pPr>
                  <w:r>
                    <w:rPr>
                      <w:rFonts w:hint="eastAsia" w:ascii="宋体" w:hAnsi="宋体" w:cs="宋体"/>
                      <w:sz w:val="21"/>
                      <w:szCs w:val="21"/>
                    </w:rPr>
                    <w:t>3</w:t>
                  </w:r>
                </w:p>
              </w:tc>
              <w:tc>
                <w:tcPr>
                  <w:tcW w:w="5520" w:type="dxa"/>
                </w:tcPr>
                <w:p w14:paraId="6F0E976D">
                  <w:pPr>
                    <w:pStyle w:val="28"/>
                    <w:widowControl/>
                    <w:wordWrap w:val="0"/>
                    <w:snapToGrid w:val="0"/>
                    <w:spacing w:beforeAutospacing="0" w:afterAutospacing="0" w:line="240" w:lineRule="auto"/>
                    <w:ind w:firstLine="0" w:firstLineChars="0"/>
                    <w:jc w:val="both"/>
                    <w:rPr>
                      <w:rFonts w:hint="eastAsia" w:ascii="宋体" w:hAnsi="宋体" w:cs="宋体"/>
                      <w:sz w:val="21"/>
                      <w:szCs w:val="21"/>
                    </w:rPr>
                  </w:pPr>
                  <w:r>
                    <w:rPr>
                      <w:rFonts w:hint="eastAsia" w:ascii="宋体" w:hAnsi="宋体" w:cs="宋体"/>
                      <w:sz w:val="21"/>
                      <w:szCs w:val="21"/>
                      <w:shd w:val="clear" w:color="auto" w:fill="FFFFFF"/>
                    </w:rPr>
                    <w:t>第83条 工业用地控制线</w:t>
                  </w:r>
                </w:p>
                <w:p w14:paraId="1DD42005">
                  <w:pPr>
                    <w:snapToGrid w:val="0"/>
                    <w:spacing w:line="240" w:lineRule="auto"/>
                    <w:ind w:firstLine="0" w:firstLineChars="0"/>
                    <w:rPr>
                      <w:rFonts w:hint="eastAsia" w:ascii="宋体" w:hAnsi="宋体" w:cs="宋体"/>
                      <w:sz w:val="21"/>
                      <w:szCs w:val="21"/>
                    </w:rPr>
                  </w:pPr>
                  <w:r>
                    <w:rPr>
                      <w:rFonts w:hint="eastAsia" w:ascii="宋体" w:hAnsi="宋体" w:cs="宋体"/>
                      <w:sz w:val="21"/>
                      <w:szCs w:val="21"/>
                      <w:shd w:val="clear" w:color="auto" w:fill="FFFFFF"/>
                    </w:rPr>
                    <w:t>按照行业主管部门正式发布的与工业用地控制线相关的管理要求执行。</w:t>
                  </w:r>
                </w:p>
              </w:tc>
              <w:tc>
                <w:tcPr>
                  <w:tcW w:w="2040" w:type="dxa"/>
                </w:tcPr>
                <w:p w14:paraId="6DDD1730">
                  <w:pPr>
                    <w:snapToGrid w:val="0"/>
                    <w:spacing w:line="240" w:lineRule="auto"/>
                    <w:ind w:firstLine="0" w:firstLineChars="0"/>
                    <w:rPr>
                      <w:rFonts w:hint="eastAsia" w:ascii="宋体" w:hAnsi="宋体" w:cs="宋体"/>
                      <w:sz w:val="21"/>
                      <w:szCs w:val="21"/>
                    </w:rPr>
                  </w:pPr>
                  <w:r>
                    <w:rPr>
                      <w:rFonts w:hint="eastAsia" w:ascii="宋体" w:hAnsi="宋体" w:cs="宋体"/>
                      <w:sz w:val="21"/>
                      <w:szCs w:val="21"/>
                    </w:rPr>
                    <w:t>项目所在地已取得房屋不动产权证（川 (2022) 巴中市市不动产权第0005652号），房屋用途为工业用地，符合</w:t>
                  </w:r>
                  <w:r>
                    <w:rPr>
                      <w:rFonts w:hint="eastAsia" w:ascii="宋体" w:hAnsi="宋体" w:cs="宋体"/>
                      <w:sz w:val="21"/>
                      <w:szCs w:val="21"/>
                      <w:shd w:val="clear" w:color="auto" w:fill="FFFFFF"/>
                    </w:rPr>
                    <w:t>工业用地控制线相关的管理要求</w:t>
                  </w:r>
                </w:p>
              </w:tc>
              <w:tc>
                <w:tcPr>
                  <w:tcW w:w="822" w:type="dxa"/>
                </w:tcPr>
                <w:p w14:paraId="55CF6F31">
                  <w:pPr>
                    <w:snapToGrid w:val="0"/>
                    <w:spacing w:line="240" w:lineRule="auto"/>
                    <w:ind w:firstLine="0" w:firstLineChars="0"/>
                    <w:rPr>
                      <w:rFonts w:hint="eastAsia" w:ascii="宋体" w:hAnsi="宋体" w:cs="宋体"/>
                      <w:sz w:val="21"/>
                      <w:szCs w:val="21"/>
                    </w:rPr>
                  </w:pPr>
                  <w:r>
                    <w:rPr>
                      <w:rFonts w:hint="eastAsia" w:ascii="宋体" w:hAnsi="宋体" w:cs="宋体"/>
                      <w:sz w:val="21"/>
                      <w:szCs w:val="21"/>
                    </w:rPr>
                    <w:t>符合</w:t>
                  </w:r>
                </w:p>
              </w:tc>
            </w:tr>
            <w:tr w14:paraId="41765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8" w:type="dxa"/>
                </w:tcPr>
                <w:p w14:paraId="48E83E5A">
                  <w:pPr>
                    <w:snapToGrid w:val="0"/>
                    <w:spacing w:line="240" w:lineRule="auto"/>
                    <w:ind w:firstLine="0" w:firstLineChars="0"/>
                    <w:rPr>
                      <w:rFonts w:hint="eastAsia" w:ascii="宋体" w:hAnsi="宋体" w:cs="宋体"/>
                      <w:sz w:val="21"/>
                      <w:szCs w:val="21"/>
                    </w:rPr>
                  </w:pPr>
                  <w:r>
                    <w:rPr>
                      <w:rFonts w:hint="eastAsia" w:ascii="宋体" w:hAnsi="宋体" w:cs="宋体"/>
                      <w:sz w:val="21"/>
                      <w:szCs w:val="21"/>
                    </w:rPr>
                    <w:t>4</w:t>
                  </w:r>
                </w:p>
              </w:tc>
              <w:tc>
                <w:tcPr>
                  <w:tcW w:w="5520" w:type="dxa"/>
                </w:tcPr>
                <w:p w14:paraId="10ACCEE7">
                  <w:pPr>
                    <w:pStyle w:val="28"/>
                    <w:widowControl/>
                    <w:wordWrap w:val="0"/>
                    <w:snapToGrid w:val="0"/>
                    <w:spacing w:beforeAutospacing="0" w:afterAutospacing="0" w:line="240" w:lineRule="auto"/>
                    <w:ind w:firstLine="0" w:firstLineChars="0"/>
                    <w:jc w:val="both"/>
                    <w:rPr>
                      <w:rFonts w:hint="eastAsia" w:ascii="宋体" w:hAnsi="宋体" w:cs="宋体"/>
                      <w:sz w:val="21"/>
                      <w:szCs w:val="21"/>
                    </w:rPr>
                  </w:pPr>
                  <w:r>
                    <w:rPr>
                      <w:rFonts w:hint="eastAsia" w:ascii="宋体" w:hAnsi="宋体" w:cs="宋体"/>
                      <w:sz w:val="21"/>
                      <w:szCs w:val="21"/>
                      <w:shd w:val="clear" w:color="auto" w:fill="FFFFFF"/>
                    </w:rPr>
                    <w:t>第125条 排水设施</w:t>
                  </w:r>
                </w:p>
                <w:p w14:paraId="508A1CFA">
                  <w:pPr>
                    <w:pStyle w:val="28"/>
                    <w:widowControl/>
                    <w:wordWrap w:val="0"/>
                    <w:snapToGrid w:val="0"/>
                    <w:spacing w:beforeAutospacing="0" w:afterAutospacing="0" w:line="240" w:lineRule="auto"/>
                    <w:ind w:firstLine="0" w:firstLineChars="0"/>
                    <w:jc w:val="both"/>
                    <w:rPr>
                      <w:rFonts w:hint="eastAsia" w:ascii="宋体" w:hAnsi="宋体" w:cs="宋体"/>
                      <w:sz w:val="21"/>
                      <w:szCs w:val="21"/>
                      <w:shd w:val="clear" w:color="auto" w:fill="FFFFFF"/>
                    </w:rPr>
                  </w:pPr>
                  <w:r>
                    <w:rPr>
                      <w:rFonts w:hint="eastAsia" w:ascii="宋体" w:hAnsi="宋体" w:cs="宋体"/>
                      <w:sz w:val="21"/>
                      <w:szCs w:val="21"/>
                      <w:shd w:val="clear" w:color="auto" w:fill="FFFFFF"/>
                    </w:rPr>
                    <w:t>工业污水必须经自行处理达到《污水综合排放标准》（GB8978—1996）三级标准或相应行业标准，方可外排或排入城镇污水系统。加强污水再生利用，结合污水处理厂建设再生水厂。</w:t>
                  </w:r>
                </w:p>
              </w:tc>
              <w:tc>
                <w:tcPr>
                  <w:tcW w:w="2040" w:type="dxa"/>
                </w:tcPr>
                <w:p w14:paraId="5D869157">
                  <w:pPr>
                    <w:snapToGrid w:val="0"/>
                    <w:spacing w:line="240" w:lineRule="auto"/>
                    <w:ind w:firstLine="0" w:firstLineChars="0"/>
                    <w:rPr>
                      <w:rFonts w:hint="eastAsia" w:ascii="宋体" w:hAnsi="宋体" w:cs="宋体"/>
                      <w:sz w:val="21"/>
                      <w:szCs w:val="21"/>
                    </w:rPr>
                  </w:pPr>
                  <w:r>
                    <w:rPr>
                      <w:rFonts w:hint="eastAsia" w:ascii="宋体" w:hAnsi="宋体" w:cs="宋体"/>
                      <w:sz w:val="21"/>
                      <w:szCs w:val="21"/>
                    </w:rPr>
                    <w:t>本次改扩建项目无生产废水产生；仅有员工生活污水排放。污水能纳入工业园区污水管网系统</w:t>
                  </w:r>
                </w:p>
              </w:tc>
              <w:tc>
                <w:tcPr>
                  <w:tcW w:w="822" w:type="dxa"/>
                </w:tcPr>
                <w:p w14:paraId="0E828D60">
                  <w:pPr>
                    <w:snapToGrid w:val="0"/>
                    <w:spacing w:line="240" w:lineRule="auto"/>
                    <w:ind w:firstLine="0" w:firstLineChars="0"/>
                    <w:rPr>
                      <w:rFonts w:hint="eastAsia" w:ascii="宋体" w:hAnsi="宋体" w:cs="宋体"/>
                      <w:sz w:val="21"/>
                      <w:szCs w:val="21"/>
                    </w:rPr>
                  </w:pPr>
                  <w:r>
                    <w:rPr>
                      <w:rFonts w:hint="eastAsia" w:ascii="宋体" w:hAnsi="宋体" w:cs="宋体"/>
                      <w:sz w:val="21"/>
                      <w:szCs w:val="21"/>
                    </w:rPr>
                    <w:t>符合</w:t>
                  </w:r>
                </w:p>
              </w:tc>
            </w:tr>
            <w:tr w14:paraId="3C493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8" w:type="dxa"/>
                </w:tcPr>
                <w:p w14:paraId="74C32ADD">
                  <w:pPr>
                    <w:snapToGrid w:val="0"/>
                    <w:spacing w:line="240" w:lineRule="auto"/>
                    <w:ind w:firstLine="0" w:firstLineChars="0"/>
                    <w:rPr>
                      <w:rFonts w:hint="eastAsia" w:ascii="宋体" w:hAnsi="宋体" w:cs="宋体"/>
                      <w:sz w:val="21"/>
                      <w:szCs w:val="21"/>
                    </w:rPr>
                  </w:pPr>
                  <w:r>
                    <w:rPr>
                      <w:rFonts w:hint="eastAsia" w:ascii="宋体" w:hAnsi="宋体" w:cs="宋体"/>
                      <w:sz w:val="21"/>
                      <w:szCs w:val="21"/>
                    </w:rPr>
                    <w:t>5</w:t>
                  </w:r>
                </w:p>
              </w:tc>
              <w:tc>
                <w:tcPr>
                  <w:tcW w:w="5520" w:type="dxa"/>
                </w:tcPr>
                <w:p w14:paraId="7E504583">
                  <w:pPr>
                    <w:pStyle w:val="28"/>
                    <w:widowControl/>
                    <w:wordWrap w:val="0"/>
                    <w:snapToGrid w:val="0"/>
                    <w:spacing w:beforeAutospacing="0" w:afterAutospacing="0" w:line="240" w:lineRule="auto"/>
                    <w:ind w:firstLine="0" w:firstLineChars="0"/>
                    <w:jc w:val="both"/>
                    <w:rPr>
                      <w:rFonts w:hint="eastAsia" w:ascii="宋体" w:hAnsi="宋体" w:cs="宋体"/>
                      <w:sz w:val="21"/>
                      <w:szCs w:val="21"/>
                    </w:rPr>
                  </w:pPr>
                  <w:r>
                    <w:rPr>
                      <w:rFonts w:hint="eastAsia" w:ascii="宋体" w:hAnsi="宋体" w:cs="宋体"/>
                      <w:sz w:val="21"/>
                      <w:szCs w:val="21"/>
                      <w:shd w:val="clear" w:color="auto" w:fill="FFFFFF"/>
                    </w:rPr>
                    <w:t>第169条 工矿用地规划</w:t>
                  </w:r>
                </w:p>
                <w:p w14:paraId="68879BB6">
                  <w:pPr>
                    <w:pStyle w:val="28"/>
                    <w:widowControl/>
                    <w:wordWrap w:val="0"/>
                    <w:snapToGrid w:val="0"/>
                    <w:spacing w:beforeAutospacing="0" w:afterAutospacing="0" w:line="240" w:lineRule="auto"/>
                    <w:ind w:firstLine="0" w:firstLineChars="0"/>
                    <w:jc w:val="both"/>
                    <w:rPr>
                      <w:rFonts w:hint="eastAsia" w:ascii="宋体" w:hAnsi="宋体" w:cs="宋体"/>
                      <w:sz w:val="21"/>
                      <w:szCs w:val="21"/>
                      <w:shd w:val="clear" w:color="auto" w:fill="FFFFFF"/>
                    </w:rPr>
                  </w:pPr>
                  <w:r>
                    <w:rPr>
                      <w:rFonts w:hint="eastAsia" w:ascii="宋体" w:hAnsi="宋体" w:cs="宋体"/>
                      <w:sz w:val="21"/>
                      <w:szCs w:val="21"/>
                      <w:shd w:val="clear" w:color="auto" w:fill="FFFFFF"/>
                    </w:rPr>
                    <w:t>巴中经开区（包含兴文片区+东西部产业协作产业园）。重点发展中成药、中药饮片等生物医药产业和电池材料、新型建筑材料等新能源新材料产业。</w:t>
                  </w:r>
                </w:p>
              </w:tc>
              <w:tc>
                <w:tcPr>
                  <w:tcW w:w="2040" w:type="dxa"/>
                </w:tcPr>
                <w:p w14:paraId="356D8F54">
                  <w:pPr>
                    <w:snapToGrid w:val="0"/>
                    <w:spacing w:line="240" w:lineRule="auto"/>
                    <w:ind w:firstLine="0" w:firstLineChars="0"/>
                    <w:rPr>
                      <w:rFonts w:hint="eastAsia" w:ascii="宋体" w:hAnsi="宋体" w:cs="宋体"/>
                      <w:sz w:val="21"/>
                      <w:szCs w:val="21"/>
                    </w:rPr>
                  </w:pPr>
                  <w:r>
                    <w:rPr>
                      <w:rFonts w:hint="eastAsia" w:ascii="宋体" w:hAnsi="宋体" w:cs="宋体"/>
                      <w:sz w:val="21"/>
                      <w:szCs w:val="21"/>
                    </w:rPr>
                    <w:t>项目位于巴中经开区兴文街道，主要生产家具类，不属于重点发展产业，属于允许类，与周边工业企业相融。</w:t>
                  </w:r>
                </w:p>
              </w:tc>
              <w:tc>
                <w:tcPr>
                  <w:tcW w:w="822" w:type="dxa"/>
                </w:tcPr>
                <w:p w14:paraId="472046CF">
                  <w:pPr>
                    <w:snapToGrid w:val="0"/>
                    <w:spacing w:line="240" w:lineRule="auto"/>
                    <w:ind w:firstLine="0" w:firstLineChars="0"/>
                    <w:rPr>
                      <w:rFonts w:hint="eastAsia" w:ascii="宋体" w:hAnsi="宋体" w:cs="宋体"/>
                      <w:sz w:val="21"/>
                      <w:szCs w:val="21"/>
                    </w:rPr>
                  </w:pPr>
                  <w:r>
                    <w:rPr>
                      <w:rFonts w:hint="eastAsia" w:ascii="宋体" w:hAnsi="宋体" w:cs="宋体"/>
                      <w:sz w:val="21"/>
                      <w:szCs w:val="21"/>
                    </w:rPr>
                    <w:t>符合</w:t>
                  </w:r>
                </w:p>
              </w:tc>
            </w:tr>
          </w:tbl>
          <w:p w14:paraId="60B625FB">
            <w:pPr>
              <w:ind w:firstLine="480"/>
            </w:pPr>
            <w:r>
              <w:rPr>
                <w:rFonts w:hint="eastAsia"/>
              </w:rPr>
              <w:t>综上，本项目的建设与巴中市国土空间总体规划符合。</w:t>
            </w:r>
          </w:p>
          <w:p w14:paraId="46DBE720">
            <w:pPr>
              <w:pStyle w:val="3"/>
              <w:spacing w:before="163"/>
            </w:pPr>
            <w:r>
              <w:rPr>
                <w:rFonts w:hint="eastAsia"/>
              </w:rPr>
              <w:t>4</w:t>
            </w:r>
            <w:r>
              <w:t>、与生态环境分区管控符合性分析</w:t>
            </w:r>
          </w:p>
          <w:p w14:paraId="7D3E8166">
            <w:pPr>
              <w:ind w:firstLine="480"/>
              <w:rPr>
                <w:rFonts w:eastAsia="TimesNewRomanPSMT" w:cs="Times New Roman"/>
              </w:rPr>
            </w:pPr>
            <w:r>
              <w:t>根据生态环境部办公厅《关于印发〈2023年生态环境分区管控成果动态更新工作方案〉的通知》（环办环评函〔2023〕81号）、省生态环境保护委员会办公室《关于印发〈四川省2023年生态环境分区管控成果动态更新工作方案〉的通知》（川环委办〔2023〕11号）要求。对生态环境分区管控成果中的生态保护红线、环境质量底线和资源利用上线以及生态环境管控单元和生态环境准入清单进行更新，并在“四川生态环境分区管控数据分析系统”（网址：http://103.203.219.138：8083/gis2/n_index.html）查询使用。</w:t>
            </w:r>
          </w:p>
          <w:p w14:paraId="61F730E5">
            <w:pPr>
              <w:ind w:firstLine="480"/>
              <w:rPr>
                <w:rFonts w:cs="Times New Roman"/>
              </w:rPr>
            </w:pPr>
            <w:r>
              <w:rPr>
                <w:rFonts w:cs="Times New Roman"/>
                <w:kern w:val="0"/>
                <w:szCs w:val="24"/>
              </w:rPr>
              <w:t>本项目位于四川巴中经济开发区核心区，</w:t>
            </w:r>
            <w:r>
              <w:rPr>
                <w:rFonts w:cs="Times New Roman"/>
              </w:rPr>
              <w:t>要求对</w:t>
            </w:r>
            <w:r>
              <w:rPr>
                <w:rFonts w:eastAsia="TimesNewRomanPSMT" w:cs="Times New Roman"/>
              </w:rPr>
              <w:t>“</w:t>
            </w:r>
            <w:r>
              <w:rPr>
                <w:rFonts w:cs="Times New Roman"/>
              </w:rPr>
              <w:t>生态环境分区管控符合性分析</w:t>
            </w:r>
            <w:r>
              <w:rPr>
                <w:rFonts w:eastAsia="TimesNewRomanPSMT" w:cs="Times New Roman"/>
              </w:rPr>
              <w:t>”</w:t>
            </w:r>
            <w:r>
              <w:rPr>
                <w:rFonts w:cs="Times New Roman"/>
              </w:rPr>
              <w:t>如下。</w:t>
            </w:r>
          </w:p>
          <w:p w14:paraId="631BB15B">
            <w:pPr>
              <w:ind w:firstLine="482"/>
              <w:rPr>
                <w:rFonts w:cs="Times New Roman"/>
                <w:b/>
              </w:rPr>
            </w:pPr>
            <w:r>
              <w:rPr>
                <w:rFonts w:cs="Times New Roman"/>
                <w:b/>
              </w:rPr>
              <w:t>（1）</w:t>
            </w:r>
            <w:r>
              <w:rPr>
                <w:rFonts w:hint="eastAsia" w:cs="Times New Roman"/>
                <w:b/>
              </w:rPr>
              <w:t>空间符合性分析</w:t>
            </w:r>
          </w:p>
          <w:p w14:paraId="386FED0A">
            <w:pPr>
              <w:ind w:firstLine="480"/>
              <w:rPr>
                <w:rFonts w:cs="Times New Roman"/>
                <w:kern w:val="0"/>
                <w:szCs w:val="24"/>
              </w:rPr>
            </w:pPr>
            <w:r>
              <w:rPr>
                <w:rFonts w:cs="Times New Roman"/>
                <w:kern w:val="0"/>
                <w:szCs w:val="24"/>
              </w:rPr>
              <w:t>本项目位于四川巴中经济开发区核心区，</w:t>
            </w:r>
            <w:r>
              <w:rPr>
                <w:rFonts w:hint="eastAsia" w:cs="Times New Roman"/>
                <w:kern w:val="0"/>
                <w:szCs w:val="24"/>
              </w:rPr>
              <w:t>属于工业重点管控单元。</w:t>
            </w:r>
          </w:p>
          <w:p w14:paraId="38E57193">
            <w:pPr>
              <w:ind w:firstLine="0" w:firstLineChars="0"/>
              <w:rPr>
                <w:rFonts w:cs="Times New Roman"/>
                <w:kern w:val="0"/>
                <w:szCs w:val="24"/>
              </w:rPr>
            </w:pPr>
            <w:r>
              <mc:AlternateContent>
                <mc:Choice Requires="wps">
                  <w:drawing>
                    <wp:anchor distT="0" distB="0" distL="114300" distR="114300" simplePos="0" relativeHeight="251659264" behindDoc="0" locked="0" layoutInCell="1" allowOverlap="1">
                      <wp:simplePos x="0" y="0"/>
                      <wp:positionH relativeFrom="column">
                        <wp:posOffset>2020570</wp:posOffset>
                      </wp:positionH>
                      <wp:positionV relativeFrom="paragraph">
                        <wp:posOffset>1862455</wp:posOffset>
                      </wp:positionV>
                      <wp:extent cx="899160" cy="311785"/>
                      <wp:effectExtent l="57785" t="6350" r="18415" b="382905"/>
                      <wp:wrapNone/>
                      <wp:docPr id="2" name="矩形标注 2"/>
                      <wp:cNvGraphicFramePr/>
                      <a:graphic xmlns:a="http://schemas.openxmlformats.org/drawingml/2006/main">
                        <a:graphicData uri="http://schemas.microsoft.com/office/word/2010/wordprocessingShape">
                          <wps:wsp>
                            <wps:cNvSpPr/>
                            <wps:spPr>
                              <a:xfrm>
                                <a:off x="3090545" y="3223895"/>
                                <a:ext cx="899160" cy="311785"/>
                              </a:xfrm>
                              <a:prstGeom prst="wedgeRectCallout">
                                <a:avLst>
                                  <a:gd name="adj1" fmla="val -54067"/>
                                  <a:gd name="adj2" fmla="val 162500"/>
                                </a:avLst>
                              </a:prstGeom>
                              <a:noFill/>
                            </wps:spPr>
                            <wps:style>
                              <a:lnRef idx="2">
                                <a:schemeClr val="accent1">
                                  <a:lumMod val="75000"/>
                                </a:schemeClr>
                              </a:lnRef>
                              <a:fillRef idx="1">
                                <a:schemeClr val="accent1"/>
                              </a:fillRef>
                              <a:effectRef idx="0">
                                <a:srgbClr val="FFFFFF"/>
                              </a:effectRef>
                              <a:fontRef idx="minor">
                                <a:schemeClr val="lt1"/>
                              </a:fontRef>
                            </wps:style>
                            <wps:txbx>
                              <w:txbxContent>
                                <w:p w14:paraId="18AF7AA8">
                                  <w:pPr>
                                    <w:snapToGrid w:val="0"/>
                                    <w:spacing w:line="240" w:lineRule="auto"/>
                                    <w:ind w:firstLine="0" w:firstLineChars="0"/>
                                    <w:jc w:val="center"/>
                                    <w:rPr>
                                      <w:color w:val="FFFFFF" w:themeColor="background1"/>
                                      <w:sz w:val="18"/>
                                      <w:szCs w:val="18"/>
                                      <w14:textFill>
                                        <w14:noFill/>
                                      </w14:textFill>
                                    </w:rPr>
                                  </w:pPr>
                                  <w:r>
                                    <w:rPr>
                                      <w:rFonts w:hint="eastAsia"/>
                                      <w:sz w:val="18"/>
                                      <w:szCs w:val="18"/>
                                    </w:rPr>
                                    <w:t>本项目所在地</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159.1pt;margin-top:146.65pt;height:24.55pt;width:70.8pt;z-index:251659264;v-text-anchor:middle;mso-width-relative:page;mso-height-relative:page;" filled="f" stroked="t" coordsize="21600,21600" o:gfxdata="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" adj="-878,45900">
                      <v:fill on="f" focussize="0,0"/>
                      <v:stroke weight="1pt" color="#2F5597 [2404]" miterlimit="8" joinstyle="miter"/>
                      <v:imagedata o:title=""/>
                      <o:lock v:ext="edit" aspectratio="f"/>
                      <v:textbox>
                        <w:txbxContent>
                          <w:p w14:paraId="18AF7AA8">
                            <w:pPr>
                              <w:snapToGrid w:val="0"/>
                              <w:spacing w:line="240" w:lineRule="auto"/>
                              <w:ind w:firstLine="0" w:firstLineChars="0"/>
                              <w:jc w:val="center"/>
                              <w:rPr>
                                <w:color w:val="FFFFFF" w:themeColor="background1"/>
                                <w:sz w:val="18"/>
                                <w:szCs w:val="18"/>
                                <w14:textFill>
                                  <w14:noFill/>
                                </w14:textFill>
                              </w:rPr>
                            </w:pPr>
                            <w:r>
                              <w:rPr>
                                <w:rFonts w:hint="eastAsia"/>
                                <w:sz w:val="18"/>
                                <w:szCs w:val="18"/>
                              </w:rPr>
                              <w:t>本项目所在地</w:t>
                            </w:r>
                          </w:p>
                        </w:txbxContent>
                      </v:textbox>
                    </v:shape>
                  </w:pict>
                </mc:Fallback>
              </mc:AlternateContent>
            </w:r>
            <w:r>
              <w:rPr>
                <w:rFonts w:hint="eastAsia" w:cs="Times New Roman"/>
                <w:kern w:val="0"/>
                <w:szCs w:val="24"/>
              </w:rPr>
              <w:drawing>
                <wp:inline distT="0" distB="0" distL="114300" distR="114300">
                  <wp:extent cx="5714365" cy="4044950"/>
                  <wp:effectExtent l="0" t="0" r="635" b="8890"/>
                  <wp:docPr id="1" name="图片 1" descr="rBUtI2Xhh_CAT0FXABR97Lr9lu0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rBUtI2Xhh_CAT0FXABR97Lr9lu0746"/>
                          <pic:cNvPicPr>
                            <a:picLocks noChangeAspect="1"/>
                          </pic:cNvPicPr>
                        </pic:nvPicPr>
                        <pic:blipFill>
                          <a:blip r:embed="rId14"/>
                          <a:stretch>
                            <a:fillRect/>
                          </a:stretch>
                        </pic:blipFill>
                        <pic:spPr>
                          <a:xfrm>
                            <a:off x="0" y="0"/>
                            <a:ext cx="5714365" cy="4044950"/>
                          </a:xfrm>
                          <a:prstGeom prst="rect">
                            <a:avLst/>
                          </a:prstGeom>
                        </pic:spPr>
                      </pic:pic>
                    </a:graphicData>
                  </a:graphic>
                </wp:inline>
              </w:drawing>
            </w:r>
          </w:p>
          <w:p w14:paraId="5542DF2E">
            <w:pPr>
              <w:ind w:firstLine="482"/>
              <w:jc w:val="center"/>
              <w:rPr>
                <w:rFonts w:cs="Times New Roman"/>
                <w:b/>
              </w:rPr>
            </w:pPr>
            <w:r>
              <w:rPr>
                <w:rFonts w:hint="eastAsia" w:cs="Times New Roman"/>
                <w:b/>
              </w:rPr>
              <w:t>图 1-1  巴中市环境管控单元图</w:t>
            </w:r>
          </w:p>
          <w:p w14:paraId="0178CC32">
            <w:pPr>
              <w:ind w:firstLine="482"/>
              <w:rPr>
                <w:rFonts w:cs="Times New Roman"/>
                <w:b/>
              </w:rPr>
            </w:pPr>
            <w:r>
              <w:rPr>
                <w:rFonts w:cs="Times New Roman"/>
                <w:b/>
              </w:rPr>
              <w:t>（</w:t>
            </w:r>
            <w:r>
              <w:rPr>
                <w:rFonts w:hint="eastAsia" w:cs="Times New Roman"/>
                <w:b/>
              </w:rPr>
              <w:t>2</w:t>
            </w:r>
            <w:r>
              <w:rPr>
                <w:rFonts w:cs="Times New Roman"/>
                <w:b/>
              </w:rPr>
              <w:t>）环境管控单元符合性分析</w:t>
            </w:r>
          </w:p>
          <w:p w14:paraId="123E3D89">
            <w:pPr>
              <w:ind w:firstLine="480"/>
              <w:rPr>
                <w:rFonts w:cs="Times New Roman"/>
              </w:rPr>
            </w:pPr>
            <w:r>
              <w:rPr>
                <w:rFonts w:cs="Times New Roman"/>
              </w:rPr>
              <w:t>本项目位于四川省巴中市巴中经济开发区兴文街道文</w:t>
            </w:r>
            <w:r>
              <w:rPr>
                <w:rFonts w:hint="eastAsia" w:cs="Times New Roman"/>
              </w:rPr>
              <w:t>中山北路21号附1号</w:t>
            </w:r>
            <w:r>
              <w:rPr>
                <w:rFonts w:cs="Times New Roman"/>
              </w:rPr>
              <w:t>，中心地理坐标为经度：东经106.883921345，纬度31.860863736。</w:t>
            </w:r>
            <w:r>
              <w:rPr>
                <w:rFonts w:cs="Times New Roman"/>
                <w:bCs/>
                <w:szCs w:val="24"/>
              </w:rPr>
              <w:t>根据四川政务服务网生态环境分区管控</w:t>
            </w:r>
            <w:r>
              <w:rPr>
                <w:rFonts w:cs="Times New Roman"/>
                <w:bCs/>
              </w:rPr>
              <w:t>公众服务</w:t>
            </w:r>
            <w:r>
              <w:rPr>
                <w:rFonts w:cs="Times New Roman"/>
                <w:bCs/>
                <w:szCs w:val="24"/>
              </w:rPr>
              <w:t>系统查询结果，</w:t>
            </w:r>
            <w:r>
              <w:rPr>
                <w:rFonts w:cs="Times New Roman"/>
              </w:rPr>
              <w:t>本项目涉及环境管控单元</w:t>
            </w:r>
            <w:r>
              <w:rPr>
                <w:rFonts w:hint="eastAsia" w:cs="Times New Roman"/>
              </w:rPr>
              <w:t>1个，</w:t>
            </w:r>
            <w:r>
              <w:rPr>
                <w:rFonts w:cs="Times New Roman"/>
              </w:rPr>
              <w:t>要素管控单元共</w:t>
            </w:r>
            <w:r>
              <w:rPr>
                <w:rFonts w:hint="eastAsia" w:cs="Times New Roman"/>
              </w:rPr>
              <w:t>5</w:t>
            </w:r>
            <w:r>
              <w:rPr>
                <w:rFonts w:cs="Times New Roman"/>
              </w:rPr>
              <w:t>个，涉及管控单元见下表。</w:t>
            </w:r>
          </w:p>
          <w:p w14:paraId="78CB5A0E">
            <w:pPr>
              <w:pStyle w:val="13"/>
              <w:keepNext/>
              <w:spacing w:after="0" w:line="360" w:lineRule="auto"/>
              <w:rPr>
                <w:rFonts w:cs="Times New Roman"/>
              </w:rPr>
            </w:pPr>
            <w:r>
              <w:rPr>
                <w:rFonts w:cs="Times New Roman"/>
              </w:rPr>
              <w:t xml:space="preserve">表 </w:t>
            </w:r>
            <w:r>
              <w:rPr>
                <w:rFonts w:cs="Times New Roman"/>
              </w:rPr>
              <w:fldChar w:fldCharType="begin"/>
            </w:r>
            <w:r>
              <w:rPr>
                <w:rFonts w:cs="Times New Roman"/>
              </w:rPr>
              <w:instrText xml:space="preserve"> SEQ seq \c </w:instrText>
            </w:r>
            <w:r>
              <w:rPr>
                <w:rFonts w:cs="Times New Roman"/>
              </w:rPr>
              <w:fldChar w:fldCharType="separate"/>
            </w:r>
            <w:r>
              <w:rPr>
                <w:rFonts w:cs="Times New Roman"/>
              </w:rPr>
              <w:t>1</w:t>
            </w:r>
            <w:r>
              <w:rPr>
                <w:rFonts w:cs="Times New Roman"/>
              </w:rPr>
              <w:fldChar w:fldCharType="end"/>
            </w:r>
            <w:r>
              <w:rPr>
                <w:rFonts w:cs="Times New Roman"/>
              </w:rPr>
              <w:noBreakHyphen/>
            </w:r>
            <w:r>
              <w:rPr>
                <w:rFonts w:hint="eastAsia" w:cs="Times New Roman"/>
              </w:rPr>
              <w:t xml:space="preserve">4 </w:t>
            </w:r>
            <w:r>
              <w:rPr>
                <w:rFonts w:cs="Times New Roman"/>
              </w:rPr>
              <w:t>涉及的生态环境管控单元</w:t>
            </w:r>
          </w:p>
          <w:tbl>
            <w:tblPr>
              <w:tblStyle w:val="33"/>
              <w:tblW w:w="8753" w:type="dxa"/>
              <w:jc w:val="center"/>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Layout w:type="fixed"/>
              <w:tblCellMar>
                <w:top w:w="0" w:type="dxa"/>
                <w:left w:w="10" w:type="dxa"/>
                <w:bottom w:w="0" w:type="dxa"/>
                <w:right w:w="10" w:type="dxa"/>
              </w:tblCellMar>
            </w:tblPr>
            <w:tblGrid>
              <w:gridCol w:w="1166"/>
              <w:gridCol w:w="1559"/>
              <w:gridCol w:w="3119"/>
              <w:gridCol w:w="1066"/>
              <w:gridCol w:w="1843"/>
            </w:tblGrid>
            <w:tr w14:paraId="0B797738">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 w:type="dxa"/>
                  <w:bottom w:w="0" w:type="dxa"/>
                  <w:right w:w="10" w:type="dxa"/>
                </w:tblCellMar>
              </w:tblPrEx>
              <w:trPr>
                <w:jc w:val="center"/>
              </w:trPr>
              <w:tc>
                <w:tcPr>
                  <w:tcW w:w="1166"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2C4AB3A6">
                  <w:pPr>
                    <w:snapToGrid w:val="0"/>
                    <w:spacing w:line="240" w:lineRule="auto"/>
                    <w:ind w:firstLine="0" w:firstLineChars="0"/>
                    <w:rPr>
                      <w:sz w:val="21"/>
                      <w:szCs w:val="21"/>
                    </w:rPr>
                  </w:pPr>
                  <w:r>
                    <w:rPr>
                      <w:sz w:val="21"/>
                      <w:szCs w:val="21"/>
                    </w:rPr>
                    <w:t>涉及环境管控单元名称</w:t>
                  </w:r>
                </w:p>
              </w:tc>
              <w:tc>
                <w:tcPr>
                  <w:tcW w:w="1559"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48DAC065">
                  <w:pPr>
                    <w:snapToGrid w:val="0"/>
                    <w:spacing w:line="240" w:lineRule="auto"/>
                    <w:ind w:firstLine="0" w:firstLineChars="0"/>
                    <w:rPr>
                      <w:sz w:val="21"/>
                      <w:szCs w:val="21"/>
                    </w:rPr>
                  </w:pPr>
                  <w:r>
                    <w:rPr>
                      <w:rFonts w:ascii="仿宋" w:hAnsi="仿宋" w:eastAsia="仿宋" w:cs="仿宋"/>
                      <w:b/>
                      <w:sz w:val="21"/>
                      <w:szCs w:val="21"/>
                    </w:rPr>
                    <w:t>涉及环境管控单元编码</w:t>
                  </w:r>
                </w:p>
              </w:tc>
              <w:tc>
                <w:tcPr>
                  <w:tcW w:w="3119"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0B13BB69">
                  <w:pPr>
                    <w:snapToGrid w:val="0"/>
                    <w:spacing w:line="240" w:lineRule="auto"/>
                    <w:ind w:firstLine="0" w:firstLineChars="0"/>
                    <w:jc w:val="center"/>
                    <w:rPr>
                      <w:sz w:val="21"/>
                      <w:szCs w:val="21"/>
                    </w:rPr>
                  </w:pPr>
                  <w:r>
                    <w:rPr>
                      <w:rFonts w:ascii="仿宋" w:hAnsi="仿宋" w:eastAsia="仿宋" w:cs="仿宋"/>
                      <w:b/>
                      <w:sz w:val="21"/>
                      <w:szCs w:val="21"/>
                    </w:rPr>
                    <w:t>与管控单元关系（点选：点位信息；线选：相交长度,单位千米；面选：相交面积，单位平方千米）</w:t>
                  </w:r>
                </w:p>
              </w:tc>
              <w:tc>
                <w:tcPr>
                  <w:tcW w:w="1066"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0F096105">
                  <w:pPr>
                    <w:snapToGrid w:val="0"/>
                    <w:spacing w:line="240" w:lineRule="auto"/>
                    <w:ind w:firstLine="0" w:firstLineChars="0"/>
                    <w:jc w:val="center"/>
                    <w:rPr>
                      <w:sz w:val="21"/>
                      <w:szCs w:val="21"/>
                    </w:rPr>
                  </w:pPr>
                  <w:r>
                    <w:rPr>
                      <w:rFonts w:ascii="仿宋" w:hAnsi="仿宋" w:eastAsia="仿宋" w:cs="仿宋"/>
                      <w:b/>
                      <w:sz w:val="21"/>
                      <w:szCs w:val="21"/>
                    </w:rPr>
                    <w:t>行政区划</w:t>
                  </w:r>
                </w:p>
              </w:tc>
              <w:tc>
                <w:tcPr>
                  <w:tcW w:w="1843"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75DBC74B">
                  <w:pPr>
                    <w:snapToGrid w:val="0"/>
                    <w:spacing w:line="240" w:lineRule="auto"/>
                    <w:ind w:firstLine="0" w:firstLineChars="0"/>
                    <w:jc w:val="center"/>
                    <w:rPr>
                      <w:sz w:val="21"/>
                      <w:szCs w:val="21"/>
                    </w:rPr>
                  </w:pPr>
                  <w:r>
                    <w:rPr>
                      <w:rFonts w:ascii="仿宋" w:hAnsi="仿宋" w:eastAsia="仿宋" w:cs="仿宋"/>
                      <w:b/>
                      <w:sz w:val="21"/>
                      <w:szCs w:val="21"/>
                    </w:rPr>
                    <w:t>环境管控单元类型</w:t>
                  </w:r>
                </w:p>
              </w:tc>
            </w:tr>
            <w:tr w14:paraId="450F6ADC">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 w:type="dxa"/>
                  <w:bottom w:w="0" w:type="dxa"/>
                  <w:right w:w="10" w:type="dxa"/>
                </w:tblCellMar>
              </w:tblPrEx>
              <w:trPr>
                <w:jc w:val="center"/>
              </w:trPr>
              <w:tc>
                <w:tcPr>
                  <w:tcW w:w="1166"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4DDF5345">
                  <w:pPr>
                    <w:snapToGrid w:val="0"/>
                    <w:spacing w:line="240" w:lineRule="auto"/>
                    <w:ind w:firstLine="0" w:firstLineChars="0"/>
                    <w:rPr>
                      <w:sz w:val="21"/>
                      <w:szCs w:val="21"/>
                    </w:rPr>
                  </w:pPr>
                  <w:r>
                    <w:rPr>
                      <w:sz w:val="21"/>
                      <w:szCs w:val="21"/>
                    </w:rPr>
                    <w:t>四川巴中经开区（核心区块、金堂区块）</w:t>
                  </w:r>
                </w:p>
              </w:tc>
              <w:tc>
                <w:tcPr>
                  <w:tcW w:w="1559"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0B8A5330">
                  <w:pPr>
                    <w:snapToGrid w:val="0"/>
                    <w:spacing w:line="240" w:lineRule="auto"/>
                    <w:ind w:firstLine="0" w:firstLineChars="0"/>
                    <w:rPr>
                      <w:sz w:val="21"/>
                      <w:szCs w:val="21"/>
                    </w:rPr>
                  </w:pPr>
                  <w:r>
                    <w:rPr>
                      <w:rFonts w:ascii="仿宋" w:hAnsi="仿宋" w:eastAsia="仿宋" w:cs="仿宋"/>
                      <w:sz w:val="21"/>
                      <w:szCs w:val="21"/>
                    </w:rPr>
                    <w:t>ZH51190220006</w:t>
                  </w:r>
                </w:p>
              </w:tc>
              <w:tc>
                <w:tcPr>
                  <w:tcW w:w="3119"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54A6191A">
                  <w:pPr>
                    <w:snapToGrid w:val="0"/>
                    <w:spacing w:line="240" w:lineRule="auto"/>
                    <w:ind w:firstLine="0" w:firstLineChars="0"/>
                    <w:jc w:val="center"/>
                    <w:rPr>
                      <w:sz w:val="21"/>
                      <w:szCs w:val="21"/>
                    </w:rPr>
                  </w:pPr>
                  <w:r>
                    <w:rPr>
                      <w:rFonts w:ascii="仿宋" w:hAnsi="仿宋" w:eastAsia="仿宋" w:cs="仿宋"/>
                      <w:sz w:val="21"/>
                      <w:szCs w:val="21"/>
                    </w:rPr>
                    <w:t>[106.883921345 31.860863736]</w:t>
                  </w:r>
                </w:p>
              </w:tc>
              <w:tc>
                <w:tcPr>
                  <w:tcW w:w="1066"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031DCAEC">
                  <w:pPr>
                    <w:snapToGrid w:val="0"/>
                    <w:spacing w:line="240" w:lineRule="auto"/>
                    <w:ind w:firstLine="0" w:firstLineChars="0"/>
                    <w:jc w:val="center"/>
                    <w:rPr>
                      <w:sz w:val="21"/>
                      <w:szCs w:val="21"/>
                    </w:rPr>
                  </w:pPr>
                  <w:r>
                    <w:rPr>
                      <w:rFonts w:ascii="仿宋" w:hAnsi="仿宋" w:eastAsia="仿宋" w:cs="仿宋"/>
                      <w:sz w:val="21"/>
                      <w:szCs w:val="21"/>
                    </w:rPr>
                    <w:t>巴中市巴州区</w:t>
                  </w:r>
                </w:p>
              </w:tc>
              <w:tc>
                <w:tcPr>
                  <w:tcW w:w="1843"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28FE765C">
                  <w:pPr>
                    <w:snapToGrid w:val="0"/>
                    <w:spacing w:line="240" w:lineRule="auto"/>
                    <w:ind w:firstLine="0" w:firstLineChars="0"/>
                    <w:jc w:val="center"/>
                    <w:rPr>
                      <w:sz w:val="21"/>
                      <w:szCs w:val="21"/>
                    </w:rPr>
                  </w:pPr>
                  <w:r>
                    <w:rPr>
                      <w:rFonts w:ascii="仿宋" w:hAnsi="仿宋" w:eastAsia="仿宋" w:cs="仿宋"/>
                      <w:sz w:val="21"/>
                      <w:szCs w:val="21"/>
                    </w:rPr>
                    <w:t>工业重点管控单元</w:t>
                  </w:r>
                </w:p>
              </w:tc>
            </w:tr>
          </w:tbl>
          <w:p w14:paraId="7B8356AE">
            <w:pPr>
              <w:pStyle w:val="13"/>
              <w:keepNext/>
              <w:spacing w:after="0" w:line="360" w:lineRule="auto"/>
              <w:rPr>
                <w:rFonts w:cs="Times New Roman"/>
              </w:rPr>
            </w:pPr>
            <w:r>
              <w:rPr>
                <w:rFonts w:cs="Times New Roman"/>
              </w:rPr>
              <w:t xml:space="preserve">表 </w:t>
            </w:r>
            <w:r>
              <w:rPr>
                <w:rFonts w:cs="Times New Roman"/>
              </w:rPr>
              <w:fldChar w:fldCharType="begin"/>
            </w:r>
            <w:r>
              <w:rPr>
                <w:rFonts w:cs="Times New Roman"/>
              </w:rPr>
              <w:instrText xml:space="preserve"> SEQ seq \c </w:instrText>
            </w:r>
            <w:r>
              <w:rPr>
                <w:rFonts w:cs="Times New Roman"/>
              </w:rPr>
              <w:fldChar w:fldCharType="separate"/>
            </w:r>
            <w:r>
              <w:rPr>
                <w:rFonts w:cs="Times New Roman"/>
              </w:rPr>
              <w:t>1</w:t>
            </w:r>
            <w:r>
              <w:rPr>
                <w:rFonts w:cs="Times New Roman"/>
              </w:rPr>
              <w:fldChar w:fldCharType="end"/>
            </w:r>
            <w:r>
              <w:rPr>
                <w:rFonts w:cs="Times New Roman"/>
              </w:rPr>
              <w:noBreakHyphen/>
            </w:r>
            <w:r>
              <w:rPr>
                <w:rFonts w:cs="Times New Roman"/>
              </w:rPr>
              <w:fldChar w:fldCharType="begin"/>
            </w:r>
            <w:r>
              <w:rPr>
                <w:rFonts w:cs="Times New Roman"/>
              </w:rPr>
              <w:instrText xml:space="preserve"> SEQ 表 \* ARABIC \s 1 </w:instrText>
            </w:r>
            <w:r>
              <w:rPr>
                <w:rFonts w:cs="Times New Roman"/>
              </w:rPr>
              <w:fldChar w:fldCharType="separate"/>
            </w:r>
            <w:r>
              <w:rPr>
                <w:rFonts w:cs="Times New Roman"/>
              </w:rPr>
              <w:t>5</w:t>
            </w:r>
            <w:r>
              <w:rPr>
                <w:rFonts w:cs="Times New Roman"/>
              </w:rPr>
              <w:fldChar w:fldCharType="end"/>
            </w:r>
            <w:r>
              <w:rPr>
                <w:rFonts w:cs="Times New Roman"/>
              </w:rPr>
              <w:t xml:space="preserve"> 本项目涉及</w:t>
            </w:r>
            <w:r>
              <w:rPr>
                <w:rFonts w:hint="eastAsia" w:cs="Times New Roman"/>
              </w:rPr>
              <w:t>环境要素</w:t>
            </w:r>
            <w:r>
              <w:rPr>
                <w:rFonts w:cs="Times New Roman"/>
              </w:rPr>
              <w:t>管控单元一览表</w:t>
            </w:r>
          </w:p>
          <w:tbl>
            <w:tblPr>
              <w:tblStyle w:val="33"/>
              <w:tblW w:w="8994" w:type="dxa"/>
              <w:jc w:val="right"/>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Layout w:type="fixed"/>
              <w:tblCellMar>
                <w:top w:w="0" w:type="dxa"/>
                <w:left w:w="10" w:type="dxa"/>
                <w:bottom w:w="0" w:type="dxa"/>
                <w:right w:w="10" w:type="dxa"/>
              </w:tblCellMar>
            </w:tblPr>
            <w:tblGrid>
              <w:gridCol w:w="567"/>
              <w:gridCol w:w="2177"/>
              <w:gridCol w:w="2143"/>
              <w:gridCol w:w="1134"/>
              <w:gridCol w:w="992"/>
              <w:gridCol w:w="1981"/>
            </w:tblGrid>
            <w:tr w14:paraId="5D79ABAD">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 w:type="dxa"/>
                  <w:bottom w:w="0" w:type="dxa"/>
                  <w:right w:w="10" w:type="dxa"/>
                </w:tblCellMar>
              </w:tblPrEx>
              <w:trPr>
                <w:jc w:val="right"/>
              </w:trPr>
              <w:tc>
                <w:tcPr>
                  <w:tcW w:w="567"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78A14C77">
                  <w:pPr>
                    <w:snapToGrid w:val="0"/>
                    <w:spacing w:line="240" w:lineRule="auto"/>
                    <w:ind w:firstLine="0" w:firstLineChars="0"/>
                    <w:contextualSpacing/>
                    <w:rPr>
                      <w:b/>
                      <w:bCs/>
                      <w:sz w:val="21"/>
                      <w:szCs w:val="21"/>
                    </w:rPr>
                  </w:pPr>
                  <w:bookmarkStart w:id="33" w:name="_Hlk220080355"/>
                  <w:r>
                    <w:rPr>
                      <w:b/>
                      <w:bCs/>
                      <w:sz w:val="21"/>
                      <w:szCs w:val="21"/>
                    </w:rPr>
                    <w:t>序号</w:t>
                  </w:r>
                </w:p>
              </w:tc>
              <w:tc>
                <w:tcPr>
                  <w:tcW w:w="2177"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5EFF69CA">
                  <w:pPr>
                    <w:snapToGrid w:val="0"/>
                    <w:spacing w:line="240" w:lineRule="auto"/>
                    <w:ind w:firstLine="0" w:firstLineChars="0"/>
                    <w:contextualSpacing/>
                    <w:rPr>
                      <w:b/>
                      <w:bCs/>
                      <w:sz w:val="21"/>
                      <w:szCs w:val="21"/>
                    </w:rPr>
                  </w:pPr>
                  <w:r>
                    <w:rPr>
                      <w:b/>
                      <w:bCs/>
                      <w:sz w:val="21"/>
                      <w:szCs w:val="21"/>
                    </w:rPr>
                    <w:t>涉及环境要素管控分区名称</w:t>
                  </w:r>
                </w:p>
              </w:tc>
              <w:tc>
                <w:tcPr>
                  <w:tcW w:w="2143"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078A4E44">
                  <w:pPr>
                    <w:snapToGrid w:val="0"/>
                    <w:spacing w:line="240" w:lineRule="auto"/>
                    <w:ind w:firstLine="0" w:firstLineChars="0"/>
                    <w:contextualSpacing/>
                    <w:rPr>
                      <w:b/>
                      <w:bCs/>
                      <w:sz w:val="21"/>
                      <w:szCs w:val="21"/>
                    </w:rPr>
                  </w:pPr>
                  <w:r>
                    <w:rPr>
                      <w:b/>
                      <w:bCs/>
                      <w:sz w:val="21"/>
                      <w:szCs w:val="21"/>
                    </w:rPr>
                    <w:t>涉及环境要素管控分区编码</w:t>
                  </w:r>
                </w:p>
              </w:tc>
              <w:tc>
                <w:tcPr>
                  <w:tcW w:w="1134"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5FE93F0C">
                  <w:pPr>
                    <w:snapToGrid w:val="0"/>
                    <w:spacing w:line="240" w:lineRule="auto"/>
                    <w:ind w:firstLine="0" w:firstLineChars="0"/>
                    <w:contextualSpacing/>
                    <w:rPr>
                      <w:b/>
                      <w:bCs/>
                      <w:sz w:val="21"/>
                      <w:szCs w:val="21"/>
                    </w:rPr>
                  </w:pPr>
                  <w:r>
                    <w:rPr>
                      <w:b/>
                      <w:bCs/>
                      <w:sz w:val="21"/>
                      <w:szCs w:val="21"/>
                    </w:rPr>
                    <w:t>行政区划</w:t>
                  </w:r>
                </w:p>
              </w:tc>
              <w:tc>
                <w:tcPr>
                  <w:tcW w:w="992"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12249FFB">
                  <w:pPr>
                    <w:snapToGrid w:val="0"/>
                    <w:spacing w:line="240" w:lineRule="auto"/>
                    <w:ind w:firstLine="0" w:firstLineChars="0"/>
                    <w:contextualSpacing/>
                    <w:rPr>
                      <w:b/>
                      <w:bCs/>
                      <w:sz w:val="21"/>
                      <w:szCs w:val="21"/>
                    </w:rPr>
                  </w:pPr>
                  <w:r>
                    <w:rPr>
                      <w:b/>
                      <w:bCs/>
                      <w:sz w:val="21"/>
                      <w:szCs w:val="21"/>
                    </w:rPr>
                    <w:t>环境要素类型</w:t>
                  </w:r>
                </w:p>
              </w:tc>
              <w:tc>
                <w:tcPr>
                  <w:tcW w:w="1981"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221A13E3">
                  <w:pPr>
                    <w:snapToGrid w:val="0"/>
                    <w:spacing w:line="240" w:lineRule="auto"/>
                    <w:ind w:firstLine="0" w:firstLineChars="0"/>
                    <w:contextualSpacing/>
                    <w:rPr>
                      <w:b/>
                      <w:bCs/>
                      <w:sz w:val="21"/>
                      <w:szCs w:val="21"/>
                    </w:rPr>
                  </w:pPr>
                  <w:r>
                    <w:rPr>
                      <w:b/>
                      <w:bCs/>
                      <w:sz w:val="21"/>
                      <w:szCs w:val="21"/>
                    </w:rPr>
                    <w:t>环境要素细类</w:t>
                  </w:r>
                </w:p>
              </w:tc>
            </w:tr>
            <w:tr w14:paraId="76DF6B1A">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 w:type="dxa"/>
                  <w:bottom w:w="0" w:type="dxa"/>
                  <w:right w:w="10" w:type="dxa"/>
                </w:tblCellMar>
              </w:tblPrEx>
              <w:trPr>
                <w:jc w:val="right"/>
              </w:trPr>
              <w:tc>
                <w:tcPr>
                  <w:tcW w:w="567"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1FBBFF3D">
                  <w:pPr>
                    <w:snapToGrid w:val="0"/>
                    <w:spacing w:line="240" w:lineRule="auto"/>
                    <w:ind w:firstLine="0" w:firstLineChars="0"/>
                    <w:contextualSpacing/>
                    <w:rPr>
                      <w:sz w:val="21"/>
                      <w:szCs w:val="21"/>
                    </w:rPr>
                  </w:pPr>
                  <w:r>
                    <w:rPr>
                      <w:sz w:val="21"/>
                      <w:szCs w:val="21"/>
                    </w:rPr>
                    <w:t>1</w:t>
                  </w:r>
                </w:p>
              </w:tc>
              <w:tc>
                <w:tcPr>
                  <w:tcW w:w="2177"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0A3B9683">
                  <w:pPr>
                    <w:snapToGrid w:val="0"/>
                    <w:spacing w:line="240" w:lineRule="auto"/>
                    <w:ind w:firstLine="0" w:firstLineChars="0"/>
                    <w:contextualSpacing/>
                    <w:rPr>
                      <w:sz w:val="21"/>
                      <w:szCs w:val="21"/>
                    </w:rPr>
                  </w:pPr>
                  <w:r>
                    <w:rPr>
                      <w:sz w:val="21"/>
                      <w:szCs w:val="21"/>
                    </w:rPr>
                    <w:t>巴河-巴州区-金碑-控制单元</w:t>
                  </w:r>
                </w:p>
              </w:tc>
              <w:tc>
                <w:tcPr>
                  <w:tcW w:w="2143"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2B09E0C7">
                  <w:pPr>
                    <w:snapToGrid w:val="0"/>
                    <w:spacing w:line="240" w:lineRule="auto"/>
                    <w:ind w:firstLine="0" w:firstLineChars="0"/>
                    <w:contextualSpacing/>
                    <w:rPr>
                      <w:sz w:val="21"/>
                      <w:szCs w:val="21"/>
                    </w:rPr>
                  </w:pPr>
                  <w:r>
                    <w:rPr>
                      <w:sz w:val="21"/>
                      <w:szCs w:val="21"/>
                    </w:rPr>
                    <w:t>YS5119022210002</w:t>
                  </w:r>
                </w:p>
              </w:tc>
              <w:tc>
                <w:tcPr>
                  <w:tcW w:w="1134"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35010D2F">
                  <w:pPr>
                    <w:snapToGrid w:val="0"/>
                    <w:spacing w:line="240" w:lineRule="auto"/>
                    <w:ind w:firstLine="0" w:firstLineChars="0"/>
                    <w:contextualSpacing/>
                    <w:rPr>
                      <w:sz w:val="21"/>
                      <w:szCs w:val="21"/>
                    </w:rPr>
                  </w:pPr>
                  <w:r>
                    <w:rPr>
                      <w:sz w:val="21"/>
                      <w:szCs w:val="21"/>
                    </w:rPr>
                    <w:t>巴中市巴州区</w:t>
                  </w:r>
                </w:p>
              </w:tc>
              <w:tc>
                <w:tcPr>
                  <w:tcW w:w="992"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04638438">
                  <w:pPr>
                    <w:snapToGrid w:val="0"/>
                    <w:spacing w:line="240" w:lineRule="auto"/>
                    <w:ind w:firstLine="0" w:firstLineChars="0"/>
                    <w:contextualSpacing/>
                    <w:rPr>
                      <w:sz w:val="21"/>
                      <w:szCs w:val="21"/>
                    </w:rPr>
                  </w:pPr>
                  <w:r>
                    <w:rPr>
                      <w:sz w:val="21"/>
                      <w:szCs w:val="21"/>
                    </w:rPr>
                    <w:t>水</w:t>
                  </w:r>
                </w:p>
              </w:tc>
              <w:tc>
                <w:tcPr>
                  <w:tcW w:w="1981"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78D3F809">
                  <w:pPr>
                    <w:snapToGrid w:val="0"/>
                    <w:spacing w:line="240" w:lineRule="auto"/>
                    <w:ind w:firstLine="0" w:firstLineChars="0"/>
                    <w:contextualSpacing/>
                    <w:rPr>
                      <w:sz w:val="21"/>
                      <w:szCs w:val="21"/>
                    </w:rPr>
                  </w:pPr>
                  <w:r>
                    <w:rPr>
                      <w:sz w:val="21"/>
                      <w:szCs w:val="21"/>
                    </w:rPr>
                    <w:t>水环境工业污染重点管控区</w:t>
                  </w:r>
                </w:p>
              </w:tc>
            </w:tr>
            <w:tr w14:paraId="04C50375">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 w:type="dxa"/>
                  <w:bottom w:w="0" w:type="dxa"/>
                  <w:right w:w="10" w:type="dxa"/>
                </w:tblCellMar>
              </w:tblPrEx>
              <w:trPr>
                <w:jc w:val="right"/>
              </w:trPr>
              <w:tc>
                <w:tcPr>
                  <w:tcW w:w="567"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741CABC5">
                  <w:pPr>
                    <w:snapToGrid w:val="0"/>
                    <w:spacing w:line="240" w:lineRule="auto"/>
                    <w:ind w:firstLine="0" w:firstLineChars="0"/>
                    <w:contextualSpacing/>
                    <w:rPr>
                      <w:sz w:val="21"/>
                      <w:szCs w:val="21"/>
                    </w:rPr>
                  </w:pPr>
                  <w:r>
                    <w:rPr>
                      <w:sz w:val="21"/>
                      <w:szCs w:val="21"/>
                    </w:rPr>
                    <w:t>2</w:t>
                  </w:r>
                </w:p>
              </w:tc>
              <w:tc>
                <w:tcPr>
                  <w:tcW w:w="2177"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0AF690FE">
                  <w:pPr>
                    <w:snapToGrid w:val="0"/>
                    <w:spacing w:line="240" w:lineRule="auto"/>
                    <w:ind w:firstLine="0" w:firstLineChars="0"/>
                    <w:contextualSpacing/>
                    <w:rPr>
                      <w:sz w:val="21"/>
                      <w:szCs w:val="21"/>
                    </w:rPr>
                  </w:pPr>
                  <w:r>
                    <w:rPr>
                      <w:sz w:val="21"/>
                      <w:szCs w:val="21"/>
                    </w:rPr>
                    <w:t>四川巴中经开区（核心区块、金堂区块）</w:t>
                  </w:r>
                </w:p>
              </w:tc>
              <w:tc>
                <w:tcPr>
                  <w:tcW w:w="2143"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30250D75">
                  <w:pPr>
                    <w:snapToGrid w:val="0"/>
                    <w:spacing w:line="240" w:lineRule="auto"/>
                    <w:ind w:firstLine="0" w:firstLineChars="0"/>
                    <w:contextualSpacing/>
                    <w:rPr>
                      <w:sz w:val="21"/>
                      <w:szCs w:val="21"/>
                    </w:rPr>
                  </w:pPr>
                  <w:r>
                    <w:rPr>
                      <w:sz w:val="21"/>
                      <w:szCs w:val="21"/>
                    </w:rPr>
                    <w:t>YS5119022310005</w:t>
                  </w:r>
                </w:p>
              </w:tc>
              <w:tc>
                <w:tcPr>
                  <w:tcW w:w="1134"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1882094A">
                  <w:pPr>
                    <w:snapToGrid w:val="0"/>
                    <w:spacing w:line="240" w:lineRule="auto"/>
                    <w:ind w:firstLine="0" w:firstLineChars="0"/>
                    <w:contextualSpacing/>
                    <w:rPr>
                      <w:sz w:val="21"/>
                      <w:szCs w:val="21"/>
                    </w:rPr>
                  </w:pPr>
                  <w:r>
                    <w:rPr>
                      <w:sz w:val="21"/>
                      <w:szCs w:val="21"/>
                    </w:rPr>
                    <w:t>巴中市巴州区</w:t>
                  </w:r>
                </w:p>
              </w:tc>
              <w:tc>
                <w:tcPr>
                  <w:tcW w:w="992"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4FAB0FCF">
                  <w:pPr>
                    <w:snapToGrid w:val="0"/>
                    <w:spacing w:line="240" w:lineRule="auto"/>
                    <w:ind w:firstLine="0" w:firstLineChars="0"/>
                    <w:contextualSpacing/>
                    <w:rPr>
                      <w:sz w:val="21"/>
                      <w:szCs w:val="21"/>
                    </w:rPr>
                  </w:pPr>
                  <w:r>
                    <w:rPr>
                      <w:sz w:val="21"/>
                      <w:szCs w:val="21"/>
                    </w:rPr>
                    <w:t>大气</w:t>
                  </w:r>
                </w:p>
              </w:tc>
              <w:tc>
                <w:tcPr>
                  <w:tcW w:w="1981"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708A4D51">
                  <w:pPr>
                    <w:snapToGrid w:val="0"/>
                    <w:spacing w:line="240" w:lineRule="auto"/>
                    <w:ind w:firstLine="0" w:firstLineChars="0"/>
                    <w:contextualSpacing/>
                    <w:rPr>
                      <w:sz w:val="21"/>
                      <w:szCs w:val="21"/>
                    </w:rPr>
                  </w:pPr>
                  <w:r>
                    <w:rPr>
                      <w:sz w:val="21"/>
                      <w:szCs w:val="21"/>
                    </w:rPr>
                    <w:t>大气环境高排放重点管控区</w:t>
                  </w:r>
                </w:p>
              </w:tc>
            </w:tr>
            <w:tr w14:paraId="21F2FF9B">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 w:type="dxa"/>
                  <w:bottom w:w="0" w:type="dxa"/>
                  <w:right w:w="10" w:type="dxa"/>
                </w:tblCellMar>
              </w:tblPrEx>
              <w:trPr>
                <w:jc w:val="right"/>
              </w:trPr>
              <w:tc>
                <w:tcPr>
                  <w:tcW w:w="567"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152249B1">
                  <w:pPr>
                    <w:snapToGrid w:val="0"/>
                    <w:spacing w:line="240" w:lineRule="auto"/>
                    <w:ind w:firstLine="0" w:firstLineChars="0"/>
                    <w:contextualSpacing/>
                    <w:rPr>
                      <w:sz w:val="21"/>
                      <w:szCs w:val="21"/>
                    </w:rPr>
                  </w:pPr>
                  <w:r>
                    <w:rPr>
                      <w:sz w:val="21"/>
                      <w:szCs w:val="21"/>
                    </w:rPr>
                    <w:t>3</w:t>
                  </w:r>
                </w:p>
              </w:tc>
              <w:tc>
                <w:tcPr>
                  <w:tcW w:w="2177"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5F71C8E4">
                  <w:pPr>
                    <w:snapToGrid w:val="0"/>
                    <w:spacing w:line="240" w:lineRule="auto"/>
                    <w:ind w:firstLine="0" w:firstLineChars="0"/>
                    <w:contextualSpacing/>
                    <w:rPr>
                      <w:sz w:val="21"/>
                      <w:szCs w:val="21"/>
                    </w:rPr>
                  </w:pPr>
                  <w:r>
                    <w:rPr>
                      <w:sz w:val="21"/>
                      <w:szCs w:val="21"/>
                    </w:rPr>
                    <w:t>巴州区城镇开发边界</w:t>
                  </w:r>
                </w:p>
              </w:tc>
              <w:tc>
                <w:tcPr>
                  <w:tcW w:w="2143"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2B34B882">
                  <w:pPr>
                    <w:snapToGrid w:val="0"/>
                    <w:spacing w:line="240" w:lineRule="auto"/>
                    <w:ind w:firstLine="0" w:firstLineChars="0"/>
                    <w:contextualSpacing/>
                    <w:rPr>
                      <w:sz w:val="21"/>
                      <w:szCs w:val="21"/>
                    </w:rPr>
                  </w:pPr>
                  <w:r>
                    <w:rPr>
                      <w:sz w:val="21"/>
                      <w:szCs w:val="21"/>
                    </w:rPr>
                    <w:t>YS5119022530001</w:t>
                  </w:r>
                </w:p>
              </w:tc>
              <w:tc>
                <w:tcPr>
                  <w:tcW w:w="1134"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2097195D">
                  <w:pPr>
                    <w:snapToGrid w:val="0"/>
                    <w:spacing w:line="240" w:lineRule="auto"/>
                    <w:ind w:firstLine="0" w:firstLineChars="0"/>
                    <w:contextualSpacing/>
                    <w:rPr>
                      <w:sz w:val="21"/>
                      <w:szCs w:val="21"/>
                    </w:rPr>
                  </w:pPr>
                  <w:r>
                    <w:rPr>
                      <w:sz w:val="21"/>
                      <w:szCs w:val="21"/>
                    </w:rPr>
                    <w:t>巴中市巴州区</w:t>
                  </w:r>
                </w:p>
              </w:tc>
              <w:tc>
                <w:tcPr>
                  <w:tcW w:w="992"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5FB4B8DC">
                  <w:pPr>
                    <w:snapToGrid w:val="0"/>
                    <w:spacing w:line="240" w:lineRule="auto"/>
                    <w:ind w:firstLine="0" w:firstLineChars="0"/>
                    <w:contextualSpacing/>
                    <w:rPr>
                      <w:sz w:val="21"/>
                      <w:szCs w:val="21"/>
                    </w:rPr>
                  </w:pPr>
                  <w:r>
                    <w:rPr>
                      <w:sz w:val="21"/>
                      <w:szCs w:val="21"/>
                    </w:rPr>
                    <w:t>自然资源</w:t>
                  </w:r>
                </w:p>
              </w:tc>
              <w:tc>
                <w:tcPr>
                  <w:tcW w:w="1981"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3324B2FA">
                  <w:pPr>
                    <w:snapToGrid w:val="0"/>
                    <w:spacing w:line="240" w:lineRule="auto"/>
                    <w:ind w:firstLine="0" w:firstLineChars="0"/>
                    <w:contextualSpacing/>
                    <w:rPr>
                      <w:sz w:val="21"/>
                      <w:szCs w:val="21"/>
                    </w:rPr>
                  </w:pPr>
                  <w:r>
                    <w:rPr>
                      <w:sz w:val="21"/>
                      <w:szCs w:val="21"/>
                    </w:rPr>
                    <w:t>土地资源重点管控区</w:t>
                  </w:r>
                </w:p>
              </w:tc>
            </w:tr>
            <w:tr w14:paraId="5247A771">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 w:type="dxa"/>
                  <w:bottom w:w="0" w:type="dxa"/>
                  <w:right w:w="10" w:type="dxa"/>
                </w:tblCellMar>
              </w:tblPrEx>
              <w:trPr>
                <w:jc w:val="right"/>
              </w:trPr>
              <w:tc>
                <w:tcPr>
                  <w:tcW w:w="567"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0244AE89">
                  <w:pPr>
                    <w:snapToGrid w:val="0"/>
                    <w:spacing w:line="240" w:lineRule="auto"/>
                    <w:ind w:firstLine="0" w:firstLineChars="0"/>
                    <w:contextualSpacing/>
                    <w:rPr>
                      <w:sz w:val="21"/>
                      <w:szCs w:val="21"/>
                    </w:rPr>
                  </w:pPr>
                  <w:r>
                    <w:rPr>
                      <w:sz w:val="21"/>
                      <w:szCs w:val="21"/>
                    </w:rPr>
                    <w:t>4</w:t>
                  </w:r>
                </w:p>
              </w:tc>
              <w:tc>
                <w:tcPr>
                  <w:tcW w:w="2177"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1FE86D5A">
                  <w:pPr>
                    <w:snapToGrid w:val="0"/>
                    <w:spacing w:line="240" w:lineRule="auto"/>
                    <w:ind w:firstLine="0" w:firstLineChars="0"/>
                    <w:contextualSpacing/>
                    <w:rPr>
                      <w:sz w:val="21"/>
                      <w:szCs w:val="21"/>
                    </w:rPr>
                  </w:pPr>
                  <w:r>
                    <w:rPr>
                      <w:sz w:val="21"/>
                      <w:szCs w:val="21"/>
                    </w:rPr>
                    <w:t>巴州区自然资源重点管控区</w:t>
                  </w:r>
                </w:p>
              </w:tc>
              <w:tc>
                <w:tcPr>
                  <w:tcW w:w="2143"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32B7D649">
                  <w:pPr>
                    <w:snapToGrid w:val="0"/>
                    <w:spacing w:line="240" w:lineRule="auto"/>
                    <w:ind w:firstLine="0" w:firstLineChars="0"/>
                    <w:contextualSpacing/>
                    <w:rPr>
                      <w:sz w:val="21"/>
                      <w:szCs w:val="21"/>
                    </w:rPr>
                  </w:pPr>
                  <w:r>
                    <w:rPr>
                      <w:sz w:val="21"/>
                      <w:szCs w:val="21"/>
                    </w:rPr>
                    <w:t>YS5119022550001</w:t>
                  </w:r>
                </w:p>
              </w:tc>
              <w:tc>
                <w:tcPr>
                  <w:tcW w:w="1134"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51A48F07">
                  <w:pPr>
                    <w:snapToGrid w:val="0"/>
                    <w:spacing w:line="240" w:lineRule="auto"/>
                    <w:ind w:firstLine="0" w:firstLineChars="0"/>
                    <w:contextualSpacing/>
                    <w:rPr>
                      <w:sz w:val="21"/>
                      <w:szCs w:val="21"/>
                    </w:rPr>
                  </w:pPr>
                  <w:r>
                    <w:rPr>
                      <w:sz w:val="21"/>
                      <w:szCs w:val="21"/>
                    </w:rPr>
                    <w:t>巴中市巴州区</w:t>
                  </w:r>
                </w:p>
              </w:tc>
              <w:tc>
                <w:tcPr>
                  <w:tcW w:w="992"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310FD796">
                  <w:pPr>
                    <w:snapToGrid w:val="0"/>
                    <w:spacing w:line="240" w:lineRule="auto"/>
                    <w:ind w:firstLine="0" w:firstLineChars="0"/>
                    <w:contextualSpacing/>
                    <w:rPr>
                      <w:sz w:val="21"/>
                      <w:szCs w:val="21"/>
                    </w:rPr>
                  </w:pPr>
                  <w:r>
                    <w:rPr>
                      <w:sz w:val="21"/>
                      <w:szCs w:val="21"/>
                    </w:rPr>
                    <w:t>自然资源</w:t>
                  </w:r>
                </w:p>
              </w:tc>
              <w:tc>
                <w:tcPr>
                  <w:tcW w:w="1981"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47CE5961">
                  <w:pPr>
                    <w:snapToGrid w:val="0"/>
                    <w:spacing w:line="240" w:lineRule="auto"/>
                    <w:ind w:firstLine="0" w:firstLineChars="0"/>
                    <w:contextualSpacing/>
                    <w:rPr>
                      <w:sz w:val="21"/>
                      <w:szCs w:val="21"/>
                    </w:rPr>
                  </w:pPr>
                  <w:r>
                    <w:rPr>
                      <w:sz w:val="21"/>
                      <w:szCs w:val="21"/>
                    </w:rPr>
                    <w:t>自然资源重点管控区</w:t>
                  </w:r>
                </w:p>
              </w:tc>
            </w:tr>
            <w:tr w14:paraId="68A11E85">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 w:type="dxa"/>
                  <w:bottom w:w="0" w:type="dxa"/>
                  <w:right w:w="10" w:type="dxa"/>
                </w:tblCellMar>
              </w:tblPrEx>
              <w:trPr>
                <w:jc w:val="right"/>
              </w:trPr>
              <w:tc>
                <w:tcPr>
                  <w:tcW w:w="567"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21EF85A6">
                  <w:pPr>
                    <w:snapToGrid w:val="0"/>
                    <w:spacing w:line="240" w:lineRule="auto"/>
                    <w:ind w:firstLine="0" w:firstLineChars="0"/>
                    <w:contextualSpacing/>
                    <w:rPr>
                      <w:sz w:val="21"/>
                      <w:szCs w:val="21"/>
                    </w:rPr>
                  </w:pPr>
                  <w:r>
                    <w:rPr>
                      <w:sz w:val="21"/>
                      <w:szCs w:val="21"/>
                    </w:rPr>
                    <w:t>5</w:t>
                  </w:r>
                </w:p>
              </w:tc>
              <w:tc>
                <w:tcPr>
                  <w:tcW w:w="2177"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7CE704D9">
                  <w:pPr>
                    <w:snapToGrid w:val="0"/>
                    <w:spacing w:line="240" w:lineRule="auto"/>
                    <w:ind w:firstLine="0" w:firstLineChars="0"/>
                    <w:contextualSpacing/>
                    <w:rPr>
                      <w:sz w:val="21"/>
                      <w:szCs w:val="21"/>
                    </w:rPr>
                  </w:pPr>
                  <w:r>
                    <w:rPr>
                      <w:sz w:val="21"/>
                      <w:szCs w:val="21"/>
                    </w:rPr>
                    <w:t>巴州区其他区域</w:t>
                  </w:r>
                </w:p>
              </w:tc>
              <w:tc>
                <w:tcPr>
                  <w:tcW w:w="2143"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45B1E6FA">
                  <w:pPr>
                    <w:snapToGrid w:val="0"/>
                    <w:spacing w:line="240" w:lineRule="auto"/>
                    <w:ind w:firstLine="0" w:firstLineChars="0"/>
                    <w:contextualSpacing/>
                    <w:rPr>
                      <w:sz w:val="21"/>
                      <w:szCs w:val="21"/>
                    </w:rPr>
                  </w:pPr>
                  <w:r>
                    <w:rPr>
                      <w:sz w:val="21"/>
                      <w:szCs w:val="21"/>
                    </w:rPr>
                    <w:t>YS5119023110001</w:t>
                  </w:r>
                </w:p>
              </w:tc>
              <w:tc>
                <w:tcPr>
                  <w:tcW w:w="1134"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54F6DF42">
                  <w:pPr>
                    <w:snapToGrid w:val="0"/>
                    <w:spacing w:line="240" w:lineRule="auto"/>
                    <w:ind w:firstLine="0" w:firstLineChars="0"/>
                    <w:contextualSpacing/>
                    <w:rPr>
                      <w:sz w:val="21"/>
                      <w:szCs w:val="21"/>
                    </w:rPr>
                  </w:pPr>
                  <w:r>
                    <w:rPr>
                      <w:sz w:val="21"/>
                      <w:szCs w:val="21"/>
                    </w:rPr>
                    <w:t>巴中市巴州区</w:t>
                  </w:r>
                </w:p>
              </w:tc>
              <w:tc>
                <w:tcPr>
                  <w:tcW w:w="992"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1DDFCA09">
                  <w:pPr>
                    <w:snapToGrid w:val="0"/>
                    <w:spacing w:line="240" w:lineRule="auto"/>
                    <w:ind w:firstLine="0" w:firstLineChars="0"/>
                    <w:contextualSpacing/>
                    <w:rPr>
                      <w:sz w:val="21"/>
                      <w:szCs w:val="21"/>
                    </w:rPr>
                  </w:pPr>
                  <w:r>
                    <w:rPr>
                      <w:sz w:val="21"/>
                      <w:szCs w:val="21"/>
                    </w:rPr>
                    <w:t>生态</w:t>
                  </w:r>
                </w:p>
              </w:tc>
              <w:tc>
                <w:tcPr>
                  <w:tcW w:w="1981"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2D5673B1">
                  <w:pPr>
                    <w:snapToGrid w:val="0"/>
                    <w:spacing w:line="240" w:lineRule="auto"/>
                    <w:ind w:firstLine="0" w:firstLineChars="0"/>
                    <w:contextualSpacing/>
                    <w:rPr>
                      <w:sz w:val="21"/>
                      <w:szCs w:val="21"/>
                    </w:rPr>
                  </w:pPr>
                  <w:r>
                    <w:rPr>
                      <w:sz w:val="21"/>
                      <w:szCs w:val="21"/>
                    </w:rPr>
                    <w:t>一般管控区</w:t>
                  </w:r>
                </w:p>
              </w:tc>
            </w:tr>
            <w:bookmarkEnd w:id="33"/>
          </w:tbl>
          <w:p w14:paraId="081CD0A0">
            <w:pPr>
              <w:ind w:firstLine="480"/>
              <w:rPr>
                <w:rFonts w:cs="Times New Roman"/>
              </w:rPr>
            </w:pPr>
            <w:r>
              <w:rPr>
                <w:rFonts w:cs="Times New Roman"/>
              </w:rPr>
              <w:t>综合而言，本项目位于四川巴中经济开发区（核心区块、金堂区块）的工业重点管控单元，不涉及生态红线。</w:t>
            </w:r>
          </w:p>
          <w:p w14:paraId="547C4AB6">
            <w:pPr>
              <w:pStyle w:val="14"/>
            </w:pPr>
            <w:r>
              <w:drawing>
                <wp:inline distT="0" distB="0" distL="0" distR="0">
                  <wp:extent cx="2630170" cy="3081020"/>
                  <wp:effectExtent l="0" t="0" r="0" b="5080"/>
                  <wp:docPr id="70864638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646386" name="图片 1"/>
                          <pic:cNvPicPr>
                            <a:picLocks noChangeAspect="1" noChangeArrowheads="1"/>
                          </pic:cNvPicPr>
                        </pic:nvPicPr>
                        <pic:blipFill>
                          <a:blip r:embed="rId15">
                            <a:extLst>
                              <a:ext uri="{28A0092B-C50C-407E-A947-70E740481C1C}">
                                <a14:useLocalDpi xmlns:a14="http://schemas.microsoft.com/office/drawing/2010/main" val="0"/>
                              </a:ext>
                            </a:extLst>
                          </a:blip>
                          <a:srcRect l="2652" t="2542" r="1860"/>
                          <a:stretch>
                            <a:fillRect/>
                          </a:stretch>
                        </pic:blipFill>
                        <pic:spPr>
                          <a:xfrm>
                            <a:off x="0" y="0"/>
                            <a:ext cx="2663154" cy="3119827"/>
                          </a:xfrm>
                          <a:prstGeom prst="rect">
                            <a:avLst/>
                          </a:prstGeom>
                          <a:noFill/>
                          <a:ln>
                            <a:noFill/>
                          </a:ln>
                        </pic:spPr>
                      </pic:pic>
                    </a:graphicData>
                  </a:graphic>
                </wp:inline>
              </w:drawing>
            </w:r>
            <w:r>
              <w:rPr>
                <w:rFonts w:hint="eastAsia" w:cs="Times New Roman"/>
              </w:rPr>
              <w:t xml:space="preserve"> </w:t>
            </w:r>
            <w:r>
              <w:rPr>
                <w:rStyle w:val="51"/>
              </w:rPr>
              <w:drawing>
                <wp:inline distT="0" distB="0" distL="0" distR="0">
                  <wp:extent cx="2642235" cy="2995930"/>
                  <wp:effectExtent l="0" t="0" r="5715" b="0"/>
                  <wp:docPr id="96593117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931173" name="图片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2653609" cy="3009008"/>
                          </a:xfrm>
                          <a:prstGeom prst="rect">
                            <a:avLst/>
                          </a:prstGeom>
                          <a:noFill/>
                          <a:ln>
                            <a:noFill/>
                          </a:ln>
                        </pic:spPr>
                      </pic:pic>
                    </a:graphicData>
                  </a:graphic>
                </wp:inline>
              </w:drawing>
            </w:r>
          </w:p>
          <w:p w14:paraId="3F4B17FC">
            <w:pPr>
              <w:pStyle w:val="13"/>
              <w:rPr>
                <w:rFonts w:cs="Times New Roman"/>
                <w:bCs/>
              </w:rPr>
            </w:pPr>
            <w:r>
              <w:rPr>
                <w:rFonts w:cs="Times New Roman"/>
              </w:rPr>
              <w:t xml:space="preserve">图 </w:t>
            </w:r>
            <w:r>
              <w:rPr>
                <w:rFonts w:cs="Times New Roman"/>
              </w:rPr>
              <w:fldChar w:fldCharType="begin"/>
            </w:r>
            <w:r>
              <w:rPr>
                <w:rFonts w:cs="Times New Roman"/>
              </w:rPr>
              <w:instrText xml:space="preserve"> SEQ seq \c </w:instrText>
            </w:r>
            <w:r>
              <w:rPr>
                <w:rFonts w:cs="Times New Roman"/>
              </w:rPr>
              <w:fldChar w:fldCharType="separate"/>
            </w:r>
            <w:r>
              <w:rPr>
                <w:rFonts w:cs="Times New Roman"/>
              </w:rPr>
              <w:t>1</w:t>
            </w:r>
            <w:r>
              <w:rPr>
                <w:rFonts w:cs="Times New Roman"/>
              </w:rPr>
              <w:fldChar w:fldCharType="end"/>
            </w:r>
            <w:r>
              <w:rPr>
                <w:rFonts w:cs="Times New Roman"/>
              </w:rPr>
              <w:noBreakHyphen/>
            </w:r>
            <w:r>
              <w:rPr>
                <w:rFonts w:cs="Times New Roman"/>
              </w:rPr>
              <w:fldChar w:fldCharType="begin"/>
            </w:r>
            <w:r>
              <w:rPr>
                <w:rFonts w:cs="Times New Roman"/>
              </w:rPr>
              <w:instrText xml:space="preserve"> SEQ 图 \* ARABIC \s 1 </w:instrText>
            </w:r>
            <w:r>
              <w:rPr>
                <w:rFonts w:cs="Times New Roman"/>
              </w:rPr>
              <w:fldChar w:fldCharType="separate"/>
            </w:r>
            <w:r>
              <w:rPr>
                <w:rFonts w:cs="Times New Roman"/>
              </w:rPr>
              <w:t>1</w:t>
            </w:r>
            <w:r>
              <w:rPr>
                <w:rFonts w:cs="Times New Roman"/>
              </w:rPr>
              <w:fldChar w:fldCharType="end"/>
            </w:r>
            <w:r>
              <w:rPr>
                <w:rFonts w:cs="Times New Roman"/>
              </w:rPr>
              <w:t xml:space="preserve"> </w:t>
            </w:r>
            <w:r>
              <w:rPr>
                <w:rFonts w:cs="Times New Roman"/>
                <w:bCs/>
              </w:rPr>
              <w:t>四川政务服务网生态环境</w:t>
            </w:r>
            <w:r>
              <w:rPr>
                <w:rFonts w:cs="Times New Roman"/>
              </w:rPr>
              <w:t>分区</w:t>
            </w:r>
            <w:r>
              <w:rPr>
                <w:rFonts w:cs="Times New Roman"/>
                <w:bCs/>
              </w:rPr>
              <w:t>管控公众服务系统查询</w:t>
            </w:r>
            <w:r>
              <w:rPr>
                <w:rFonts w:hint="eastAsia" w:cs="Times New Roman"/>
                <w:bCs/>
              </w:rPr>
              <w:t>结果截图</w:t>
            </w:r>
          </w:p>
          <w:p w14:paraId="3EE3FFA8">
            <w:pPr>
              <w:ind w:firstLine="480"/>
              <w:rPr>
                <w:rFonts w:cs="Times New Roman"/>
              </w:rPr>
            </w:pPr>
            <w:r>
              <w:rPr>
                <w:rFonts w:cs="Times New Roman"/>
              </w:rPr>
              <w:t>项目与管控单元位置关系如下图所示：</w:t>
            </w:r>
          </w:p>
          <w:p w14:paraId="4BD39317">
            <w:pPr>
              <w:pStyle w:val="13"/>
              <w:rPr>
                <w:rFonts w:cs="Times New Roman"/>
              </w:rPr>
            </w:pPr>
            <w:r>
              <w:rPr>
                <w:rFonts w:cs="Times New Roman"/>
              </w:rPr>
              <w:drawing>
                <wp:inline distT="0" distB="0" distL="0" distR="0">
                  <wp:extent cx="5756910" cy="3694430"/>
                  <wp:effectExtent l="0" t="0" r="0" b="1270"/>
                  <wp:docPr id="159758174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581741" name="图片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5756910" cy="3694430"/>
                          </a:xfrm>
                          <a:prstGeom prst="rect">
                            <a:avLst/>
                          </a:prstGeom>
                          <a:noFill/>
                          <a:ln>
                            <a:noFill/>
                          </a:ln>
                        </pic:spPr>
                      </pic:pic>
                    </a:graphicData>
                  </a:graphic>
                </wp:inline>
              </w:drawing>
            </w:r>
          </w:p>
          <w:p w14:paraId="0EBEC901">
            <w:pPr>
              <w:pStyle w:val="13"/>
              <w:rPr>
                <w:rFonts w:cs="Times New Roman"/>
              </w:rPr>
            </w:pPr>
            <w:r>
              <w:rPr>
                <w:rFonts w:cs="Times New Roman"/>
              </w:rPr>
              <w:t xml:space="preserve">图 </w:t>
            </w:r>
            <w:r>
              <w:rPr>
                <w:rFonts w:cs="Times New Roman"/>
              </w:rPr>
              <w:fldChar w:fldCharType="begin"/>
            </w:r>
            <w:r>
              <w:rPr>
                <w:rFonts w:cs="Times New Roman"/>
              </w:rPr>
              <w:instrText xml:space="preserve"> SEQ seq \c </w:instrText>
            </w:r>
            <w:r>
              <w:rPr>
                <w:rFonts w:cs="Times New Roman"/>
              </w:rPr>
              <w:fldChar w:fldCharType="separate"/>
            </w:r>
            <w:r>
              <w:rPr>
                <w:rFonts w:cs="Times New Roman"/>
              </w:rPr>
              <w:t>1</w:t>
            </w:r>
            <w:r>
              <w:rPr>
                <w:rFonts w:cs="Times New Roman"/>
              </w:rPr>
              <w:fldChar w:fldCharType="end"/>
            </w:r>
            <w:r>
              <w:rPr>
                <w:rFonts w:cs="Times New Roman"/>
              </w:rPr>
              <w:noBreakHyphen/>
            </w:r>
            <w:r>
              <w:rPr>
                <w:rFonts w:cs="Times New Roman"/>
              </w:rPr>
              <w:fldChar w:fldCharType="begin"/>
            </w:r>
            <w:r>
              <w:rPr>
                <w:rFonts w:cs="Times New Roman"/>
              </w:rPr>
              <w:instrText xml:space="preserve"> SEQ 图 \* ARABIC \s 1 </w:instrText>
            </w:r>
            <w:r>
              <w:rPr>
                <w:rFonts w:cs="Times New Roman"/>
              </w:rPr>
              <w:fldChar w:fldCharType="separate"/>
            </w:r>
            <w:r>
              <w:rPr>
                <w:rFonts w:cs="Times New Roman"/>
              </w:rPr>
              <w:t>2</w:t>
            </w:r>
            <w:r>
              <w:rPr>
                <w:rFonts w:cs="Times New Roman"/>
              </w:rPr>
              <w:fldChar w:fldCharType="end"/>
            </w:r>
            <w:r>
              <w:rPr>
                <w:rFonts w:cs="Times New Roman"/>
              </w:rPr>
              <w:t xml:space="preserve"> 本项目所在环境管控单元图</w:t>
            </w:r>
          </w:p>
          <w:p w14:paraId="4831D134">
            <w:pPr>
              <w:keepNext/>
              <w:ind w:firstLine="0" w:firstLineChars="0"/>
              <w:rPr>
                <w:rFonts w:cs="Times New Roman"/>
              </w:rPr>
            </w:pPr>
            <w:r>
              <w:drawing>
                <wp:inline distT="0" distB="0" distL="0" distR="0">
                  <wp:extent cx="5742305" cy="4594225"/>
                  <wp:effectExtent l="0" t="0" r="0" b="0"/>
                  <wp:docPr id="174759188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591889" name="图片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5742305" cy="4594225"/>
                          </a:xfrm>
                          <a:prstGeom prst="rect">
                            <a:avLst/>
                          </a:prstGeom>
                          <a:noFill/>
                          <a:ln>
                            <a:noFill/>
                          </a:ln>
                        </pic:spPr>
                      </pic:pic>
                    </a:graphicData>
                  </a:graphic>
                </wp:inline>
              </w:drawing>
            </w:r>
          </w:p>
          <w:p w14:paraId="3A338751">
            <w:pPr>
              <w:pStyle w:val="13"/>
              <w:spacing w:after="0" w:line="360" w:lineRule="auto"/>
              <w:rPr>
                <w:rFonts w:cs="Times New Roman"/>
              </w:rPr>
            </w:pPr>
            <w:r>
              <w:rPr>
                <w:rFonts w:cs="Times New Roman"/>
              </w:rPr>
              <w:t xml:space="preserve">图 </w:t>
            </w:r>
            <w:r>
              <w:rPr>
                <w:rFonts w:cs="Times New Roman"/>
              </w:rPr>
              <w:fldChar w:fldCharType="begin"/>
            </w:r>
            <w:r>
              <w:rPr>
                <w:rFonts w:cs="Times New Roman"/>
              </w:rPr>
              <w:instrText xml:space="preserve"> SEQ seq \c </w:instrText>
            </w:r>
            <w:r>
              <w:rPr>
                <w:rFonts w:cs="Times New Roman"/>
              </w:rPr>
              <w:fldChar w:fldCharType="separate"/>
            </w:r>
            <w:r>
              <w:rPr>
                <w:rFonts w:cs="Times New Roman"/>
              </w:rPr>
              <w:t>1</w:t>
            </w:r>
            <w:r>
              <w:rPr>
                <w:rFonts w:cs="Times New Roman"/>
              </w:rPr>
              <w:fldChar w:fldCharType="end"/>
            </w:r>
            <w:r>
              <w:rPr>
                <w:rFonts w:cs="Times New Roman"/>
              </w:rPr>
              <w:noBreakHyphen/>
            </w:r>
            <w:r>
              <w:rPr>
                <w:rFonts w:cs="Times New Roman"/>
              </w:rPr>
              <w:fldChar w:fldCharType="begin"/>
            </w:r>
            <w:r>
              <w:rPr>
                <w:rFonts w:cs="Times New Roman"/>
              </w:rPr>
              <w:instrText xml:space="preserve"> SEQ 图 \* ARABIC \s 1 </w:instrText>
            </w:r>
            <w:r>
              <w:rPr>
                <w:rFonts w:cs="Times New Roman"/>
              </w:rPr>
              <w:fldChar w:fldCharType="separate"/>
            </w:r>
            <w:r>
              <w:rPr>
                <w:rFonts w:cs="Times New Roman"/>
              </w:rPr>
              <w:t>3</w:t>
            </w:r>
            <w:r>
              <w:rPr>
                <w:rFonts w:cs="Times New Roman"/>
              </w:rPr>
              <w:fldChar w:fldCharType="end"/>
            </w:r>
            <w:r>
              <w:rPr>
                <w:rFonts w:cs="Times New Roman"/>
              </w:rPr>
              <w:t xml:space="preserve"> 本项目与管控单元相对位置图</w:t>
            </w:r>
          </w:p>
          <w:p w14:paraId="65DAF694">
            <w:pPr>
              <w:ind w:firstLine="482"/>
              <w:rPr>
                <w:rFonts w:cs="Times New Roman"/>
                <w:b/>
              </w:rPr>
            </w:pPr>
            <w:r>
              <w:rPr>
                <w:rFonts w:cs="Times New Roman"/>
                <w:b/>
              </w:rPr>
              <w:t>（2）与巴中市及巴州区总体生态环境管控要求符合性分析</w:t>
            </w:r>
          </w:p>
          <w:p w14:paraId="1C3288E6">
            <w:pPr>
              <w:ind w:firstLine="480"/>
              <w:rPr>
                <w:rFonts w:cs="Times New Roman"/>
              </w:rPr>
            </w:pPr>
            <w:r>
              <w:rPr>
                <w:rFonts w:cs="Times New Roman"/>
              </w:rPr>
              <w:t>根据《巴中市生态环境保护委员会办公室关于加强生态环境分区管控的通知》（</w:t>
            </w:r>
            <w:r>
              <w:rPr>
                <w:rFonts w:cs="Times New Roman"/>
                <w:szCs w:val="24"/>
              </w:rPr>
              <w:t>巴环委办〔2024〕3号</w:t>
            </w:r>
            <w:r>
              <w:rPr>
                <w:rFonts w:cs="Times New Roman"/>
              </w:rPr>
              <w:t>），项目与巴中市及巴州区总体生态环境管控要求符合性分析如下：</w:t>
            </w:r>
          </w:p>
          <w:p w14:paraId="59BAA011">
            <w:pPr>
              <w:pStyle w:val="13"/>
              <w:keepNext/>
              <w:rPr>
                <w:rFonts w:cs="Times New Roman"/>
              </w:rPr>
            </w:pPr>
            <w:r>
              <w:rPr>
                <w:rFonts w:cs="Times New Roman"/>
              </w:rPr>
              <w:t xml:space="preserve">表 </w:t>
            </w:r>
            <w:r>
              <w:rPr>
                <w:rFonts w:cs="Times New Roman"/>
              </w:rPr>
              <w:fldChar w:fldCharType="begin"/>
            </w:r>
            <w:r>
              <w:rPr>
                <w:rFonts w:cs="Times New Roman"/>
              </w:rPr>
              <w:instrText xml:space="preserve"> SEQ seq \c </w:instrText>
            </w:r>
            <w:r>
              <w:rPr>
                <w:rFonts w:cs="Times New Roman"/>
              </w:rPr>
              <w:fldChar w:fldCharType="separate"/>
            </w:r>
            <w:r>
              <w:rPr>
                <w:rFonts w:cs="Times New Roman"/>
              </w:rPr>
              <w:t>1</w:t>
            </w:r>
            <w:r>
              <w:rPr>
                <w:rFonts w:cs="Times New Roman"/>
              </w:rPr>
              <w:fldChar w:fldCharType="end"/>
            </w:r>
            <w:r>
              <w:rPr>
                <w:rFonts w:cs="Times New Roman"/>
              </w:rPr>
              <w:noBreakHyphen/>
            </w:r>
            <w:r>
              <w:rPr>
                <w:rFonts w:cs="Times New Roman"/>
              </w:rPr>
              <w:fldChar w:fldCharType="begin"/>
            </w:r>
            <w:r>
              <w:rPr>
                <w:rFonts w:cs="Times New Roman"/>
              </w:rPr>
              <w:instrText xml:space="preserve"> SEQ 表 \* ARABIC \s 1 </w:instrText>
            </w:r>
            <w:r>
              <w:rPr>
                <w:rFonts w:cs="Times New Roman"/>
              </w:rPr>
              <w:fldChar w:fldCharType="separate"/>
            </w:r>
            <w:r>
              <w:rPr>
                <w:rFonts w:cs="Times New Roman"/>
              </w:rPr>
              <w:t>6</w:t>
            </w:r>
            <w:r>
              <w:rPr>
                <w:rFonts w:cs="Times New Roman"/>
              </w:rPr>
              <w:fldChar w:fldCharType="end"/>
            </w:r>
            <w:r>
              <w:rPr>
                <w:rFonts w:hint="eastAsia" w:cs="Times New Roman"/>
              </w:rPr>
              <w:t xml:space="preserve">  </w:t>
            </w:r>
            <w:r>
              <w:rPr>
                <w:rFonts w:cs="Times New Roman"/>
                <w:sz w:val="24"/>
              </w:rPr>
              <w:t>与巴中市及巴州区总体生态环境管控要求符合性分析表</w:t>
            </w:r>
          </w:p>
          <w:tbl>
            <w:tblPr>
              <w:tblStyle w:val="33"/>
              <w:tblW w:w="493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1"/>
              <w:gridCol w:w="4142"/>
              <w:gridCol w:w="2413"/>
              <w:gridCol w:w="913"/>
            </w:tblGrid>
            <w:tr w14:paraId="20016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5" w:type="dxa"/>
                  <w:vAlign w:val="center"/>
                </w:tcPr>
                <w:p w14:paraId="679B9513">
                  <w:pPr>
                    <w:pStyle w:val="53"/>
                    <w:rPr>
                      <w:rFonts w:cs="Times New Roman"/>
                    </w:rPr>
                  </w:pPr>
                  <w:r>
                    <w:rPr>
                      <w:rFonts w:cs="Times New Roman"/>
                    </w:rPr>
                    <w:t>行政区划</w:t>
                  </w:r>
                </w:p>
              </w:tc>
              <w:tc>
                <w:tcPr>
                  <w:tcW w:w="4310" w:type="dxa"/>
                  <w:vAlign w:val="center"/>
                </w:tcPr>
                <w:p w14:paraId="56B2DF21">
                  <w:pPr>
                    <w:pStyle w:val="53"/>
                    <w:rPr>
                      <w:rFonts w:cs="Times New Roman"/>
                    </w:rPr>
                  </w:pPr>
                  <w:r>
                    <w:rPr>
                      <w:rFonts w:cs="Times New Roman"/>
                    </w:rPr>
                    <w:t>总体管控要求</w:t>
                  </w:r>
                </w:p>
              </w:tc>
              <w:tc>
                <w:tcPr>
                  <w:tcW w:w="2506" w:type="dxa"/>
                  <w:vAlign w:val="center"/>
                </w:tcPr>
                <w:p w14:paraId="2726DE0A">
                  <w:pPr>
                    <w:pStyle w:val="53"/>
                    <w:rPr>
                      <w:rFonts w:cs="Times New Roman"/>
                    </w:rPr>
                  </w:pPr>
                  <w:r>
                    <w:rPr>
                      <w:rFonts w:cs="Times New Roman"/>
                    </w:rPr>
                    <w:t>本项目情况</w:t>
                  </w:r>
                </w:p>
              </w:tc>
              <w:tc>
                <w:tcPr>
                  <w:tcW w:w="942" w:type="dxa"/>
                  <w:vAlign w:val="center"/>
                </w:tcPr>
                <w:p w14:paraId="1920F270">
                  <w:pPr>
                    <w:pStyle w:val="53"/>
                    <w:rPr>
                      <w:rFonts w:cs="Times New Roman"/>
                    </w:rPr>
                  </w:pPr>
                  <w:r>
                    <w:rPr>
                      <w:rFonts w:cs="Times New Roman"/>
                    </w:rPr>
                    <w:t>符合性</w:t>
                  </w:r>
                </w:p>
              </w:tc>
            </w:tr>
            <w:tr w14:paraId="49ED8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5" w:type="dxa"/>
                  <w:vMerge w:val="restart"/>
                  <w:vAlign w:val="center"/>
                </w:tcPr>
                <w:p w14:paraId="71C47EE6">
                  <w:pPr>
                    <w:pStyle w:val="14"/>
                    <w:rPr>
                      <w:rFonts w:cs="Times New Roman"/>
                      <w:bCs/>
                    </w:rPr>
                  </w:pPr>
                  <w:r>
                    <w:rPr>
                      <w:rFonts w:cs="Times New Roman"/>
                      <w:bCs/>
                    </w:rPr>
                    <w:t>巴中市</w:t>
                  </w:r>
                </w:p>
              </w:tc>
              <w:tc>
                <w:tcPr>
                  <w:tcW w:w="4310" w:type="dxa"/>
                  <w:vAlign w:val="center"/>
                </w:tcPr>
                <w:p w14:paraId="1A453DAF">
                  <w:pPr>
                    <w:pStyle w:val="14"/>
                    <w:rPr>
                      <w:rFonts w:cs="Times New Roman"/>
                    </w:rPr>
                  </w:pPr>
                  <w:r>
                    <w:rPr>
                      <w:rFonts w:cs="Times New Roman"/>
                    </w:rPr>
                    <w:t>1.培育和引入产业必须符合国家产业政策，严控新建、扩建“两高”项目，强化企业环境管理；</w:t>
                  </w:r>
                </w:p>
              </w:tc>
              <w:tc>
                <w:tcPr>
                  <w:tcW w:w="2506" w:type="dxa"/>
                  <w:vAlign w:val="center"/>
                </w:tcPr>
                <w:p w14:paraId="6D5C2D6D">
                  <w:pPr>
                    <w:pStyle w:val="14"/>
                    <w:rPr>
                      <w:rFonts w:cs="Times New Roman"/>
                    </w:rPr>
                  </w:pPr>
                  <w:r>
                    <w:rPr>
                      <w:rFonts w:cs="Times New Roman"/>
                    </w:rPr>
                    <w:t>符合国家产业政策，不属于“两高”项目。</w:t>
                  </w:r>
                </w:p>
              </w:tc>
              <w:tc>
                <w:tcPr>
                  <w:tcW w:w="942" w:type="dxa"/>
                  <w:vAlign w:val="center"/>
                </w:tcPr>
                <w:p w14:paraId="04479A0C">
                  <w:pPr>
                    <w:pStyle w:val="14"/>
                    <w:rPr>
                      <w:rFonts w:cs="Times New Roman"/>
                      <w:bCs/>
                    </w:rPr>
                  </w:pPr>
                  <w:r>
                    <w:rPr>
                      <w:rFonts w:cs="Times New Roman"/>
                      <w:bCs/>
                    </w:rPr>
                    <w:t>相符</w:t>
                  </w:r>
                </w:p>
              </w:tc>
            </w:tr>
            <w:tr w14:paraId="64B34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5" w:type="dxa"/>
                  <w:vMerge w:val="continue"/>
                  <w:vAlign w:val="center"/>
                </w:tcPr>
                <w:p w14:paraId="37F250DC">
                  <w:pPr>
                    <w:pStyle w:val="14"/>
                    <w:rPr>
                      <w:rFonts w:cs="Times New Roman"/>
                      <w:bCs/>
                    </w:rPr>
                  </w:pPr>
                </w:p>
              </w:tc>
              <w:tc>
                <w:tcPr>
                  <w:tcW w:w="4310" w:type="dxa"/>
                  <w:vAlign w:val="center"/>
                </w:tcPr>
                <w:p w14:paraId="6614D938">
                  <w:pPr>
                    <w:pStyle w:val="14"/>
                    <w:rPr>
                      <w:rFonts w:cs="Times New Roman"/>
                    </w:rPr>
                  </w:pPr>
                  <w:r>
                    <w:rPr>
                      <w:rFonts w:cs="Times New Roman"/>
                    </w:rPr>
                    <w:t>2.强化水、大气、土壤等污染源头管控，深化环境污染治理，完善污染治理基础设施，巩固提升环境质量；</w:t>
                  </w:r>
                </w:p>
              </w:tc>
              <w:tc>
                <w:tcPr>
                  <w:tcW w:w="2506" w:type="dxa"/>
                  <w:vAlign w:val="center"/>
                </w:tcPr>
                <w:p w14:paraId="48DE1641">
                  <w:pPr>
                    <w:pStyle w:val="14"/>
                    <w:rPr>
                      <w:rFonts w:cs="Times New Roman"/>
                    </w:rPr>
                  </w:pPr>
                  <w:r>
                    <w:rPr>
                      <w:rFonts w:cs="Times New Roman"/>
                    </w:rPr>
                    <w:t>针对水、大气、土壤等污染均提出了明确的措施。</w:t>
                  </w:r>
                </w:p>
              </w:tc>
              <w:tc>
                <w:tcPr>
                  <w:tcW w:w="942" w:type="dxa"/>
                  <w:vAlign w:val="center"/>
                </w:tcPr>
                <w:p w14:paraId="0B089E72">
                  <w:pPr>
                    <w:pStyle w:val="14"/>
                    <w:rPr>
                      <w:rFonts w:cs="Times New Roman"/>
                      <w:bCs/>
                    </w:rPr>
                  </w:pPr>
                  <w:r>
                    <w:rPr>
                      <w:rFonts w:cs="Times New Roman"/>
                      <w:bCs/>
                    </w:rPr>
                    <w:t>相符</w:t>
                  </w:r>
                </w:p>
              </w:tc>
            </w:tr>
            <w:tr w14:paraId="0018D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5" w:type="dxa"/>
                  <w:vMerge w:val="continue"/>
                  <w:vAlign w:val="center"/>
                </w:tcPr>
                <w:p w14:paraId="4C762BD5">
                  <w:pPr>
                    <w:pStyle w:val="14"/>
                    <w:rPr>
                      <w:rFonts w:cs="Times New Roman"/>
                      <w:bCs/>
                    </w:rPr>
                  </w:pPr>
                </w:p>
              </w:tc>
              <w:tc>
                <w:tcPr>
                  <w:tcW w:w="4310" w:type="dxa"/>
                  <w:vAlign w:val="center"/>
                </w:tcPr>
                <w:p w14:paraId="6C7C5F32">
                  <w:pPr>
                    <w:pStyle w:val="14"/>
                    <w:rPr>
                      <w:rFonts w:cs="Times New Roman"/>
                    </w:rPr>
                  </w:pPr>
                  <w:r>
                    <w:rPr>
                      <w:rFonts w:cs="Times New Roman"/>
                    </w:rPr>
                    <w:t>3.合理控制并优化生态环境敏感区内的旅游开发建设活动，合理开发利用水利资源，大力发展生态康养旅游产业。严格落实自然保护地、生态保护红线、集中式饮用水水源保护区等管控要求；</w:t>
                  </w:r>
                </w:p>
              </w:tc>
              <w:tc>
                <w:tcPr>
                  <w:tcW w:w="2506" w:type="dxa"/>
                  <w:vAlign w:val="center"/>
                </w:tcPr>
                <w:p w14:paraId="7A5CF2AD">
                  <w:pPr>
                    <w:pStyle w:val="14"/>
                    <w:rPr>
                      <w:rFonts w:cs="Times New Roman"/>
                    </w:rPr>
                  </w:pPr>
                  <w:r>
                    <w:rPr>
                      <w:rFonts w:cs="Times New Roman"/>
                    </w:rPr>
                    <w:t>不涉及自然保护地、生态保护红线、集中式饮用水水源保护区等生态环境敏感区。</w:t>
                  </w:r>
                </w:p>
              </w:tc>
              <w:tc>
                <w:tcPr>
                  <w:tcW w:w="942" w:type="dxa"/>
                  <w:vAlign w:val="center"/>
                </w:tcPr>
                <w:p w14:paraId="5AD6DE3E">
                  <w:pPr>
                    <w:pStyle w:val="14"/>
                    <w:rPr>
                      <w:rFonts w:cs="Times New Roman"/>
                      <w:bCs/>
                    </w:rPr>
                  </w:pPr>
                  <w:r>
                    <w:rPr>
                      <w:rFonts w:cs="Times New Roman"/>
                      <w:bCs/>
                    </w:rPr>
                    <w:t>相符</w:t>
                  </w:r>
                </w:p>
              </w:tc>
            </w:tr>
            <w:tr w14:paraId="058CF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5" w:type="dxa"/>
                  <w:vMerge w:val="continue"/>
                  <w:vAlign w:val="center"/>
                </w:tcPr>
                <w:p w14:paraId="53659474">
                  <w:pPr>
                    <w:pStyle w:val="14"/>
                    <w:rPr>
                      <w:rFonts w:cs="Times New Roman"/>
                      <w:bCs/>
                    </w:rPr>
                  </w:pPr>
                </w:p>
              </w:tc>
              <w:tc>
                <w:tcPr>
                  <w:tcW w:w="4310" w:type="dxa"/>
                  <w:vAlign w:val="center"/>
                </w:tcPr>
                <w:p w14:paraId="7AFD1435">
                  <w:pPr>
                    <w:pStyle w:val="14"/>
                    <w:rPr>
                      <w:rFonts w:cs="Times New Roman"/>
                    </w:rPr>
                  </w:pPr>
                  <w:r>
                    <w:rPr>
                      <w:rFonts w:cs="Times New Roman"/>
                    </w:rPr>
                    <w:t>4.加强农村环境综合治理，积极发展生态农业和有机农业，严格控制化肥、农药、农膜使用量，合理布局畜禽养殖，持续推进畜禽粪污综合利用；</w:t>
                  </w:r>
                </w:p>
              </w:tc>
              <w:tc>
                <w:tcPr>
                  <w:tcW w:w="2506" w:type="dxa"/>
                  <w:vAlign w:val="center"/>
                </w:tcPr>
                <w:p w14:paraId="59FD3C93">
                  <w:pPr>
                    <w:pStyle w:val="14"/>
                    <w:rPr>
                      <w:rFonts w:cs="Times New Roman"/>
                    </w:rPr>
                  </w:pPr>
                  <w:r>
                    <w:rPr>
                      <w:rFonts w:cs="Times New Roman"/>
                    </w:rPr>
                    <w:t>不涉及畜禽养殖。</w:t>
                  </w:r>
                </w:p>
              </w:tc>
              <w:tc>
                <w:tcPr>
                  <w:tcW w:w="942" w:type="dxa"/>
                  <w:vAlign w:val="center"/>
                </w:tcPr>
                <w:p w14:paraId="6309AF0A">
                  <w:pPr>
                    <w:pStyle w:val="14"/>
                    <w:rPr>
                      <w:rFonts w:cs="Times New Roman"/>
                      <w:bCs/>
                    </w:rPr>
                  </w:pPr>
                  <w:r>
                    <w:rPr>
                      <w:rFonts w:cs="Times New Roman"/>
                      <w:bCs/>
                    </w:rPr>
                    <w:t>相符</w:t>
                  </w:r>
                </w:p>
              </w:tc>
            </w:tr>
            <w:tr w14:paraId="27AF5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5" w:type="dxa"/>
                  <w:vMerge w:val="continue"/>
                  <w:vAlign w:val="center"/>
                </w:tcPr>
                <w:p w14:paraId="0B3045EF">
                  <w:pPr>
                    <w:pStyle w:val="14"/>
                    <w:rPr>
                      <w:rFonts w:cs="Times New Roman"/>
                      <w:bCs/>
                    </w:rPr>
                  </w:pPr>
                </w:p>
              </w:tc>
              <w:tc>
                <w:tcPr>
                  <w:tcW w:w="4310" w:type="dxa"/>
                  <w:vAlign w:val="center"/>
                </w:tcPr>
                <w:p w14:paraId="55F792AD">
                  <w:pPr>
                    <w:pStyle w:val="14"/>
                    <w:rPr>
                      <w:rFonts w:cs="Times New Roman"/>
                    </w:rPr>
                  </w:pPr>
                  <w:r>
                    <w:rPr>
                      <w:rFonts w:cs="Times New Roman"/>
                    </w:rPr>
                    <w:t>5.加强城乡集中式饮用水水源保护，确保饮用水水源安全；</w:t>
                  </w:r>
                </w:p>
              </w:tc>
              <w:tc>
                <w:tcPr>
                  <w:tcW w:w="2506" w:type="dxa"/>
                  <w:vAlign w:val="center"/>
                </w:tcPr>
                <w:p w14:paraId="15C2E12C">
                  <w:pPr>
                    <w:pStyle w:val="14"/>
                    <w:rPr>
                      <w:rFonts w:cs="Times New Roman"/>
                    </w:rPr>
                  </w:pPr>
                  <w:r>
                    <w:rPr>
                      <w:rFonts w:cs="Times New Roman"/>
                    </w:rPr>
                    <w:t>不涉及饮用水水源地。</w:t>
                  </w:r>
                </w:p>
              </w:tc>
              <w:tc>
                <w:tcPr>
                  <w:tcW w:w="942" w:type="dxa"/>
                  <w:vAlign w:val="center"/>
                </w:tcPr>
                <w:p w14:paraId="70452528">
                  <w:pPr>
                    <w:pStyle w:val="14"/>
                    <w:rPr>
                      <w:rFonts w:cs="Times New Roman"/>
                      <w:bCs/>
                    </w:rPr>
                  </w:pPr>
                  <w:r>
                    <w:rPr>
                      <w:rFonts w:cs="Times New Roman"/>
                      <w:bCs/>
                    </w:rPr>
                    <w:t>相符</w:t>
                  </w:r>
                </w:p>
              </w:tc>
            </w:tr>
            <w:tr w14:paraId="516B0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5" w:type="dxa"/>
                  <w:vMerge w:val="continue"/>
                  <w:vAlign w:val="center"/>
                </w:tcPr>
                <w:p w14:paraId="0CA9BBBA">
                  <w:pPr>
                    <w:pStyle w:val="14"/>
                    <w:rPr>
                      <w:rFonts w:cs="Times New Roman"/>
                      <w:bCs/>
                    </w:rPr>
                  </w:pPr>
                </w:p>
              </w:tc>
              <w:tc>
                <w:tcPr>
                  <w:tcW w:w="4310" w:type="dxa"/>
                  <w:vAlign w:val="center"/>
                </w:tcPr>
                <w:p w14:paraId="6693736F">
                  <w:pPr>
                    <w:pStyle w:val="14"/>
                    <w:rPr>
                      <w:rFonts w:cs="Times New Roman"/>
                    </w:rPr>
                  </w:pPr>
                  <w:r>
                    <w:rPr>
                      <w:rFonts w:cs="Times New Roman"/>
                    </w:rPr>
                    <w:t>6.加强与相邻省、市的环境风险联防联控。</w:t>
                  </w:r>
                </w:p>
              </w:tc>
              <w:tc>
                <w:tcPr>
                  <w:tcW w:w="2506" w:type="dxa"/>
                  <w:vAlign w:val="center"/>
                </w:tcPr>
                <w:p w14:paraId="41C05140">
                  <w:pPr>
                    <w:pStyle w:val="14"/>
                    <w:rPr>
                      <w:rFonts w:cs="Times New Roman"/>
                    </w:rPr>
                  </w:pPr>
                  <w:r>
                    <w:rPr>
                      <w:rFonts w:cs="Times New Roman"/>
                    </w:rPr>
                    <w:t>在落实了环评提出的相关要求后，环境风险可控。</w:t>
                  </w:r>
                </w:p>
              </w:tc>
              <w:tc>
                <w:tcPr>
                  <w:tcW w:w="942" w:type="dxa"/>
                  <w:vAlign w:val="center"/>
                </w:tcPr>
                <w:p w14:paraId="09F9DB9F">
                  <w:pPr>
                    <w:pStyle w:val="14"/>
                    <w:rPr>
                      <w:rFonts w:cs="Times New Roman"/>
                      <w:bCs/>
                    </w:rPr>
                  </w:pPr>
                  <w:r>
                    <w:rPr>
                      <w:rFonts w:cs="Times New Roman"/>
                      <w:bCs/>
                    </w:rPr>
                    <w:t>相符</w:t>
                  </w:r>
                </w:p>
              </w:tc>
            </w:tr>
            <w:tr w14:paraId="01F86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5" w:type="dxa"/>
                  <w:vMerge w:val="restart"/>
                  <w:vAlign w:val="center"/>
                </w:tcPr>
                <w:p w14:paraId="1310418B">
                  <w:pPr>
                    <w:pStyle w:val="14"/>
                    <w:rPr>
                      <w:rFonts w:cs="Times New Roman"/>
                      <w:bCs/>
                    </w:rPr>
                  </w:pPr>
                  <w:r>
                    <w:rPr>
                      <w:rFonts w:cs="Times New Roman"/>
                    </w:rPr>
                    <w:t>巴州区</w:t>
                  </w:r>
                </w:p>
              </w:tc>
              <w:tc>
                <w:tcPr>
                  <w:tcW w:w="4310" w:type="dxa"/>
                  <w:vAlign w:val="center"/>
                </w:tcPr>
                <w:p w14:paraId="71AF335B">
                  <w:pPr>
                    <w:pStyle w:val="14"/>
                    <w:rPr>
                      <w:rFonts w:cs="Times New Roman"/>
                    </w:rPr>
                  </w:pPr>
                  <w:r>
                    <w:rPr>
                      <w:rFonts w:cs="Times New Roman"/>
                    </w:rPr>
                    <w:t>1.加强流域水污染防治，推进流域水生态环境修复与治理；</w:t>
                  </w:r>
                </w:p>
              </w:tc>
              <w:tc>
                <w:tcPr>
                  <w:tcW w:w="2506" w:type="dxa"/>
                  <w:vAlign w:val="center"/>
                </w:tcPr>
                <w:p w14:paraId="69521D4C">
                  <w:pPr>
                    <w:pStyle w:val="14"/>
                    <w:rPr>
                      <w:rFonts w:cs="Times New Roman"/>
                      <w:bCs/>
                    </w:rPr>
                  </w:pPr>
                  <w:r>
                    <w:rPr>
                      <w:rFonts w:hint="eastAsia" w:cs="Times New Roman"/>
                      <w:bCs/>
                    </w:rPr>
                    <w:t>本项目无生产废水产生；生活污水</w:t>
                  </w:r>
                  <w:r>
                    <w:rPr>
                      <w:rFonts w:cs="Times New Roman"/>
                      <w:bCs/>
                    </w:rPr>
                    <w:t>经预处理池处理后通过市政污水管网送至巴中经济开发区污水处理厂处理后排放至巴河。</w:t>
                  </w:r>
                </w:p>
              </w:tc>
              <w:tc>
                <w:tcPr>
                  <w:tcW w:w="942" w:type="dxa"/>
                  <w:vAlign w:val="center"/>
                </w:tcPr>
                <w:p w14:paraId="0E3AD48A">
                  <w:pPr>
                    <w:pStyle w:val="14"/>
                    <w:rPr>
                      <w:rFonts w:cs="Times New Roman"/>
                      <w:bCs/>
                    </w:rPr>
                  </w:pPr>
                  <w:r>
                    <w:rPr>
                      <w:rFonts w:cs="Times New Roman"/>
                      <w:bCs/>
                    </w:rPr>
                    <w:t>相符</w:t>
                  </w:r>
                </w:p>
              </w:tc>
            </w:tr>
            <w:tr w14:paraId="303AF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5" w:type="dxa"/>
                  <w:vMerge w:val="continue"/>
                  <w:vAlign w:val="center"/>
                </w:tcPr>
                <w:p w14:paraId="3100079D">
                  <w:pPr>
                    <w:pStyle w:val="14"/>
                    <w:rPr>
                      <w:rFonts w:cs="Times New Roman"/>
                      <w:bCs/>
                    </w:rPr>
                  </w:pPr>
                </w:p>
              </w:tc>
              <w:tc>
                <w:tcPr>
                  <w:tcW w:w="4310" w:type="dxa"/>
                  <w:vAlign w:val="center"/>
                </w:tcPr>
                <w:p w14:paraId="6930D9F7">
                  <w:pPr>
                    <w:pStyle w:val="14"/>
                    <w:rPr>
                      <w:rFonts w:cs="Times New Roman"/>
                    </w:rPr>
                  </w:pPr>
                  <w:r>
                    <w:rPr>
                      <w:rFonts w:cs="Times New Roman"/>
                    </w:rPr>
                    <w:t>2.加强工业园区内和园区外企业污染排放监管，推进“散乱污”企业整治；</w:t>
                  </w:r>
                </w:p>
              </w:tc>
              <w:tc>
                <w:tcPr>
                  <w:tcW w:w="2506" w:type="dxa"/>
                  <w:vAlign w:val="center"/>
                </w:tcPr>
                <w:p w14:paraId="1226D7F6">
                  <w:pPr>
                    <w:pStyle w:val="14"/>
                    <w:rPr>
                      <w:rFonts w:cs="Times New Roman"/>
                      <w:bCs/>
                    </w:rPr>
                  </w:pPr>
                  <w:r>
                    <w:rPr>
                      <w:rFonts w:cs="Times New Roman"/>
                      <w:bCs/>
                    </w:rPr>
                    <w:t>不属于“散乱污”企业。</w:t>
                  </w:r>
                </w:p>
              </w:tc>
              <w:tc>
                <w:tcPr>
                  <w:tcW w:w="942" w:type="dxa"/>
                  <w:vAlign w:val="center"/>
                </w:tcPr>
                <w:p w14:paraId="7737BC2D">
                  <w:pPr>
                    <w:pStyle w:val="14"/>
                    <w:rPr>
                      <w:rFonts w:cs="Times New Roman"/>
                      <w:bCs/>
                    </w:rPr>
                  </w:pPr>
                  <w:r>
                    <w:rPr>
                      <w:rFonts w:cs="Times New Roman"/>
                      <w:bCs/>
                    </w:rPr>
                    <w:t>相符</w:t>
                  </w:r>
                </w:p>
              </w:tc>
            </w:tr>
            <w:tr w14:paraId="42C5F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5" w:type="dxa"/>
                  <w:vMerge w:val="continue"/>
                  <w:vAlign w:val="center"/>
                </w:tcPr>
                <w:p w14:paraId="60871DA1">
                  <w:pPr>
                    <w:pStyle w:val="14"/>
                    <w:rPr>
                      <w:rFonts w:cs="Times New Roman"/>
                      <w:bCs/>
                    </w:rPr>
                  </w:pPr>
                </w:p>
              </w:tc>
              <w:tc>
                <w:tcPr>
                  <w:tcW w:w="4310" w:type="dxa"/>
                  <w:vAlign w:val="center"/>
                </w:tcPr>
                <w:p w14:paraId="3A88A306">
                  <w:pPr>
                    <w:pStyle w:val="14"/>
                    <w:rPr>
                      <w:rFonts w:cs="Times New Roman"/>
                    </w:rPr>
                  </w:pPr>
                  <w:r>
                    <w:rPr>
                      <w:rFonts w:cs="Times New Roman"/>
                    </w:rPr>
                    <w:t>3.强化扬尘源、燃烧源和移动源等大气污染防治；</w:t>
                  </w:r>
                </w:p>
              </w:tc>
              <w:tc>
                <w:tcPr>
                  <w:tcW w:w="2506" w:type="dxa"/>
                  <w:vAlign w:val="center"/>
                </w:tcPr>
                <w:p w14:paraId="26E2E87C">
                  <w:pPr>
                    <w:pStyle w:val="14"/>
                    <w:rPr>
                      <w:rFonts w:cs="Times New Roman"/>
                      <w:bCs/>
                    </w:rPr>
                  </w:pPr>
                  <w:r>
                    <w:rPr>
                      <w:rFonts w:cs="Times New Roman"/>
                    </w:rPr>
                    <w:t>大气污染均采取了有效的防治措施。</w:t>
                  </w:r>
                </w:p>
              </w:tc>
              <w:tc>
                <w:tcPr>
                  <w:tcW w:w="942" w:type="dxa"/>
                  <w:vAlign w:val="center"/>
                </w:tcPr>
                <w:p w14:paraId="69FDA593">
                  <w:pPr>
                    <w:pStyle w:val="14"/>
                    <w:rPr>
                      <w:rFonts w:cs="Times New Roman"/>
                      <w:bCs/>
                    </w:rPr>
                  </w:pPr>
                  <w:r>
                    <w:rPr>
                      <w:rFonts w:cs="Times New Roman"/>
                      <w:bCs/>
                    </w:rPr>
                    <w:t>相符</w:t>
                  </w:r>
                </w:p>
              </w:tc>
            </w:tr>
            <w:tr w14:paraId="0267F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5" w:type="dxa"/>
                  <w:vMerge w:val="continue"/>
                  <w:vAlign w:val="center"/>
                </w:tcPr>
                <w:p w14:paraId="3EE22F5D">
                  <w:pPr>
                    <w:pStyle w:val="14"/>
                    <w:rPr>
                      <w:rFonts w:cs="Times New Roman"/>
                      <w:bCs/>
                    </w:rPr>
                  </w:pPr>
                </w:p>
              </w:tc>
              <w:tc>
                <w:tcPr>
                  <w:tcW w:w="4310" w:type="dxa"/>
                  <w:vAlign w:val="center"/>
                </w:tcPr>
                <w:p w14:paraId="063FC733">
                  <w:pPr>
                    <w:pStyle w:val="14"/>
                    <w:rPr>
                      <w:rFonts w:cs="Times New Roman"/>
                    </w:rPr>
                  </w:pPr>
                  <w:r>
                    <w:rPr>
                      <w:rFonts w:cs="Times New Roman"/>
                    </w:rPr>
                    <w:t>4.强化建筑垃圾、生活垃圾、餐厨垃圾综合利用和无害化处置及危险废物环境风险管控；</w:t>
                  </w:r>
                </w:p>
              </w:tc>
              <w:tc>
                <w:tcPr>
                  <w:tcW w:w="2506" w:type="dxa"/>
                  <w:vAlign w:val="center"/>
                </w:tcPr>
                <w:p w14:paraId="57C99CC8">
                  <w:pPr>
                    <w:pStyle w:val="14"/>
                    <w:rPr>
                      <w:rFonts w:cs="Times New Roman"/>
                      <w:bCs/>
                    </w:rPr>
                  </w:pPr>
                  <w:r>
                    <w:rPr>
                      <w:rFonts w:cs="Times New Roman"/>
                      <w:bCs/>
                    </w:rPr>
                    <w:t>各类固废均妥善处置。</w:t>
                  </w:r>
                </w:p>
              </w:tc>
              <w:tc>
                <w:tcPr>
                  <w:tcW w:w="942" w:type="dxa"/>
                  <w:vAlign w:val="center"/>
                </w:tcPr>
                <w:p w14:paraId="6C9099C4">
                  <w:pPr>
                    <w:pStyle w:val="14"/>
                    <w:rPr>
                      <w:rFonts w:cs="Times New Roman"/>
                      <w:bCs/>
                    </w:rPr>
                  </w:pPr>
                  <w:r>
                    <w:rPr>
                      <w:rFonts w:cs="Times New Roman"/>
                      <w:bCs/>
                    </w:rPr>
                    <w:t>符合</w:t>
                  </w:r>
                </w:p>
              </w:tc>
            </w:tr>
            <w:tr w14:paraId="65E57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5" w:type="dxa"/>
                  <w:vMerge w:val="continue"/>
                  <w:vAlign w:val="center"/>
                </w:tcPr>
                <w:p w14:paraId="688B31F0">
                  <w:pPr>
                    <w:pStyle w:val="14"/>
                    <w:rPr>
                      <w:rFonts w:cs="Times New Roman"/>
                      <w:bCs/>
                    </w:rPr>
                  </w:pPr>
                </w:p>
              </w:tc>
              <w:tc>
                <w:tcPr>
                  <w:tcW w:w="4310" w:type="dxa"/>
                  <w:vAlign w:val="center"/>
                </w:tcPr>
                <w:p w14:paraId="3F07B5A2">
                  <w:pPr>
                    <w:pStyle w:val="14"/>
                    <w:rPr>
                      <w:rFonts w:cs="Times New Roman"/>
                    </w:rPr>
                  </w:pPr>
                  <w:r>
                    <w:rPr>
                      <w:rFonts w:cs="Times New Roman"/>
                    </w:rPr>
                    <w:t>5.加强城市精细化管理，提升市民对环境的幸福感、获得感。</w:t>
                  </w:r>
                </w:p>
              </w:tc>
              <w:tc>
                <w:tcPr>
                  <w:tcW w:w="2506" w:type="dxa"/>
                  <w:vAlign w:val="center"/>
                </w:tcPr>
                <w:p w14:paraId="25CFD27B">
                  <w:pPr>
                    <w:pStyle w:val="14"/>
                    <w:rPr>
                      <w:rFonts w:cs="Times New Roman"/>
                      <w:bCs/>
                    </w:rPr>
                  </w:pPr>
                  <w:r>
                    <w:rPr>
                      <w:rFonts w:cs="Times New Roman"/>
                      <w:bCs/>
                    </w:rPr>
                    <w:t>拟按照要求配合加强城市精细化管理。</w:t>
                  </w:r>
                </w:p>
              </w:tc>
              <w:tc>
                <w:tcPr>
                  <w:tcW w:w="942" w:type="dxa"/>
                  <w:vAlign w:val="center"/>
                </w:tcPr>
                <w:p w14:paraId="30CA8F3A">
                  <w:pPr>
                    <w:pStyle w:val="14"/>
                    <w:rPr>
                      <w:rFonts w:cs="Times New Roman"/>
                      <w:bCs/>
                    </w:rPr>
                  </w:pPr>
                  <w:r>
                    <w:rPr>
                      <w:rFonts w:cs="Times New Roman"/>
                      <w:bCs/>
                    </w:rPr>
                    <w:t>符合</w:t>
                  </w:r>
                </w:p>
              </w:tc>
            </w:tr>
          </w:tbl>
          <w:p w14:paraId="2EEE52E6">
            <w:pPr>
              <w:ind w:firstLine="480"/>
              <w:rPr>
                <w:rFonts w:cs="Times New Roman"/>
              </w:rPr>
            </w:pPr>
            <w:r>
              <w:rPr>
                <w:rFonts w:cs="Times New Roman"/>
              </w:rPr>
              <w:t>综上，本项目符合巴中市及巴州区总体生态环境管控要求。</w:t>
            </w:r>
          </w:p>
          <w:p w14:paraId="07EEFF4D">
            <w:pPr>
              <w:pStyle w:val="30"/>
              <w:rPr>
                <w:rFonts w:cs="Times New Roman"/>
              </w:rPr>
            </w:pPr>
          </w:p>
        </w:tc>
      </w:tr>
    </w:tbl>
    <w:p w14:paraId="7800832C">
      <w:pPr>
        <w:ind w:firstLine="0" w:firstLineChars="0"/>
        <w:rPr>
          <w:rFonts w:cs="Times New Roman"/>
        </w:rPr>
        <w:sectPr>
          <w:footerReference r:id="rId11" w:type="default"/>
          <w:pgSz w:w="11906" w:h="16838"/>
          <w:pgMar w:top="1440" w:right="1080" w:bottom="1440" w:left="1080" w:header="851" w:footer="567" w:gutter="0"/>
          <w:pgNumType w:start="1"/>
          <w:cols w:space="425" w:num="1"/>
          <w:docGrid w:type="lines" w:linePitch="326" w:charSpace="0"/>
        </w:sectPr>
      </w:pPr>
    </w:p>
    <w:tbl>
      <w:tblPr>
        <w:tblStyle w:val="33"/>
        <w:tblW w:w="0" w:type="auto"/>
        <w:tblInd w:w="0" w:type="dxa"/>
        <w:tblLayout w:type="autofit"/>
        <w:tblCellMar>
          <w:top w:w="0" w:type="dxa"/>
          <w:left w:w="108" w:type="dxa"/>
          <w:bottom w:w="0" w:type="dxa"/>
          <w:right w:w="108" w:type="dxa"/>
        </w:tblCellMar>
      </w:tblPr>
      <w:tblGrid>
        <w:gridCol w:w="677"/>
        <w:gridCol w:w="12561"/>
      </w:tblGrid>
      <w:tr w14:paraId="2E957148">
        <w:tblPrEx>
          <w:tblCellMar>
            <w:top w:w="0" w:type="dxa"/>
            <w:left w:w="108" w:type="dxa"/>
            <w:bottom w:w="0" w:type="dxa"/>
            <w:right w:w="108" w:type="dxa"/>
          </w:tblCellMar>
        </w:tblPrEx>
        <w:tc>
          <w:tcPr>
            <w:tcW w:w="704" w:type="dxa"/>
            <w:tcBorders>
              <w:top w:val="single" w:color="auto" w:sz="4" w:space="0"/>
              <w:left w:val="single" w:color="auto" w:sz="4" w:space="0"/>
              <w:bottom w:val="single" w:color="auto" w:sz="4" w:space="0"/>
              <w:right w:val="single" w:color="auto" w:sz="4" w:space="0"/>
            </w:tcBorders>
            <w:vAlign w:val="center"/>
          </w:tcPr>
          <w:p w14:paraId="46B530AF">
            <w:pPr>
              <w:pStyle w:val="30"/>
              <w:rPr>
                <w:rFonts w:cs="Times New Roman"/>
              </w:rPr>
            </w:pPr>
            <w:r>
              <w:rPr>
                <w:rFonts w:cs="Times New Roman"/>
              </w:rPr>
              <w:t>其他符合性分析</w:t>
            </w:r>
          </w:p>
        </w:tc>
        <w:tc>
          <w:tcPr>
            <w:tcW w:w="13244" w:type="dxa"/>
            <w:tcBorders>
              <w:top w:val="single" w:color="auto" w:sz="4" w:space="0"/>
              <w:left w:val="single" w:color="auto" w:sz="4" w:space="0"/>
              <w:bottom w:val="single" w:color="auto" w:sz="4" w:space="0"/>
              <w:right w:val="single" w:color="auto" w:sz="4" w:space="0"/>
            </w:tcBorders>
            <w:vAlign w:val="center"/>
          </w:tcPr>
          <w:p w14:paraId="30199399">
            <w:pPr>
              <w:ind w:firstLine="482"/>
              <w:rPr>
                <w:rFonts w:cs="Times New Roman"/>
                <w:b/>
              </w:rPr>
            </w:pPr>
            <w:r>
              <w:rPr>
                <w:rFonts w:cs="Times New Roman"/>
                <w:b/>
              </w:rPr>
              <w:t>（3）与生态准入清单符合性分析</w:t>
            </w:r>
          </w:p>
          <w:p w14:paraId="60402F3E">
            <w:pPr>
              <w:ind w:firstLine="480"/>
              <w:rPr>
                <w:rFonts w:cs="Times New Roman"/>
                <w:bCs/>
              </w:rPr>
            </w:pPr>
            <w:r>
              <w:rPr>
                <w:rFonts w:cs="Times New Roman"/>
                <w:bCs/>
              </w:rPr>
              <w:t>本项目与生态环境准入清单符合性分析如下：</w:t>
            </w:r>
          </w:p>
          <w:p w14:paraId="1961557C">
            <w:pPr>
              <w:pStyle w:val="13"/>
              <w:keepNext/>
              <w:rPr>
                <w:rFonts w:cs="Times New Roman"/>
                <w:szCs w:val="21"/>
              </w:rPr>
            </w:pPr>
            <w:r>
              <w:rPr>
                <w:rFonts w:cs="Times New Roman"/>
              </w:rPr>
              <w:t xml:space="preserve">表 </w:t>
            </w:r>
            <w:r>
              <w:rPr>
                <w:rFonts w:cs="Times New Roman"/>
              </w:rPr>
              <w:fldChar w:fldCharType="begin"/>
            </w:r>
            <w:r>
              <w:rPr>
                <w:rFonts w:cs="Times New Roman"/>
              </w:rPr>
              <w:instrText xml:space="preserve"> SEQ seq \c </w:instrText>
            </w:r>
            <w:r>
              <w:rPr>
                <w:rFonts w:cs="Times New Roman"/>
              </w:rPr>
              <w:fldChar w:fldCharType="separate"/>
            </w:r>
            <w:r>
              <w:rPr>
                <w:rFonts w:cs="Times New Roman"/>
              </w:rPr>
              <w:t>1</w:t>
            </w:r>
            <w:r>
              <w:rPr>
                <w:rFonts w:cs="Times New Roman"/>
              </w:rPr>
              <w:fldChar w:fldCharType="end"/>
            </w:r>
            <w:r>
              <w:rPr>
                <w:rFonts w:cs="Times New Roman"/>
              </w:rPr>
              <w:noBreakHyphen/>
            </w:r>
            <w:r>
              <w:rPr>
                <w:rFonts w:cs="Times New Roman"/>
              </w:rPr>
              <w:fldChar w:fldCharType="begin"/>
            </w:r>
            <w:r>
              <w:rPr>
                <w:rFonts w:cs="Times New Roman"/>
              </w:rPr>
              <w:instrText xml:space="preserve"> SEQ 表 \* ARABIC \s 1 </w:instrText>
            </w:r>
            <w:r>
              <w:rPr>
                <w:rFonts w:cs="Times New Roman"/>
              </w:rPr>
              <w:fldChar w:fldCharType="separate"/>
            </w:r>
            <w:r>
              <w:rPr>
                <w:rFonts w:cs="Times New Roman"/>
              </w:rPr>
              <w:t>7</w:t>
            </w:r>
            <w:r>
              <w:rPr>
                <w:rFonts w:cs="Times New Roman"/>
              </w:rPr>
              <w:fldChar w:fldCharType="end"/>
            </w:r>
            <w:r>
              <w:rPr>
                <w:rFonts w:hint="eastAsia" w:cs="Times New Roman"/>
                <w:szCs w:val="21"/>
              </w:rPr>
              <w:t>本项目与巴中市生态环境分区管控相关要求的符合性分析</w:t>
            </w:r>
          </w:p>
          <w:tbl>
            <w:tblPr>
              <w:tblStyle w:val="3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91"/>
              <w:gridCol w:w="562"/>
              <w:gridCol w:w="622"/>
              <w:gridCol w:w="6219"/>
              <w:gridCol w:w="2411"/>
              <w:gridCol w:w="730"/>
            </w:tblGrid>
            <w:tr w14:paraId="30AB1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66" w:type="dxa"/>
                  <w:gridSpan w:val="4"/>
                  <w:vAlign w:val="center"/>
                </w:tcPr>
                <w:p w14:paraId="46194878">
                  <w:pPr>
                    <w:autoSpaceDE w:val="0"/>
                    <w:autoSpaceDN w:val="0"/>
                    <w:adjustRightInd w:val="0"/>
                    <w:snapToGrid w:val="0"/>
                    <w:spacing w:line="240" w:lineRule="auto"/>
                    <w:ind w:firstLine="0" w:firstLineChars="0"/>
                    <w:jc w:val="center"/>
                    <w:rPr>
                      <w:rFonts w:hint="eastAsia" w:ascii="宋体" w:hAnsi="宋体" w:cs="Times New Roman"/>
                      <w:b/>
                      <w:kern w:val="0"/>
                      <w:sz w:val="21"/>
                      <w:szCs w:val="21"/>
                    </w:rPr>
                  </w:pPr>
                  <w:r>
                    <w:rPr>
                      <w:rFonts w:hint="eastAsia" w:ascii="宋体" w:hAnsi="宋体" w:cs="Times New Roman"/>
                      <w:b/>
                      <w:kern w:val="0"/>
                      <w:sz w:val="21"/>
                      <w:szCs w:val="21"/>
                    </w:rPr>
                    <w:t>生态环境分区管控</w:t>
                  </w:r>
                  <w:r>
                    <w:rPr>
                      <w:rFonts w:ascii="宋体" w:hAnsi="宋体" w:cs="Times New Roman"/>
                      <w:b/>
                      <w:kern w:val="0"/>
                      <w:sz w:val="21"/>
                      <w:szCs w:val="21"/>
                    </w:rPr>
                    <w:t>的具体要求</w:t>
                  </w:r>
                </w:p>
              </w:tc>
              <w:tc>
                <w:tcPr>
                  <w:tcW w:w="2757" w:type="dxa"/>
                  <w:vMerge w:val="restart"/>
                  <w:vAlign w:val="center"/>
                </w:tcPr>
                <w:p w14:paraId="52FDF5F0">
                  <w:pPr>
                    <w:autoSpaceDE w:val="0"/>
                    <w:autoSpaceDN w:val="0"/>
                    <w:adjustRightInd w:val="0"/>
                    <w:snapToGrid w:val="0"/>
                    <w:spacing w:line="240" w:lineRule="auto"/>
                    <w:ind w:firstLine="0" w:firstLineChars="0"/>
                    <w:jc w:val="center"/>
                    <w:rPr>
                      <w:rFonts w:hint="eastAsia" w:ascii="宋体" w:hAnsi="宋体" w:cs="Times New Roman"/>
                      <w:b/>
                      <w:kern w:val="0"/>
                      <w:sz w:val="21"/>
                      <w:szCs w:val="21"/>
                    </w:rPr>
                  </w:pPr>
                  <w:r>
                    <w:rPr>
                      <w:rFonts w:ascii="宋体" w:hAnsi="宋体" w:cs="Times New Roman"/>
                      <w:b/>
                      <w:kern w:val="0"/>
                      <w:sz w:val="21"/>
                      <w:szCs w:val="21"/>
                    </w:rPr>
                    <w:t>项目对应情况介绍</w:t>
                  </w:r>
                </w:p>
              </w:tc>
              <w:tc>
                <w:tcPr>
                  <w:tcW w:w="837" w:type="dxa"/>
                  <w:vMerge w:val="restart"/>
                  <w:vAlign w:val="center"/>
                </w:tcPr>
                <w:p w14:paraId="73D0E9ED">
                  <w:pPr>
                    <w:autoSpaceDE w:val="0"/>
                    <w:autoSpaceDN w:val="0"/>
                    <w:adjustRightInd w:val="0"/>
                    <w:snapToGrid w:val="0"/>
                    <w:spacing w:line="240" w:lineRule="auto"/>
                    <w:ind w:firstLine="0" w:firstLineChars="0"/>
                    <w:jc w:val="center"/>
                    <w:rPr>
                      <w:rFonts w:hint="eastAsia" w:ascii="宋体" w:hAnsi="宋体" w:cs="Times New Roman"/>
                      <w:b/>
                      <w:kern w:val="0"/>
                      <w:sz w:val="21"/>
                      <w:szCs w:val="21"/>
                    </w:rPr>
                  </w:pPr>
                  <w:r>
                    <w:rPr>
                      <w:rFonts w:ascii="宋体" w:hAnsi="宋体" w:cs="Times New Roman"/>
                      <w:b/>
                      <w:kern w:val="0"/>
                      <w:sz w:val="21"/>
                      <w:szCs w:val="21"/>
                    </w:rPr>
                    <w:t>符合性</w:t>
                  </w:r>
                </w:p>
              </w:tc>
            </w:tr>
            <w:tr w14:paraId="3CFC8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67" w:type="dxa"/>
                  <w:gridSpan w:val="3"/>
                  <w:vAlign w:val="center"/>
                </w:tcPr>
                <w:p w14:paraId="2FCF9291">
                  <w:pPr>
                    <w:autoSpaceDE w:val="0"/>
                    <w:autoSpaceDN w:val="0"/>
                    <w:adjustRightInd w:val="0"/>
                    <w:snapToGrid w:val="0"/>
                    <w:spacing w:line="240" w:lineRule="auto"/>
                    <w:ind w:firstLine="0" w:firstLineChars="0"/>
                    <w:jc w:val="center"/>
                    <w:rPr>
                      <w:rFonts w:hint="eastAsia" w:ascii="宋体" w:hAnsi="宋体" w:cs="Times New Roman"/>
                      <w:b/>
                      <w:kern w:val="0"/>
                      <w:sz w:val="21"/>
                      <w:szCs w:val="21"/>
                    </w:rPr>
                  </w:pPr>
                  <w:r>
                    <w:rPr>
                      <w:rFonts w:ascii="宋体" w:hAnsi="宋体" w:cs="Times New Roman"/>
                      <w:b/>
                      <w:kern w:val="0"/>
                      <w:sz w:val="21"/>
                      <w:szCs w:val="21"/>
                    </w:rPr>
                    <w:t>类别</w:t>
                  </w:r>
                </w:p>
              </w:tc>
              <w:tc>
                <w:tcPr>
                  <w:tcW w:w="7899" w:type="dxa"/>
                  <w:vAlign w:val="center"/>
                </w:tcPr>
                <w:p w14:paraId="49369E4A">
                  <w:pPr>
                    <w:autoSpaceDE w:val="0"/>
                    <w:autoSpaceDN w:val="0"/>
                    <w:adjustRightInd w:val="0"/>
                    <w:snapToGrid w:val="0"/>
                    <w:spacing w:line="240" w:lineRule="auto"/>
                    <w:ind w:firstLine="0" w:firstLineChars="0"/>
                    <w:jc w:val="center"/>
                    <w:rPr>
                      <w:rFonts w:hint="eastAsia" w:ascii="宋体" w:hAnsi="宋体" w:cs="Times New Roman"/>
                      <w:b/>
                      <w:kern w:val="0"/>
                      <w:sz w:val="21"/>
                      <w:szCs w:val="21"/>
                    </w:rPr>
                  </w:pPr>
                  <w:r>
                    <w:rPr>
                      <w:rFonts w:ascii="宋体" w:hAnsi="宋体" w:cs="Times New Roman"/>
                      <w:b/>
                      <w:kern w:val="0"/>
                      <w:sz w:val="21"/>
                      <w:szCs w:val="21"/>
                    </w:rPr>
                    <w:t>对应管控要求</w:t>
                  </w:r>
                </w:p>
              </w:tc>
              <w:tc>
                <w:tcPr>
                  <w:tcW w:w="2757" w:type="dxa"/>
                  <w:vMerge w:val="continue"/>
                  <w:vAlign w:val="center"/>
                </w:tcPr>
                <w:p w14:paraId="4F636003">
                  <w:pPr>
                    <w:autoSpaceDE w:val="0"/>
                    <w:autoSpaceDN w:val="0"/>
                    <w:adjustRightInd w:val="0"/>
                    <w:snapToGrid w:val="0"/>
                    <w:spacing w:line="240" w:lineRule="auto"/>
                    <w:ind w:firstLine="0" w:firstLineChars="0"/>
                    <w:jc w:val="center"/>
                    <w:rPr>
                      <w:rFonts w:hint="eastAsia" w:ascii="宋体" w:hAnsi="宋体" w:cs="Times New Roman"/>
                      <w:b/>
                      <w:kern w:val="0"/>
                      <w:sz w:val="21"/>
                      <w:szCs w:val="21"/>
                    </w:rPr>
                  </w:pPr>
                </w:p>
              </w:tc>
              <w:tc>
                <w:tcPr>
                  <w:tcW w:w="837" w:type="dxa"/>
                  <w:vMerge w:val="continue"/>
                  <w:vAlign w:val="center"/>
                </w:tcPr>
                <w:p w14:paraId="326738D8">
                  <w:pPr>
                    <w:autoSpaceDE w:val="0"/>
                    <w:autoSpaceDN w:val="0"/>
                    <w:adjustRightInd w:val="0"/>
                    <w:snapToGrid w:val="0"/>
                    <w:spacing w:line="240" w:lineRule="auto"/>
                    <w:ind w:firstLine="0" w:firstLineChars="0"/>
                    <w:jc w:val="center"/>
                    <w:rPr>
                      <w:rFonts w:hint="eastAsia" w:ascii="宋体" w:hAnsi="宋体" w:cs="Times New Roman"/>
                      <w:b/>
                      <w:kern w:val="0"/>
                      <w:sz w:val="21"/>
                      <w:szCs w:val="21"/>
                    </w:rPr>
                  </w:pPr>
                </w:p>
              </w:tc>
            </w:tr>
            <w:tr w14:paraId="103DE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2" w:hRule="atLeast"/>
              </w:trPr>
              <w:tc>
                <w:tcPr>
                  <w:tcW w:w="1765" w:type="dxa"/>
                  <w:vMerge w:val="restart"/>
                  <w:vAlign w:val="center"/>
                </w:tcPr>
                <w:p w14:paraId="3E504E5B">
                  <w:pPr>
                    <w:adjustRightInd w:val="0"/>
                    <w:snapToGrid w:val="0"/>
                    <w:spacing w:line="240" w:lineRule="auto"/>
                    <w:ind w:firstLine="0" w:firstLineChars="0"/>
                    <w:jc w:val="center"/>
                    <w:rPr>
                      <w:rFonts w:hint="eastAsia" w:ascii="宋体" w:hAnsi="宋体" w:cs="Times New Roman"/>
                      <w:sz w:val="21"/>
                      <w:szCs w:val="21"/>
                    </w:rPr>
                  </w:pPr>
                  <w:r>
                    <w:rPr>
                      <w:rFonts w:ascii="宋体" w:hAnsi="宋体" w:cs="Times New Roman"/>
                      <w:sz w:val="21"/>
                      <w:szCs w:val="21"/>
                    </w:rPr>
                    <w:t>四川巴中经开区（核心区块、金堂区块）</w:t>
                  </w:r>
                </w:p>
                <w:p w14:paraId="29DADC7D">
                  <w:pPr>
                    <w:pStyle w:val="66"/>
                    <w:adjustRightInd w:val="0"/>
                    <w:snapToGrid w:val="0"/>
                    <w:spacing w:before="0" w:after="0" w:line="240" w:lineRule="auto"/>
                    <w:ind w:right="0"/>
                    <w:rPr>
                      <w:rFonts w:hint="eastAsia" w:ascii="宋体" w:hAnsi="宋体"/>
                      <w:color w:val="auto"/>
                      <w:sz w:val="21"/>
                      <w:szCs w:val="21"/>
                    </w:rPr>
                  </w:pPr>
                  <w:r>
                    <w:rPr>
                      <w:rFonts w:ascii="宋体" w:hAnsi="宋体"/>
                      <w:color w:val="auto"/>
                      <w:sz w:val="21"/>
                      <w:szCs w:val="21"/>
                    </w:rPr>
                    <w:t>ZH51190220006</w:t>
                  </w:r>
                </w:p>
              </w:tc>
              <w:tc>
                <w:tcPr>
                  <w:tcW w:w="611" w:type="dxa"/>
                  <w:vMerge w:val="restart"/>
                  <w:vAlign w:val="center"/>
                </w:tcPr>
                <w:p w14:paraId="4C4982AC">
                  <w:pPr>
                    <w:adjustRightInd w:val="0"/>
                    <w:snapToGrid w:val="0"/>
                    <w:spacing w:line="240" w:lineRule="auto"/>
                    <w:ind w:firstLine="0" w:firstLineChars="0"/>
                    <w:jc w:val="center"/>
                    <w:rPr>
                      <w:rFonts w:hint="eastAsia" w:ascii="宋体" w:hAnsi="宋体" w:cs="Times New Roman"/>
                      <w:sz w:val="21"/>
                      <w:szCs w:val="21"/>
                    </w:rPr>
                  </w:pPr>
                  <w:r>
                    <w:rPr>
                      <w:rFonts w:ascii="宋体" w:hAnsi="宋体" w:cs="仿宋"/>
                      <w:sz w:val="21"/>
                      <w:szCs w:val="21"/>
                    </w:rPr>
                    <w:t>环境管控单元准入清单</w:t>
                  </w:r>
                </w:p>
              </w:tc>
              <w:tc>
                <w:tcPr>
                  <w:tcW w:w="691" w:type="dxa"/>
                  <w:vAlign w:val="center"/>
                </w:tcPr>
                <w:p w14:paraId="3B26E377">
                  <w:pPr>
                    <w:adjustRightInd w:val="0"/>
                    <w:snapToGrid w:val="0"/>
                    <w:spacing w:line="240" w:lineRule="auto"/>
                    <w:ind w:firstLine="0" w:firstLineChars="0"/>
                    <w:jc w:val="center"/>
                    <w:rPr>
                      <w:rFonts w:hint="eastAsia" w:ascii="宋体" w:hAnsi="宋体" w:cs="Times New Roman"/>
                      <w:sz w:val="21"/>
                      <w:szCs w:val="21"/>
                    </w:rPr>
                  </w:pPr>
                  <w:r>
                    <w:rPr>
                      <w:rFonts w:ascii="宋体" w:hAnsi="宋体" w:cs="Times New Roman"/>
                      <w:sz w:val="21"/>
                      <w:szCs w:val="21"/>
                    </w:rPr>
                    <w:t>空间布局约束</w:t>
                  </w:r>
                </w:p>
              </w:tc>
              <w:tc>
                <w:tcPr>
                  <w:tcW w:w="7899" w:type="dxa"/>
                  <w:vAlign w:val="center"/>
                </w:tcPr>
                <w:p w14:paraId="5DF1240C">
                  <w:pPr>
                    <w:adjustRightInd w:val="0"/>
                    <w:snapToGrid w:val="0"/>
                    <w:spacing w:line="240" w:lineRule="auto"/>
                    <w:ind w:firstLine="0" w:firstLineChars="0"/>
                    <w:rPr>
                      <w:rFonts w:hint="eastAsia" w:ascii="宋体" w:hAnsi="宋体"/>
                      <w:sz w:val="21"/>
                      <w:szCs w:val="21"/>
                    </w:rPr>
                  </w:pPr>
                  <w:r>
                    <w:rPr>
                      <w:rFonts w:ascii="宋体" w:hAnsi="宋体" w:cs="仿宋"/>
                      <w:sz w:val="21"/>
                      <w:szCs w:val="21"/>
                    </w:rPr>
                    <w:t>【禁止开发建设活动的要求】</w:t>
                  </w:r>
                </w:p>
                <w:p w14:paraId="0700B5B5">
                  <w:pPr>
                    <w:adjustRightInd w:val="0"/>
                    <w:snapToGrid w:val="0"/>
                    <w:spacing w:line="240" w:lineRule="auto"/>
                    <w:ind w:firstLine="0" w:firstLineChars="0"/>
                    <w:rPr>
                      <w:rFonts w:hint="eastAsia" w:ascii="宋体" w:hAnsi="宋体"/>
                      <w:sz w:val="21"/>
                      <w:szCs w:val="21"/>
                    </w:rPr>
                  </w:pPr>
                  <w:r>
                    <w:rPr>
                      <w:rFonts w:ascii="宋体" w:hAnsi="宋体" w:cs="仿宋"/>
                      <w:sz w:val="21"/>
                      <w:szCs w:val="21"/>
                    </w:rPr>
                    <w:t>（1）禁止引入专业电镀；禁止引入排放含铅、汞、镉、铬、砷废水的项目。（2）禁止引入化学原药制造发酵制药类项目。（3）禁止引入黑色金属和有色金属冶炼类项目。（4）禁止引入多晶硅制造、基础化学原料制造、农药、合成材料制造、炸药及火工和烟火产品制造类项目。（5）禁止引入危化品仓储项目。（6）禁止引入含焙烧和锻炼工序的非金属制品制造类项目。（7）在禁燃区内禁止销售、燃用高污染燃料。禁燃区内禁止新建、扩建燃用高污染燃料的设施（8）其他执行工业重点管控单元总体准入要求。</w:t>
                  </w:r>
                </w:p>
                <w:p w14:paraId="41478FF5">
                  <w:pPr>
                    <w:adjustRightInd w:val="0"/>
                    <w:snapToGrid w:val="0"/>
                    <w:spacing w:line="240" w:lineRule="auto"/>
                    <w:ind w:firstLine="0" w:firstLineChars="0"/>
                    <w:rPr>
                      <w:rFonts w:hint="eastAsia" w:ascii="宋体" w:hAnsi="宋体"/>
                      <w:sz w:val="21"/>
                      <w:szCs w:val="21"/>
                    </w:rPr>
                  </w:pPr>
                  <w:r>
                    <w:rPr>
                      <w:rFonts w:ascii="宋体" w:hAnsi="宋体" w:cs="仿宋"/>
                      <w:sz w:val="21"/>
                      <w:szCs w:val="21"/>
                    </w:rPr>
                    <w:t>【限制开发建设活动的要求】</w:t>
                  </w:r>
                </w:p>
                <w:p w14:paraId="716A9479">
                  <w:pPr>
                    <w:adjustRightInd w:val="0"/>
                    <w:snapToGrid w:val="0"/>
                    <w:spacing w:line="240" w:lineRule="auto"/>
                    <w:ind w:firstLine="0" w:firstLineChars="0"/>
                    <w:rPr>
                      <w:rFonts w:hint="eastAsia" w:ascii="宋体" w:hAnsi="宋体"/>
                      <w:sz w:val="21"/>
                      <w:szCs w:val="21"/>
                    </w:rPr>
                  </w:pPr>
                  <w:r>
                    <w:rPr>
                      <w:rFonts w:ascii="宋体" w:hAnsi="宋体" w:cs="仿宋"/>
                      <w:sz w:val="21"/>
                      <w:szCs w:val="21"/>
                    </w:rPr>
                    <w:t>执行工业重点管控单元普适性管控要求。</w:t>
                  </w:r>
                </w:p>
                <w:p w14:paraId="20CEEA6F">
                  <w:pPr>
                    <w:adjustRightInd w:val="0"/>
                    <w:snapToGrid w:val="0"/>
                    <w:spacing w:line="240" w:lineRule="auto"/>
                    <w:ind w:firstLine="0" w:firstLineChars="0"/>
                    <w:rPr>
                      <w:rFonts w:hint="eastAsia" w:ascii="宋体" w:hAnsi="宋体"/>
                      <w:sz w:val="21"/>
                      <w:szCs w:val="21"/>
                    </w:rPr>
                  </w:pPr>
                  <w:r>
                    <w:rPr>
                      <w:rFonts w:ascii="宋体" w:hAnsi="宋体" w:cs="仿宋"/>
                      <w:sz w:val="21"/>
                      <w:szCs w:val="21"/>
                    </w:rPr>
                    <w:t>【允许开发建设活动的要求】△</w:t>
                  </w:r>
                </w:p>
                <w:p w14:paraId="3D045D32">
                  <w:pPr>
                    <w:adjustRightInd w:val="0"/>
                    <w:snapToGrid w:val="0"/>
                    <w:spacing w:line="240" w:lineRule="auto"/>
                    <w:ind w:firstLine="0" w:firstLineChars="0"/>
                    <w:rPr>
                      <w:rFonts w:hint="eastAsia" w:ascii="宋体" w:hAnsi="宋体"/>
                      <w:sz w:val="21"/>
                      <w:szCs w:val="21"/>
                    </w:rPr>
                  </w:pPr>
                  <w:r>
                    <w:rPr>
                      <w:rFonts w:ascii="宋体" w:hAnsi="宋体" w:cs="仿宋"/>
                      <w:sz w:val="21"/>
                      <w:szCs w:val="21"/>
                    </w:rPr>
                    <w:t>【不符合空间布局要求活动的退出要求】</w:t>
                  </w:r>
                </w:p>
                <w:p w14:paraId="6B781BD5">
                  <w:pPr>
                    <w:adjustRightInd w:val="0"/>
                    <w:snapToGrid w:val="0"/>
                    <w:spacing w:line="240" w:lineRule="auto"/>
                    <w:ind w:firstLine="0" w:firstLineChars="0"/>
                    <w:rPr>
                      <w:rFonts w:hint="eastAsia" w:ascii="宋体" w:hAnsi="宋体"/>
                      <w:sz w:val="21"/>
                      <w:szCs w:val="21"/>
                    </w:rPr>
                  </w:pPr>
                  <w:r>
                    <w:rPr>
                      <w:rFonts w:ascii="宋体" w:hAnsi="宋体" w:cs="仿宋"/>
                      <w:sz w:val="21"/>
                      <w:szCs w:val="21"/>
                    </w:rPr>
                    <w:t>执行工业重点管控单元普适性管控要求。</w:t>
                  </w:r>
                </w:p>
                <w:p w14:paraId="79D09DF5">
                  <w:pPr>
                    <w:adjustRightInd w:val="0"/>
                    <w:snapToGrid w:val="0"/>
                    <w:spacing w:line="240" w:lineRule="auto"/>
                    <w:ind w:firstLine="0" w:firstLineChars="0"/>
                    <w:rPr>
                      <w:rFonts w:hint="eastAsia" w:ascii="宋体" w:hAnsi="宋体" w:cs="Times New Roman"/>
                      <w:sz w:val="21"/>
                      <w:szCs w:val="21"/>
                    </w:rPr>
                  </w:pPr>
                  <w:r>
                    <w:rPr>
                      <w:rFonts w:ascii="宋体" w:hAnsi="宋体" w:cs="仿宋"/>
                      <w:sz w:val="21"/>
                      <w:szCs w:val="21"/>
                    </w:rPr>
                    <w:t>【其他空间布局约束要求】△</w:t>
                  </w:r>
                </w:p>
              </w:tc>
              <w:tc>
                <w:tcPr>
                  <w:tcW w:w="2757" w:type="dxa"/>
                  <w:vAlign w:val="center"/>
                </w:tcPr>
                <w:p w14:paraId="5348A947">
                  <w:pPr>
                    <w:adjustRightInd w:val="0"/>
                    <w:snapToGrid w:val="0"/>
                    <w:spacing w:line="240" w:lineRule="auto"/>
                    <w:ind w:firstLine="0" w:firstLineChars="0"/>
                    <w:rPr>
                      <w:rFonts w:hint="eastAsia" w:ascii="宋体" w:hAnsi="宋体" w:cs="Times New Roman"/>
                      <w:sz w:val="21"/>
                      <w:szCs w:val="21"/>
                    </w:rPr>
                  </w:pPr>
                  <w:bookmarkStart w:id="34" w:name="_Hlk220332223"/>
                  <w:r>
                    <w:rPr>
                      <w:rFonts w:hint="eastAsia" w:ascii="宋体" w:hAnsi="宋体" w:cs="Times New Roman"/>
                      <w:sz w:val="21"/>
                      <w:szCs w:val="21"/>
                    </w:rPr>
                    <w:t>本项目为颗粒板贴面，属于胶合板制造行业，不属于园区禁止引入企业，为园区允许开发建设活动。</w:t>
                  </w:r>
                  <w:bookmarkEnd w:id="34"/>
                </w:p>
              </w:tc>
              <w:tc>
                <w:tcPr>
                  <w:tcW w:w="837" w:type="dxa"/>
                  <w:vAlign w:val="center"/>
                </w:tcPr>
                <w:p w14:paraId="2592EA94">
                  <w:pPr>
                    <w:adjustRightInd w:val="0"/>
                    <w:snapToGrid w:val="0"/>
                    <w:spacing w:line="240" w:lineRule="auto"/>
                    <w:ind w:firstLine="0" w:firstLineChars="0"/>
                    <w:jc w:val="center"/>
                    <w:rPr>
                      <w:rFonts w:hint="eastAsia" w:ascii="宋体" w:hAnsi="宋体" w:cs="Times New Roman"/>
                      <w:sz w:val="21"/>
                      <w:szCs w:val="21"/>
                    </w:rPr>
                  </w:pPr>
                  <w:r>
                    <w:rPr>
                      <w:rFonts w:hint="eastAsia" w:ascii="宋体" w:hAnsi="宋体" w:cs="Times New Roman"/>
                      <w:sz w:val="21"/>
                      <w:szCs w:val="21"/>
                    </w:rPr>
                    <w:t>符合</w:t>
                  </w:r>
                </w:p>
              </w:tc>
            </w:tr>
            <w:tr w14:paraId="70088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2" w:hRule="atLeast"/>
              </w:trPr>
              <w:tc>
                <w:tcPr>
                  <w:tcW w:w="1765" w:type="dxa"/>
                  <w:vMerge w:val="continue"/>
                  <w:vAlign w:val="center"/>
                </w:tcPr>
                <w:p w14:paraId="317FF07B">
                  <w:pPr>
                    <w:adjustRightInd w:val="0"/>
                    <w:snapToGrid w:val="0"/>
                    <w:spacing w:line="240" w:lineRule="auto"/>
                    <w:ind w:firstLine="0" w:firstLineChars="0"/>
                    <w:jc w:val="center"/>
                    <w:rPr>
                      <w:rFonts w:hint="eastAsia" w:ascii="宋体" w:hAnsi="宋体"/>
                      <w:sz w:val="21"/>
                      <w:szCs w:val="21"/>
                    </w:rPr>
                  </w:pPr>
                </w:p>
              </w:tc>
              <w:tc>
                <w:tcPr>
                  <w:tcW w:w="611" w:type="dxa"/>
                  <w:vMerge w:val="continue"/>
                  <w:vAlign w:val="center"/>
                </w:tcPr>
                <w:p w14:paraId="14396E43">
                  <w:pPr>
                    <w:adjustRightInd w:val="0"/>
                    <w:snapToGrid w:val="0"/>
                    <w:spacing w:line="240" w:lineRule="auto"/>
                    <w:ind w:firstLine="0" w:firstLineChars="0"/>
                    <w:jc w:val="center"/>
                    <w:rPr>
                      <w:rFonts w:hint="eastAsia" w:ascii="宋体" w:hAnsi="宋体"/>
                      <w:sz w:val="21"/>
                      <w:szCs w:val="21"/>
                    </w:rPr>
                  </w:pPr>
                </w:p>
              </w:tc>
              <w:tc>
                <w:tcPr>
                  <w:tcW w:w="691" w:type="dxa"/>
                  <w:vAlign w:val="center"/>
                </w:tcPr>
                <w:p w14:paraId="7A47B011">
                  <w:pPr>
                    <w:adjustRightInd w:val="0"/>
                    <w:snapToGrid w:val="0"/>
                    <w:spacing w:line="240" w:lineRule="auto"/>
                    <w:ind w:firstLine="0" w:firstLineChars="0"/>
                    <w:jc w:val="center"/>
                    <w:rPr>
                      <w:rFonts w:hint="eastAsia" w:ascii="宋体" w:hAnsi="宋体" w:cs="Times New Roman"/>
                      <w:sz w:val="21"/>
                      <w:szCs w:val="21"/>
                    </w:rPr>
                  </w:pPr>
                  <w:r>
                    <w:rPr>
                      <w:rFonts w:ascii="宋体" w:hAnsi="宋体" w:cs="Times New Roman"/>
                      <w:sz w:val="21"/>
                      <w:szCs w:val="21"/>
                    </w:rPr>
                    <w:t>污染物排放管控</w:t>
                  </w:r>
                </w:p>
              </w:tc>
              <w:tc>
                <w:tcPr>
                  <w:tcW w:w="7899" w:type="dxa"/>
                  <w:vAlign w:val="center"/>
                </w:tcPr>
                <w:p w14:paraId="2B3A7111">
                  <w:pPr>
                    <w:adjustRightInd w:val="0"/>
                    <w:snapToGrid w:val="0"/>
                    <w:spacing w:line="240" w:lineRule="auto"/>
                    <w:ind w:firstLine="0" w:firstLineChars="0"/>
                    <w:rPr>
                      <w:rFonts w:hint="eastAsia" w:ascii="宋体" w:hAnsi="宋体"/>
                      <w:sz w:val="21"/>
                      <w:szCs w:val="21"/>
                    </w:rPr>
                  </w:pPr>
                  <w:r>
                    <w:rPr>
                      <w:rFonts w:ascii="宋体" w:hAnsi="宋体" w:cs="仿宋"/>
                      <w:sz w:val="21"/>
                      <w:szCs w:val="21"/>
                    </w:rPr>
                    <w:t>【现有源提标升级改造】</w:t>
                  </w:r>
                </w:p>
                <w:p w14:paraId="7C105A6F">
                  <w:pPr>
                    <w:adjustRightInd w:val="0"/>
                    <w:snapToGrid w:val="0"/>
                    <w:spacing w:line="240" w:lineRule="auto"/>
                    <w:ind w:firstLine="0" w:firstLineChars="0"/>
                    <w:rPr>
                      <w:rFonts w:hint="eastAsia" w:ascii="宋体" w:hAnsi="宋体"/>
                      <w:sz w:val="21"/>
                      <w:szCs w:val="21"/>
                    </w:rPr>
                  </w:pPr>
                  <w:r>
                    <w:rPr>
                      <w:rFonts w:ascii="宋体" w:hAnsi="宋体" w:cs="仿宋"/>
                      <w:sz w:val="21"/>
                      <w:szCs w:val="21"/>
                    </w:rPr>
                    <w:t>执行工业重点管控单元普适性管控要求。</w:t>
                  </w:r>
                </w:p>
                <w:p w14:paraId="1A6A5C8C">
                  <w:pPr>
                    <w:adjustRightInd w:val="0"/>
                    <w:snapToGrid w:val="0"/>
                    <w:spacing w:line="240" w:lineRule="auto"/>
                    <w:ind w:firstLine="0" w:firstLineChars="0"/>
                    <w:rPr>
                      <w:rFonts w:hint="eastAsia" w:ascii="宋体" w:hAnsi="宋体"/>
                      <w:sz w:val="21"/>
                      <w:szCs w:val="21"/>
                    </w:rPr>
                  </w:pPr>
                  <w:r>
                    <w:rPr>
                      <w:rFonts w:ascii="宋体" w:hAnsi="宋体" w:cs="仿宋"/>
                      <w:sz w:val="21"/>
                      <w:szCs w:val="21"/>
                    </w:rPr>
                    <w:t>【新增源等量或倍量替代】</w:t>
                  </w:r>
                </w:p>
                <w:p w14:paraId="7D6D2306">
                  <w:pPr>
                    <w:adjustRightInd w:val="0"/>
                    <w:snapToGrid w:val="0"/>
                    <w:spacing w:line="240" w:lineRule="auto"/>
                    <w:ind w:firstLine="0" w:firstLineChars="0"/>
                    <w:rPr>
                      <w:rFonts w:hint="eastAsia" w:ascii="宋体" w:hAnsi="宋体"/>
                      <w:sz w:val="21"/>
                      <w:szCs w:val="21"/>
                    </w:rPr>
                  </w:pPr>
                  <w:r>
                    <w:rPr>
                      <w:rFonts w:ascii="宋体" w:hAnsi="宋体" w:cs="仿宋"/>
                      <w:sz w:val="21"/>
                      <w:szCs w:val="21"/>
                    </w:rPr>
                    <w:t>执行工业重点管控单元普适性管控要求。</w:t>
                  </w:r>
                </w:p>
                <w:p w14:paraId="5EE597E9">
                  <w:pPr>
                    <w:adjustRightInd w:val="0"/>
                    <w:snapToGrid w:val="0"/>
                    <w:spacing w:line="240" w:lineRule="auto"/>
                    <w:ind w:firstLine="0" w:firstLineChars="0"/>
                    <w:rPr>
                      <w:rFonts w:hint="eastAsia" w:ascii="宋体" w:hAnsi="宋体"/>
                      <w:sz w:val="21"/>
                      <w:szCs w:val="21"/>
                    </w:rPr>
                  </w:pPr>
                  <w:r>
                    <w:rPr>
                      <w:rFonts w:ascii="宋体" w:hAnsi="宋体" w:cs="仿宋"/>
                      <w:sz w:val="21"/>
                      <w:szCs w:val="21"/>
                    </w:rPr>
                    <w:t>【新增源排放标准限值】</w:t>
                  </w:r>
                </w:p>
                <w:p w14:paraId="2901B3DE">
                  <w:pPr>
                    <w:adjustRightInd w:val="0"/>
                    <w:snapToGrid w:val="0"/>
                    <w:spacing w:line="240" w:lineRule="auto"/>
                    <w:ind w:firstLine="0" w:firstLineChars="0"/>
                    <w:rPr>
                      <w:rFonts w:hint="eastAsia" w:ascii="宋体" w:hAnsi="宋体"/>
                      <w:sz w:val="21"/>
                      <w:szCs w:val="21"/>
                    </w:rPr>
                  </w:pPr>
                  <w:r>
                    <w:rPr>
                      <w:rFonts w:ascii="宋体" w:hAnsi="宋体" w:cs="仿宋"/>
                      <w:sz w:val="21"/>
                      <w:szCs w:val="21"/>
                    </w:rPr>
                    <w:t>执行工业重点管控单元普适性管控要求。</w:t>
                  </w:r>
                </w:p>
                <w:p w14:paraId="415E068B">
                  <w:pPr>
                    <w:adjustRightInd w:val="0"/>
                    <w:snapToGrid w:val="0"/>
                    <w:spacing w:line="240" w:lineRule="auto"/>
                    <w:ind w:firstLine="0" w:firstLineChars="0"/>
                    <w:rPr>
                      <w:rFonts w:hint="eastAsia" w:ascii="宋体" w:hAnsi="宋体"/>
                      <w:sz w:val="21"/>
                      <w:szCs w:val="21"/>
                    </w:rPr>
                  </w:pPr>
                  <w:r>
                    <w:rPr>
                      <w:rFonts w:ascii="宋体" w:hAnsi="宋体" w:cs="仿宋"/>
                      <w:sz w:val="21"/>
                      <w:szCs w:val="21"/>
                    </w:rPr>
                    <w:t>【污染物排放绩效水平准入要求】</w:t>
                  </w:r>
                </w:p>
                <w:p w14:paraId="4F2DD37E">
                  <w:pPr>
                    <w:adjustRightInd w:val="0"/>
                    <w:snapToGrid w:val="0"/>
                    <w:spacing w:line="240" w:lineRule="auto"/>
                    <w:ind w:firstLine="0" w:firstLineChars="0"/>
                    <w:rPr>
                      <w:rFonts w:hint="eastAsia" w:ascii="宋体" w:hAnsi="宋体"/>
                      <w:sz w:val="21"/>
                      <w:szCs w:val="21"/>
                    </w:rPr>
                  </w:pPr>
                  <w:r>
                    <w:rPr>
                      <w:rFonts w:ascii="宋体" w:hAnsi="宋体" w:cs="仿宋"/>
                      <w:sz w:val="21"/>
                      <w:szCs w:val="21"/>
                    </w:rPr>
                    <w:t>（1）食品饮料重点行业项目新建应参考巴中市“三线一单”生态环境分区管控中食品饮料行业环境绩效准入门槛，对食品饮料产业中的白酒行业和肉制品加工行业执行GB27631-2011行业标准和《清洁生产评价指标体系 肉制品加工业》（DB11</w:t>
                  </w:r>
                  <w:r>
                    <w:rPr>
                      <w:rFonts w:hint="eastAsia" w:ascii="宋体" w:hAnsi="宋体" w:cs="仿宋"/>
                      <w:sz w:val="21"/>
                      <w:szCs w:val="21"/>
                    </w:rPr>
                    <w:t>/</w:t>
                  </w:r>
                  <w:r>
                    <w:rPr>
                      <w:rFonts w:ascii="宋体" w:hAnsi="宋体" w:cs="仿宋"/>
                      <w:sz w:val="21"/>
                      <w:szCs w:val="21"/>
                    </w:rPr>
                    <w:t>T 1405-2017）二级标准，单位产品废水量≤14m</w:t>
                  </w:r>
                  <w:r>
                    <w:rPr>
                      <w:rFonts w:ascii="宋体" w:hAnsi="宋体" w:cs="仿宋"/>
                      <w:sz w:val="21"/>
                      <w:szCs w:val="21"/>
                      <w:vertAlign w:val="superscript"/>
                    </w:rPr>
                    <w:t>3</w:t>
                  </w:r>
                  <w:r>
                    <w:rPr>
                      <w:rFonts w:hint="eastAsia" w:ascii="宋体" w:hAnsi="宋体" w:cs="仿宋"/>
                      <w:sz w:val="21"/>
                      <w:szCs w:val="21"/>
                    </w:rPr>
                    <w:t>/</w:t>
                  </w:r>
                  <w:r>
                    <w:rPr>
                      <w:rFonts w:ascii="宋体" w:hAnsi="宋体" w:cs="仿宋"/>
                      <w:sz w:val="21"/>
                      <w:szCs w:val="21"/>
                    </w:rPr>
                    <w:t>t，单位产品化学需氧量（CODCr）产生量≤16.1kg</w:t>
                  </w:r>
                  <w:r>
                    <w:rPr>
                      <w:rFonts w:hint="eastAsia" w:ascii="宋体" w:hAnsi="宋体" w:cs="仿宋"/>
                      <w:sz w:val="21"/>
                      <w:szCs w:val="21"/>
                    </w:rPr>
                    <w:t>/</w:t>
                  </w:r>
                  <w:r>
                    <w:rPr>
                      <w:rFonts w:ascii="宋体" w:hAnsi="宋体" w:cs="仿宋"/>
                      <w:sz w:val="21"/>
                      <w:szCs w:val="21"/>
                    </w:rPr>
                    <w:t>t、单位产品氨氮（NH</w:t>
                  </w:r>
                  <w:r>
                    <w:rPr>
                      <w:rFonts w:ascii="宋体" w:hAnsi="宋体" w:cs="仿宋"/>
                      <w:sz w:val="21"/>
                      <w:szCs w:val="21"/>
                      <w:vertAlign w:val="subscript"/>
                    </w:rPr>
                    <w:t>3</w:t>
                  </w:r>
                  <w:r>
                    <w:rPr>
                      <w:rFonts w:ascii="宋体" w:hAnsi="宋体" w:cs="仿宋"/>
                      <w:sz w:val="21"/>
                      <w:szCs w:val="21"/>
                    </w:rPr>
                    <w:t>-N）≤0.65kg</w:t>
                  </w:r>
                  <w:r>
                    <w:rPr>
                      <w:rFonts w:hint="eastAsia" w:ascii="宋体" w:hAnsi="宋体" w:cs="仿宋"/>
                      <w:sz w:val="21"/>
                      <w:szCs w:val="21"/>
                    </w:rPr>
                    <w:t>/</w:t>
                  </w:r>
                  <w:r>
                    <w:rPr>
                      <w:rFonts w:ascii="宋体" w:hAnsi="宋体" w:cs="仿宋"/>
                      <w:sz w:val="21"/>
                      <w:szCs w:val="21"/>
                    </w:rPr>
                    <w:t>t（2）入园企业排污强度无万元工业增加值不得大于“废水量：0.036m</w:t>
                  </w:r>
                  <w:r>
                    <w:rPr>
                      <w:rFonts w:ascii="宋体" w:hAnsi="宋体" w:cs="仿宋"/>
                      <w:sz w:val="21"/>
                      <w:szCs w:val="21"/>
                      <w:vertAlign w:val="superscript"/>
                    </w:rPr>
                    <w:t>3</w:t>
                  </w:r>
                  <w:r>
                    <w:rPr>
                      <w:rFonts w:hint="eastAsia" w:ascii="宋体" w:hAnsi="宋体" w:cs="仿宋"/>
                      <w:sz w:val="21"/>
                      <w:szCs w:val="21"/>
                    </w:rPr>
                    <w:t>/</w:t>
                  </w:r>
                  <w:r>
                    <w:rPr>
                      <w:rFonts w:ascii="宋体" w:hAnsi="宋体" w:cs="仿宋"/>
                      <w:sz w:val="21"/>
                      <w:szCs w:val="21"/>
                    </w:rPr>
                    <w:t>万元工业增加值、COD：0.018kg</w:t>
                  </w:r>
                  <w:r>
                    <w:rPr>
                      <w:rFonts w:hint="eastAsia" w:ascii="宋体" w:hAnsi="宋体" w:cs="仿宋"/>
                      <w:sz w:val="21"/>
                      <w:szCs w:val="21"/>
                    </w:rPr>
                    <w:t>/</w:t>
                  </w:r>
                  <w:r>
                    <w:rPr>
                      <w:rFonts w:ascii="宋体" w:hAnsi="宋体" w:cs="仿宋"/>
                      <w:sz w:val="21"/>
                      <w:szCs w:val="21"/>
                    </w:rPr>
                    <w:t>万元工业增加值、NH</w:t>
                  </w:r>
                  <w:r>
                    <w:rPr>
                      <w:rFonts w:ascii="宋体" w:hAnsi="宋体" w:cs="仿宋"/>
                      <w:sz w:val="21"/>
                      <w:szCs w:val="21"/>
                      <w:vertAlign w:val="subscript"/>
                    </w:rPr>
                    <w:t>3</w:t>
                  </w:r>
                  <w:r>
                    <w:rPr>
                      <w:rFonts w:ascii="宋体" w:hAnsi="宋体" w:cs="仿宋"/>
                      <w:sz w:val="21"/>
                      <w:szCs w:val="21"/>
                    </w:rPr>
                    <w:t>-N：0.0018kg</w:t>
                  </w:r>
                  <w:r>
                    <w:rPr>
                      <w:rFonts w:hint="eastAsia" w:ascii="宋体" w:hAnsi="宋体" w:cs="仿宋"/>
                      <w:sz w:val="21"/>
                      <w:szCs w:val="21"/>
                    </w:rPr>
                    <w:t>/</w:t>
                  </w:r>
                  <w:r>
                    <w:rPr>
                      <w:rFonts w:ascii="宋体" w:hAnsi="宋体" w:cs="仿宋"/>
                      <w:sz w:val="21"/>
                      <w:szCs w:val="21"/>
                    </w:rPr>
                    <w:t>万元工业增加值、TP：0.00018kg</w:t>
                  </w:r>
                  <w:r>
                    <w:rPr>
                      <w:rFonts w:hint="eastAsia" w:ascii="宋体" w:hAnsi="宋体" w:cs="仿宋"/>
                      <w:sz w:val="21"/>
                      <w:szCs w:val="21"/>
                    </w:rPr>
                    <w:t>/</w:t>
                  </w:r>
                  <w:r>
                    <w:rPr>
                      <w:rFonts w:ascii="宋体" w:hAnsi="宋体" w:cs="仿宋"/>
                      <w:sz w:val="21"/>
                      <w:szCs w:val="21"/>
                    </w:rPr>
                    <w:t>万元工业增加值”。（3）执行工业重点管控单元总体准入要求。</w:t>
                  </w:r>
                </w:p>
                <w:p w14:paraId="2C17702D">
                  <w:pPr>
                    <w:adjustRightInd w:val="0"/>
                    <w:snapToGrid w:val="0"/>
                    <w:spacing w:line="240" w:lineRule="auto"/>
                    <w:ind w:firstLine="0" w:firstLineChars="0"/>
                    <w:rPr>
                      <w:rFonts w:hint="eastAsia" w:ascii="宋体" w:hAnsi="宋体" w:cs="Times New Roman"/>
                      <w:sz w:val="21"/>
                      <w:szCs w:val="21"/>
                    </w:rPr>
                  </w:pPr>
                  <w:r>
                    <w:rPr>
                      <w:rFonts w:ascii="宋体" w:hAnsi="宋体" w:cs="仿宋"/>
                      <w:sz w:val="21"/>
                      <w:szCs w:val="21"/>
                    </w:rPr>
                    <w:t>【其他污染物排放管控要求】△</w:t>
                  </w:r>
                </w:p>
              </w:tc>
              <w:tc>
                <w:tcPr>
                  <w:tcW w:w="2757" w:type="dxa"/>
                  <w:vAlign w:val="center"/>
                </w:tcPr>
                <w:p w14:paraId="1A373B4D">
                  <w:pPr>
                    <w:adjustRightInd w:val="0"/>
                    <w:snapToGrid w:val="0"/>
                    <w:spacing w:line="240" w:lineRule="auto"/>
                    <w:ind w:firstLine="0" w:firstLineChars="0"/>
                    <w:jc w:val="left"/>
                    <w:rPr>
                      <w:rFonts w:hint="eastAsia" w:ascii="宋体" w:hAnsi="宋体" w:cs="Times New Roman"/>
                      <w:sz w:val="21"/>
                      <w:szCs w:val="21"/>
                    </w:rPr>
                  </w:pPr>
                  <w:r>
                    <w:rPr>
                      <w:rFonts w:hint="eastAsia" w:ascii="宋体" w:hAnsi="宋体" w:cs="Times New Roman"/>
                      <w:sz w:val="21"/>
                      <w:szCs w:val="21"/>
                    </w:rPr>
                    <w:t>本项目污染物排放量小，少量VOCs废气经活性炭吸附处理后达标排放</w:t>
                  </w:r>
                </w:p>
              </w:tc>
              <w:tc>
                <w:tcPr>
                  <w:tcW w:w="837" w:type="dxa"/>
                  <w:vAlign w:val="center"/>
                </w:tcPr>
                <w:p w14:paraId="53EAC15A">
                  <w:pPr>
                    <w:adjustRightInd w:val="0"/>
                    <w:snapToGrid w:val="0"/>
                    <w:spacing w:line="240" w:lineRule="auto"/>
                    <w:ind w:firstLine="0" w:firstLineChars="0"/>
                    <w:jc w:val="center"/>
                    <w:rPr>
                      <w:rFonts w:hint="eastAsia" w:ascii="宋体" w:hAnsi="宋体" w:cs="Times New Roman"/>
                      <w:sz w:val="21"/>
                      <w:szCs w:val="21"/>
                    </w:rPr>
                  </w:pPr>
                  <w:r>
                    <w:rPr>
                      <w:rFonts w:hint="eastAsia" w:ascii="宋体" w:hAnsi="宋体" w:cs="Times New Roman"/>
                      <w:sz w:val="21"/>
                      <w:szCs w:val="21"/>
                    </w:rPr>
                    <w:t>符合</w:t>
                  </w:r>
                </w:p>
              </w:tc>
            </w:tr>
            <w:tr w14:paraId="1DFE5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2" w:hRule="atLeast"/>
              </w:trPr>
              <w:tc>
                <w:tcPr>
                  <w:tcW w:w="1765" w:type="dxa"/>
                  <w:vMerge w:val="continue"/>
                  <w:vAlign w:val="center"/>
                </w:tcPr>
                <w:p w14:paraId="11F141AA">
                  <w:pPr>
                    <w:adjustRightInd w:val="0"/>
                    <w:snapToGrid w:val="0"/>
                    <w:spacing w:line="240" w:lineRule="auto"/>
                    <w:ind w:firstLine="0" w:firstLineChars="0"/>
                    <w:jc w:val="center"/>
                    <w:rPr>
                      <w:rFonts w:hint="eastAsia" w:ascii="宋体" w:hAnsi="宋体" w:cs="Times New Roman"/>
                      <w:sz w:val="21"/>
                      <w:szCs w:val="21"/>
                    </w:rPr>
                  </w:pPr>
                </w:p>
              </w:tc>
              <w:tc>
                <w:tcPr>
                  <w:tcW w:w="611" w:type="dxa"/>
                  <w:vMerge w:val="continue"/>
                  <w:vAlign w:val="center"/>
                </w:tcPr>
                <w:p w14:paraId="6F70DA6A">
                  <w:pPr>
                    <w:adjustRightInd w:val="0"/>
                    <w:snapToGrid w:val="0"/>
                    <w:spacing w:line="240" w:lineRule="auto"/>
                    <w:ind w:firstLine="0" w:firstLineChars="0"/>
                    <w:jc w:val="center"/>
                    <w:rPr>
                      <w:rFonts w:hint="eastAsia" w:ascii="宋体" w:hAnsi="宋体" w:cs="Times New Roman"/>
                      <w:sz w:val="21"/>
                      <w:szCs w:val="21"/>
                    </w:rPr>
                  </w:pPr>
                </w:p>
              </w:tc>
              <w:tc>
                <w:tcPr>
                  <w:tcW w:w="691" w:type="dxa"/>
                  <w:vAlign w:val="center"/>
                </w:tcPr>
                <w:p w14:paraId="57781589">
                  <w:pPr>
                    <w:adjustRightInd w:val="0"/>
                    <w:snapToGrid w:val="0"/>
                    <w:spacing w:line="240" w:lineRule="auto"/>
                    <w:ind w:firstLine="0" w:firstLineChars="0"/>
                    <w:jc w:val="center"/>
                    <w:rPr>
                      <w:rFonts w:hint="eastAsia" w:ascii="宋体" w:hAnsi="宋体" w:cs="Times New Roman"/>
                      <w:sz w:val="21"/>
                      <w:szCs w:val="21"/>
                    </w:rPr>
                  </w:pPr>
                  <w:r>
                    <w:rPr>
                      <w:rFonts w:ascii="宋体" w:hAnsi="宋体" w:cs="Times New Roman"/>
                      <w:sz w:val="21"/>
                      <w:szCs w:val="21"/>
                    </w:rPr>
                    <w:t>环境风险防控</w:t>
                  </w:r>
                </w:p>
              </w:tc>
              <w:tc>
                <w:tcPr>
                  <w:tcW w:w="7899" w:type="dxa"/>
                  <w:vAlign w:val="center"/>
                </w:tcPr>
                <w:p w14:paraId="34DEFA84">
                  <w:pPr>
                    <w:adjustRightInd w:val="0"/>
                    <w:snapToGrid w:val="0"/>
                    <w:spacing w:line="240" w:lineRule="auto"/>
                    <w:ind w:firstLine="0" w:firstLineChars="0"/>
                    <w:rPr>
                      <w:rFonts w:hint="eastAsia" w:ascii="宋体" w:hAnsi="宋体"/>
                      <w:sz w:val="21"/>
                      <w:szCs w:val="21"/>
                    </w:rPr>
                  </w:pPr>
                  <w:r>
                    <w:rPr>
                      <w:rFonts w:ascii="宋体" w:hAnsi="宋体" w:cs="仿宋"/>
                      <w:sz w:val="21"/>
                      <w:szCs w:val="21"/>
                    </w:rPr>
                    <w:t>【严格管控类农用地管控要求】</w:t>
                  </w:r>
                </w:p>
                <w:p w14:paraId="693D7A4F">
                  <w:pPr>
                    <w:adjustRightInd w:val="0"/>
                    <w:snapToGrid w:val="0"/>
                    <w:spacing w:line="240" w:lineRule="auto"/>
                    <w:ind w:firstLine="0" w:firstLineChars="0"/>
                    <w:rPr>
                      <w:rFonts w:hint="eastAsia" w:ascii="宋体" w:hAnsi="宋体"/>
                      <w:sz w:val="21"/>
                      <w:szCs w:val="21"/>
                    </w:rPr>
                  </w:pPr>
                  <w:r>
                    <w:rPr>
                      <w:rFonts w:ascii="宋体" w:hAnsi="宋体" w:cs="仿宋"/>
                      <w:sz w:val="21"/>
                      <w:szCs w:val="21"/>
                    </w:rPr>
                    <w:t>执行工业重点管控单元普适性管控要求。</w:t>
                  </w:r>
                </w:p>
                <w:p w14:paraId="768A192A">
                  <w:pPr>
                    <w:adjustRightInd w:val="0"/>
                    <w:snapToGrid w:val="0"/>
                    <w:spacing w:line="240" w:lineRule="auto"/>
                    <w:ind w:firstLine="0" w:firstLineChars="0"/>
                    <w:rPr>
                      <w:rFonts w:hint="eastAsia" w:ascii="宋体" w:hAnsi="宋体"/>
                      <w:sz w:val="21"/>
                      <w:szCs w:val="21"/>
                    </w:rPr>
                  </w:pPr>
                  <w:r>
                    <w:rPr>
                      <w:rFonts w:ascii="宋体" w:hAnsi="宋体" w:cs="仿宋"/>
                      <w:sz w:val="21"/>
                      <w:szCs w:val="21"/>
                    </w:rPr>
                    <w:t>【安全利用类农用地管控要求】</w:t>
                  </w:r>
                </w:p>
                <w:p w14:paraId="2AF452C0">
                  <w:pPr>
                    <w:adjustRightInd w:val="0"/>
                    <w:snapToGrid w:val="0"/>
                    <w:spacing w:line="240" w:lineRule="auto"/>
                    <w:ind w:firstLine="0" w:firstLineChars="0"/>
                    <w:rPr>
                      <w:rFonts w:hint="eastAsia" w:ascii="宋体" w:hAnsi="宋体"/>
                      <w:sz w:val="21"/>
                      <w:szCs w:val="21"/>
                    </w:rPr>
                  </w:pPr>
                  <w:r>
                    <w:rPr>
                      <w:rFonts w:ascii="宋体" w:hAnsi="宋体" w:cs="仿宋"/>
                      <w:sz w:val="21"/>
                      <w:szCs w:val="21"/>
                    </w:rPr>
                    <w:t>执行工业重点管控单元普适性管控要求。</w:t>
                  </w:r>
                </w:p>
                <w:p w14:paraId="7A175834">
                  <w:pPr>
                    <w:adjustRightInd w:val="0"/>
                    <w:snapToGrid w:val="0"/>
                    <w:spacing w:line="240" w:lineRule="auto"/>
                    <w:ind w:firstLine="0" w:firstLineChars="0"/>
                    <w:rPr>
                      <w:rFonts w:hint="eastAsia" w:ascii="宋体" w:hAnsi="宋体"/>
                      <w:sz w:val="21"/>
                      <w:szCs w:val="21"/>
                    </w:rPr>
                  </w:pPr>
                  <w:r>
                    <w:rPr>
                      <w:rFonts w:ascii="宋体" w:hAnsi="宋体" w:cs="仿宋"/>
                      <w:sz w:val="21"/>
                      <w:szCs w:val="21"/>
                    </w:rPr>
                    <w:t>【污染地块管控要求】</w:t>
                  </w:r>
                </w:p>
                <w:p w14:paraId="6C9FB587">
                  <w:pPr>
                    <w:adjustRightInd w:val="0"/>
                    <w:snapToGrid w:val="0"/>
                    <w:spacing w:line="240" w:lineRule="auto"/>
                    <w:ind w:firstLine="0" w:firstLineChars="0"/>
                    <w:rPr>
                      <w:rFonts w:hint="eastAsia" w:ascii="宋体" w:hAnsi="宋体"/>
                      <w:sz w:val="21"/>
                      <w:szCs w:val="21"/>
                    </w:rPr>
                  </w:pPr>
                  <w:r>
                    <w:rPr>
                      <w:rFonts w:ascii="宋体" w:hAnsi="宋体" w:cs="仿宋"/>
                      <w:sz w:val="21"/>
                      <w:szCs w:val="21"/>
                    </w:rPr>
                    <w:t>执行工业重点管控单元普适性管控要求。</w:t>
                  </w:r>
                </w:p>
                <w:p w14:paraId="4603F8F3">
                  <w:pPr>
                    <w:adjustRightInd w:val="0"/>
                    <w:snapToGrid w:val="0"/>
                    <w:spacing w:line="240" w:lineRule="auto"/>
                    <w:ind w:firstLine="0" w:firstLineChars="0"/>
                    <w:rPr>
                      <w:rFonts w:hint="eastAsia" w:ascii="宋体" w:hAnsi="宋体"/>
                      <w:sz w:val="21"/>
                      <w:szCs w:val="21"/>
                    </w:rPr>
                  </w:pPr>
                  <w:r>
                    <w:rPr>
                      <w:rFonts w:ascii="宋体" w:hAnsi="宋体" w:cs="仿宋"/>
                      <w:sz w:val="21"/>
                      <w:szCs w:val="21"/>
                    </w:rPr>
                    <w:t>【园区环境风险防控要求】</w:t>
                  </w:r>
                </w:p>
                <w:p w14:paraId="21725453">
                  <w:pPr>
                    <w:adjustRightInd w:val="0"/>
                    <w:snapToGrid w:val="0"/>
                    <w:spacing w:line="240" w:lineRule="auto"/>
                    <w:ind w:firstLine="0" w:firstLineChars="0"/>
                    <w:rPr>
                      <w:rFonts w:hint="eastAsia" w:ascii="宋体" w:hAnsi="宋体"/>
                      <w:sz w:val="21"/>
                      <w:szCs w:val="21"/>
                    </w:rPr>
                  </w:pPr>
                  <w:r>
                    <w:rPr>
                      <w:rFonts w:ascii="宋体" w:hAnsi="宋体" w:cs="仿宋"/>
                      <w:sz w:val="21"/>
                      <w:szCs w:val="21"/>
                    </w:rPr>
                    <w:t>（1）园区与城区和居住区接壤的地块，禁止引入环境风险潜势大于III级及以上的项目。（2）金堂区块应考虑环境风险的区域联合防控，建立污染源头、过程处理和最终排放的“三级防控”机制。高度重视园区环境安全工作，构建“企业-园区-流域”三级防控体系，实现“事故废水不出涉事企业、不出园区管网、不进园区周边水系”的风险防控目标。（3）其余执行工业重点管控单元总体准入要求。</w:t>
                  </w:r>
                </w:p>
                <w:p w14:paraId="3A19CA05">
                  <w:pPr>
                    <w:adjustRightInd w:val="0"/>
                    <w:snapToGrid w:val="0"/>
                    <w:spacing w:line="240" w:lineRule="auto"/>
                    <w:ind w:firstLine="0" w:firstLineChars="0"/>
                    <w:rPr>
                      <w:rFonts w:hint="eastAsia" w:ascii="宋体" w:hAnsi="宋体"/>
                      <w:sz w:val="21"/>
                      <w:szCs w:val="21"/>
                    </w:rPr>
                  </w:pPr>
                  <w:r>
                    <w:rPr>
                      <w:rFonts w:ascii="宋体" w:hAnsi="宋体" w:cs="仿宋"/>
                      <w:sz w:val="21"/>
                      <w:szCs w:val="21"/>
                    </w:rPr>
                    <w:t>【企业环境风险防控要求】</w:t>
                  </w:r>
                </w:p>
                <w:p w14:paraId="0A6801CE">
                  <w:pPr>
                    <w:adjustRightInd w:val="0"/>
                    <w:snapToGrid w:val="0"/>
                    <w:spacing w:line="240" w:lineRule="auto"/>
                    <w:ind w:firstLine="0" w:firstLineChars="0"/>
                    <w:rPr>
                      <w:rFonts w:hint="eastAsia" w:ascii="宋体" w:hAnsi="宋体"/>
                      <w:sz w:val="21"/>
                      <w:szCs w:val="21"/>
                    </w:rPr>
                  </w:pPr>
                  <w:r>
                    <w:rPr>
                      <w:rFonts w:ascii="宋体" w:hAnsi="宋体" w:cs="仿宋"/>
                      <w:sz w:val="21"/>
                      <w:szCs w:val="21"/>
                    </w:rPr>
                    <w:t>执行工业重点管控单元普适性管控要求。</w:t>
                  </w:r>
                </w:p>
                <w:p w14:paraId="5319E319">
                  <w:pPr>
                    <w:adjustRightInd w:val="0"/>
                    <w:snapToGrid w:val="0"/>
                    <w:spacing w:line="240" w:lineRule="auto"/>
                    <w:ind w:firstLine="0" w:firstLineChars="0"/>
                    <w:rPr>
                      <w:rFonts w:hint="eastAsia" w:ascii="宋体" w:hAnsi="宋体" w:cs="Times New Roman"/>
                      <w:sz w:val="21"/>
                      <w:szCs w:val="21"/>
                    </w:rPr>
                  </w:pPr>
                  <w:r>
                    <w:rPr>
                      <w:rFonts w:ascii="宋体" w:hAnsi="宋体" w:cs="仿宋"/>
                      <w:sz w:val="21"/>
                      <w:szCs w:val="21"/>
                    </w:rPr>
                    <w:t>【其他环境风险防控要求】△</w:t>
                  </w:r>
                </w:p>
              </w:tc>
              <w:tc>
                <w:tcPr>
                  <w:tcW w:w="2757" w:type="dxa"/>
                  <w:vAlign w:val="center"/>
                </w:tcPr>
                <w:p w14:paraId="232A16D1">
                  <w:pPr>
                    <w:adjustRightInd w:val="0"/>
                    <w:snapToGrid w:val="0"/>
                    <w:spacing w:line="240" w:lineRule="auto"/>
                    <w:ind w:firstLine="0" w:firstLineChars="0"/>
                    <w:jc w:val="left"/>
                    <w:rPr>
                      <w:rFonts w:hint="eastAsia" w:ascii="宋体" w:hAnsi="宋体" w:cs="Times New Roman"/>
                      <w:sz w:val="21"/>
                      <w:szCs w:val="21"/>
                    </w:rPr>
                  </w:pPr>
                  <w:r>
                    <w:rPr>
                      <w:rFonts w:hint="eastAsia" w:ascii="宋体" w:hAnsi="宋体" w:cs="Times New Roman"/>
                      <w:sz w:val="21"/>
                      <w:szCs w:val="21"/>
                    </w:rPr>
                    <w:t>本项目在园区边缘地带，项目厂房内</w:t>
                  </w:r>
                  <w:r>
                    <w:rPr>
                      <w:rFonts w:ascii="宋体" w:hAnsi="宋体" w:cs="Times New Roman"/>
                      <w:sz w:val="21"/>
                      <w:szCs w:val="21"/>
                    </w:rPr>
                    <w:t>经风险评估，本项目风险潜势为I级，总体环境风险较低。</w:t>
                  </w:r>
                </w:p>
              </w:tc>
              <w:tc>
                <w:tcPr>
                  <w:tcW w:w="837" w:type="dxa"/>
                  <w:vAlign w:val="center"/>
                </w:tcPr>
                <w:p w14:paraId="20BA1683">
                  <w:pPr>
                    <w:adjustRightInd w:val="0"/>
                    <w:snapToGrid w:val="0"/>
                    <w:spacing w:line="240" w:lineRule="auto"/>
                    <w:ind w:firstLine="0" w:firstLineChars="0"/>
                    <w:jc w:val="center"/>
                    <w:rPr>
                      <w:rFonts w:hint="eastAsia" w:ascii="宋体" w:hAnsi="宋体" w:cs="Times New Roman"/>
                      <w:sz w:val="21"/>
                      <w:szCs w:val="21"/>
                    </w:rPr>
                  </w:pPr>
                  <w:r>
                    <w:rPr>
                      <w:rFonts w:hint="eastAsia" w:ascii="宋体" w:hAnsi="宋体" w:cs="Times New Roman"/>
                      <w:sz w:val="21"/>
                      <w:szCs w:val="21"/>
                    </w:rPr>
                    <w:t>符合</w:t>
                  </w:r>
                </w:p>
              </w:tc>
            </w:tr>
            <w:tr w14:paraId="2A537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765" w:type="dxa"/>
                  <w:vMerge w:val="continue"/>
                  <w:vAlign w:val="center"/>
                </w:tcPr>
                <w:p w14:paraId="4160BDDD">
                  <w:pPr>
                    <w:adjustRightInd w:val="0"/>
                    <w:snapToGrid w:val="0"/>
                    <w:spacing w:line="240" w:lineRule="auto"/>
                    <w:ind w:firstLine="0" w:firstLineChars="0"/>
                    <w:jc w:val="center"/>
                    <w:rPr>
                      <w:rFonts w:hint="eastAsia" w:ascii="宋体" w:hAnsi="宋体" w:cs="Times New Roman"/>
                      <w:sz w:val="21"/>
                      <w:szCs w:val="21"/>
                    </w:rPr>
                  </w:pPr>
                </w:p>
              </w:tc>
              <w:tc>
                <w:tcPr>
                  <w:tcW w:w="611" w:type="dxa"/>
                  <w:vMerge w:val="continue"/>
                  <w:vAlign w:val="center"/>
                </w:tcPr>
                <w:p w14:paraId="3760A851">
                  <w:pPr>
                    <w:adjustRightInd w:val="0"/>
                    <w:snapToGrid w:val="0"/>
                    <w:spacing w:line="240" w:lineRule="auto"/>
                    <w:ind w:firstLine="0" w:firstLineChars="0"/>
                    <w:jc w:val="center"/>
                    <w:rPr>
                      <w:rFonts w:hint="eastAsia" w:ascii="宋体" w:hAnsi="宋体" w:cs="Times New Roman"/>
                      <w:sz w:val="21"/>
                      <w:szCs w:val="21"/>
                    </w:rPr>
                  </w:pPr>
                </w:p>
              </w:tc>
              <w:tc>
                <w:tcPr>
                  <w:tcW w:w="691" w:type="dxa"/>
                  <w:vAlign w:val="center"/>
                </w:tcPr>
                <w:p w14:paraId="12260DE2">
                  <w:pPr>
                    <w:adjustRightInd w:val="0"/>
                    <w:snapToGrid w:val="0"/>
                    <w:spacing w:line="240" w:lineRule="auto"/>
                    <w:ind w:firstLine="0" w:firstLineChars="0"/>
                    <w:jc w:val="center"/>
                    <w:rPr>
                      <w:rFonts w:hint="eastAsia" w:ascii="宋体" w:hAnsi="宋体" w:cs="Times New Roman"/>
                      <w:sz w:val="21"/>
                      <w:szCs w:val="21"/>
                    </w:rPr>
                  </w:pPr>
                  <w:r>
                    <w:rPr>
                      <w:rFonts w:ascii="宋体" w:hAnsi="宋体" w:cs="Times New Roman"/>
                      <w:sz w:val="21"/>
                      <w:szCs w:val="21"/>
                    </w:rPr>
                    <w:t>资源开发效率要求</w:t>
                  </w:r>
                </w:p>
              </w:tc>
              <w:tc>
                <w:tcPr>
                  <w:tcW w:w="7899" w:type="dxa"/>
                  <w:vAlign w:val="center"/>
                </w:tcPr>
                <w:p w14:paraId="58EF6480">
                  <w:pPr>
                    <w:adjustRightInd w:val="0"/>
                    <w:snapToGrid w:val="0"/>
                    <w:spacing w:line="240" w:lineRule="auto"/>
                    <w:ind w:firstLine="0" w:firstLineChars="0"/>
                    <w:rPr>
                      <w:rFonts w:hint="eastAsia" w:ascii="宋体" w:hAnsi="宋体"/>
                      <w:sz w:val="21"/>
                      <w:szCs w:val="21"/>
                    </w:rPr>
                  </w:pPr>
                  <w:r>
                    <w:rPr>
                      <w:rFonts w:ascii="宋体" w:hAnsi="宋体" w:cs="仿宋"/>
                      <w:sz w:val="21"/>
                      <w:szCs w:val="21"/>
                    </w:rPr>
                    <w:t>【水资源利用效率要求】</w:t>
                  </w:r>
                </w:p>
                <w:p w14:paraId="72EF74B0">
                  <w:pPr>
                    <w:adjustRightInd w:val="0"/>
                    <w:snapToGrid w:val="0"/>
                    <w:spacing w:line="240" w:lineRule="auto"/>
                    <w:ind w:firstLine="0" w:firstLineChars="0"/>
                    <w:rPr>
                      <w:rFonts w:hint="eastAsia" w:ascii="宋体" w:hAnsi="宋体"/>
                      <w:sz w:val="21"/>
                      <w:szCs w:val="21"/>
                    </w:rPr>
                  </w:pPr>
                  <w:r>
                    <w:rPr>
                      <w:rFonts w:ascii="宋体" w:hAnsi="宋体" w:cs="仿宋"/>
                      <w:sz w:val="21"/>
                      <w:szCs w:val="21"/>
                    </w:rPr>
                    <w:t>执行工业重点管控单元普适性管控要求。</w:t>
                  </w:r>
                </w:p>
                <w:p w14:paraId="675C7D3F">
                  <w:pPr>
                    <w:adjustRightInd w:val="0"/>
                    <w:snapToGrid w:val="0"/>
                    <w:spacing w:line="240" w:lineRule="auto"/>
                    <w:ind w:firstLine="0" w:firstLineChars="0"/>
                    <w:rPr>
                      <w:rFonts w:hint="eastAsia" w:ascii="宋体" w:hAnsi="宋体"/>
                      <w:sz w:val="21"/>
                      <w:szCs w:val="21"/>
                    </w:rPr>
                  </w:pPr>
                  <w:r>
                    <w:rPr>
                      <w:rFonts w:ascii="宋体" w:hAnsi="宋体" w:cs="仿宋"/>
                      <w:sz w:val="21"/>
                      <w:szCs w:val="21"/>
                    </w:rPr>
                    <w:t>【地下水开采要求】</w:t>
                  </w:r>
                </w:p>
                <w:p w14:paraId="623DB6B9">
                  <w:pPr>
                    <w:adjustRightInd w:val="0"/>
                    <w:snapToGrid w:val="0"/>
                    <w:spacing w:line="240" w:lineRule="auto"/>
                    <w:ind w:firstLine="0" w:firstLineChars="0"/>
                    <w:rPr>
                      <w:rFonts w:hint="eastAsia" w:ascii="宋体" w:hAnsi="宋体"/>
                      <w:sz w:val="21"/>
                      <w:szCs w:val="21"/>
                    </w:rPr>
                  </w:pPr>
                  <w:r>
                    <w:rPr>
                      <w:rFonts w:ascii="宋体" w:hAnsi="宋体" w:cs="仿宋"/>
                      <w:sz w:val="21"/>
                      <w:szCs w:val="21"/>
                    </w:rPr>
                    <w:t>执行工业重点管控单元普适性管控要求。</w:t>
                  </w:r>
                </w:p>
                <w:p w14:paraId="7497B311">
                  <w:pPr>
                    <w:adjustRightInd w:val="0"/>
                    <w:snapToGrid w:val="0"/>
                    <w:spacing w:line="240" w:lineRule="auto"/>
                    <w:ind w:firstLine="0" w:firstLineChars="0"/>
                    <w:rPr>
                      <w:rFonts w:hint="eastAsia" w:ascii="宋体" w:hAnsi="宋体"/>
                      <w:sz w:val="21"/>
                      <w:szCs w:val="21"/>
                    </w:rPr>
                  </w:pPr>
                  <w:r>
                    <w:rPr>
                      <w:rFonts w:ascii="宋体" w:hAnsi="宋体" w:cs="仿宋"/>
                      <w:sz w:val="21"/>
                      <w:szCs w:val="21"/>
                    </w:rPr>
                    <w:t>【能源利用效率要求】</w:t>
                  </w:r>
                </w:p>
                <w:p w14:paraId="7ABD8789">
                  <w:pPr>
                    <w:adjustRightInd w:val="0"/>
                    <w:snapToGrid w:val="0"/>
                    <w:spacing w:line="240" w:lineRule="auto"/>
                    <w:ind w:firstLine="0" w:firstLineChars="0"/>
                    <w:rPr>
                      <w:rFonts w:hint="eastAsia" w:ascii="宋体" w:hAnsi="宋体"/>
                      <w:sz w:val="21"/>
                      <w:szCs w:val="21"/>
                    </w:rPr>
                  </w:pPr>
                  <w:r>
                    <w:rPr>
                      <w:rFonts w:ascii="宋体" w:hAnsi="宋体" w:cs="仿宋"/>
                      <w:sz w:val="21"/>
                      <w:szCs w:val="21"/>
                    </w:rPr>
                    <w:t>执行工业重点管控单元普适性管控要求。</w:t>
                  </w:r>
                </w:p>
                <w:p w14:paraId="5405966B">
                  <w:pPr>
                    <w:adjustRightInd w:val="0"/>
                    <w:snapToGrid w:val="0"/>
                    <w:spacing w:line="240" w:lineRule="auto"/>
                    <w:ind w:firstLine="0" w:firstLineChars="0"/>
                    <w:rPr>
                      <w:rFonts w:hint="eastAsia" w:ascii="宋体" w:hAnsi="宋体" w:cs="Times New Roman"/>
                      <w:sz w:val="21"/>
                      <w:szCs w:val="21"/>
                    </w:rPr>
                  </w:pPr>
                  <w:r>
                    <w:rPr>
                      <w:rFonts w:ascii="宋体" w:hAnsi="宋体" w:cs="仿宋"/>
                      <w:sz w:val="21"/>
                      <w:szCs w:val="21"/>
                    </w:rPr>
                    <w:t>【其他资源利用效率要求】△</w:t>
                  </w:r>
                </w:p>
              </w:tc>
              <w:tc>
                <w:tcPr>
                  <w:tcW w:w="2757" w:type="dxa"/>
                  <w:vAlign w:val="center"/>
                </w:tcPr>
                <w:p w14:paraId="75686640">
                  <w:pPr>
                    <w:pStyle w:val="68"/>
                    <w:adjustRightInd w:val="0"/>
                    <w:snapToGrid w:val="0"/>
                    <w:spacing w:line="240" w:lineRule="auto"/>
                    <w:ind w:firstLine="0" w:firstLineChars="0"/>
                    <w:rPr>
                      <w:rFonts w:hint="eastAsia" w:ascii="宋体" w:hAnsi="宋体" w:eastAsia="宋体"/>
                      <w:sz w:val="21"/>
                    </w:rPr>
                  </w:pPr>
                  <w:r>
                    <w:rPr>
                      <w:rFonts w:hint="eastAsia" w:ascii="宋体" w:hAnsi="宋体" w:eastAsia="宋体"/>
                      <w:sz w:val="21"/>
                    </w:rPr>
                    <w:t>/</w:t>
                  </w:r>
                </w:p>
              </w:tc>
              <w:tc>
                <w:tcPr>
                  <w:tcW w:w="837" w:type="dxa"/>
                  <w:vAlign w:val="center"/>
                </w:tcPr>
                <w:p w14:paraId="4127AE38">
                  <w:pPr>
                    <w:adjustRightInd w:val="0"/>
                    <w:snapToGrid w:val="0"/>
                    <w:spacing w:line="240" w:lineRule="auto"/>
                    <w:ind w:firstLine="0" w:firstLineChars="0"/>
                    <w:jc w:val="center"/>
                    <w:rPr>
                      <w:rFonts w:hint="eastAsia" w:ascii="宋体" w:hAnsi="宋体" w:cs="Times New Roman"/>
                      <w:sz w:val="21"/>
                      <w:szCs w:val="21"/>
                    </w:rPr>
                  </w:pPr>
                  <w:r>
                    <w:rPr>
                      <w:rFonts w:hint="eastAsia" w:ascii="宋体" w:hAnsi="宋体" w:cs="Times New Roman"/>
                      <w:sz w:val="21"/>
                      <w:szCs w:val="21"/>
                    </w:rPr>
                    <w:t>/</w:t>
                  </w:r>
                </w:p>
              </w:tc>
            </w:tr>
            <w:tr w14:paraId="73277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1765" w:type="dxa"/>
                  <w:vAlign w:val="center"/>
                </w:tcPr>
                <w:p w14:paraId="5ED67E28">
                  <w:pPr>
                    <w:pStyle w:val="66"/>
                    <w:adjustRightInd w:val="0"/>
                    <w:snapToGrid w:val="0"/>
                    <w:spacing w:before="0" w:after="0" w:line="240" w:lineRule="auto"/>
                    <w:ind w:right="0"/>
                    <w:rPr>
                      <w:rFonts w:hint="eastAsia" w:ascii="宋体" w:hAnsi="宋体"/>
                      <w:color w:val="auto"/>
                      <w:kern w:val="2"/>
                      <w:sz w:val="21"/>
                      <w:szCs w:val="21"/>
                    </w:rPr>
                  </w:pPr>
                  <w:r>
                    <w:rPr>
                      <w:rFonts w:ascii="宋体" w:hAnsi="宋体"/>
                      <w:color w:val="auto"/>
                      <w:kern w:val="2"/>
                      <w:sz w:val="21"/>
                      <w:szCs w:val="21"/>
                    </w:rPr>
                    <w:t>YS5119023110001</w:t>
                  </w:r>
                </w:p>
                <w:p w14:paraId="65B2BE96">
                  <w:pPr>
                    <w:pStyle w:val="67"/>
                    <w:adjustRightInd w:val="0"/>
                    <w:snapToGrid w:val="0"/>
                    <w:spacing w:line="240" w:lineRule="auto"/>
                    <w:rPr>
                      <w:rFonts w:hint="eastAsia" w:ascii="宋体" w:hAnsi="宋体"/>
                      <w:color w:val="auto"/>
                      <w:sz w:val="21"/>
                      <w:szCs w:val="21"/>
                    </w:rPr>
                  </w:pPr>
                  <w:r>
                    <w:rPr>
                      <w:rFonts w:ascii="宋体" w:hAnsi="宋体" w:cs="仿宋"/>
                      <w:color w:val="auto"/>
                      <w:sz w:val="21"/>
                      <w:szCs w:val="21"/>
                    </w:rPr>
                    <w:t>巴州区其他区域</w:t>
                  </w:r>
                </w:p>
              </w:tc>
              <w:tc>
                <w:tcPr>
                  <w:tcW w:w="611" w:type="dxa"/>
                  <w:vMerge w:val="restart"/>
                  <w:vAlign w:val="center"/>
                </w:tcPr>
                <w:p w14:paraId="15467C94">
                  <w:pPr>
                    <w:adjustRightInd w:val="0"/>
                    <w:snapToGrid w:val="0"/>
                    <w:spacing w:line="240" w:lineRule="auto"/>
                    <w:ind w:firstLine="0" w:firstLineChars="0"/>
                    <w:jc w:val="center"/>
                    <w:rPr>
                      <w:rFonts w:hint="eastAsia" w:ascii="宋体" w:hAnsi="宋体" w:cs="Times New Roman"/>
                      <w:sz w:val="21"/>
                      <w:szCs w:val="21"/>
                    </w:rPr>
                  </w:pPr>
                  <w:r>
                    <w:rPr>
                      <w:rFonts w:ascii="宋体" w:hAnsi="宋体" w:cs="仿宋"/>
                      <w:sz w:val="21"/>
                      <w:szCs w:val="21"/>
                    </w:rPr>
                    <w:t>要素管控分区管控要求</w:t>
                  </w:r>
                </w:p>
              </w:tc>
              <w:tc>
                <w:tcPr>
                  <w:tcW w:w="8590" w:type="dxa"/>
                  <w:gridSpan w:val="2"/>
                  <w:vAlign w:val="center"/>
                </w:tcPr>
                <w:p w14:paraId="4C25E573">
                  <w:pPr>
                    <w:adjustRightInd w:val="0"/>
                    <w:snapToGrid w:val="0"/>
                    <w:spacing w:line="240" w:lineRule="auto"/>
                    <w:ind w:firstLine="0" w:firstLineChars="0"/>
                    <w:rPr>
                      <w:rFonts w:hint="eastAsia" w:ascii="宋体" w:hAnsi="宋体" w:cs="Times New Roman"/>
                      <w:sz w:val="21"/>
                      <w:szCs w:val="21"/>
                    </w:rPr>
                  </w:pPr>
                  <w:r>
                    <w:rPr>
                      <w:rFonts w:ascii="宋体" w:hAnsi="宋体" w:cs="Times New Roman"/>
                      <w:sz w:val="21"/>
                      <w:szCs w:val="21"/>
                    </w:rPr>
                    <w:t>空间布局约束</w:t>
                  </w:r>
                  <w:r>
                    <w:rPr>
                      <w:rFonts w:hint="eastAsia" w:ascii="宋体" w:hAnsi="宋体" w:cs="Times New Roman"/>
                      <w:sz w:val="21"/>
                      <w:szCs w:val="21"/>
                    </w:rPr>
                    <w:t>：暂无；</w:t>
                  </w:r>
                  <w:r>
                    <w:rPr>
                      <w:rFonts w:ascii="宋体" w:hAnsi="宋体" w:cs="Times New Roman"/>
                      <w:sz w:val="21"/>
                      <w:szCs w:val="21"/>
                    </w:rPr>
                    <w:t>污染物排放管控</w:t>
                  </w:r>
                  <w:r>
                    <w:rPr>
                      <w:rFonts w:hint="eastAsia" w:ascii="宋体" w:hAnsi="宋体" w:cs="Times New Roman"/>
                      <w:sz w:val="21"/>
                      <w:szCs w:val="21"/>
                    </w:rPr>
                    <w:t>：暂无；</w:t>
                  </w:r>
                  <w:r>
                    <w:rPr>
                      <w:rFonts w:ascii="宋体" w:hAnsi="宋体" w:cs="Times New Roman"/>
                      <w:sz w:val="21"/>
                      <w:szCs w:val="21"/>
                    </w:rPr>
                    <w:t>环境风险防控</w:t>
                  </w:r>
                  <w:r>
                    <w:rPr>
                      <w:rFonts w:hint="eastAsia" w:ascii="宋体" w:hAnsi="宋体" w:cs="Times New Roman"/>
                      <w:sz w:val="21"/>
                      <w:szCs w:val="21"/>
                    </w:rPr>
                    <w:t>：暂无</w:t>
                  </w:r>
                </w:p>
                <w:p w14:paraId="64E042A5">
                  <w:pPr>
                    <w:adjustRightInd w:val="0"/>
                    <w:snapToGrid w:val="0"/>
                    <w:spacing w:line="240" w:lineRule="auto"/>
                    <w:ind w:firstLine="0" w:firstLineChars="0"/>
                    <w:rPr>
                      <w:rFonts w:hint="eastAsia" w:ascii="宋体" w:hAnsi="宋体" w:cs="宋体"/>
                      <w:kern w:val="0"/>
                      <w:sz w:val="21"/>
                      <w:szCs w:val="21"/>
                    </w:rPr>
                  </w:pPr>
                  <w:r>
                    <w:rPr>
                      <w:rFonts w:ascii="宋体" w:hAnsi="宋体" w:cs="Times New Roman"/>
                      <w:sz w:val="21"/>
                      <w:szCs w:val="21"/>
                    </w:rPr>
                    <w:t>资源开发效率要求</w:t>
                  </w:r>
                  <w:r>
                    <w:rPr>
                      <w:rFonts w:hint="eastAsia" w:ascii="宋体" w:hAnsi="宋体" w:cs="Times New Roman"/>
                      <w:sz w:val="21"/>
                      <w:szCs w:val="21"/>
                    </w:rPr>
                    <w:t>：暂无</w:t>
                  </w:r>
                </w:p>
              </w:tc>
              <w:tc>
                <w:tcPr>
                  <w:tcW w:w="2757" w:type="dxa"/>
                  <w:vAlign w:val="center"/>
                </w:tcPr>
                <w:p w14:paraId="0A6993EE">
                  <w:pPr>
                    <w:adjustRightInd w:val="0"/>
                    <w:snapToGrid w:val="0"/>
                    <w:spacing w:line="240" w:lineRule="auto"/>
                    <w:ind w:firstLine="0" w:firstLineChars="0"/>
                    <w:rPr>
                      <w:rFonts w:hint="eastAsia" w:ascii="宋体" w:hAnsi="宋体" w:cs="Times New Roman"/>
                      <w:sz w:val="21"/>
                      <w:szCs w:val="21"/>
                    </w:rPr>
                  </w:pPr>
                  <w:r>
                    <w:rPr>
                      <w:rFonts w:hint="eastAsia" w:ascii="宋体" w:hAnsi="宋体" w:cs="Times New Roman"/>
                      <w:sz w:val="21"/>
                      <w:szCs w:val="21"/>
                    </w:rPr>
                    <w:t>/</w:t>
                  </w:r>
                </w:p>
              </w:tc>
              <w:tc>
                <w:tcPr>
                  <w:tcW w:w="837" w:type="dxa"/>
                  <w:vAlign w:val="center"/>
                </w:tcPr>
                <w:p w14:paraId="0F5CB8BA">
                  <w:pPr>
                    <w:adjustRightInd w:val="0"/>
                    <w:snapToGrid w:val="0"/>
                    <w:spacing w:line="240" w:lineRule="auto"/>
                    <w:ind w:firstLine="0" w:firstLineChars="0"/>
                    <w:jc w:val="center"/>
                    <w:rPr>
                      <w:rFonts w:hint="eastAsia" w:ascii="宋体" w:hAnsi="宋体" w:cs="Times New Roman"/>
                      <w:sz w:val="21"/>
                      <w:szCs w:val="21"/>
                    </w:rPr>
                  </w:pPr>
                  <w:r>
                    <w:rPr>
                      <w:rFonts w:hint="eastAsia" w:ascii="宋体" w:hAnsi="宋体" w:cs="Times New Roman"/>
                      <w:sz w:val="21"/>
                      <w:szCs w:val="21"/>
                    </w:rPr>
                    <w:t>/</w:t>
                  </w:r>
                </w:p>
              </w:tc>
            </w:tr>
            <w:tr w14:paraId="578D8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765" w:type="dxa"/>
                  <w:vMerge w:val="restart"/>
                  <w:vAlign w:val="center"/>
                </w:tcPr>
                <w:p w14:paraId="4B4AF122">
                  <w:pPr>
                    <w:adjustRightInd w:val="0"/>
                    <w:snapToGrid w:val="0"/>
                    <w:spacing w:line="240" w:lineRule="auto"/>
                    <w:ind w:firstLine="0" w:firstLineChars="0"/>
                    <w:jc w:val="center"/>
                    <w:rPr>
                      <w:rFonts w:hint="eastAsia" w:ascii="宋体" w:hAnsi="宋体" w:cs="仿宋"/>
                      <w:sz w:val="21"/>
                      <w:szCs w:val="21"/>
                    </w:rPr>
                  </w:pPr>
                  <w:r>
                    <w:rPr>
                      <w:rFonts w:ascii="宋体" w:hAnsi="宋体" w:cs="仿宋"/>
                      <w:sz w:val="21"/>
                      <w:szCs w:val="21"/>
                    </w:rPr>
                    <w:t>YS5119022210002</w:t>
                  </w:r>
                </w:p>
                <w:p w14:paraId="15118364">
                  <w:pPr>
                    <w:adjustRightInd w:val="0"/>
                    <w:snapToGrid w:val="0"/>
                    <w:spacing w:line="240" w:lineRule="auto"/>
                    <w:ind w:firstLine="0" w:firstLineChars="0"/>
                    <w:jc w:val="center"/>
                    <w:rPr>
                      <w:rFonts w:hint="eastAsia" w:ascii="宋体" w:hAnsi="宋体" w:cs="Times New Roman"/>
                      <w:sz w:val="21"/>
                      <w:szCs w:val="21"/>
                    </w:rPr>
                  </w:pPr>
                  <w:r>
                    <w:rPr>
                      <w:rFonts w:ascii="宋体" w:hAnsi="宋体" w:cs="仿宋"/>
                      <w:sz w:val="21"/>
                      <w:szCs w:val="21"/>
                    </w:rPr>
                    <w:t>巴河-巴州区-金碑-控制单元</w:t>
                  </w:r>
                </w:p>
              </w:tc>
              <w:tc>
                <w:tcPr>
                  <w:tcW w:w="611" w:type="dxa"/>
                  <w:vMerge w:val="continue"/>
                  <w:vAlign w:val="center"/>
                </w:tcPr>
                <w:p w14:paraId="5BEA453B">
                  <w:pPr>
                    <w:adjustRightInd w:val="0"/>
                    <w:snapToGrid w:val="0"/>
                    <w:spacing w:line="240" w:lineRule="auto"/>
                    <w:ind w:firstLine="0" w:firstLineChars="0"/>
                    <w:jc w:val="center"/>
                    <w:rPr>
                      <w:rFonts w:hint="eastAsia" w:ascii="宋体" w:hAnsi="宋体" w:cs="Times New Roman"/>
                      <w:sz w:val="21"/>
                      <w:szCs w:val="21"/>
                    </w:rPr>
                  </w:pPr>
                </w:p>
              </w:tc>
              <w:tc>
                <w:tcPr>
                  <w:tcW w:w="691" w:type="dxa"/>
                  <w:vAlign w:val="center"/>
                </w:tcPr>
                <w:p w14:paraId="456EC139">
                  <w:pPr>
                    <w:adjustRightInd w:val="0"/>
                    <w:snapToGrid w:val="0"/>
                    <w:spacing w:line="240" w:lineRule="auto"/>
                    <w:ind w:firstLine="0" w:firstLineChars="0"/>
                    <w:jc w:val="center"/>
                    <w:rPr>
                      <w:rFonts w:hint="eastAsia" w:ascii="宋体" w:hAnsi="宋体" w:cs="Times New Roman"/>
                      <w:sz w:val="21"/>
                      <w:szCs w:val="21"/>
                    </w:rPr>
                  </w:pPr>
                  <w:r>
                    <w:rPr>
                      <w:rFonts w:ascii="宋体" w:hAnsi="宋体" w:cs="Times New Roman"/>
                      <w:sz w:val="21"/>
                      <w:szCs w:val="21"/>
                    </w:rPr>
                    <w:t>空间布局约束</w:t>
                  </w:r>
                </w:p>
              </w:tc>
              <w:tc>
                <w:tcPr>
                  <w:tcW w:w="7899" w:type="dxa"/>
                  <w:vAlign w:val="center"/>
                </w:tcPr>
                <w:p w14:paraId="44F78AEA">
                  <w:pPr>
                    <w:adjustRightInd w:val="0"/>
                    <w:snapToGrid w:val="0"/>
                    <w:spacing w:line="240" w:lineRule="auto"/>
                    <w:ind w:firstLine="0" w:firstLineChars="0"/>
                    <w:rPr>
                      <w:rFonts w:hint="eastAsia" w:ascii="宋体" w:hAnsi="宋体"/>
                      <w:sz w:val="21"/>
                      <w:szCs w:val="21"/>
                    </w:rPr>
                  </w:pPr>
                  <w:r>
                    <w:rPr>
                      <w:rFonts w:ascii="宋体" w:hAnsi="宋体" w:cs="仿宋"/>
                      <w:sz w:val="21"/>
                      <w:szCs w:val="21"/>
                    </w:rPr>
                    <w:t>【限制开发建设活动的要求】</w:t>
                  </w:r>
                </w:p>
                <w:p w14:paraId="6798F95D">
                  <w:pPr>
                    <w:autoSpaceDE w:val="0"/>
                    <w:autoSpaceDN w:val="0"/>
                    <w:adjustRightInd w:val="0"/>
                    <w:snapToGrid w:val="0"/>
                    <w:spacing w:line="240" w:lineRule="auto"/>
                    <w:ind w:firstLine="0" w:firstLineChars="0"/>
                    <w:rPr>
                      <w:rFonts w:hint="eastAsia" w:ascii="宋体" w:hAnsi="宋体" w:cs="Times New Roman"/>
                      <w:kern w:val="0"/>
                      <w:sz w:val="21"/>
                      <w:szCs w:val="21"/>
                    </w:rPr>
                  </w:pPr>
                  <w:r>
                    <w:rPr>
                      <w:rFonts w:ascii="宋体" w:hAnsi="宋体" w:cs="仿宋"/>
                      <w:sz w:val="21"/>
                      <w:szCs w:val="21"/>
                    </w:rPr>
                    <w:t>严控磷铵、黄磷等产业违规新增产能。加快退出不符合产业政策和环保要求、不满足安全生产条件的涉磷企业。</w:t>
                  </w:r>
                </w:p>
              </w:tc>
              <w:tc>
                <w:tcPr>
                  <w:tcW w:w="2757" w:type="dxa"/>
                  <w:vAlign w:val="center"/>
                </w:tcPr>
                <w:p w14:paraId="72A35420">
                  <w:pPr>
                    <w:adjustRightInd w:val="0"/>
                    <w:snapToGrid w:val="0"/>
                    <w:spacing w:line="240" w:lineRule="auto"/>
                    <w:ind w:firstLine="0" w:firstLineChars="0"/>
                    <w:rPr>
                      <w:rFonts w:hint="eastAsia" w:ascii="宋体" w:hAnsi="宋体" w:cs="宋体"/>
                      <w:kern w:val="0"/>
                      <w:sz w:val="21"/>
                      <w:szCs w:val="21"/>
                    </w:rPr>
                  </w:pPr>
                  <w:r>
                    <w:rPr>
                      <w:rFonts w:hint="eastAsia" w:ascii="宋体" w:hAnsi="宋体" w:cs="宋体"/>
                      <w:kern w:val="0"/>
                      <w:sz w:val="21"/>
                      <w:szCs w:val="21"/>
                    </w:rPr>
                    <w:t>本</w:t>
                  </w:r>
                  <w:r>
                    <w:rPr>
                      <w:rFonts w:hint="eastAsia" w:ascii="宋体" w:hAnsi="宋体" w:cs="Times New Roman"/>
                      <w:bCs/>
                      <w:sz w:val="21"/>
                      <w:szCs w:val="21"/>
                    </w:rPr>
                    <w:t>项目不是</w:t>
                  </w:r>
                  <w:r>
                    <w:rPr>
                      <w:rFonts w:ascii="宋体" w:hAnsi="宋体" w:cs="Times New Roman"/>
                      <w:bCs/>
                      <w:sz w:val="21"/>
                      <w:szCs w:val="21"/>
                    </w:rPr>
                    <w:t>涉磷企业</w:t>
                  </w:r>
                </w:p>
              </w:tc>
              <w:tc>
                <w:tcPr>
                  <w:tcW w:w="837" w:type="dxa"/>
                  <w:vAlign w:val="center"/>
                </w:tcPr>
                <w:p w14:paraId="7EDF4CAD">
                  <w:pPr>
                    <w:adjustRightInd w:val="0"/>
                    <w:snapToGrid w:val="0"/>
                    <w:spacing w:line="240" w:lineRule="auto"/>
                    <w:ind w:firstLine="0" w:firstLineChars="0"/>
                    <w:jc w:val="center"/>
                    <w:rPr>
                      <w:rFonts w:hint="eastAsia" w:ascii="宋体" w:hAnsi="宋体" w:cs="Times New Roman"/>
                      <w:sz w:val="21"/>
                      <w:szCs w:val="21"/>
                    </w:rPr>
                  </w:pPr>
                  <w:r>
                    <w:rPr>
                      <w:rFonts w:hint="eastAsia" w:ascii="宋体" w:hAnsi="宋体" w:cs="Times New Roman"/>
                      <w:sz w:val="21"/>
                      <w:szCs w:val="21"/>
                    </w:rPr>
                    <w:t>符合</w:t>
                  </w:r>
                </w:p>
              </w:tc>
            </w:tr>
            <w:tr w14:paraId="3B073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 w:hRule="atLeast"/>
              </w:trPr>
              <w:tc>
                <w:tcPr>
                  <w:tcW w:w="1765" w:type="dxa"/>
                  <w:vMerge w:val="continue"/>
                  <w:vAlign w:val="center"/>
                </w:tcPr>
                <w:p w14:paraId="6CBB3EDD">
                  <w:pPr>
                    <w:adjustRightInd w:val="0"/>
                    <w:snapToGrid w:val="0"/>
                    <w:spacing w:line="240" w:lineRule="auto"/>
                    <w:ind w:firstLine="0" w:firstLineChars="0"/>
                    <w:jc w:val="center"/>
                    <w:rPr>
                      <w:rFonts w:hint="eastAsia" w:ascii="宋体" w:hAnsi="宋体" w:cs="Times New Roman"/>
                      <w:sz w:val="21"/>
                      <w:szCs w:val="21"/>
                    </w:rPr>
                  </w:pPr>
                </w:p>
              </w:tc>
              <w:tc>
                <w:tcPr>
                  <w:tcW w:w="611" w:type="dxa"/>
                  <w:vMerge w:val="continue"/>
                  <w:vAlign w:val="center"/>
                </w:tcPr>
                <w:p w14:paraId="66678BFC">
                  <w:pPr>
                    <w:adjustRightInd w:val="0"/>
                    <w:snapToGrid w:val="0"/>
                    <w:spacing w:line="240" w:lineRule="auto"/>
                    <w:ind w:firstLine="0" w:firstLineChars="0"/>
                    <w:jc w:val="center"/>
                    <w:rPr>
                      <w:rFonts w:hint="eastAsia" w:ascii="宋体" w:hAnsi="宋体" w:cs="Times New Roman"/>
                      <w:sz w:val="21"/>
                      <w:szCs w:val="21"/>
                    </w:rPr>
                  </w:pPr>
                </w:p>
              </w:tc>
              <w:tc>
                <w:tcPr>
                  <w:tcW w:w="691" w:type="dxa"/>
                  <w:vAlign w:val="center"/>
                </w:tcPr>
                <w:p w14:paraId="2D722B5F">
                  <w:pPr>
                    <w:adjustRightInd w:val="0"/>
                    <w:snapToGrid w:val="0"/>
                    <w:spacing w:line="240" w:lineRule="auto"/>
                    <w:ind w:firstLine="0" w:firstLineChars="0"/>
                    <w:jc w:val="center"/>
                    <w:rPr>
                      <w:rFonts w:hint="eastAsia" w:ascii="宋体" w:hAnsi="宋体" w:cs="Times New Roman"/>
                      <w:sz w:val="21"/>
                      <w:szCs w:val="21"/>
                    </w:rPr>
                  </w:pPr>
                  <w:r>
                    <w:rPr>
                      <w:rFonts w:ascii="宋体" w:hAnsi="宋体" w:cs="Times New Roman"/>
                      <w:sz w:val="21"/>
                      <w:szCs w:val="21"/>
                    </w:rPr>
                    <w:t>污染物排放管控</w:t>
                  </w:r>
                </w:p>
              </w:tc>
              <w:tc>
                <w:tcPr>
                  <w:tcW w:w="7899" w:type="dxa"/>
                  <w:vAlign w:val="center"/>
                </w:tcPr>
                <w:p w14:paraId="0FF6B9C6">
                  <w:pPr>
                    <w:adjustRightInd w:val="0"/>
                    <w:snapToGrid w:val="0"/>
                    <w:spacing w:line="240" w:lineRule="auto"/>
                    <w:ind w:firstLine="0" w:firstLineChars="0"/>
                    <w:rPr>
                      <w:rFonts w:hint="eastAsia" w:ascii="宋体" w:hAnsi="宋体"/>
                      <w:sz w:val="21"/>
                      <w:szCs w:val="21"/>
                    </w:rPr>
                  </w:pPr>
                  <w:r>
                    <w:rPr>
                      <w:rFonts w:ascii="宋体" w:hAnsi="宋体" w:cs="仿宋"/>
                      <w:sz w:val="21"/>
                      <w:szCs w:val="21"/>
                    </w:rPr>
                    <w:t>【新增源等量或倍量替代】</w:t>
                  </w:r>
                </w:p>
                <w:p w14:paraId="0741A7BE">
                  <w:pPr>
                    <w:autoSpaceDE w:val="0"/>
                    <w:autoSpaceDN w:val="0"/>
                    <w:adjustRightInd w:val="0"/>
                    <w:snapToGrid w:val="0"/>
                    <w:spacing w:line="240" w:lineRule="auto"/>
                    <w:ind w:firstLine="0" w:firstLineChars="0"/>
                    <w:rPr>
                      <w:rFonts w:hint="eastAsia" w:ascii="宋体" w:hAnsi="宋体" w:cs="Times New Roman"/>
                      <w:kern w:val="0"/>
                      <w:sz w:val="21"/>
                      <w:szCs w:val="21"/>
                    </w:rPr>
                  </w:pPr>
                  <w:r>
                    <w:rPr>
                      <w:rFonts w:ascii="宋体" w:hAnsi="宋体" w:cs="仿宋"/>
                      <w:sz w:val="21"/>
                      <w:szCs w:val="21"/>
                    </w:rPr>
                    <w:t>1、深入实施工业企业污水处理设施升级改造，全面实现工业废水达标排放。2、强化工业集聚区污水治理，推进工业污水集中处理设施及配套收集系统建设与提标升级改造，大力推进现有污水收集、处理设施问题排查及整治；完善园区及企业雨污分流系统，全面推进医药、化工等行业初期雨水收集处理，推动有条件的园区实施入园企业“一企一管、明管输送、实时监测”。3、加强工业园区集中污水处理设施运行监管，强企业废水预处理和排水管理，鼓励纳管企业与园区污水处理厂运营单位通过签订委托处理合同等方式协同处理废水。4、加强新化学物质环境管理，严格执行《新化学物质环境管理登记办法》,落实企业新化学物质环境风险防控主体责任。落实国家《优先控制化学品名录（第一批）》《优先控制化学品名录（第二批）》《重点管控新污染物清单（2023年版）》环境风险管控措施。</w:t>
                  </w:r>
                </w:p>
              </w:tc>
              <w:tc>
                <w:tcPr>
                  <w:tcW w:w="2757" w:type="dxa"/>
                  <w:vAlign w:val="center"/>
                </w:tcPr>
                <w:p w14:paraId="7CCCCA15">
                  <w:pPr>
                    <w:adjustRightInd w:val="0"/>
                    <w:snapToGrid w:val="0"/>
                    <w:spacing w:line="240" w:lineRule="auto"/>
                    <w:ind w:firstLine="0" w:firstLineChars="0"/>
                    <w:rPr>
                      <w:rFonts w:hint="eastAsia" w:ascii="宋体" w:hAnsi="宋体" w:cs="Times New Roman"/>
                      <w:sz w:val="21"/>
                      <w:szCs w:val="21"/>
                    </w:rPr>
                  </w:pPr>
                  <w:r>
                    <w:rPr>
                      <w:rFonts w:hint="eastAsia" w:ascii="宋体" w:hAnsi="宋体" w:cs="Times New Roman"/>
                      <w:bCs/>
                      <w:sz w:val="21"/>
                      <w:szCs w:val="21"/>
                    </w:rPr>
                    <w:t>本次改扩建项目无生产废水产生；仅有员工生活污水排放。污水能纳入工业园区污水管网系统</w:t>
                  </w:r>
                </w:p>
              </w:tc>
              <w:tc>
                <w:tcPr>
                  <w:tcW w:w="837" w:type="dxa"/>
                  <w:vAlign w:val="center"/>
                </w:tcPr>
                <w:p w14:paraId="57719252">
                  <w:pPr>
                    <w:adjustRightInd w:val="0"/>
                    <w:snapToGrid w:val="0"/>
                    <w:spacing w:line="240" w:lineRule="auto"/>
                    <w:ind w:firstLine="0" w:firstLineChars="0"/>
                    <w:jc w:val="center"/>
                    <w:rPr>
                      <w:rFonts w:hint="eastAsia" w:ascii="宋体" w:hAnsi="宋体" w:cs="Times New Roman"/>
                      <w:sz w:val="21"/>
                      <w:szCs w:val="21"/>
                    </w:rPr>
                  </w:pPr>
                  <w:r>
                    <w:rPr>
                      <w:rFonts w:hint="eastAsia" w:ascii="宋体" w:hAnsi="宋体" w:cs="Times New Roman"/>
                      <w:sz w:val="21"/>
                      <w:szCs w:val="21"/>
                    </w:rPr>
                    <w:t>符合</w:t>
                  </w:r>
                </w:p>
              </w:tc>
            </w:tr>
            <w:tr w14:paraId="7B8BA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 w:hRule="atLeast"/>
              </w:trPr>
              <w:tc>
                <w:tcPr>
                  <w:tcW w:w="1765" w:type="dxa"/>
                  <w:vAlign w:val="center"/>
                </w:tcPr>
                <w:p w14:paraId="1EB03CAE">
                  <w:pPr>
                    <w:adjustRightInd w:val="0"/>
                    <w:snapToGrid w:val="0"/>
                    <w:spacing w:line="240" w:lineRule="auto"/>
                    <w:ind w:firstLine="0" w:firstLineChars="0"/>
                    <w:jc w:val="center"/>
                    <w:rPr>
                      <w:rFonts w:hint="eastAsia" w:ascii="宋体" w:hAnsi="宋体" w:cs="Times New Roman"/>
                      <w:sz w:val="21"/>
                      <w:szCs w:val="21"/>
                    </w:rPr>
                  </w:pPr>
                  <w:r>
                    <w:rPr>
                      <w:rFonts w:ascii="宋体" w:hAnsi="宋体" w:cs="仿宋"/>
                      <w:sz w:val="21"/>
                      <w:szCs w:val="21"/>
                    </w:rPr>
                    <w:t>YS5119022550001巴州区自然资源重点管控区</w:t>
                  </w:r>
                </w:p>
              </w:tc>
              <w:tc>
                <w:tcPr>
                  <w:tcW w:w="611" w:type="dxa"/>
                  <w:vMerge w:val="continue"/>
                  <w:vAlign w:val="center"/>
                </w:tcPr>
                <w:p w14:paraId="6A149109">
                  <w:pPr>
                    <w:adjustRightInd w:val="0"/>
                    <w:snapToGrid w:val="0"/>
                    <w:spacing w:line="240" w:lineRule="auto"/>
                    <w:ind w:firstLine="0" w:firstLineChars="0"/>
                    <w:jc w:val="center"/>
                    <w:rPr>
                      <w:rFonts w:hint="eastAsia" w:ascii="宋体" w:hAnsi="宋体" w:cs="Times New Roman"/>
                      <w:sz w:val="21"/>
                      <w:szCs w:val="21"/>
                    </w:rPr>
                  </w:pPr>
                </w:p>
              </w:tc>
              <w:tc>
                <w:tcPr>
                  <w:tcW w:w="8590" w:type="dxa"/>
                  <w:gridSpan w:val="2"/>
                  <w:vAlign w:val="center"/>
                </w:tcPr>
                <w:p w14:paraId="320CFE75">
                  <w:pPr>
                    <w:adjustRightInd w:val="0"/>
                    <w:snapToGrid w:val="0"/>
                    <w:spacing w:line="240" w:lineRule="auto"/>
                    <w:ind w:firstLine="0" w:firstLineChars="0"/>
                    <w:rPr>
                      <w:rFonts w:hint="eastAsia" w:ascii="宋体" w:hAnsi="宋体" w:cs="Times New Roman"/>
                      <w:sz w:val="21"/>
                      <w:szCs w:val="21"/>
                    </w:rPr>
                  </w:pPr>
                  <w:r>
                    <w:rPr>
                      <w:rFonts w:ascii="宋体" w:hAnsi="宋体" w:cs="仿宋"/>
                      <w:sz w:val="21"/>
                      <w:szCs w:val="21"/>
                    </w:rPr>
                    <w:t>空间布局约束</w:t>
                  </w:r>
                  <w:r>
                    <w:rPr>
                      <w:rFonts w:hint="eastAsia" w:ascii="宋体" w:hAnsi="宋体" w:cs="Times New Roman"/>
                      <w:sz w:val="21"/>
                      <w:szCs w:val="21"/>
                    </w:rPr>
                    <w:t>：暂无；</w:t>
                  </w:r>
                  <w:r>
                    <w:rPr>
                      <w:rFonts w:ascii="宋体" w:hAnsi="宋体" w:cs="仿宋"/>
                      <w:sz w:val="21"/>
                      <w:szCs w:val="21"/>
                    </w:rPr>
                    <w:t>污染物排放管控</w:t>
                  </w:r>
                  <w:r>
                    <w:rPr>
                      <w:rFonts w:hint="eastAsia" w:ascii="宋体" w:hAnsi="宋体" w:cs="Times New Roman"/>
                      <w:sz w:val="21"/>
                      <w:szCs w:val="21"/>
                    </w:rPr>
                    <w:t>：暂无；</w:t>
                  </w:r>
                  <w:r>
                    <w:rPr>
                      <w:rFonts w:ascii="宋体" w:hAnsi="宋体" w:cs="仿宋"/>
                      <w:sz w:val="21"/>
                      <w:szCs w:val="21"/>
                    </w:rPr>
                    <w:t>环境风险防控</w:t>
                  </w:r>
                  <w:r>
                    <w:rPr>
                      <w:rFonts w:hint="eastAsia" w:ascii="宋体" w:hAnsi="宋体" w:cs="Times New Roman"/>
                      <w:sz w:val="21"/>
                      <w:szCs w:val="21"/>
                    </w:rPr>
                    <w:t>：暂无</w:t>
                  </w:r>
                </w:p>
                <w:p w14:paraId="378A8F78">
                  <w:pPr>
                    <w:adjustRightInd w:val="0"/>
                    <w:snapToGrid w:val="0"/>
                    <w:spacing w:line="240" w:lineRule="auto"/>
                    <w:ind w:firstLine="0" w:firstLineChars="0"/>
                    <w:rPr>
                      <w:rFonts w:hint="eastAsia" w:ascii="宋体" w:hAnsi="宋体"/>
                      <w:sz w:val="21"/>
                      <w:szCs w:val="21"/>
                    </w:rPr>
                  </w:pPr>
                  <w:r>
                    <w:rPr>
                      <w:rFonts w:ascii="宋体" w:hAnsi="宋体" w:cs="仿宋"/>
                      <w:sz w:val="21"/>
                      <w:szCs w:val="21"/>
                    </w:rPr>
                    <w:t>【污染地块管控要求】</w:t>
                  </w:r>
                </w:p>
                <w:p w14:paraId="59AEB493">
                  <w:pPr>
                    <w:adjustRightInd w:val="0"/>
                    <w:snapToGrid w:val="0"/>
                    <w:spacing w:line="240" w:lineRule="auto"/>
                    <w:ind w:firstLine="0" w:firstLineChars="0"/>
                    <w:rPr>
                      <w:rFonts w:hint="eastAsia" w:ascii="宋体" w:hAnsi="宋体" w:cs="仿宋"/>
                      <w:sz w:val="21"/>
                      <w:szCs w:val="21"/>
                    </w:rPr>
                  </w:pPr>
                  <w:r>
                    <w:rPr>
                      <w:rFonts w:ascii="宋体" w:hAnsi="宋体" w:cs="仿宋"/>
                      <w:sz w:val="21"/>
                      <w:szCs w:val="21"/>
                    </w:rPr>
                    <w:t>土地资源开发利用量不得超过土地资源利用上线控制性指标。</w:t>
                  </w:r>
                </w:p>
                <w:p w14:paraId="1E525E45">
                  <w:pPr>
                    <w:adjustRightInd w:val="0"/>
                    <w:snapToGrid w:val="0"/>
                    <w:spacing w:line="240" w:lineRule="auto"/>
                    <w:ind w:firstLine="0" w:firstLineChars="0"/>
                    <w:rPr>
                      <w:rFonts w:hint="eastAsia" w:ascii="宋体" w:hAnsi="宋体" w:cs="仿宋"/>
                      <w:sz w:val="21"/>
                      <w:szCs w:val="21"/>
                    </w:rPr>
                  </w:pPr>
                  <w:r>
                    <w:rPr>
                      <w:rFonts w:ascii="宋体" w:hAnsi="宋体" w:cs="仿宋"/>
                      <w:sz w:val="21"/>
                      <w:szCs w:val="21"/>
                    </w:rPr>
                    <w:t>资源开发利用效率要求</w:t>
                  </w:r>
                  <w:r>
                    <w:rPr>
                      <w:rFonts w:hint="eastAsia" w:ascii="宋体" w:hAnsi="宋体" w:cs="Times New Roman"/>
                      <w:sz w:val="21"/>
                      <w:szCs w:val="21"/>
                    </w:rPr>
                    <w:t>：</w:t>
                  </w:r>
                  <w:r>
                    <w:rPr>
                      <w:rFonts w:hint="eastAsia" w:ascii="宋体" w:hAnsi="宋体" w:cs="仿宋"/>
                      <w:sz w:val="21"/>
                      <w:szCs w:val="21"/>
                    </w:rPr>
                    <w:t>暂无</w:t>
                  </w:r>
                </w:p>
              </w:tc>
              <w:tc>
                <w:tcPr>
                  <w:tcW w:w="2757" w:type="dxa"/>
                  <w:vAlign w:val="center"/>
                </w:tcPr>
                <w:p w14:paraId="58F74200">
                  <w:pPr>
                    <w:adjustRightInd w:val="0"/>
                    <w:snapToGrid w:val="0"/>
                    <w:spacing w:line="240" w:lineRule="auto"/>
                    <w:ind w:firstLine="0" w:firstLineChars="0"/>
                    <w:jc w:val="center"/>
                    <w:rPr>
                      <w:rFonts w:hint="eastAsia" w:ascii="宋体" w:hAnsi="宋体" w:cs="宋体"/>
                      <w:kern w:val="0"/>
                      <w:sz w:val="21"/>
                      <w:szCs w:val="21"/>
                    </w:rPr>
                  </w:pPr>
                  <w:r>
                    <w:rPr>
                      <w:rFonts w:hint="eastAsia" w:ascii="宋体" w:hAnsi="宋体" w:cs="宋体"/>
                      <w:kern w:val="0"/>
                      <w:sz w:val="21"/>
                      <w:szCs w:val="21"/>
                    </w:rPr>
                    <w:t>本次扩建不新占土地</w:t>
                  </w:r>
                </w:p>
              </w:tc>
              <w:tc>
                <w:tcPr>
                  <w:tcW w:w="837" w:type="dxa"/>
                  <w:vAlign w:val="center"/>
                </w:tcPr>
                <w:p w14:paraId="20ABD80A">
                  <w:pPr>
                    <w:adjustRightInd w:val="0"/>
                    <w:snapToGrid w:val="0"/>
                    <w:spacing w:line="240" w:lineRule="auto"/>
                    <w:ind w:firstLine="0" w:firstLineChars="0"/>
                    <w:jc w:val="center"/>
                    <w:rPr>
                      <w:rFonts w:hint="eastAsia" w:ascii="宋体" w:hAnsi="宋体" w:cs="Times New Roman"/>
                      <w:sz w:val="21"/>
                      <w:szCs w:val="21"/>
                    </w:rPr>
                  </w:pPr>
                  <w:r>
                    <w:rPr>
                      <w:rFonts w:hint="eastAsia" w:ascii="宋体" w:hAnsi="宋体" w:cs="Times New Roman"/>
                      <w:sz w:val="21"/>
                      <w:szCs w:val="21"/>
                    </w:rPr>
                    <w:t>符合</w:t>
                  </w:r>
                </w:p>
              </w:tc>
            </w:tr>
            <w:tr w14:paraId="6284E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 w:hRule="atLeast"/>
              </w:trPr>
              <w:tc>
                <w:tcPr>
                  <w:tcW w:w="1765" w:type="dxa"/>
                  <w:vAlign w:val="center"/>
                </w:tcPr>
                <w:p w14:paraId="37F3C58F">
                  <w:pPr>
                    <w:adjustRightInd w:val="0"/>
                    <w:snapToGrid w:val="0"/>
                    <w:spacing w:line="240" w:lineRule="auto"/>
                    <w:ind w:firstLine="0" w:firstLineChars="0"/>
                    <w:jc w:val="center"/>
                    <w:rPr>
                      <w:rFonts w:hint="eastAsia" w:ascii="宋体" w:hAnsi="宋体" w:cs="Times New Roman"/>
                      <w:sz w:val="21"/>
                      <w:szCs w:val="21"/>
                    </w:rPr>
                  </w:pPr>
                  <w:r>
                    <w:rPr>
                      <w:rFonts w:ascii="宋体" w:hAnsi="宋体" w:cs="仿宋"/>
                      <w:sz w:val="21"/>
                      <w:szCs w:val="21"/>
                    </w:rPr>
                    <w:t>YS5119022310005四川巴中经开区（核心区块、金堂区块）</w:t>
                  </w:r>
                </w:p>
              </w:tc>
              <w:tc>
                <w:tcPr>
                  <w:tcW w:w="611" w:type="dxa"/>
                  <w:vMerge w:val="continue"/>
                  <w:vAlign w:val="center"/>
                </w:tcPr>
                <w:p w14:paraId="1DEEE23B">
                  <w:pPr>
                    <w:adjustRightInd w:val="0"/>
                    <w:snapToGrid w:val="0"/>
                    <w:spacing w:line="240" w:lineRule="auto"/>
                    <w:ind w:firstLine="0" w:firstLineChars="0"/>
                    <w:jc w:val="center"/>
                    <w:rPr>
                      <w:rFonts w:hint="eastAsia" w:ascii="宋体" w:hAnsi="宋体" w:cs="Times New Roman"/>
                      <w:sz w:val="21"/>
                      <w:szCs w:val="21"/>
                    </w:rPr>
                  </w:pPr>
                </w:p>
              </w:tc>
              <w:tc>
                <w:tcPr>
                  <w:tcW w:w="691" w:type="dxa"/>
                  <w:vAlign w:val="center"/>
                </w:tcPr>
                <w:p w14:paraId="7069BEC2">
                  <w:pPr>
                    <w:adjustRightInd w:val="0"/>
                    <w:snapToGrid w:val="0"/>
                    <w:spacing w:line="240" w:lineRule="auto"/>
                    <w:ind w:firstLine="0" w:firstLineChars="0"/>
                    <w:jc w:val="center"/>
                    <w:rPr>
                      <w:rFonts w:hint="eastAsia" w:ascii="宋体" w:hAnsi="宋体" w:cs="Times New Roman"/>
                      <w:sz w:val="21"/>
                      <w:szCs w:val="21"/>
                    </w:rPr>
                  </w:pPr>
                  <w:r>
                    <w:rPr>
                      <w:rFonts w:ascii="宋体" w:hAnsi="宋体" w:cs="仿宋"/>
                      <w:sz w:val="21"/>
                      <w:szCs w:val="21"/>
                    </w:rPr>
                    <w:t>环境风险防控</w:t>
                  </w:r>
                </w:p>
              </w:tc>
              <w:tc>
                <w:tcPr>
                  <w:tcW w:w="7899" w:type="dxa"/>
                  <w:vAlign w:val="center"/>
                </w:tcPr>
                <w:p w14:paraId="23C803B3">
                  <w:pPr>
                    <w:adjustRightInd w:val="0"/>
                    <w:snapToGrid w:val="0"/>
                    <w:spacing w:line="240" w:lineRule="auto"/>
                    <w:ind w:firstLine="0" w:firstLineChars="0"/>
                    <w:rPr>
                      <w:rFonts w:hint="eastAsia" w:ascii="宋体" w:hAnsi="宋体"/>
                      <w:sz w:val="21"/>
                      <w:szCs w:val="21"/>
                    </w:rPr>
                  </w:pPr>
                  <w:r>
                    <w:rPr>
                      <w:rFonts w:ascii="宋体" w:hAnsi="宋体" w:cs="仿宋"/>
                      <w:sz w:val="21"/>
                      <w:szCs w:val="21"/>
                    </w:rPr>
                    <w:t>【严格管控类农用地管控要求】</w:t>
                  </w:r>
                </w:p>
                <w:p w14:paraId="4B42C12B">
                  <w:pPr>
                    <w:adjustRightInd w:val="0"/>
                    <w:snapToGrid w:val="0"/>
                    <w:spacing w:line="240" w:lineRule="auto"/>
                    <w:ind w:firstLine="0" w:firstLineChars="0"/>
                    <w:rPr>
                      <w:rFonts w:hint="eastAsia" w:ascii="宋体" w:hAnsi="宋体"/>
                      <w:sz w:val="21"/>
                      <w:szCs w:val="21"/>
                    </w:rPr>
                  </w:pPr>
                  <w:r>
                    <w:rPr>
                      <w:rFonts w:ascii="宋体" w:hAnsi="宋体" w:cs="仿宋"/>
                      <w:sz w:val="21"/>
                      <w:szCs w:val="21"/>
                    </w:rPr>
                    <w:t>1、全面淘汰10蒸吨小时及以下燃煤锅炉，原则上不再新建35蒸吨小时及以下的燃煤锅炉，推进县级及以上城市建成区淘汰35蒸吨小时及以下燃煤锅炉，以工业余热、电厂热力、清洁能源等替代煤炭。2、加快推进火电、钢铁、铸造（含烧结、球团、高炉工序）水泥、焦化行业燃煤锅炉和工业炉窑超低排放改造及深度治理。稳步实施陶瓷、玻璃、铁合金、有色、砖瓦等行业企业深度治理，推进工业炉窑煤改电（气）和低氮燃烧改造。全面加强钢铁、建材、有色、焦化、铸造重点行业无组织排放治理。生物质锅炉采用专用锅炉，配套布袋等高效除尘设施，禁止掺烧煤炭、垃圾等其他物料。</w:t>
                  </w:r>
                </w:p>
                <w:p w14:paraId="5AF971FA">
                  <w:pPr>
                    <w:adjustRightInd w:val="0"/>
                    <w:snapToGrid w:val="0"/>
                    <w:spacing w:line="240" w:lineRule="auto"/>
                    <w:ind w:firstLine="0" w:firstLineChars="0"/>
                    <w:rPr>
                      <w:rFonts w:hint="eastAsia" w:ascii="宋体" w:hAnsi="宋体"/>
                      <w:sz w:val="21"/>
                      <w:szCs w:val="21"/>
                    </w:rPr>
                  </w:pPr>
                  <w:r>
                    <w:rPr>
                      <w:rFonts w:ascii="宋体" w:hAnsi="宋体" w:cs="仿宋"/>
                      <w:sz w:val="21"/>
                      <w:szCs w:val="21"/>
                    </w:rPr>
                    <w:t>【企业环境风险防控要求】</w:t>
                  </w:r>
                </w:p>
                <w:p w14:paraId="2E96581E">
                  <w:pPr>
                    <w:adjustRightInd w:val="0"/>
                    <w:snapToGrid w:val="0"/>
                    <w:spacing w:line="240" w:lineRule="auto"/>
                    <w:ind w:firstLine="0" w:firstLineChars="0"/>
                    <w:rPr>
                      <w:rFonts w:hint="eastAsia" w:ascii="宋体" w:hAnsi="宋体" w:cs="仿宋"/>
                      <w:sz w:val="21"/>
                      <w:szCs w:val="21"/>
                    </w:rPr>
                  </w:pPr>
                  <w:r>
                    <w:rPr>
                      <w:rFonts w:ascii="宋体" w:hAnsi="宋体" w:cs="仿宋"/>
                      <w:sz w:val="21"/>
                      <w:szCs w:val="21"/>
                    </w:rPr>
                    <w:t>加快实施低VOCs含量原辅材料替代。持续开展VOCs治理设施提级增效，对采用单一低温等离子、光氧化、光催化以及非水溶性VOCs废气采用单一喷淋吸收等治理技术且无法稳定达标的，加快推进升级改造。强化VOCs无组织排放整治。石化、化工等行业加强非正常工况废气排放管控。推进涉VOCs产业集群治理提升</w:t>
                  </w:r>
                </w:p>
              </w:tc>
              <w:tc>
                <w:tcPr>
                  <w:tcW w:w="2757" w:type="dxa"/>
                  <w:vAlign w:val="center"/>
                </w:tcPr>
                <w:p w14:paraId="58BF37A3">
                  <w:pPr>
                    <w:adjustRightInd w:val="0"/>
                    <w:snapToGrid w:val="0"/>
                    <w:spacing w:line="240" w:lineRule="auto"/>
                    <w:ind w:firstLine="0" w:firstLineChars="0"/>
                    <w:rPr>
                      <w:rFonts w:hint="eastAsia" w:ascii="宋体" w:hAnsi="宋体" w:cs="宋体"/>
                      <w:kern w:val="0"/>
                      <w:sz w:val="21"/>
                      <w:szCs w:val="21"/>
                    </w:rPr>
                  </w:pPr>
                  <w:r>
                    <w:rPr>
                      <w:rFonts w:hint="eastAsia" w:ascii="宋体" w:hAnsi="宋体" w:cs="宋体"/>
                      <w:kern w:val="0"/>
                      <w:sz w:val="21"/>
                      <w:szCs w:val="21"/>
                    </w:rPr>
                    <w:t>本项目不使用</w:t>
                  </w:r>
                  <w:r>
                    <w:rPr>
                      <w:rFonts w:ascii="宋体" w:hAnsi="宋体" w:cs="仿宋"/>
                      <w:sz w:val="21"/>
                      <w:szCs w:val="21"/>
                    </w:rPr>
                    <w:t>燃煤锅炉</w:t>
                  </w:r>
                  <w:r>
                    <w:rPr>
                      <w:rFonts w:hint="eastAsia" w:ascii="宋体" w:hAnsi="宋体" w:cs="仿宋"/>
                      <w:sz w:val="21"/>
                      <w:szCs w:val="21"/>
                    </w:rPr>
                    <w:t>，使用天然气清洁能源和电能；使用的三聚氰胺浸渍纸加热后甲醛和</w:t>
                  </w:r>
                  <w:r>
                    <w:rPr>
                      <w:rFonts w:ascii="宋体" w:hAnsi="宋体" w:cs="仿宋"/>
                      <w:sz w:val="21"/>
                      <w:szCs w:val="21"/>
                    </w:rPr>
                    <w:t>VOCs含量</w:t>
                  </w:r>
                  <w:r>
                    <w:rPr>
                      <w:rFonts w:hint="eastAsia" w:ascii="宋体" w:hAnsi="宋体" w:cs="仿宋"/>
                      <w:sz w:val="21"/>
                      <w:szCs w:val="21"/>
                    </w:rPr>
                    <w:t>低，排放的低甲醛、</w:t>
                  </w:r>
                  <w:r>
                    <w:rPr>
                      <w:rFonts w:ascii="宋体" w:hAnsi="宋体" w:cs="仿宋"/>
                      <w:sz w:val="21"/>
                      <w:szCs w:val="21"/>
                    </w:rPr>
                    <w:t>VOCs</w:t>
                  </w:r>
                  <w:r>
                    <w:rPr>
                      <w:rFonts w:hint="eastAsia" w:ascii="宋体" w:hAnsi="宋体" w:cs="仿宋"/>
                      <w:sz w:val="21"/>
                      <w:szCs w:val="21"/>
                    </w:rPr>
                    <w:t>废气经收集后由活性炭装置处理后达标排放</w:t>
                  </w:r>
                </w:p>
              </w:tc>
              <w:tc>
                <w:tcPr>
                  <w:tcW w:w="837" w:type="dxa"/>
                  <w:vAlign w:val="center"/>
                </w:tcPr>
                <w:p w14:paraId="3AC63FA8">
                  <w:pPr>
                    <w:adjustRightInd w:val="0"/>
                    <w:snapToGrid w:val="0"/>
                    <w:spacing w:line="240" w:lineRule="auto"/>
                    <w:ind w:firstLine="0" w:firstLineChars="0"/>
                    <w:jc w:val="center"/>
                    <w:rPr>
                      <w:rFonts w:hint="eastAsia" w:ascii="宋体" w:hAnsi="宋体" w:cs="Times New Roman"/>
                      <w:sz w:val="21"/>
                      <w:szCs w:val="21"/>
                    </w:rPr>
                  </w:pPr>
                  <w:r>
                    <w:rPr>
                      <w:rFonts w:hint="eastAsia" w:ascii="宋体" w:hAnsi="宋体" w:cs="Times New Roman"/>
                      <w:sz w:val="21"/>
                      <w:szCs w:val="21"/>
                    </w:rPr>
                    <w:t>符合</w:t>
                  </w:r>
                </w:p>
              </w:tc>
            </w:tr>
            <w:tr w14:paraId="1BC55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 w:hRule="atLeast"/>
              </w:trPr>
              <w:tc>
                <w:tcPr>
                  <w:tcW w:w="1765" w:type="dxa"/>
                  <w:vMerge w:val="restart"/>
                  <w:vAlign w:val="center"/>
                </w:tcPr>
                <w:p w14:paraId="1FE7835E">
                  <w:pPr>
                    <w:adjustRightInd w:val="0"/>
                    <w:snapToGrid w:val="0"/>
                    <w:spacing w:line="240" w:lineRule="auto"/>
                    <w:ind w:firstLine="0" w:firstLineChars="0"/>
                    <w:jc w:val="center"/>
                    <w:rPr>
                      <w:rFonts w:hint="eastAsia" w:ascii="宋体" w:hAnsi="宋体" w:cs="Times New Roman"/>
                      <w:sz w:val="21"/>
                      <w:szCs w:val="21"/>
                    </w:rPr>
                  </w:pPr>
                  <w:r>
                    <w:rPr>
                      <w:rFonts w:ascii="宋体" w:hAnsi="宋体" w:cs="仿宋"/>
                      <w:sz w:val="21"/>
                      <w:szCs w:val="21"/>
                    </w:rPr>
                    <w:t>YS5119022530001巴州区城镇开发边界</w:t>
                  </w:r>
                </w:p>
              </w:tc>
              <w:tc>
                <w:tcPr>
                  <w:tcW w:w="611" w:type="dxa"/>
                  <w:vMerge w:val="continue"/>
                  <w:vAlign w:val="center"/>
                </w:tcPr>
                <w:p w14:paraId="0FA76F63">
                  <w:pPr>
                    <w:adjustRightInd w:val="0"/>
                    <w:snapToGrid w:val="0"/>
                    <w:spacing w:line="240" w:lineRule="auto"/>
                    <w:ind w:firstLine="0" w:firstLineChars="0"/>
                    <w:jc w:val="center"/>
                    <w:rPr>
                      <w:rFonts w:hint="eastAsia" w:ascii="宋体" w:hAnsi="宋体" w:cs="Times New Roman"/>
                      <w:sz w:val="21"/>
                      <w:szCs w:val="21"/>
                    </w:rPr>
                  </w:pPr>
                </w:p>
              </w:tc>
              <w:tc>
                <w:tcPr>
                  <w:tcW w:w="691" w:type="dxa"/>
                  <w:vAlign w:val="center"/>
                </w:tcPr>
                <w:p w14:paraId="2568F252">
                  <w:pPr>
                    <w:adjustRightInd w:val="0"/>
                    <w:snapToGrid w:val="0"/>
                    <w:spacing w:line="240" w:lineRule="auto"/>
                    <w:ind w:firstLine="0" w:firstLineChars="0"/>
                    <w:jc w:val="center"/>
                    <w:rPr>
                      <w:rFonts w:hint="eastAsia" w:ascii="宋体" w:hAnsi="宋体" w:cs="Times New Roman"/>
                      <w:sz w:val="21"/>
                      <w:szCs w:val="21"/>
                    </w:rPr>
                  </w:pPr>
                  <w:r>
                    <w:rPr>
                      <w:rFonts w:ascii="宋体" w:hAnsi="宋体" w:cs="仿宋"/>
                      <w:sz w:val="21"/>
                      <w:szCs w:val="21"/>
                    </w:rPr>
                    <w:t>空间布局约束</w:t>
                  </w:r>
                </w:p>
              </w:tc>
              <w:tc>
                <w:tcPr>
                  <w:tcW w:w="7899" w:type="dxa"/>
                  <w:vAlign w:val="center"/>
                </w:tcPr>
                <w:p w14:paraId="462506F6">
                  <w:pPr>
                    <w:adjustRightInd w:val="0"/>
                    <w:snapToGrid w:val="0"/>
                    <w:spacing w:line="240" w:lineRule="auto"/>
                    <w:ind w:firstLine="0" w:firstLineChars="0"/>
                    <w:rPr>
                      <w:rFonts w:hint="eastAsia" w:ascii="宋体" w:hAnsi="宋体"/>
                      <w:sz w:val="21"/>
                      <w:szCs w:val="21"/>
                    </w:rPr>
                  </w:pPr>
                  <w:r>
                    <w:rPr>
                      <w:rFonts w:ascii="宋体" w:hAnsi="宋体" w:cs="仿宋"/>
                      <w:sz w:val="21"/>
                      <w:szCs w:val="21"/>
                    </w:rPr>
                    <w:t>【禁止开发建设活动的要求】</w:t>
                  </w:r>
                </w:p>
                <w:p w14:paraId="1588D6AC">
                  <w:pPr>
                    <w:adjustRightInd w:val="0"/>
                    <w:snapToGrid w:val="0"/>
                    <w:spacing w:line="240" w:lineRule="auto"/>
                    <w:ind w:firstLine="0" w:firstLineChars="0"/>
                    <w:rPr>
                      <w:rFonts w:hint="eastAsia" w:ascii="宋体" w:hAnsi="宋体" w:cs="仿宋"/>
                      <w:sz w:val="21"/>
                      <w:szCs w:val="21"/>
                    </w:rPr>
                  </w:pPr>
                  <w:r>
                    <w:rPr>
                      <w:rFonts w:ascii="宋体" w:hAnsi="宋体" w:cs="仿宋"/>
                      <w:sz w:val="21"/>
                      <w:szCs w:val="21"/>
                    </w:rPr>
                    <w:t>1.以城镇开发建设现状为基础，综合考虑资源承载能力、人口分布、经济布局、城乡统筹、城镇无序蔓延。科学预留一定比例的留白区，为未来发展留有开发空间。城镇建设和发展不得违法违规侵占河道、湖面、滩地。2.城镇开发边界调整报国土空间规划原审批机关审批。</w:t>
                  </w:r>
                </w:p>
              </w:tc>
              <w:tc>
                <w:tcPr>
                  <w:tcW w:w="2757" w:type="dxa"/>
                  <w:vAlign w:val="center"/>
                </w:tcPr>
                <w:p w14:paraId="3DA04D04">
                  <w:pPr>
                    <w:adjustRightInd w:val="0"/>
                    <w:snapToGrid w:val="0"/>
                    <w:spacing w:line="240" w:lineRule="auto"/>
                    <w:ind w:firstLine="0" w:firstLineChars="0"/>
                    <w:rPr>
                      <w:rFonts w:hint="eastAsia" w:ascii="宋体" w:hAnsi="宋体" w:cs="宋体"/>
                      <w:kern w:val="0"/>
                      <w:sz w:val="21"/>
                      <w:szCs w:val="21"/>
                    </w:rPr>
                  </w:pPr>
                  <w:r>
                    <w:rPr>
                      <w:rFonts w:hint="eastAsia" w:ascii="宋体" w:hAnsi="宋体" w:cs="宋体"/>
                      <w:kern w:val="0"/>
                      <w:sz w:val="21"/>
                      <w:szCs w:val="21"/>
                    </w:rPr>
                    <w:t>本项目不侵占河道、湖面、滩地</w:t>
                  </w:r>
                </w:p>
              </w:tc>
              <w:tc>
                <w:tcPr>
                  <w:tcW w:w="837" w:type="dxa"/>
                  <w:vAlign w:val="center"/>
                </w:tcPr>
                <w:p w14:paraId="49B765B3">
                  <w:pPr>
                    <w:adjustRightInd w:val="0"/>
                    <w:snapToGrid w:val="0"/>
                    <w:spacing w:line="240" w:lineRule="auto"/>
                    <w:ind w:firstLine="0" w:firstLineChars="0"/>
                    <w:jc w:val="center"/>
                    <w:rPr>
                      <w:rFonts w:hint="eastAsia" w:ascii="宋体" w:hAnsi="宋体" w:cs="Times New Roman"/>
                      <w:sz w:val="21"/>
                      <w:szCs w:val="21"/>
                    </w:rPr>
                  </w:pPr>
                  <w:r>
                    <w:rPr>
                      <w:rFonts w:hint="eastAsia" w:ascii="宋体" w:hAnsi="宋体" w:cs="Times New Roman"/>
                      <w:sz w:val="21"/>
                      <w:szCs w:val="21"/>
                    </w:rPr>
                    <w:t>符合</w:t>
                  </w:r>
                </w:p>
              </w:tc>
            </w:tr>
            <w:tr w14:paraId="53E57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 w:hRule="atLeast"/>
              </w:trPr>
              <w:tc>
                <w:tcPr>
                  <w:tcW w:w="1765" w:type="dxa"/>
                  <w:vMerge w:val="continue"/>
                  <w:vAlign w:val="center"/>
                </w:tcPr>
                <w:p w14:paraId="7C8C8C61">
                  <w:pPr>
                    <w:adjustRightInd w:val="0"/>
                    <w:snapToGrid w:val="0"/>
                    <w:spacing w:line="240" w:lineRule="auto"/>
                    <w:ind w:firstLine="0" w:firstLineChars="0"/>
                    <w:jc w:val="center"/>
                    <w:rPr>
                      <w:rFonts w:hint="eastAsia" w:ascii="宋体" w:hAnsi="宋体" w:cs="Times New Roman"/>
                      <w:sz w:val="21"/>
                      <w:szCs w:val="21"/>
                    </w:rPr>
                  </w:pPr>
                </w:p>
              </w:tc>
              <w:tc>
                <w:tcPr>
                  <w:tcW w:w="611" w:type="dxa"/>
                  <w:vMerge w:val="continue"/>
                  <w:vAlign w:val="center"/>
                </w:tcPr>
                <w:p w14:paraId="36F25F39">
                  <w:pPr>
                    <w:adjustRightInd w:val="0"/>
                    <w:snapToGrid w:val="0"/>
                    <w:spacing w:line="240" w:lineRule="auto"/>
                    <w:ind w:firstLine="0" w:firstLineChars="0"/>
                    <w:jc w:val="center"/>
                    <w:rPr>
                      <w:rFonts w:hint="eastAsia" w:ascii="宋体" w:hAnsi="宋体" w:cs="Times New Roman"/>
                      <w:sz w:val="21"/>
                      <w:szCs w:val="21"/>
                    </w:rPr>
                  </w:pPr>
                </w:p>
              </w:tc>
              <w:tc>
                <w:tcPr>
                  <w:tcW w:w="691" w:type="dxa"/>
                  <w:vAlign w:val="center"/>
                </w:tcPr>
                <w:p w14:paraId="0B3BDC76">
                  <w:pPr>
                    <w:adjustRightInd w:val="0"/>
                    <w:snapToGrid w:val="0"/>
                    <w:spacing w:line="240" w:lineRule="auto"/>
                    <w:ind w:firstLine="0" w:firstLineChars="0"/>
                    <w:jc w:val="center"/>
                    <w:rPr>
                      <w:rFonts w:hint="eastAsia" w:ascii="宋体" w:hAnsi="宋体" w:cs="Times New Roman"/>
                      <w:sz w:val="21"/>
                      <w:szCs w:val="21"/>
                    </w:rPr>
                  </w:pPr>
                  <w:r>
                    <w:rPr>
                      <w:rFonts w:ascii="宋体" w:hAnsi="宋体" w:cs="仿宋"/>
                      <w:sz w:val="21"/>
                      <w:szCs w:val="21"/>
                    </w:rPr>
                    <w:t>环境风险防控</w:t>
                  </w:r>
                </w:p>
              </w:tc>
              <w:tc>
                <w:tcPr>
                  <w:tcW w:w="7899" w:type="dxa"/>
                  <w:vAlign w:val="center"/>
                </w:tcPr>
                <w:p w14:paraId="12854AAD">
                  <w:pPr>
                    <w:adjustRightInd w:val="0"/>
                    <w:snapToGrid w:val="0"/>
                    <w:spacing w:line="240" w:lineRule="auto"/>
                    <w:ind w:firstLine="0" w:firstLineChars="0"/>
                    <w:rPr>
                      <w:rFonts w:hint="eastAsia" w:ascii="宋体" w:hAnsi="宋体"/>
                      <w:sz w:val="21"/>
                      <w:szCs w:val="21"/>
                    </w:rPr>
                  </w:pPr>
                  <w:r>
                    <w:rPr>
                      <w:rFonts w:ascii="宋体" w:hAnsi="宋体" w:cs="仿宋"/>
                      <w:sz w:val="21"/>
                      <w:szCs w:val="21"/>
                    </w:rPr>
                    <w:t>【污染地块管控要求】</w:t>
                  </w:r>
                </w:p>
                <w:p w14:paraId="1E8E7DFB">
                  <w:pPr>
                    <w:adjustRightInd w:val="0"/>
                    <w:snapToGrid w:val="0"/>
                    <w:spacing w:line="240" w:lineRule="auto"/>
                    <w:ind w:firstLine="0" w:firstLineChars="0"/>
                    <w:rPr>
                      <w:rFonts w:hint="eastAsia" w:ascii="宋体" w:hAnsi="宋体" w:cs="仿宋"/>
                      <w:sz w:val="21"/>
                      <w:szCs w:val="21"/>
                    </w:rPr>
                  </w:pPr>
                  <w:r>
                    <w:rPr>
                      <w:rFonts w:ascii="宋体" w:hAnsi="宋体" w:cs="仿宋"/>
                      <w:sz w:val="21"/>
                      <w:szCs w:val="21"/>
                    </w:rPr>
                    <w:t>土地资源开发利用量不得超过土地资源利用上线控制性指标。</w:t>
                  </w:r>
                </w:p>
              </w:tc>
              <w:tc>
                <w:tcPr>
                  <w:tcW w:w="2757" w:type="dxa"/>
                  <w:vAlign w:val="center"/>
                </w:tcPr>
                <w:p w14:paraId="5B83C353">
                  <w:pPr>
                    <w:adjustRightInd w:val="0"/>
                    <w:snapToGrid w:val="0"/>
                    <w:spacing w:line="240" w:lineRule="auto"/>
                    <w:ind w:firstLine="0" w:firstLineChars="0"/>
                    <w:rPr>
                      <w:rFonts w:hint="eastAsia" w:ascii="宋体" w:hAnsi="宋体" w:cs="宋体"/>
                      <w:kern w:val="0"/>
                      <w:sz w:val="21"/>
                      <w:szCs w:val="21"/>
                    </w:rPr>
                  </w:pPr>
                  <w:r>
                    <w:rPr>
                      <w:rFonts w:hint="eastAsia" w:ascii="宋体" w:hAnsi="宋体" w:cs="宋体"/>
                      <w:kern w:val="0"/>
                      <w:sz w:val="21"/>
                      <w:szCs w:val="21"/>
                    </w:rPr>
                    <w:t>本项目为改扩建，不新增占地。</w:t>
                  </w:r>
                </w:p>
              </w:tc>
              <w:tc>
                <w:tcPr>
                  <w:tcW w:w="837" w:type="dxa"/>
                  <w:vAlign w:val="center"/>
                </w:tcPr>
                <w:p w14:paraId="68E92962">
                  <w:pPr>
                    <w:adjustRightInd w:val="0"/>
                    <w:snapToGrid w:val="0"/>
                    <w:spacing w:line="240" w:lineRule="auto"/>
                    <w:ind w:firstLine="0" w:firstLineChars="0"/>
                    <w:jc w:val="center"/>
                    <w:rPr>
                      <w:rFonts w:hint="eastAsia" w:ascii="宋体" w:hAnsi="宋体" w:cs="Times New Roman"/>
                      <w:sz w:val="21"/>
                      <w:szCs w:val="21"/>
                    </w:rPr>
                  </w:pPr>
                  <w:r>
                    <w:rPr>
                      <w:rFonts w:hint="eastAsia" w:ascii="宋体" w:hAnsi="宋体" w:cs="Times New Roman"/>
                      <w:sz w:val="21"/>
                      <w:szCs w:val="21"/>
                    </w:rPr>
                    <w:t>符合</w:t>
                  </w:r>
                </w:p>
              </w:tc>
            </w:tr>
            <w:tr w14:paraId="0F3E6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4560" w:type="dxa"/>
                  <w:gridSpan w:val="6"/>
                  <w:vAlign w:val="center"/>
                </w:tcPr>
                <w:p w14:paraId="248B4E0F">
                  <w:pPr>
                    <w:pStyle w:val="13"/>
                    <w:keepNext/>
                    <w:rPr>
                      <w:rFonts w:hint="eastAsia" w:ascii="宋体" w:hAnsi="宋体" w:cs="Times New Roman"/>
                    </w:rPr>
                  </w:pPr>
                  <w:r>
                    <w:rPr>
                      <w:rFonts w:hint="eastAsia" w:ascii="宋体" w:hAnsi="宋体" w:cs="Times New Roman"/>
                    </w:rPr>
                    <w:t xml:space="preserve">表1-8  </w:t>
                  </w:r>
                  <w:r>
                    <w:rPr>
                      <w:rFonts w:ascii="宋体" w:hAnsi="宋体" w:cs="Times New Roman"/>
                    </w:rPr>
                    <w:t>巴中市（州）普适性管控要求</w:t>
                  </w:r>
                </w:p>
              </w:tc>
            </w:tr>
            <w:tr w14:paraId="74CD1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765" w:type="dxa"/>
                  <w:vAlign w:val="center"/>
                </w:tcPr>
                <w:p w14:paraId="680CA964">
                  <w:pPr>
                    <w:adjustRightInd w:val="0"/>
                    <w:snapToGrid w:val="0"/>
                    <w:spacing w:line="240" w:lineRule="auto"/>
                    <w:ind w:firstLine="0" w:firstLineChars="0"/>
                    <w:jc w:val="center"/>
                    <w:rPr>
                      <w:rFonts w:hint="eastAsia" w:ascii="宋体" w:hAnsi="宋体" w:cs="Times New Roman"/>
                      <w:sz w:val="21"/>
                      <w:szCs w:val="21"/>
                    </w:rPr>
                  </w:pPr>
                  <w:r>
                    <w:rPr>
                      <w:rFonts w:hint="eastAsia" w:ascii="宋体" w:hAnsi="宋体" w:cs="Times New Roman"/>
                      <w:sz w:val="21"/>
                      <w:szCs w:val="21"/>
                    </w:rPr>
                    <w:t>巴中市普适性要求</w:t>
                  </w:r>
                </w:p>
              </w:tc>
              <w:tc>
                <w:tcPr>
                  <w:tcW w:w="9201" w:type="dxa"/>
                  <w:gridSpan w:val="3"/>
                  <w:vAlign w:val="center"/>
                </w:tcPr>
                <w:p w14:paraId="48CB4DAD">
                  <w:pPr>
                    <w:adjustRightInd w:val="0"/>
                    <w:snapToGrid w:val="0"/>
                    <w:spacing w:line="240" w:lineRule="auto"/>
                    <w:ind w:firstLine="0" w:firstLineChars="0"/>
                    <w:rPr>
                      <w:rFonts w:hint="eastAsia" w:ascii="宋体" w:hAnsi="宋体" w:cs="仿宋"/>
                      <w:sz w:val="21"/>
                      <w:szCs w:val="21"/>
                    </w:rPr>
                  </w:pPr>
                  <w:r>
                    <w:rPr>
                      <w:rFonts w:ascii="宋体" w:hAnsi="宋体" w:cs="仿宋"/>
                      <w:sz w:val="21"/>
                      <w:szCs w:val="21"/>
                    </w:rPr>
                    <w:t>空间布局约束</w:t>
                  </w:r>
                </w:p>
                <w:p w14:paraId="3A6FB25A">
                  <w:pPr>
                    <w:adjustRightInd w:val="0"/>
                    <w:snapToGrid w:val="0"/>
                    <w:spacing w:line="240" w:lineRule="auto"/>
                    <w:ind w:firstLine="0" w:firstLineChars="0"/>
                    <w:rPr>
                      <w:rFonts w:hint="eastAsia" w:ascii="宋体" w:hAnsi="宋体"/>
                      <w:sz w:val="21"/>
                      <w:szCs w:val="21"/>
                    </w:rPr>
                  </w:pPr>
                  <w:r>
                    <w:rPr>
                      <w:rFonts w:ascii="宋体" w:hAnsi="宋体" w:cs="仿宋"/>
                      <w:sz w:val="21"/>
                      <w:szCs w:val="21"/>
                    </w:rPr>
                    <w:t>【禁止开发建设活动的要求】</w:t>
                  </w:r>
                </w:p>
                <w:p w14:paraId="6A19EBA1">
                  <w:pPr>
                    <w:adjustRightInd w:val="0"/>
                    <w:snapToGrid w:val="0"/>
                    <w:spacing w:line="240" w:lineRule="auto"/>
                    <w:ind w:firstLine="0" w:firstLineChars="0"/>
                    <w:rPr>
                      <w:rFonts w:hint="eastAsia" w:ascii="宋体" w:hAnsi="宋体"/>
                      <w:sz w:val="21"/>
                      <w:szCs w:val="21"/>
                    </w:rPr>
                  </w:pPr>
                  <w:r>
                    <w:rPr>
                      <w:rFonts w:ascii="宋体" w:hAnsi="宋体" w:cs="仿宋"/>
                      <w:sz w:val="21"/>
                      <w:szCs w:val="21"/>
                    </w:rPr>
                    <w:t>-禁止在长江干支流、重要湖泊岸线一公里范围内新建、扩建化工园区和化工项目。禁止在长江干流岸线三公里范围内和重要支流岸线一公里范围内新建、改建、扩建尾矿库（以提升安全、生态环境保护水平为目的的改建除外）。-禁止在长江流域河湖管理范围内倾倒、填埋、堆放、弃置、处理固体废物。-在禁燃区内禁止销售、燃用高污染燃料。禁燃区内禁止新建、扩建燃用高污染燃料的设施。-未通过认定的化工园区，不得新建、改扩建化工项目（安全、环保、节能和智能化改造项目除外），按属地原则依法依规妥善做好未通过认定化工园区及园内企业的转型、关闭、处置及监管工作。</w:t>
                  </w:r>
                </w:p>
                <w:p w14:paraId="7F715D85">
                  <w:pPr>
                    <w:adjustRightInd w:val="0"/>
                    <w:snapToGrid w:val="0"/>
                    <w:spacing w:line="240" w:lineRule="auto"/>
                    <w:ind w:firstLine="0" w:firstLineChars="0"/>
                    <w:rPr>
                      <w:rFonts w:hint="eastAsia" w:ascii="宋体" w:hAnsi="宋体"/>
                      <w:sz w:val="21"/>
                      <w:szCs w:val="21"/>
                    </w:rPr>
                  </w:pPr>
                  <w:r>
                    <w:rPr>
                      <w:rFonts w:ascii="宋体" w:hAnsi="宋体" w:cs="仿宋"/>
                      <w:sz w:val="21"/>
                      <w:szCs w:val="21"/>
                    </w:rPr>
                    <w:t>【限制开发建设活动的要求】</w:t>
                  </w:r>
                </w:p>
                <w:p w14:paraId="3B1DB5F2">
                  <w:pPr>
                    <w:adjustRightInd w:val="0"/>
                    <w:snapToGrid w:val="0"/>
                    <w:spacing w:line="240" w:lineRule="auto"/>
                    <w:ind w:firstLine="0" w:firstLineChars="0"/>
                    <w:rPr>
                      <w:rFonts w:hint="eastAsia" w:ascii="宋体" w:hAnsi="宋体"/>
                      <w:sz w:val="21"/>
                      <w:szCs w:val="21"/>
                    </w:rPr>
                  </w:pPr>
                  <w:r>
                    <w:rPr>
                      <w:rFonts w:ascii="宋体" w:hAnsi="宋体" w:cs="仿宋"/>
                      <w:sz w:val="21"/>
                      <w:szCs w:val="21"/>
                    </w:rPr>
                    <w:t>-继续化解过剩产能，严禁钢铁、水泥、电解铝、平板玻璃等行业新增产能，对确有必要新建的必须实施等量或减量置换。 -严格执行《矿产资源开采</w:t>
                  </w:r>
                  <w:r>
                    <w:rPr>
                      <w:rFonts w:hint="eastAsia" w:ascii="宋体" w:hAnsi="宋体" w:cs="仿宋"/>
                      <w:sz w:val="21"/>
                      <w:szCs w:val="21"/>
                      <w:lang w:eastAsia="zh-CN"/>
                    </w:rPr>
                    <w:t>登记</w:t>
                  </w:r>
                  <w:bookmarkStart w:id="109" w:name="_GoBack"/>
                  <w:bookmarkEnd w:id="109"/>
                  <w:r>
                    <w:rPr>
                      <w:rFonts w:ascii="宋体" w:hAnsi="宋体" w:cs="仿宋"/>
                      <w:sz w:val="21"/>
                      <w:szCs w:val="21"/>
                    </w:rPr>
                    <w:t xml:space="preserve">管理办法》的相关规定。 </w:t>
                  </w:r>
                </w:p>
                <w:p w14:paraId="7DD9DDDA">
                  <w:pPr>
                    <w:adjustRightInd w:val="0"/>
                    <w:snapToGrid w:val="0"/>
                    <w:spacing w:line="240" w:lineRule="auto"/>
                    <w:ind w:firstLine="0" w:firstLineChars="0"/>
                    <w:rPr>
                      <w:rFonts w:hint="eastAsia" w:ascii="宋体" w:hAnsi="宋体"/>
                      <w:sz w:val="21"/>
                      <w:szCs w:val="21"/>
                    </w:rPr>
                  </w:pPr>
                  <w:r>
                    <w:rPr>
                      <w:rFonts w:ascii="宋体" w:hAnsi="宋体" w:cs="仿宋"/>
                      <w:sz w:val="21"/>
                      <w:szCs w:val="21"/>
                    </w:rPr>
                    <w:t>【允许开发建设活动的要求】</w:t>
                  </w:r>
                </w:p>
                <w:p w14:paraId="2A20E557">
                  <w:pPr>
                    <w:adjustRightInd w:val="0"/>
                    <w:snapToGrid w:val="0"/>
                    <w:spacing w:line="240" w:lineRule="auto"/>
                    <w:ind w:firstLine="0" w:firstLineChars="0"/>
                    <w:rPr>
                      <w:rFonts w:hint="eastAsia" w:ascii="宋体" w:hAnsi="宋体"/>
                      <w:sz w:val="21"/>
                      <w:szCs w:val="21"/>
                    </w:rPr>
                  </w:pPr>
                  <w:r>
                    <w:rPr>
                      <w:rFonts w:ascii="宋体" w:hAnsi="宋体" w:cs="仿宋"/>
                      <w:sz w:val="21"/>
                      <w:szCs w:val="21"/>
                    </w:rPr>
                    <w:t>-现有属于园区禁止引入产业门类的企业，原则上限制发展，污染物排放只降不增，允许以提升安全、生态环境保护水平为目的的改建，引导企业结合产业升级等适时搬迁。</w:t>
                  </w:r>
                </w:p>
                <w:p w14:paraId="4B0AF8DF">
                  <w:pPr>
                    <w:adjustRightInd w:val="0"/>
                    <w:snapToGrid w:val="0"/>
                    <w:spacing w:line="240" w:lineRule="auto"/>
                    <w:ind w:firstLine="0" w:firstLineChars="0"/>
                    <w:rPr>
                      <w:rFonts w:hint="eastAsia" w:ascii="宋体" w:hAnsi="宋体"/>
                      <w:sz w:val="21"/>
                      <w:szCs w:val="21"/>
                    </w:rPr>
                  </w:pPr>
                  <w:r>
                    <w:rPr>
                      <w:rFonts w:ascii="宋体" w:hAnsi="宋体" w:cs="仿宋"/>
                      <w:sz w:val="21"/>
                      <w:szCs w:val="21"/>
                    </w:rPr>
                    <w:t>【不符合空间布局要求活动的退出要求】</w:t>
                  </w:r>
                </w:p>
                <w:p w14:paraId="7EFA5AAD">
                  <w:pPr>
                    <w:adjustRightInd w:val="0"/>
                    <w:snapToGrid w:val="0"/>
                    <w:spacing w:line="240" w:lineRule="auto"/>
                    <w:ind w:firstLine="0" w:firstLineChars="0"/>
                    <w:rPr>
                      <w:rFonts w:hint="eastAsia" w:ascii="宋体" w:hAnsi="宋体"/>
                      <w:sz w:val="21"/>
                      <w:szCs w:val="21"/>
                    </w:rPr>
                  </w:pPr>
                  <w:r>
                    <w:rPr>
                      <w:rFonts w:ascii="宋体" w:hAnsi="宋体" w:cs="仿宋"/>
                      <w:sz w:val="21"/>
                      <w:szCs w:val="21"/>
                    </w:rPr>
                    <w:t>△</w:t>
                  </w:r>
                </w:p>
                <w:p w14:paraId="65758C9E">
                  <w:pPr>
                    <w:adjustRightInd w:val="0"/>
                    <w:snapToGrid w:val="0"/>
                    <w:spacing w:line="240" w:lineRule="auto"/>
                    <w:ind w:firstLine="0" w:firstLineChars="0"/>
                    <w:rPr>
                      <w:rFonts w:hint="eastAsia" w:ascii="宋体" w:hAnsi="宋体"/>
                      <w:sz w:val="21"/>
                      <w:szCs w:val="21"/>
                    </w:rPr>
                  </w:pPr>
                  <w:r>
                    <w:rPr>
                      <w:rFonts w:ascii="宋体" w:hAnsi="宋体" w:cs="仿宋"/>
                      <w:sz w:val="21"/>
                      <w:szCs w:val="21"/>
                    </w:rPr>
                    <w:t>【其他空间布局约束要求】</w:t>
                  </w:r>
                </w:p>
                <w:p w14:paraId="69A06748">
                  <w:pPr>
                    <w:autoSpaceDE w:val="0"/>
                    <w:autoSpaceDN w:val="0"/>
                    <w:adjustRightInd w:val="0"/>
                    <w:snapToGrid w:val="0"/>
                    <w:spacing w:line="240" w:lineRule="auto"/>
                    <w:ind w:firstLine="0" w:firstLineChars="0"/>
                    <w:rPr>
                      <w:rFonts w:hint="eastAsia" w:ascii="宋体" w:hAnsi="宋体" w:cs="仿宋"/>
                      <w:sz w:val="21"/>
                      <w:szCs w:val="21"/>
                    </w:rPr>
                  </w:pPr>
                  <w:r>
                    <w:rPr>
                      <w:rFonts w:ascii="宋体" w:hAnsi="宋体" w:cs="仿宋"/>
                      <w:sz w:val="21"/>
                      <w:szCs w:val="21"/>
                    </w:rPr>
                    <w:t>（1）为达2025年及2035年环境空气质量目标， 14个工业重点管控单元大气污染物允许排放量2025年为：PM2.5允许排放量4950吨、SO2允许排放量3502吨、NOx允许排放量8906吨、VOCs 允许排放量12506吨，2035年为：PM2.5允许排放量4595吨、SO2允许排放量3133吨、NOx允许排放量8656吨、VOCs 允许排放量12098吨。（2）为保证2025、2035年区域地表水控制断面达标，15个工业重点管控单元COD、氨氮、总磷允许排放量2025年控制在233465.09吨、2863.81吨、409.92吨以下，2035年控制在24638.35吨、3007.02吨、430.41吨以下。</w:t>
                  </w:r>
                </w:p>
                <w:p w14:paraId="49A725D9">
                  <w:pPr>
                    <w:autoSpaceDE w:val="0"/>
                    <w:autoSpaceDN w:val="0"/>
                    <w:adjustRightInd w:val="0"/>
                    <w:snapToGrid w:val="0"/>
                    <w:spacing w:line="240" w:lineRule="auto"/>
                    <w:ind w:firstLine="0" w:firstLineChars="0"/>
                    <w:rPr>
                      <w:rFonts w:hint="eastAsia" w:ascii="宋体" w:hAnsi="宋体" w:cs="仿宋"/>
                      <w:sz w:val="21"/>
                      <w:szCs w:val="21"/>
                    </w:rPr>
                  </w:pPr>
                  <w:r>
                    <w:rPr>
                      <w:rFonts w:ascii="宋体" w:hAnsi="宋体" w:cs="仿宋"/>
                      <w:sz w:val="21"/>
                      <w:szCs w:val="21"/>
                    </w:rPr>
                    <w:t>污染物排放管控</w:t>
                  </w:r>
                  <w:r>
                    <w:rPr>
                      <w:rFonts w:hint="eastAsia" w:ascii="宋体" w:hAnsi="宋体" w:cs="仿宋"/>
                      <w:sz w:val="21"/>
                      <w:szCs w:val="21"/>
                    </w:rPr>
                    <w:t>：</w:t>
                  </w:r>
                </w:p>
                <w:p w14:paraId="2C63D6DE">
                  <w:pPr>
                    <w:adjustRightInd w:val="0"/>
                    <w:snapToGrid w:val="0"/>
                    <w:spacing w:line="240" w:lineRule="auto"/>
                    <w:ind w:firstLine="0" w:firstLineChars="0"/>
                    <w:rPr>
                      <w:rFonts w:hint="eastAsia" w:ascii="宋体" w:hAnsi="宋体"/>
                      <w:sz w:val="21"/>
                      <w:szCs w:val="21"/>
                    </w:rPr>
                  </w:pPr>
                  <w:r>
                    <w:rPr>
                      <w:rFonts w:ascii="宋体" w:hAnsi="宋体" w:cs="仿宋"/>
                      <w:sz w:val="21"/>
                      <w:szCs w:val="21"/>
                    </w:rPr>
                    <w:t>【现有源提标升级改造】</w:t>
                  </w:r>
                </w:p>
                <w:p w14:paraId="0D36BEBF">
                  <w:pPr>
                    <w:adjustRightInd w:val="0"/>
                    <w:snapToGrid w:val="0"/>
                    <w:spacing w:line="240" w:lineRule="auto"/>
                    <w:ind w:firstLine="0" w:firstLineChars="0"/>
                    <w:rPr>
                      <w:rFonts w:hint="eastAsia" w:ascii="宋体" w:hAnsi="宋体"/>
                      <w:sz w:val="21"/>
                      <w:szCs w:val="21"/>
                    </w:rPr>
                  </w:pPr>
                  <w:r>
                    <w:rPr>
                      <w:rFonts w:ascii="宋体" w:hAnsi="宋体" w:cs="仿宋"/>
                      <w:sz w:val="21"/>
                      <w:szCs w:val="21"/>
                    </w:rPr>
                    <w:t>-污水收集处理率达100%。 -推进工业园区污水处理设施建设，确保园区工业废水达标排放。 -完善园区及企业雨污分流系统，全面推进医药、化工等行业初期雨水收集处理，推动有条件的园区实施入园企业“一企一管、明管输送、实时监测”。加强企业废水预处理和排水管理，鼓励纳管企业与园区污水处理厂运营单位通过签订委托处理合同等方式协同处理废水。</w:t>
                  </w:r>
                </w:p>
                <w:p w14:paraId="08404C6E">
                  <w:pPr>
                    <w:adjustRightInd w:val="0"/>
                    <w:snapToGrid w:val="0"/>
                    <w:spacing w:line="240" w:lineRule="auto"/>
                    <w:ind w:firstLine="0" w:firstLineChars="0"/>
                    <w:rPr>
                      <w:rFonts w:hint="eastAsia" w:ascii="宋体" w:hAnsi="宋体"/>
                      <w:sz w:val="21"/>
                      <w:szCs w:val="21"/>
                    </w:rPr>
                  </w:pPr>
                  <w:r>
                    <w:rPr>
                      <w:rFonts w:ascii="宋体" w:hAnsi="宋体" w:cs="仿宋"/>
                      <w:sz w:val="21"/>
                      <w:szCs w:val="21"/>
                    </w:rPr>
                    <w:t>【新增源等量或倍量替代】</w:t>
                  </w:r>
                </w:p>
                <w:p w14:paraId="25C0BD6D">
                  <w:pPr>
                    <w:adjustRightInd w:val="0"/>
                    <w:snapToGrid w:val="0"/>
                    <w:spacing w:line="240" w:lineRule="auto"/>
                    <w:ind w:firstLine="0" w:firstLineChars="0"/>
                    <w:rPr>
                      <w:rFonts w:hint="eastAsia" w:ascii="宋体" w:hAnsi="宋体"/>
                      <w:sz w:val="21"/>
                      <w:szCs w:val="21"/>
                    </w:rPr>
                  </w:pPr>
                  <w:r>
                    <w:rPr>
                      <w:rFonts w:ascii="宋体" w:hAnsi="宋体" w:cs="仿宋"/>
                      <w:sz w:val="21"/>
                      <w:szCs w:val="21"/>
                    </w:rPr>
                    <w:t>1.污染物排放绩效水平准入要求：-新、改、扩建涉及VOCs排放项目，从原辅材料和工艺过程大力推广使用低（无）VOCs含量的涂料、有机溶剂、胶黏剂、油墨等原辅材料，配套改进生产工艺。-重点对工业涂装、包装印刷、制鞋、电子信息、木材加工、化纤等重点行业实施源头替代。推进木质家具制造行业水性、紫外光固化等低挥发性涂料替代比例达到60%以上、水性胶粘剂替代比例达到100%，钢结构制造行业高固体分涂料替代比例达到50%以上，包装印刷企业低VOCs含量绿色原辅材料替代比例达到60%以上。-到2030年巴中中心城区污水处理率达到100%，工业废水排放达标率100%。2.化工园区应按照分类收集，分质处理的要求，配备专业化工生产废水集中处理设施（独立建设或依托骨干企业）及专管或明管输送的配套管网，化工生产废水纳管率达到100%。入河排污口设置应符合相关规定。3.重点行业建设项目应遵循重点重金属污染物排放“等量替代”原则。按国家规定，建设单位在提交环境影响评价文件时应明确重点重金属污染物排放总量及来源，无明确具体总量来源的，各级生态环境部门不得批准相关环境影响评价文件。重金属污染物排放总量替代管理豁免的情形参见《四川省“十四五”重金属污染防控工作方案》；重点行业、重点重金属的界定参见《四川省“十四五”重金属污染防控工作方案》。4.落实《四川省深入打好重污染天气消除、臭氧污染防治和柴油货车污染治理攻坚战实施方案》要求，推进重点行业超低排放改造和深度治理，加快实施低VOCs含量原辅材料替代，持续开展VOCs治理设施提级增效，强化VOCs无组织排放整治，加强非正常工况废气排放管控，推进涉VOCs产业集群治理提升，推进油品VOCs综合管控。</w:t>
                  </w:r>
                </w:p>
                <w:p w14:paraId="6E2FD18A">
                  <w:pPr>
                    <w:adjustRightInd w:val="0"/>
                    <w:snapToGrid w:val="0"/>
                    <w:spacing w:line="240" w:lineRule="auto"/>
                    <w:ind w:firstLine="0" w:firstLineChars="0"/>
                    <w:rPr>
                      <w:rFonts w:hint="eastAsia" w:ascii="宋体" w:hAnsi="宋体"/>
                      <w:sz w:val="21"/>
                      <w:szCs w:val="21"/>
                    </w:rPr>
                  </w:pPr>
                  <w:r>
                    <w:rPr>
                      <w:rFonts w:ascii="宋体" w:hAnsi="宋体" w:cs="仿宋"/>
                      <w:sz w:val="21"/>
                      <w:szCs w:val="21"/>
                    </w:rPr>
                    <w:t>【新增源排放标准限值】</w:t>
                  </w:r>
                </w:p>
                <w:p w14:paraId="3B869E42">
                  <w:pPr>
                    <w:adjustRightInd w:val="0"/>
                    <w:snapToGrid w:val="0"/>
                    <w:spacing w:line="240" w:lineRule="auto"/>
                    <w:ind w:firstLine="0" w:firstLineChars="0"/>
                    <w:rPr>
                      <w:rFonts w:hint="eastAsia" w:ascii="宋体" w:hAnsi="宋体"/>
                      <w:sz w:val="21"/>
                      <w:szCs w:val="21"/>
                    </w:rPr>
                  </w:pPr>
                  <w:r>
                    <w:rPr>
                      <w:rFonts w:ascii="宋体" w:hAnsi="宋体" w:cs="仿宋"/>
                      <w:sz w:val="21"/>
                      <w:szCs w:val="21"/>
                    </w:rPr>
                    <w:t>强化大气污染区域联防联控措施，实施重污染天气应急管控。修订重污染天气应急预案，动态更新污染源排放清单，落实重点企业错峰生产、压产限产、工地停工等强制性措施，有效减缓重污染天气影响。</w:t>
                  </w:r>
                </w:p>
                <w:p w14:paraId="36721F05">
                  <w:pPr>
                    <w:adjustRightInd w:val="0"/>
                    <w:snapToGrid w:val="0"/>
                    <w:spacing w:line="240" w:lineRule="auto"/>
                    <w:ind w:firstLine="0" w:firstLineChars="0"/>
                    <w:rPr>
                      <w:rFonts w:hint="eastAsia" w:ascii="宋体" w:hAnsi="宋体"/>
                      <w:sz w:val="21"/>
                      <w:szCs w:val="21"/>
                    </w:rPr>
                  </w:pPr>
                  <w:r>
                    <w:rPr>
                      <w:rFonts w:ascii="宋体" w:hAnsi="宋体" w:cs="仿宋"/>
                      <w:sz w:val="21"/>
                      <w:szCs w:val="21"/>
                    </w:rPr>
                    <w:t>【污染物排放绩效水平准入要求】</w:t>
                  </w:r>
                </w:p>
                <w:p w14:paraId="531CE2E0">
                  <w:pPr>
                    <w:adjustRightInd w:val="0"/>
                    <w:snapToGrid w:val="0"/>
                    <w:spacing w:line="240" w:lineRule="auto"/>
                    <w:ind w:firstLine="0" w:firstLineChars="0"/>
                    <w:rPr>
                      <w:rFonts w:hint="eastAsia" w:ascii="宋体" w:hAnsi="宋体"/>
                      <w:sz w:val="21"/>
                      <w:szCs w:val="21"/>
                    </w:rPr>
                  </w:pPr>
                  <w:r>
                    <w:rPr>
                      <w:rFonts w:ascii="宋体" w:hAnsi="宋体" w:cs="仿宋"/>
                      <w:sz w:val="21"/>
                      <w:szCs w:val="21"/>
                    </w:rPr>
                    <w:t>-涉及有毒有害、易燃易爆物质新建、改扩建项目，严控准入要求。-园区风险防控体系要求：构建三级环境风险防控体系，强化危化品泄漏应急处置措施，确保风险可控。针对化工园区进一步强化风险防控。化工园区应具有安全风险监控体系、建立生态环境监测监控体系、建立必要的突发环境事件应急体系。-有色金属冶炼、石油加工、化工、焦化、电镀、制革等行业企业拆除生产设施设备、构筑物和污染治理设施，要事先制定残留污染物清理和安全处置方案，要严格按照有关规定实施安全处理处置，防范拆除活动污染土壤。-已污染地块，应当依法开展土壤污染状况调查、治理与修复，符合相关环境质量要求后，方可进入用地程序。</w:t>
                  </w:r>
                </w:p>
                <w:p w14:paraId="16387FF9">
                  <w:pPr>
                    <w:adjustRightInd w:val="0"/>
                    <w:snapToGrid w:val="0"/>
                    <w:spacing w:line="240" w:lineRule="auto"/>
                    <w:ind w:firstLine="0" w:firstLineChars="0"/>
                    <w:rPr>
                      <w:rFonts w:hint="eastAsia" w:ascii="宋体" w:hAnsi="宋体"/>
                      <w:sz w:val="21"/>
                      <w:szCs w:val="21"/>
                    </w:rPr>
                  </w:pPr>
                  <w:r>
                    <w:rPr>
                      <w:rFonts w:ascii="宋体" w:hAnsi="宋体" w:cs="仿宋"/>
                      <w:sz w:val="21"/>
                      <w:szCs w:val="21"/>
                    </w:rPr>
                    <w:t>【其他污染物排放管控要求】</w:t>
                  </w:r>
                </w:p>
                <w:p w14:paraId="109229B5">
                  <w:pPr>
                    <w:autoSpaceDE w:val="0"/>
                    <w:autoSpaceDN w:val="0"/>
                    <w:adjustRightInd w:val="0"/>
                    <w:snapToGrid w:val="0"/>
                    <w:spacing w:line="240" w:lineRule="auto"/>
                    <w:ind w:firstLine="0" w:firstLineChars="0"/>
                    <w:rPr>
                      <w:rFonts w:hint="eastAsia" w:ascii="宋体" w:hAnsi="宋体" w:cs="仿宋"/>
                      <w:sz w:val="21"/>
                      <w:szCs w:val="21"/>
                    </w:rPr>
                  </w:pPr>
                  <w:r>
                    <w:rPr>
                      <w:rFonts w:ascii="宋体" w:hAnsi="宋体" w:cs="仿宋"/>
                      <w:sz w:val="21"/>
                      <w:szCs w:val="21"/>
                    </w:rPr>
                    <w:t>-到2022年，万元国内生产总值用水量、万元工业增加值用水量较2015年分别降低30%和28%。</w:t>
                  </w:r>
                </w:p>
                <w:p w14:paraId="5256CBB6">
                  <w:pPr>
                    <w:autoSpaceDE w:val="0"/>
                    <w:autoSpaceDN w:val="0"/>
                    <w:adjustRightInd w:val="0"/>
                    <w:snapToGrid w:val="0"/>
                    <w:spacing w:line="240" w:lineRule="auto"/>
                    <w:ind w:firstLine="0" w:firstLineChars="0"/>
                    <w:rPr>
                      <w:rFonts w:hint="eastAsia" w:ascii="宋体" w:hAnsi="宋体" w:cs="仿宋"/>
                      <w:sz w:val="21"/>
                      <w:szCs w:val="21"/>
                    </w:rPr>
                  </w:pPr>
                  <w:r>
                    <w:rPr>
                      <w:rFonts w:ascii="宋体" w:hAnsi="宋体" w:cs="仿宋"/>
                      <w:sz w:val="21"/>
                      <w:szCs w:val="21"/>
                    </w:rPr>
                    <w:t>环境风险防控</w:t>
                  </w:r>
                </w:p>
                <w:p w14:paraId="66D1DF7B">
                  <w:pPr>
                    <w:adjustRightInd w:val="0"/>
                    <w:snapToGrid w:val="0"/>
                    <w:spacing w:line="240" w:lineRule="auto"/>
                    <w:ind w:firstLine="0" w:firstLineChars="0"/>
                    <w:rPr>
                      <w:rFonts w:hint="eastAsia" w:ascii="宋体" w:hAnsi="宋体"/>
                      <w:sz w:val="21"/>
                      <w:szCs w:val="21"/>
                    </w:rPr>
                  </w:pPr>
                  <w:r>
                    <w:rPr>
                      <w:rFonts w:ascii="宋体" w:hAnsi="宋体" w:cs="仿宋"/>
                      <w:sz w:val="21"/>
                      <w:szCs w:val="21"/>
                    </w:rPr>
                    <w:t>【严格管控类农用地管控要求】</w:t>
                  </w:r>
                </w:p>
                <w:p w14:paraId="1C774DC6">
                  <w:pPr>
                    <w:adjustRightInd w:val="0"/>
                    <w:snapToGrid w:val="0"/>
                    <w:spacing w:line="240" w:lineRule="auto"/>
                    <w:ind w:firstLine="0" w:firstLineChars="0"/>
                    <w:rPr>
                      <w:rFonts w:hint="eastAsia" w:ascii="宋体" w:hAnsi="宋体"/>
                      <w:sz w:val="21"/>
                      <w:szCs w:val="21"/>
                    </w:rPr>
                  </w:pPr>
                  <w:r>
                    <w:rPr>
                      <w:rFonts w:ascii="宋体" w:hAnsi="宋体" w:cs="仿宋"/>
                      <w:sz w:val="21"/>
                      <w:szCs w:val="21"/>
                    </w:rPr>
                    <w:t>-巴中市2025年地下水开采控制控制量保持在1400万m</w:t>
                  </w:r>
                  <w:r>
                    <w:rPr>
                      <w:rFonts w:ascii="宋体" w:hAnsi="宋体" w:cs="仿宋"/>
                      <w:sz w:val="21"/>
                      <w:szCs w:val="21"/>
                      <w:vertAlign w:val="superscript"/>
                    </w:rPr>
                    <w:t>3</w:t>
                  </w:r>
                  <w:r>
                    <w:rPr>
                      <w:rFonts w:ascii="宋体" w:hAnsi="宋体" w:cs="仿宋"/>
                      <w:sz w:val="21"/>
                      <w:szCs w:val="21"/>
                    </w:rPr>
                    <w:t>以内。 -地下水开采量控制在可开采量的允 许范围内，抑制用水过度增长。</w:t>
                  </w:r>
                </w:p>
                <w:p w14:paraId="27EF6179">
                  <w:pPr>
                    <w:adjustRightInd w:val="0"/>
                    <w:snapToGrid w:val="0"/>
                    <w:spacing w:line="240" w:lineRule="auto"/>
                    <w:ind w:firstLine="0" w:firstLineChars="0"/>
                    <w:rPr>
                      <w:rFonts w:hint="eastAsia" w:ascii="宋体" w:hAnsi="宋体"/>
                      <w:sz w:val="21"/>
                      <w:szCs w:val="21"/>
                    </w:rPr>
                  </w:pPr>
                  <w:r>
                    <w:rPr>
                      <w:rFonts w:ascii="宋体" w:hAnsi="宋体" w:cs="仿宋"/>
                      <w:sz w:val="21"/>
                      <w:szCs w:val="21"/>
                    </w:rPr>
                    <w:t>【安全利用类农用地管控要求】</w:t>
                  </w:r>
                </w:p>
                <w:p w14:paraId="257B2FCE">
                  <w:pPr>
                    <w:adjustRightInd w:val="0"/>
                    <w:snapToGrid w:val="0"/>
                    <w:spacing w:line="240" w:lineRule="auto"/>
                    <w:ind w:firstLine="0" w:firstLineChars="0"/>
                    <w:rPr>
                      <w:rFonts w:hint="eastAsia" w:ascii="宋体" w:hAnsi="宋体"/>
                      <w:sz w:val="21"/>
                      <w:szCs w:val="21"/>
                    </w:rPr>
                  </w:pPr>
                  <w:r>
                    <w:rPr>
                      <w:rFonts w:ascii="宋体" w:hAnsi="宋体" w:cs="仿宋"/>
                      <w:sz w:val="21"/>
                      <w:szCs w:val="21"/>
                    </w:rPr>
                    <w:t>-新、改扩建项目污染能耗指标满足《四川省省级生态工业园区指标》综合类生态工业园区要求。-实施新建项目与煤炭消费总量控制挂钩机制，耗煤建设项目实行煤炭消耗等量减量替代 -提高煤炭利用效率和天然气利用占比，工业领域有序推进“煤改电”和有序推进“煤改气”。-全面淘汰每小时10蒸吨以下的燃煤锅炉；在供气管网覆盖不到的其他地区，改用电、新能源或洁净煤。-原则上不再新建35蒸吨小时及以下的燃煤锅炉，推进县级及以上城市建成区淘汰35蒸吨小时及以下燃煤锅炉，以工业余热、电厂热力、清洁能源等替代煤炭。对20蒸吨及以上燃煤锅炉实施脱硫改造，建设高效脱硫设施；对循环流化床锅炉以外的燃煤发电机组一律安装脱硫设施，对燃煤锅炉和工业锅炉现有除尘设施实施升级改造，确保达到新的排放标准和特别排放限值。</w:t>
                  </w:r>
                </w:p>
                <w:p w14:paraId="01E5CB4E">
                  <w:pPr>
                    <w:adjustRightInd w:val="0"/>
                    <w:snapToGrid w:val="0"/>
                    <w:spacing w:line="240" w:lineRule="auto"/>
                    <w:ind w:firstLine="0" w:firstLineChars="0"/>
                    <w:rPr>
                      <w:rFonts w:hint="eastAsia" w:ascii="宋体" w:hAnsi="宋体"/>
                      <w:sz w:val="21"/>
                      <w:szCs w:val="21"/>
                    </w:rPr>
                  </w:pPr>
                  <w:r>
                    <w:rPr>
                      <w:rFonts w:ascii="宋体" w:hAnsi="宋体" w:cs="仿宋"/>
                      <w:sz w:val="21"/>
                      <w:szCs w:val="21"/>
                    </w:rPr>
                    <w:t>【污染地块管控要求】</w:t>
                  </w:r>
                </w:p>
                <w:p w14:paraId="67B51E2A">
                  <w:pPr>
                    <w:adjustRightInd w:val="0"/>
                    <w:snapToGrid w:val="0"/>
                    <w:spacing w:line="240" w:lineRule="auto"/>
                    <w:ind w:firstLine="0" w:firstLineChars="0"/>
                    <w:rPr>
                      <w:rFonts w:hint="eastAsia" w:ascii="宋体" w:hAnsi="宋体"/>
                      <w:sz w:val="21"/>
                      <w:szCs w:val="21"/>
                    </w:rPr>
                  </w:pPr>
                  <w:r>
                    <w:rPr>
                      <w:rFonts w:ascii="宋体" w:hAnsi="宋体" w:cs="仿宋"/>
                      <w:sz w:val="21"/>
                      <w:szCs w:val="21"/>
                    </w:rPr>
                    <w:t>在禁燃区内禁止销售、燃用高污染燃料。禁燃区内禁止新建、扩建燃用高污染燃料的设施。已建成的，应当于2021年12月31日前改用天然气、页岩气、液化石油气、电或其他清洁能源。现有燃用高污染燃料燃用设施在拆除或改造前，有关单位（企业）应当采取措施，确保大气污染物排放达到国家规定标准。</w:t>
                  </w:r>
                </w:p>
                <w:p w14:paraId="2A531F42">
                  <w:pPr>
                    <w:adjustRightInd w:val="0"/>
                    <w:snapToGrid w:val="0"/>
                    <w:spacing w:line="240" w:lineRule="auto"/>
                    <w:ind w:firstLine="0" w:firstLineChars="0"/>
                    <w:rPr>
                      <w:rFonts w:hint="eastAsia" w:ascii="宋体" w:hAnsi="宋体"/>
                      <w:sz w:val="21"/>
                      <w:szCs w:val="21"/>
                    </w:rPr>
                  </w:pPr>
                  <w:r>
                    <w:rPr>
                      <w:rFonts w:ascii="宋体" w:hAnsi="宋体" w:cs="仿宋"/>
                      <w:sz w:val="21"/>
                      <w:szCs w:val="21"/>
                    </w:rPr>
                    <w:t>【园区环境风险防控要求】</w:t>
                  </w:r>
                </w:p>
                <w:p w14:paraId="51E2E3F8">
                  <w:pPr>
                    <w:autoSpaceDE w:val="0"/>
                    <w:autoSpaceDN w:val="0"/>
                    <w:adjustRightInd w:val="0"/>
                    <w:snapToGrid w:val="0"/>
                    <w:spacing w:line="240" w:lineRule="auto"/>
                    <w:ind w:firstLine="0" w:firstLineChars="0"/>
                    <w:rPr>
                      <w:rFonts w:hint="eastAsia" w:ascii="宋体" w:hAnsi="宋体" w:cs="仿宋"/>
                      <w:sz w:val="21"/>
                      <w:szCs w:val="21"/>
                    </w:rPr>
                  </w:pPr>
                  <w:r>
                    <w:rPr>
                      <w:rFonts w:ascii="宋体" w:hAnsi="宋体" w:cs="仿宋"/>
                      <w:sz w:val="21"/>
                      <w:szCs w:val="21"/>
                    </w:rPr>
                    <w:t>到2025年，巴中市万元工业增加值用水降低至22.4m</w:t>
                  </w:r>
                  <w:r>
                    <w:rPr>
                      <w:rFonts w:ascii="宋体" w:hAnsi="宋体" w:cs="仿宋"/>
                      <w:sz w:val="21"/>
                      <w:szCs w:val="21"/>
                      <w:vertAlign w:val="superscript"/>
                    </w:rPr>
                    <w:t>3</w:t>
                  </w:r>
                  <w:r>
                    <w:rPr>
                      <w:rFonts w:ascii="宋体" w:hAnsi="宋体" w:cs="仿宋"/>
                      <w:sz w:val="21"/>
                      <w:szCs w:val="21"/>
                    </w:rPr>
                    <w:t>，工业用水重复利用率达到75.5%以上；到2030年，巴中市万元工业增加值用水量降低到17.1m</w:t>
                  </w:r>
                  <w:r>
                    <w:rPr>
                      <w:rFonts w:ascii="宋体" w:hAnsi="宋体" w:cs="仿宋"/>
                      <w:sz w:val="21"/>
                      <w:szCs w:val="21"/>
                      <w:vertAlign w:val="superscript"/>
                    </w:rPr>
                    <w:t>3</w:t>
                  </w:r>
                  <w:r>
                    <w:rPr>
                      <w:rFonts w:ascii="宋体" w:hAnsi="宋体" w:cs="仿宋"/>
                      <w:sz w:val="21"/>
                      <w:szCs w:val="21"/>
                    </w:rPr>
                    <w:t>，工业用水重复利用率达到81.3%以上。-新、改扩建项目污染水耗指标满足《四川省省级生态工业园区指标》综合类生态工业园区要求。-鼓励引导新建、改建、扩建工业园区应当按照有关要求统筹建设工业废水集中处理和回用设施，适时推进企业间串联用水、分质用水、一水多用，实现水循环梯级优化利用和废水集中处理回用，创建节水型工业园区。-鼓励火力发电、钢铁、纺织、造纸、石化和化工、食品和发酵等高耗水企业对废水进行深度处理回用，降低单位产品耗水量。火电、石化、钢铁、有色、造纸、印染等高耗水行业项目具备使用再生水条件但未有效利用的，要严格控制新增取水许可</w:t>
                  </w:r>
                </w:p>
                <w:p w14:paraId="08507564">
                  <w:pPr>
                    <w:autoSpaceDE w:val="0"/>
                    <w:autoSpaceDN w:val="0"/>
                    <w:adjustRightInd w:val="0"/>
                    <w:snapToGrid w:val="0"/>
                    <w:spacing w:line="240" w:lineRule="auto"/>
                    <w:ind w:firstLine="0" w:firstLineChars="0"/>
                    <w:rPr>
                      <w:rFonts w:hint="eastAsia" w:ascii="宋体" w:hAnsi="宋体" w:cs="Times New Roman"/>
                      <w:sz w:val="21"/>
                      <w:szCs w:val="21"/>
                    </w:rPr>
                  </w:pPr>
                  <w:r>
                    <w:rPr>
                      <w:rFonts w:ascii="宋体" w:hAnsi="宋体" w:cs="仿宋"/>
                      <w:sz w:val="21"/>
                      <w:szCs w:val="21"/>
                    </w:rPr>
                    <w:t>资源开发利用效率要求</w:t>
                  </w:r>
                  <w:r>
                    <w:rPr>
                      <w:rFonts w:hint="eastAsia" w:ascii="宋体" w:hAnsi="宋体" w:cs="仿宋"/>
                      <w:sz w:val="21"/>
                      <w:szCs w:val="21"/>
                    </w:rPr>
                    <w:t>：/</w:t>
                  </w:r>
                </w:p>
              </w:tc>
              <w:tc>
                <w:tcPr>
                  <w:tcW w:w="2757" w:type="dxa"/>
                  <w:vAlign w:val="center"/>
                </w:tcPr>
                <w:p w14:paraId="11B43E12">
                  <w:pPr>
                    <w:adjustRightInd w:val="0"/>
                    <w:snapToGrid w:val="0"/>
                    <w:spacing w:line="240" w:lineRule="auto"/>
                    <w:ind w:firstLine="0" w:firstLineChars="0"/>
                    <w:rPr>
                      <w:rFonts w:hint="eastAsia" w:ascii="宋体" w:hAnsi="宋体" w:cs="Times New Roman"/>
                      <w:sz w:val="21"/>
                      <w:szCs w:val="21"/>
                    </w:rPr>
                  </w:pPr>
                  <w:r>
                    <w:rPr>
                      <w:rFonts w:hint="eastAsia" w:ascii="宋体" w:hAnsi="宋体" w:cs="Times New Roman"/>
                      <w:sz w:val="21"/>
                      <w:szCs w:val="21"/>
                    </w:rPr>
                    <w:t>1、</w:t>
                  </w:r>
                  <w:r>
                    <w:rPr>
                      <w:rFonts w:ascii="宋体" w:hAnsi="宋体" w:cs="Times New Roman"/>
                      <w:sz w:val="21"/>
                      <w:szCs w:val="21"/>
                    </w:rPr>
                    <w:t>本项目不属于化工项目，不在河湖管理范围内倾倒、填埋、堆放、弃置、处理固体废物，不使用高污染燃料。</w:t>
                  </w:r>
                </w:p>
                <w:p w14:paraId="4ABDE99E">
                  <w:pPr>
                    <w:adjustRightInd w:val="0"/>
                    <w:snapToGrid w:val="0"/>
                    <w:spacing w:line="240" w:lineRule="auto"/>
                    <w:ind w:firstLine="0" w:firstLineChars="0"/>
                    <w:rPr>
                      <w:rFonts w:hint="eastAsia" w:ascii="宋体" w:hAnsi="宋体" w:cs="Times New Roman"/>
                      <w:sz w:val="21"/>
                      <w:szCs w:val="21"/>
                    </w:rPr>
                  </w:pPr>
                  <w:r>
                    <w:rPr>
                      <w:rFonts w:hint="eastAsia" w:ascii="宋体" w:hAnsi="宋体" w:cs="Times New Roman"/>
                      <w:sz w:val="21"/>
                      <w:szCs w:val="21"/>
                    </w:rPr>
                    <w:t>2、</w:t>
                  </w:r>
                  <w:r>
                    <w:rPr>
                      <w:rFonts w:ascii="宋体" w:hAnsi="宋体" w:cs="Times New Roman"/>
                      <w:sz w:val="21"/>
                      <w:szCs w:val="21"/>
                    </w:rPr>
                    <w:t>本项目不属于产能过剩行业，不涉及矿产资源开采。</w:t>
                  </w:r>
                </w:p>
                <w:p w14:paraId="72B82B43">
                  <w:pPr>
                    <w:adjustRightInd w:val="0"/>
                    <w:snapToGrid w:val="0"/>
                    <w:spacing w:line="240" w:lineRule="auto"/>
                    <w:ind w:firstLine="0" w:firstLineChars="0"/>
                    <w:rPr>
                      <w:rFonts w:hint="eastAsia" w:ascii="宋体" w:hAnsi="宋体" w:cs="Times New Roman"/>
                      <w:sz w:val="21"/>
                      <w:szCs w:val="21"/>
                    </w:rPr>
                  </w:pPr>
                  <w:r>
                    <w:rPr>
                      <w:rFonts w:hint="eastAsia" w:ascii="宋体" w:hAnsi="宋体" w:cs="Times New Roman"/>
                      <w:sz w:val="21"/>
                      <w:szCs w:val="21"/>
                    </w:rPr>
                    <w:t>3、</w:t>
                  </w:r>
                  <w:r>
                    <w:rPr>
                      <w:rFonts w:ascii="宋体" w:hAnsi="宋体" w:cs="Times New Roman"/>
                      <w:sz w:val="21"/>
                      <w:szCs w:val="21"/>
                    </w:rPr>
                    <w:t>本项目符合园区产业规划，属于允许类项目；本项目</w:t>
                  </w:r>
                  <w:r>
                    <w:rPr>
                      <w:rFonts w:hint="eastAsia" w:ascii="宋体" w:hAnsi="宋体" w:cs="Times New Roman"/>
                      <w:sz w:val="21"/>
                      <w:szCs w:val="21"/>
                    </w:rPr>
                    <w:t>无生产废水产生，生活污水经</w:t>
                  </w:r>
                  <w:r>
                    <w:rPr>
                      <w:rFonts w:ascii="宋体" w:hAnsi="宋体" w:cs="Times New Roman"/>
                      <w:sz w:val="21"/>
                      <w:szCs w:val="21"/>
                    </w:rPr>
                    <w:t>预处理后通过市政管网送至园区污水处理站处理后达标排放，不会对流域水体造成影响。</w:t>
                  </w:r>
                </w:p>
                <w:p w14:paraId="1E609384">
                  <w:pPr>
                    <w:adjustRightInd w:val="0"/>
                    <w:snapToGrid w:val="0"/>
                    <w:spacing w:line="240" w:lineRule="auto"/>
                    <w:ind w:firstLine="0" w:firstLineChars="0"/>
                    <w:rPr>
                      <w:rFonts w:hint="eastAsia" w:ascii="宋体" w:hAnsi="宋体" w:cs="Times New Roman"/>
                      <w:sz w:val="21"/>
                      <w:szCs w:val="21"/>
                    </w:rPr>
                  </w:pPr>
                  <w:r>
                    <w:rPr>
                      <w:rFonts w:hint="eastAsia" w:ascii="宋体" w:hAnsi="宋体" w:cs="Times New Roman"/>
                      <w:sz w:val="21"/>
                      <w:szCs w:val="21"/>
                    </w:rPr>
                    <w:t>4、</w:t>
                  </w:r>
                  <w:r>
                    <w:rPr>
                      <w:rFonts w:ascii="宋体" w:hAnsi="宋体" w:cs="Times New Roman"/>
                      <w:sz w:val="21"/>
                      <w:szCs w:val="21"/>
                    </w:rPr>
                    <w:t>本项目</w:t>
                  </w:r>
                  <w:r>
                    <w:rPr>
                      <w:rFonts w:hint="eastAsia" w:ascii="宋体" w:hAnsi="宋体" w:cs="Times New Roman"/>
                      <w:sz w:val="21"/>
                      <w:szCs w:val="21"/>
                    </w:rPr>
                    <w:t>位于巴中经开区核心区，属工业重点管控单元；本项目废气中颗粒物、V</w:t>
                  </w:r>
                  <w:r>
                    <w:rPr>
                      <w:rFonts w:ascii="宋体" w:hAnsi="宋体" w:cs="Times New Roman"/>
                      <w:sz w:val="21"/>
                      <w:szCs w:val="21"/>
                    </w:rPr>
                    <w:t>OCs</w:t>
                  </w:r>
                  <w:r>
                    <w:rPr>
                      <w:rFonts w:hint="eastAsia" w:ascii="宋体" w:hAnsi="宋体" w:cs="Times New Roman"/>
                      <w:sz w:val="21"/>
                      <w:szCs w:val="21"/>
                    </w:rPr>
                    <w:t>、二氧化硫、氮氧化物和废水中C</w:t>
                  </w:r>
                  <w:r>
                    <w:rPr>
                      <w:rFonts w:ascii="宋体" w:hAnsi="宋体" w:cs="Times New Roman"/>
                      <w:sz w:val="21"/>
                      <w:szCs w:val="21"/>
                    </w:rPr>
                    <w:t>OD</w:t>
                  </w:r>
                  <w:r>
                    <w:rPr>
                      <w:rFonts w:hint="eastAsia" w:ascii="宋体" w:hAnsi="宋体" w:cs="Times New Roman"/>
                      <w:sz w:val="21"/>
                      <w:szCs w:val="21"/>
                    </w:rPr>
                    <w:t>、氨氮、总磷排放量分别为</w:t>
                  </w:r>
                  <w:r>
                    <w:rPr>
                      <w:rFonts w:ascii="宋体" w:hAnsi="宋体" w:cs="Times New Roman"/>
                      <w:sz w:val="21"/>
                      <w:szCs w:val="21"/>
                    </w:rPr>
                    <w:t>0.</w:t>
                  </w:r>
                  <w:r>
                    <w:rPr>
                      <w:rFonts w:hint="eastAsia" w:ascii="宋体" w:hAnsi="宋体" w:cs="Times New Roman"/>
                      <w:sz w:val="21"/>
                      <w:szCs w:val="21"/>
                    </w:rPr>
                    <w:t>025t</w:t>
                  </w:r>
                  <w:r>
                    <w:rPr>
                      <w:rFonts w:ascii="宋体" w:hAnsi="宋体" w:cs="Times New Roman"/>
                      <w:sz w:val="21"/>
                      <w:szCs w:val="21"/>
                    </w:rPr>
                    <w:t>/a</w:t>
                  </w:r>
                  <w:r>
                    <w:rPr>
                      <w:rFonts w:hint="eastAsia" w:ascii="宋体" w:hAnsi="宋体" w:cs="Times New Roman"/>
                      <w:sz w:val="21"/>
                      <w:szCs w:val="21"/>
                    </w:rPr>
                    <w:t>、</w:t>
                  </w:r>
                  <w:r>
                    <w:rPr>
                      <w:rFonts w:ascii="宋体" w:hAnsi="宋体" w:cs="Times New Roman"/>
                      <w:spacing w:val="7"/>
                      <w:sz w:val="21"/>
                      <w:szCs w:val="21"/>
                    </w:rPr>
                    <w:t>6.24kg/a</w:t>
                  </w:r>
                  <w:r>
                    <w:rPr>
                      <w:rFonts w:hint="eastAsia" w:ascii="宋体" w:hAnsi="宋体" w:cs="Times New Roman"/>
                      <w:sz w:val="21"/>
                      <w:szCs w:val="21"/>
                    </w:rPr>
                    <w:t>、</w:t>
                  </w:r>
                  <w:r>
                    <w:rPr>
                      <w:rFonts w:ascii="宋体" w:hAnsi="宋体" w:cs="Times New Roman"/>
                      <w:spacing w:val="7"/>
                      <w:sz w:val="21"/>
                      <w:szCs w:val="21"/>
                    </w:rPr>
                    <w:t>6.24kg/a</w:t>
                  </w:r>
                  <w:r>
                    <w:rPr>
                      <w:rFonts w:hint="eastAsia" w:ascii="宋体" w:hAnsi="宋体" w:cs="Times New Roman"/>
                      <w:sz w:val="21"/>
                      <w:szCs w:val="21"/>
                    </w:rPr>
                    <w:t>、</w:t>
                  </w:r>
                  <w:r>
                    <w:rPr>
                      <w:rFonts w:ascii="宋体" w:hAnsi="宋体" w:cs="Times New Roman"/>
                      <w:spacing w:val="7"/>
                      <w:sz w:val="21"/>
                      <w:szCs w:val="21"/>
                    </w:rPr>
                    <w:t>21.75kg/a</w:t>
                  </w:r>
                  <w:r>
                    <w:rPr>
                      <w:rFonts w:hint="eastAsia" w:ascii="宋体" w:hAnsi="宋体" w:cs="Times New Roman"/>
                      <w:sz w:val="21"/>
                      <w:szCs w:val="21"/>
                    </w:rPr>
                    <w:t>、</w:t>
                  </w:r>
                  <w:r>
                    <w:rPr>
                      <w:rFonts w:ascii="宋体" w:hAnsi="宋体" w:cs="Times New Roman"/>
                      <w:sz w:val="21"/>
                      <w:szCs w:val="21"/>
                    </w:rPr>
                    <w:t>0.54t/a</w:t>
                  </w:r>
                  <w:r>
                    <w:rPr>
                      <w:rFonts w:hint="eastAsia" w:ascii="宋体" w:hAnsi="宋体" w:cs="Times New Roman"/>
                      <w:sz w:val="21"/>
                      <w:szCs w:val="21"/>
                    </w:rPr>
                    <w:t>、</w:t>
                  </w:r>
                  <w:r>
                    <w:rPr>
                      <w:rFonts w:ascii="宋体" w:hAnsi="宋体" w:cs="Times New Roman"/>
                      <w:sz w:val="21"/>
                      <w:szCs w:val="21"/>
                    </w:rPr>
                    <w:t>0.049t/a</w:t>
                  </w:r>
                  <w:r>
                    <w:rPr>
                      <w:rFonts w:hint="eastAsia" w:ascii="宋体" w:hAnsi="宋体" w:cs="Times New Roman"/>
                      <w:sz w:val="21"/>
                      <w:szCs w:val="21"/>
                    </w:rPr>
                    <w:t>、</w:t>
                  </w:r>
                  <w:r>
                    <w:rPr>
                      <w:rFonts w:ascii="宋体" w:hAnsi="宋体" w:cs="Times New Roman"/>
                      <w:sz w:val="21"/>
                      <w:szCs w:val="21"/>
                    </w:rPr>
                    <w:t>0.009t/a</w:t>
                  </w:r>
                  <w:r>
                    <w:rPr>
                      <w:rFonts w:hint="eastAsia" w:ascii="宋体" w:hAnsi="宋体" w:cs="Times New Roman"/>
                      <w:sz w:val="21"/>
                      <w:szCs w:val="21"/>
                    </w:rPr>
                    <w:t>，占总允许排放量的比例极小，不会对区域总量控制造成明显影响</w:t>
                  </w:r>
                  <w:r>
                    <w:rPr>
                      <w:rFonts w:ascii="宋体" w:hAnsi="宋体" w:cs="Times New Roman"/>
                      <w:sz w:val="21"/>
                      <w:szCs w:val="21"/>
                    </w:rPr>
                    <w:t>。</w:t>
                  </w:r>
                </w:p>
                <w:p w14:paraId="7A07F143">
                  <w:pPr>
                    <w:adjustRightInd w:val="0"/>
                    <w:snapToGrid w:val="0"/>
                    <w:spacing w:line="240" w:lineRule="auto"/>
                    <w:ind w:firstLine="0" w:firstLineChars="0"/>
                    <w:rPr>
                      <w:rFonts w:hint="eastAsia" w:ascii="宋体" w:hAnsi="宋体" w:cs="仿宋"/>
                      <w:sz w:val="21"/>
                      <w:szCs w:val="21"/>
                    </w:rPr>
                  </w:pPr>
                  <w:r>
                    <w:rPr>
                      <w:rFonts w:hint="eastAsia" w:ascii="宋体" w:hAnsi="宋体" w:cs="Times New Roman"/>
                      <w:sz w:val="21"/>
                      <w:szCs w:val="21"/>
                    </w:rPr>
                    <w:t>5、本项目为改扩建项目使用的三聚氰胺浸渍纸</w:t>
                  </w:r>
                  <w:r>
                    <w:rPr>
                      <w:rFonts w:ascii="宋体" w:hAnsi="宋体" w:cs="Times New Roman"/>
                      <w:sz w:val="21"/>
                      <w:szCs w:val="21"/>
                    </w:rPr>
                    <w:t>VOCs含量</w:t>
                  </w:r>
                  <w:r>
                    <w:rPr>
                      <w:rFonts w:hint="eastAsia" w:ascii="宋体" w:hAnsi="宋体" w:cs="Times New Roman"/>
                      <w:sz w:val="21"/>
                      <w:szCs w:val="21"/>
                    </w:rPr>
                    <w:t>低，排放的低</w:t>
                  </w:r>
                  <w:r>
                    <w:rPr>
                      <w:rFonts w:ascii="宋体" w:hAnsi="宋体" w:cs="Times New Roman"/>
                      <w:sz w:val="21"/>
                      <w:szCs w:val="21"/>
                    </w:rPr>
                    <w:t>VOCs</w:t>
                  </w:r>
                  <w:r>
                    <w:rPr>
                      <w:rFonts w:hint="eastAsia" w:ascii="宋体" w:hAnsi="宋体" w:cs="Times New Roman"/>
                      <w:sz w:val="21"/>
                      <w:szCs w:val="21"/>
                    </w:rPr>
                    <w:t>经活性炭装置处理后达标排放；</w:t>
                  </w:r>
                </w:p>
                <w:p w14:paraId="1DBF8E07">
                  <w:pPr>
                    <w:adjustRightInd w:val="0"/>
                    <w:snapToGrid w:val="0"/>
                    <w:spacing w:line="240" w:lineRule="auto"/>
                    <w:ind w:firstLine="0" w:firstLineChars="0"/>
                    <w:rPr>
                      <w:rFonts w:hint="eastAsia" w:ascii="宋体" w:hAnsi="宋体" w:cs="Times New Roman"/>
                      <w:sz w:val="21"/>
                      <w:szCs w:val="21"/>
                    </w:rPr>
                  </w:pPr>
                  <w:r>
                    <w:rPr>
                      <w:rFonts w:ascii="宋体" w:hAnsi="宋体" w:cs="Times New Roman"/>
                      <w:sz w:val="21"/>
                      <w:szCs w:val="21"/>
                    </w:rPr>
                    <w:t>本项目不属于涉及有毒有害、易燃易爆物质项目。经风险评估，本项目风险潜势为I级，总体环境风险较低。</w:t>
                  </w:r>
                </w:p>
                <w:p w14:paraId="58B87197">
                  <w:pPr>
                    <w:adjustRightInd w:val="0"/>
                    <w:snapToGrid w:val="0"/>
                    <w:spacing w:line="240" w:lineRule="auto"/>
                    <w:ind w:firstLine="0" w:firstLineChars="0"/>
                    <w:rPr>
                      <w:rFonts w:hint="eastAsia" w:ascii="宋体" w:hAnsi="宋体" w:cs="Times New Roman"/>
                      <w:sz w:val="21"/>
                      <w:szCs w:val="21"/>
                    </w:rPr>
                  </w:pPr>
                  <w:r>
                    <w:rPr>
                      <w:rFonts w:hint="eastAsia" w:ascii="宋体" w:hAnsi="宋体" w:cs="Times New Roman"/>
                      <w:sz w:val="21"/>
                      <w:szCs w:val="21"/>
                    </w:rPr>
                    <w:t>6、</w:t>
                  </w:r>
                  <w:r>
                    <w:rPr>
                      <w:rFonts w:ascii="宋体" w:hAnsi="宋体" w:cs="Times New Roman"/>
                      <w:sz w:val="21"/>
                      <w:szCs w:val="21"/>
                    </w:rPr>
                    <w:t>本项目用水量较少，用水仅为市政供水的自来水，不涉及取</w:t>
                  </w:r>
                  <w:r>
                    <w:rPr>
                      <w:rFonts w:hint="eastAsia" w:ascii="宋体" w:hAnsi="宋体" w:cs="Times New Roman"/>
                      <w:sz w:val="21"/>
                      <w:szCs w:val="21"/>
                    </w:rPr>
                    <w:t>地下</w:t>
                  </w:r>
                  <w:r>
                    <w:rPr>
                      <w:rFonts w:ascii="宋体" w:hAnsi="宋体" w:cs="Times New Roman"/>
                      <w:sz w:val="21"/>
                      <w:szCs w:val="21"/>
                    </w:rPr>
                    <w:t>水。</w:t>
                  </w:r>
                </w:p>
                <w:p w14:paraId="36EA9FE6">
                  <w:pPr>
                    <w:adjustRightInd w:val="0"/>
                    <w:snapToGrid w:val="0"/>
                    <w:spacing w:line="240" w:lineRule="auto"/>
                    <w:ind w:firstLine="0" w:firstLineChars="0"/>
                    <w:rPr>
                      <w:rFonts w:hint="eastAsia" w:ascii="宋体" w:hAnsi="宋体" w:cs="宋体"/>
                      <w:kern w:val="0"/>
                      <w:sz w:val="21"/>
                      <w:szCs w:val="21"/>
                    </w:rPr>
                  </w:pPr>
                  <w:r>
                    <w:rPr>
                      <w:rFonts w:hint="eastAsia" w:ascii="宋体" w:hAnsi="宋体" w:cs="Times New Roman"/>
                      <w:sz w:val="21"/>
                      <w:szCs w:val="21"/>
                    </w:rPr>
                    <w:t>7、</w:t>
                  </w:r>
                  <w:r>
                    <w:rPr>
                      <w:rFonts w:ascii="宋体" w:hAnsi="宋体" w:cs="Times New Roman"/>
                      <w:sz w:val="21"/>
                      <w:szCs w:val="21"/>
                    </w:rPr>
                    <w:t>本项目使用的能源为电、天然气，不涉及高污染燃料的使用。</w:t>
                  </w:r>
                </w:p>
              </w:tc>
              <w:tc>
                <w:tcPr>
                  <w:tcW w:w="837" w:type="dxa"/>
                  <w:vAlign w:val="center"/>
                </w:tcPr>
                <w:p w14:paraId="6204FF90">
                  <w:pPr>
                    <w:adjustRightInd w:val="0"/>
                    <w:snapToGrid w:val="0"/>
                    <w:spacing w:line="240" w:lineRule="auto"/>
                    <w:ind w:firstLine="0" w:firstLineChars="0"/>
                    <w:jc w:val="center"/>
                    <w:rPr>
                      <w:rFonts w:hint="eastAsia" w:ascii="宋体" w:hAnsi="宋体" w:cs="Times New Roman"/>
                      <w:sz w:val="21"/>
                      <w:szCs w:val="21"/>
                    </w:rPr>
                  </w:pPr>
                  <w:r>
                    <w:rPr>
                      <w:rFonts w:hint="eastAsia" w:ascii="宋体" w:hAnsi="宋体" w:cs="Times New Roman"/>
                      <w:sz w:val="21"/>
                      <w:szCs w:val="21"/>
                    </w:rPr>
                    <w:t>符合</w:t>
                  </w:r>
                </w:p>
              </w:tc>
            </w:tr>
          </w:tbl>
          <w:p w14:paraId="7BC42391">
            <w:pPr>
              <w:ind w:firstLine="480"/>
              <w:rPr>
                <w:rFonts w:cs="Times New Roman"/>
              </w:rPr>
            </w:pPr>
            <w:r>
              <w:rPr>
                <w:rFonts w:cs="Times New Roman"/>
              </w:rPr>
              <w:t>综上所述，本项目与</w:t>
            </w:r>
            <w:r>
              <w:rPr>
                <w:rFonts w:hint="eastAsia" w:cs="Times New Roman"/>
                <w:szCs w:val="21"/>
              </w:rPr>
              <w:t>巴中市生态环境分区管控相关要求</w:t>
            </w:r>
            <w:r>
              <w:rPr>
                <w:rFonts w:cs="Times New Roman"/>
              </w:rPr>
              <w:t>相符。</w:t>
            </w:r>
          </w:p>
        </w:tc>
      </w:tr>
    </w:tbl>
    <w:p w14:paraId="36279785">
      <w:pPr>
        <w:ind w:firstLine="0" w:firstLineChars="0"/>
        <w:rPr>
          <w:rFonts w:cs="Times New Roman"/>
        </w:rPr>
        <w:sectPr>
          <w:pgSz w:w="16838" w:h="11906" w:orient="landscape"/>
          <w:pgMar w:top="1440" w:right="1800" w:bottom="1440" w:left="1800" w:header="851" w:footer="283" w:gutter="0"/>
          <w:cols w:space="425" w:num="1"/>
          <w:docGrid w:type="lines" w:linePitch="326" w:charSpace="0"/>
        </w:sectPr>
      </w:pP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2"/>
        <w:gridCol w:w="9184"/>
      </w:tblGrid>
      <w:tr w14:paraId="22222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27ECA448">
            <w:pPr>
              <w:pStyle w:val="30"/>
              <w:rPr>
                <w:rFonts w:cs="Times New Roman"/>
              </w:rPr>
            </w:pPr>
            <w:r>
              <w:rPr>
                <w:rFonts w:cs="Times New Roman"/>
              </w:rPr>
              <w:t>其他符合性分析</w:t>
            </w:r>
          </w:p>
        </w:tc>
        <w:tc>
          <w:tcPr>
            <w:tcW w:w="9032" w:type="dxa"/>
          </w:tcPr>
          <w:p w14:paraId="3C672544">
            <w:pPr>
              <w:pStyle w:val="3"/>
              <w:spacing w:before="163"/>
            </w:pPr>
            <w:r>
              <w:t>4、与地方生态环境保护规划要求的符合性分析</w:t>
            </w:r>
          </w:p>
          <w:p w14:paraId="5C0D63A3">
            <w:pPr>
              <w:pStyle w:val="13"/>
              <w:keepNext/>
              <w:rPr>
                <w:rFonts w:cs="Times New Roman"/>
              </w:rPr>
            </w:pPr>
            <w:r>
              <w:rPr>
                <w:rFonts w:cs="Times New Roman"/>
              </w:rPr>
              <w:t xml:space="preserve">表 </w:t>
            </w:r>
            <w:r>
              <w:rPr>
                <w:rFonts w:cs="Times New Roman"/>
              </w:rPr>
              <w:fldChar w:fldCharType="begin"/>
            </w:r>
            <w:r>
              <w:rPr>
                <w:rFonts w:cs="Times New Roman"/>
              </w:rPr>
              <w:instrText xml:space="preserve"> SEQ seq \c </w:instrText>
            </w:r>
            <w:r>
              <w:rPr>
                <w:rFonts w:cs="Times New Roman"/>
              </w:rPr>
              <w:fldChar w:fldCharType="separate"/>
            </w:r>
            <w:r>
              <w:rPr>
                <w:rFonts w:cs="Times New Roman"/>
              </w:rPr>
              <w:t>1</w:t>
            </w:r>
            <w:r>
              <w:rPr>
                <w:rFonts w:cs="Times New Roman"/>
              </w:rPr>
              <w:fldChar w:fldCharType="end"/>
            </w:r>
            <w:r>
              <w:rPr>
                <w:rFonts w:cs="Times New Roman"/>
              </w:rPr>
              <w:noBreakHyphen/>
            </w:r>
            <w:r>
              <w:rPr>
                <w:rFonts w:cs="Times New Roman"/>
              </w:rPr>
              <w:fldChar w:fldCharType="begin"/>
            </w:r>
            <w:r>
              <w:rPr>
                <w:rFonts w:cs="Times New Roman"/>
              </w:rPr>
              <w:instrText xml:space="preserve"> SEQ 表 \* ARABIC \s 1 </w:instrText>
            </w:r>
            <w:r>
              <w:rPr>
                <w:rFonts w:cs="Times New Roman"/>
              </w:rPr>
              <w:fldChar w:fldCharType="separate"/>
            </w:r>
            <w:r>
              <w:rPr>
                <w:rFonts w:cs="Times New Roman"/>
              </w:rPr>
              <w:t>9</w:t>
            </w:r>
            <w:r>
              <w:rPr>
                <w:rFonts w:cs="Times New Roman"/>
              </w:rPr>
              <w:fldChar w:fldCharType="end"/>
            </w:r>
            <w:r>
              <w:rPr>
                <w:rFonts w:cs="Times New Roman"/>
              </w:rPr>
              <w:t xml:space="preserve"> 与地方生态环境保护规划的符合性分析</w:t>
            </w:r>
          </w:p>
          <w:tbl>
            <w:tblPr>
              <w:tblStyle w:val="33"/>
              <w:tblW w:w="88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36"/>
              <w:gridCol w:w="3984"/>
              <w:gridCol w:w="2626"/>
              <w:gridCol w:w="862"/>
            </w:tblGrid>
            <w:tr w14:paraId="089E0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571" w:type="pct"/>
                  <w:vAlign w:val="center"/>
                </w:tcPr>
                <w:p w14:paraId="08B45E6D">
                  <w:pPr>
                    <w:pStyle w:val="53"/>
                    <w:rPr>
                      <w:rFonts w:cs="Times New Roman"/>
                    </w:rPr>
                  </w:pPr>
                  <w:r>
                    <w:rPr>
                      <w:rFonts w:cs="Times New Roman"/>
                    </w:rPr>
                    <w:t>名称</w:t>
                  </w:r>
                </w:p>
              </w:tc>
              <w:tc>
                <w:tcPr>
                  <w:tcW w:w="2324" w:type="pct"/>
                  <w:vAlign w:val="center"/>
                </w:tcPr>
                <w:p w14:paraId="0A9738E5">
                  <w:pPr>
                    <w:pStyle w:val="53"/>
                    <w:rPr>
                      <w:rFonts w:cs="Times New Roman"/>
                    </w:rPr>
                  </w:pPr>
                  <w:r>
                    <w:rPr>
                      <w:rFonts w:cs="Times New Roman"/>
                    </w:rPr>
                    <w:t>规划要求内容</w:t>
                  </w:r>
                </w:p>
              </w:tc>
              <w:tc>
                <w:tcPr>
                  <w:tcW w:w="1553" w:type="pct"/>
                  <w:vAlign w:val="center"/>
                </w:tcPr>
                <w:p w14:paraId="666E4CA1">
                  <w:pPr>
                    <w:pStyle w:val="53"/>
                    <w:rPr>
                      <w:rFonts w:cs="Times New Roman"/>
                    </w:rPr>
                  </w:pPr>
                  <w:r>
                    <w:rPr>
                      <w:rFonts w:cs="Times New Roman"/>
                    </w:rPr>
                    <w:t>本项目情况</w:t>
                  </w:r>
                </w:p>
              </w:tc>
              <w:tc>
                <w:tcPr>
                  <w:tcW w:w="552" w:type="pct"/>
                  <w:vAlign w:val="center"/>
                </w:tcPr>
                <w:p w14:paraId="307EB978">
                  <w:pPr>
                    <w:pStyle w:val="53"/>
                    <w:rPr>
                      <w:rFonts w:cs="Times New Roman"/>
                    </w:rPr>
                  </w:pPr>
                  <w:r>
                    <w:rPr>
                      <w:rFonts w:cs="Times New Roman"/>
                    </w:rPr>
                    <w:t>符合性</w:t>
                  </w:r>
                </w:p>
              </w:tc>
            </w:tr>
            <w:tr w14:paraId="48FBF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571" w:type="pct"/>
                  <w:vMerge w:val="restart"/>
                  <w:vAlign w:val="center"/>
                </w:tcPr>
                <w:p w14:paraId="31E0978D">
                  <w:pPr>
                    <w:pStyle w:val="14"/>
                    <w:rPr>
                      <w:rFonts w:cs="Times New Roman"/>
                    </w:rPr>
                  </w:pPr>
                  <w:r>
                    <w:rPr>
                      <w:rFonts w:cs="Times New Roman"/>
                    </w:rPr>
                    <w:t>《巴中市“十四五”生态环境保护规划》</w:t>
                  </w:r>
                </w:p>
              </w:tc>
              <w:tc>
                <w:tcPr>
                  <w:tcW w:w="2324" w:type="pct"/>
                  <w:vAlign w:val="center"/>
                </w:tcPr>
                <w:p w14:paraId="1022BA57">
                  <w:pPr>
                    <w:pStyle w:val="14"/>
                    <w:rPr>
                      <w:rFonts w:cs="Times New Roman"/>
                    </w:rPr>
                  </w:pPr>
                  <w:r>
                    <w:rPr>
                      <w:rFonts w:cs="Times New Roman"/>
                    </w:rPr>
                    <w:t>严格控制挥发性有机物（VOCs）排放。实施VOCs排放总量控制制度，制定VOCs专项整治方案；…推广使用低（无）VOCs含量涂料、油墨和胶黏剂等；</w:t>
                  </w:r>
                </w:p>
              </w:tc>
              <w:tc>
                <w:tcPr>
                  <w:tcW w:w="1553" w:type="pct"/>
                  <w:vAlign w:val="center"/>
                </w:tcPr>
                <w:p w14:paraId="1F536556">
                  <w:pPr>
                    <w:pStyle w:val="14"/>
                    <w:rPr>
                      <w:rFonts w:cs="Times New Roman"/>
                    </w:rPr>
                  </w:pPr>
                  <w:r>
                    <w:rPr>
                      <w:rFonts w:cs="Times New Roman"/>
                    </w:rPr>
                    <w:t>项目使用低VOCs含量的</w:t>
                  </w:r>
                  <w:r>
                    <w:rPr>
                      <w:rFonts w:hint="eastAsia" w:cs="Times New Roman"/>
                    </w:rPr>
                    <w:t>三聚氰胺浸渍纸</w:t>
                  </w:r>
                  <w:r>
                    <w:rPr>
                      <w:rFonts w:cs="Times New Roman"/>
                    </w:rPr>
                    <w:t>，严格落实按照总量控制制度，按照相关要求申请总量并落实，含VOCs废气均经收集处理后达标排放。</w:t>
                  </w:r>
                </w:p>
              </w:tc>
              <w:tc>
                <w:tcPr>
                  <w:tcW w:w="552" w:type="pct"/>
                  <w:vAlign w:val="center"/>
                </w:tcPr>
                <w:p w14:paraId="5D6363E4">
                  <w:pPr>
                    <w:pStyle w:val="14"/>
                    <w:rPr>
                      <w:rFonts w:cs="Times New Roman"/>
                    </w:rPr>
                  </w:pPr>
                  <w:r>
                    <w:rPr>
                      <w:rFonts w:cs="Times New Roman"/>
                    </w:rPr>
                    <w:t>符合</w:t>
                  </w:r>
                </w:p>
              </w:tc>
              <w:bookmarkStart w:id="35" w:name="_Hlk206420263"/>
            </w:tr>
            <w:tr w14:paraId="1DDCC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571" w:type="pct"/>
                  <w:vMerge w:val="continue"/>
                  <w:vAlign w:val="center"/>
                </w:tcPr>
                <w:p w14:paraId="066E3B3C">
                  <w:pPr>
                    <w:pStyle w:val="14"/>
                    <w:rPr>
                      <w:rFonts w:cs="Times New Roman"/>
                    </w:rPr>
                  </w:pPr>
                </w:p>
              </w:tc>
              <w:tc>
                <w:tcPr>
                  <w:tcW w:w="2324" w:type="pct"/>
                  <w:vAlign w:val="center"/>
                </w:tcPr>
                <w:p w14:paraId="4DE32E6F">
                  <w:pPr>
                    <w:pStyle w:val="14"/>
                    <w:rPr>
                      <w:rFonts w:cs="Times New Roman"/>
                    </w:rPr>
                  </w:pPr>
                  <w:r>
                    <w:rPr>
                      <w:rFonts w:cs="Times New Roman"/>
                    </w:rPr>
                    <w:t>强化工业企业监督管理。加强工业园区基础设施建设，强化工业企业污水处理设施监督管理，严格工业企业废水排放标准，以排污许可为核心，持续开展工业企业污染源监督、检查。</w:t>
                  </w:r>
                </w:p>
              </w:tc>
              <w:tc>
                <w:tcPr>
                  <w:tcW w:w="1553" w:type="pct"/>
                  <w:vAlign w:val="center"/>
                </w:tcPr>
                <w:p w14:paraId="1F7936A9">
                  <w:pPr>
                    <w:pStyle w:val="14"/>
                    <w:rPr>
                      <w:rFonts w:cs="Times New Roman"/>
                    </w:rPr>
                  </w:pPr>
                  <w:r>
                    <w:rPr>
                      <w:rFonts w:cs="Times New Roman"/>
                    </w:rPr>
                    <w:t>本项目</w:t>
                  </w:r>
                  <w:r>
                    <w:rPr>
                      <w:rFonts w:hint="eastAsia" w:cs="Times New Roman"/>
                    </w:rPr>
                    <w:t>无生产废水排放，生活污水经</w:t>
                  </w:r>
                  <w:r>
                    <w:rPr>
                      <w:rFonts w:cs="Times New Roman"/>
                    </w:rPr>
                    <w:t>预处理达标后排入市政管网，送至巴中经开区污水处理厂进一步处理达标后排放。</w:t>
                  </w:r>
                </w:p>
              </w:tc>
              <w:tc>
                <w:tcPr>
                  <w:tcW w:w="552" w:type="pct"/>
                  <w:vAlign w:val="center"/>
                </w:tcPr>
                <w:p w14:paraId="0832BF2D">
                  <w:pPr>
                    <w:pStyle w:val="14"/>
                    <w:rPr>
                      <w:rFonts w:cs="Times New Roman"/>
                    </w:rPr>
                  </w:pPr>
                  <w:r>
                    <w:rPr>
                      <w:rFonts w:cs="Times New Roman"/>
                    </w:rPr>
                    <w:t>符合</w:t>
                  </w:r>
                </w:p>
                <w:bookmarkEnd w:id="35"/>
              </w:tc>
            </w:tr>
            <w:tr w14:paraId="3C0E8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571" w:type="pct"/>
                  <w:vMerge w:val="continue"/>
                  <w:vAlign w:val="center"/>
                </w:tcPr>
                <w:p w14:paraId="393CD296">
                  <w:pPr>
                    <w:pStyle w:val="14"/>
                    <w:rPr>
                      <w:rFonts w:cs="Times New Roman"/>
                    </w:rPr>
                  </w:pPr>
                </w:p>
              </w:tc>
              <w:tc>
                <w:tcPr>
                  <w:tcW w:w="2324" w:type="pct"/>
                  <w:vAlign w:val="center"/>
                </w:tcPr>
                <w:p w14:paraId="6D67A320">
                  <w:pPr>
                    <w:pStyle w:val="14"/>
                    <w:rPr>
                      <w:rFonts w:cs="Times New Roman"/>
                    </w:rPr>
                  </w:pPr>
                  <w:r>
                    <w:rPr>
                      <w:rFonts w:cs="Times New Roman"/>
                    </w:rPr>
                    <w:t>确保危险废物安全处理处置。强化危险废物日常监管，落实危险废物申报登记和管理计划备案制度，建立危险废物管理台账，完善危险废物产生单位内部管理制度。对危险废物的产生、收集、贮存、运输及处理处置实施全过程、全方位跟踪管理，确保到2025年危险废物利用处置率保持在100%。</w:t>
                  </w:r>
                </w:p>
              </w:tc>
              <w:tc>
                <w:tcPr>
                  <w:tcW w:w="1553" w:type="pct"/>
                  <w:vAlign w:val="center"/>
                </w:tcPr>
                <w:p w14:paraId="3BE9EC46">
                  <w:pPr>
                    <w:pStyle w:val="14"/>
                    <w:rPr>
                      <w:rFonts w:cs="Times New Roman"/>
                    </w:rPr>
                  </w:pPr>
                  <w:bookmarkStart w:id="36" w:name="OLE_LINK37"/>
                  <w:r>
                    <w:rPr>
                      <w:rFonts w:cs="Times New Roman"/>
                    </w:rPr>
                    <w:t>本项目严格落实危废管理制度、转移联单制度等危险废物管理要求，建设合规的危废暂存间</w:t>
                  </w:r>
                  <w:bookmarkEnd w:id="36"/>
                  <w:r>
                    <w:rPr>
                      <w:rFonts w:cs="Times New Roman"/>
                    </w:rPr>
                    <w:t>。</w:t>
                  </w:r>
                </w:p>
              </w:tc>
              <w:tc>
                <w:tcPr>
                  <w:tcW w:w="552" w:type="pct"/>
                  <w:vAlign w:val="center"/>
                </w:tcPr>
                <w:p w14:paraId="181A17C4">
                  <w:pPr>
                    <w:pStyle w:val="14"/>
                    <w:rPr>
                      <w:rFonts w:cs="Times New Roman"/>
                    </w:rPr>
                  </w:pPr>
                  <w:r>
                    <w:rPr>
                      <w:rFonts w:cs="Times New Roman"/>
                    </w:rPr>
                    <w:t>符合</w:t>
                  </w:r>
                </w:p>
              </w:tc>
            </w:tr>
            <w:tr w14:paraId="0DBD0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571" w:type="pct"/>
                  <w:vMerge w:val="continue"/>
                  <w:vAlign w:val="center"/>
                </w:tcPr>
                <w:p w14:paraId="1483707E">
                  <w:pPr>
                    <w:pStyle w:val="14"/>
                    <w:rPr>
                      <w:rFonts w:cs="Times New Roman"/>
                    </w:rPr>
                  </w:pPr>
                </w:p>
              </w:tc>
              <w:tc>
                <w:tcPr>
                  <w:tcW w:w="2324" w:type="pct"/>
                  <w:vAlign w:val="center"/>
                </w:tcPr>
                <w:p w14:paraId="117F501E">
                  <w:pPr>
                    <w:pStyle w:val="14"/>
                    <w:rPr>
                      <w:rFonts w:cs="Times New Roman"/>
                    </w:rPr>
                  </w:pPr>
                  <w:r>
                    <w:rPr>
                      <w:rFonts w:cs="Times New Roman"/>
                    </w:rPr>
                    <w:t>加强行业、园区、企业风险防范管控。落实相关企业环境风险防范主体责任。防范化解重特大突发环境事件风险，提高企业污染隐患和环境风险防范意识，督促企业健全环境应急体系和环境风险防范措施，定期开展环境应急演练，提高环境污染事故应急反应能力。</w:t>
                  </w:r>
                </w:p>
              </w:tc>
              <w:tc>
                <w:tcPr>
                  <w:tcW w:w="1553" w:type="pct"/>
                  <w:vAlign w:val="center"/>
                </w:tcPr>
                <w:p w14:paraId="5C31472B">
                  <w:pPr>
                    <w:pStyle w:val="14"/>
                    <w:rPr>
                      <w:rFonts w:cs="Times New Roman"/>
                    </w:rPr>
                  </w:pPr>
                  <w:r>
                    <w:rPr>
                      <w:rFonts w:cs="Times New Roman"/>
                    </w:rPr>
                    <w:t>落实环境风险防范措施，制定突发环境事件应急预案，定期开展应急演练。</w:t>
                  </w:r>
                </w:p>
              </w:tc>
              <w:tc>
                <w:tcPr>
                  <w:tcW w:w="552" w:type="pct"/>
                  <w:vAlign w:val="center"/>
                </w:tcPr>
                <w:p w14:paraId="69842645">
                  <w:pPr>
                    <w:pStyle w:val="14"/>
                    <w:rPr>
                      <w:rFonts w:cs="Times New Roman"/>
                    </w:rPr>
                  </w:pPr>
                  <w:r>
                    <w:rPr>
                      <w:rFonts w:cs="Times New Roman"/>
                    </w:rPr>
                    <w:t>符合</w:t>
                  </w:r>
                </w:p>
              </w:tc>
            </w:tr>
            <w:tr w14:paraId="71617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571" w:type="pct"/>
                  <w:vMerge w:val="restart"/>
                  <w:vAlign w:val="center"/>
                </w:tcPr>
                <w:p w14:paraId="27329474">
                  <w:pPr>
                    <w:pStyle w:val="14"/>
                    <w:rPr>
                      <w:rFonts w:cs="Times New Roman"/>
                    </w:rPr>
                  </w:pPr>
                  <w:r>
                    <w:rPr>
                      <w:rFonts w:cs="Times New Roman"/>
                    </w:rPr>
                    <w:t>《巴中市巴州区“十四五”生态环境保护规划（2021-2025年）》</w:t>
                  </w:r>
                </w:p>
              </w:tc>
              <w:tc>
                <w:tcPr>
                  <w:tcW w:w="2324" w:type="pct"/>
                  <w:vAlign w:val="center"/>
                </w:tcPr>
                <w:p w14:paraId="5A75F6B0">
                  <w:pPr>
                    <w:pStyle w:val="14"/>
                    <w:rPr>
                      <w:rFonts w:cs="Times New Roman"/>
                    </w:rPr>
                  </w:pPr>
                  <w:r>
                    <w:rPr>
                      <w:rFonts w:cs="Times New Roman"/>
                    </w:rPr>
                    <w:t>严格实施工业炉窑分级管控。推动B级以下企业工业炉窑的燃料清洁化替代、废气治理设施升级改造、全过程无组织排放管控。加强非电行业工业炉窑烟气脱硝技术推广应用。</w:t>
                  </w:r>
                </w:p>
              </w:tc>
              <w:tc>
                <w:tcPr>
                  <w:tcW w:w="1553" w:type="pct"/>
                  <w:vAlign w:val="center"/>
                </w:tcPr>
                <w:p w14:paraId="7A85A1E3">
                  <w:pPr>
                    <w:pStyle w:val="14"/>
                    <w:rPr>
                      <w:rFonts w:cs="Times New Roman"/>
                    </w:rPr>
                  </w:pPr>
                  <w:r>
                    <w:rPr>
                      <w:rFonts w:cs="Times New Roman"/>
                    </w:rPr>
                    <w:t>本项目</w:t>
                  </w:r>
                  <w:r>
                    <w:rPr>
                      <w:rFonts w:hint="eastAsia" w:cs="Times New Roman"/>
                    </w:rPr>
                    <w:t>不使用工业炉窑</w:t>
                  </w:r>
                </w:p>
              </w:tc>
              <w:tc>
                <w:tcPr>
                  <w:tcW w:w="552" w:type="pct"/>
                  <w:vAlign w:val="center"/>
                </w:tcPr>
                <w:p w14:paraId="73A08D81">
                  <w:pPr>
                    <w:pStyle w:val="14"/>
                    <w:rPr>
                      <w:rFonts w:cs="Times New Roman"/>
                    </w:rPr>
                  </w:pPr>
                  <w:r>
                    <w:rPr>
                      <w:rFonts w:cs="Times New Roman"/>
                    </w:rPr>
                    <w:t>符合</w:t>
                  </w:r>
                </w:p>
              </w:tc>
            </w:tr>
            <w:tr w14:paraId="4AD3A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571" w:type="pct"/>
                  <w:vMerge w:val="continue"/>
                  <w:vAlign w:val="center"/>
                </w:tcPr>
                <w:p w14:paraId="43A2D5CE">
                  <w:pPr>
                    <w:pStyle w:val="14"/>
                    <w:rPr>
                      <w:rFonts w:cs="Times New Roman"/>
                    </w:rPr>
                  </w:pPr>
                </w:p>
              </w:tc>
              <w:tc>
                <w:tcPr>
                  <w:tcW w:w="2324" w:type="pct"/>
                  <w:vAlign w:val="center"/>
                </w:tcPr>
                <w:p w14:paraId="58F125D0">
                  <w:pPr>
                    <w:pStyle w:val="14"/>
                    <w:rPr>
                      <w:rFonts w:cs="Times New Roman"/>
                    </w:rPr>
                  </w:pPr>
                  <w:r>
                    <w:rPr>
                      <w:rFonts w:cs="Times New Roman"/>
                    </w:rPr>
                    <w:t>严控工业生产过程及相关物料储存、输送等无组织排放。…鼓励生产、销售和使用无毒无害、低挥发性有机溶剂，推广高固体份、粉末涂料等环保型涂料。</w:t>
                  </w:r>
                </w:p>
              </w:tc>
              <w:tc>
                <w:tcPr>
                  <w:tcW w:w="1553" w:type="pct"/>
                  <w:vAlign w:val="center"/>
                </w:tcPr>
                <w:p w14:paraId="36447E92">
                  <w:pPr>
                    <w:pStyle w:val="14"/>
                    <w:rPr>
                      <w:rFonts w:cs="Times New Roman"/>
                    </w:rPr>
                  </w:pPr>
                  <w:r>
                    <w:rPr>
                      <w:rFonts w:cs="Times New Roman"/>
                    </w:rPr>
                    <w:t>本项目</w:t>
                  </w:r>
                  <w:r>
                    <w:rPr>
                      <w:rFonts w:hint="eastAsia" w:cs="Times New Roman"/>
                    </w:rPr>
                    <w:t>不是使用涂料</w:t>
                  </w:r>
                </w:p>
              </w:tc>
              <w:tc>
                <w:tcPr>
                  <w:tcW w:w="552" w:type="pct"/>
                  <w:vAlign w:val="center"/>
                </w:tcPr>
                <w:p w14:paraId="7CB870FD">
                  <w:pPr>
                    <w:pStyle w:val="14"/>
                    <w:rPr>
                      <w:rFonts w:cs="Times New Roman"/>
                    </w:rPr>
                  </w:pPr>
                  <w:r>
                    <w:rPr>
                      <w:rFonts w:cs="Times New Roman"/>
                    </w:rPr>
                    <w:t>符合</w:t>
                  </w:r>
                </w:p>
              </w:tc>
            </w:tr>
            <w:tr w14:paraId="2388D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571" w:type="pct"/>
                  <w:vMerge w:val="continue"/>
                  <w:vAlign w:val="center"/>
                </w:tcPr>
                <w:p w14:paraId="346729DD">
                  <w:pPr>
                    <w:pStyle w:val="14"/>
                    <w:rPr>
                      <w:rFonts w:cs="Times New Roman"/>
                    </w:rPr>
                  </w:pPr>
                </w:p>
              </w:tc>
              <w:tc>
                <w:tcPr>
                  <w:tcW w:w="2324" w:type="pct"/>
                  <w:vAlign w:val="center"/>
                </w:tcPr>
                <w:p w14:paraId="74BDDCBF">
                  <w:pPr>
                    <w:pStyle w:val="14"/>
                    <w:rPr>
                      <w:rFonts w:cs="Times New Roman"/>
                    </w:rPr>
                  </w:pPr>
                  <w:r>
                    <w:rPr>
                      <w:rFonts w:cs="Times New Roman"/>
                    </w:rPr>
                    <w:t>强化分类收集和贮存管理。加强对一般工业固体废物产生企业和危险废物重点监控企业的规范化监督管理，督促按规建设贮存设施和场所，落实安全分类存放措施。</w:t>
                  </w:r>
                </w:p>
              </w:tc>
              <w:tc>
                <w:tcPr>
                  <w:tcW w:w="1553" w:type="pct"/>
                  <w:vAlign w:val="center"/>
                </w:tcPr>
                <w:p w14:paraId="32CA86F2">
                  <w:pPr>
                    <w:pStyle w:val="14"/>
                    <w:rPr>
                      <w:rFonts w:cs="Times New Roman"/>
                    </w:rPr>
                  </w:pPr>
                  <w:r>
                    <w:rPr>
                      <w:rFonts w:cs="Times New Roman"/>
                    </w:rPr>
                    <w:t>本项目严格落实一般工业固废</w:t>
                  </w:r>
                  <w:r>
                    <w:rPr>
                      <w:rFonts w:hint="eastAsia" w:cs="Times New Roman"/>
                    </w:rPr>
                    <w:t>和危险废物</w:t>
                  </w:r>
                  <w:r>
                    <w:rPr>
                      <w:rFonts w:cs="Times New Roman"/>
                    </w:rPr>
                    <w:t>管理制度要求，所有固废均得到妥善处置。</w:t>
                  </w:r>
                </w:p>
              </w:tc>
              <w:tc>
                <w:tcPr>
                  <w:tcW w:w="552" w:type="pct"/>
                  <w:vAlign w:val="center"/>
                </w:tcPr>
                <w:p w14:paraId="1EA7B99F">
                  <w:pPr>
                    <w:pStyle w:val="14"/>
                    <w:rPr>
                      <w:rFonts w:cs="Times New Roman"/>
                    </w:rPr>
                  </w:pPr>
                  <w:r>
                    <w:rPr>
                      <w:rFonts w:cs="Times New Roman"/>
                    </w:rPr>
                    <w:t>符合</w:t>
                  </w:r>
                </w:p>
              </w:tc>
            </w:tr>
          </w:tbl>
          <w:p w14:paraId="546FEADE">
            <w:pPr>
              <w:ind w:firstLine="480"/>
              <w:rPr>
                <w:rFonts w:cs="Times New Roman"/>
              </w:rPr>
            </w:pPr>
            <w:r>
              <w:rPr>
                <w:rFonts w:cs="Times New Roman"/>
              </w:rPr>
              <w:t>综上所述，本项目符合巴中市、巴州区“十四五”生态环境保护规划的要求。</w:t>
            </w:r>
          </w:p>
          <w:p w14:paraId="64922D4C">
            <w:pPr>
              <w:pStyle w:val="3"/>
              <w:spacing w:before="163"/>
            </w:pPr>
            <w:r>
              <w:t>5、与大气污染防治相关要求符合性分析</w:t>
            </w:r>
          </w:p>
          <w:p w14:paraId="56E0B6F7">
            <w:pPr>
              <w:ind w:firstLine="480"/>
              <w:rPr>
                <w:rFonts w:cs="Times New Roman"/>
              </w:rPr>
            </w:pPr>
            <w:r>
              <w:rPr>
                <w:rFonts w:cs="Times New Roman"/>
              </w:rPr>
              <w:t>本项目与大气污染防治相关要求符合性见下表：</w:t>
            </w:r>
          </w:p>
          <w:p w14:paraId="05D81353">
            <w:pPr>
              <w:pStyle w:val="13"/>
              <w:keepNext/>
              <w:rPr>
                <w:rFonts w:cs="Times New Roman"/>
              </w:rPr>
            </w:pPr>
            <w:r>
              <w:rPr>
                <w:rFonts w:cs="Times New Roman"/>
              </w:rPr>
              <w:t xml:space="preserve">表 </w:t>
            </w:r>
            <w:r>
              <w:rPr>
                <w:rFonts w:cs="Times New Roman"/>
              </w:rPr>
              <w:fldChar w:fldCharType="begin"/>
            </w:r>
            <w:r>
              <w:rPr>
                <w:rFonts w:cs="Times New Roman"/>
              </w:rPr>
              <w:instrText xml:space="preserve"> SEQ seq \c </w:instrText>
            </w:r>
            <w:r>
              <w:rPr>
                <w:rFonts w:cs="Times New Roman"/>
              </w:rPr>
              <w:fldChar w:fldCharType="separate"/>
            </w:r>
            <w:r>
              <w:rPr>
                <w:rFonts w:cs="Times New Roman"/>
              </w:rPr>
              <w:t>1</w:t>
            </w:r>
            <w:r>
              <w:rPr>
                <w:rFonts w:cs="Times New Roman"/>
              </w:rPr>
              <w:fldChar w:fldCharType="end"/>
            </w:r>
            <w:r>
              <w:rPr>
                <w:rFonts w:cs="Times New Roman"/>
              </w:rPr>
              <w:noBreakHyphen/>
            </w:r>
            <w:r>
              <w:rPr>
                <w:rFonts w:cs="Times New Roman"/>
              </w:rPr>
              <w:fldChar w:fldCharType="begin"/>
            </w:r>
            <w:r>
              <w:rPr>
                <w:rFonts w:cs="Times New Roman"/>
              </w:rPr>
              <w:instrText xml:space="preserve"> SEQ 表 \* ARABIC \s 1 </w:instrText>
            </w:r>
            <w:r>
              <w:rPr>
                <w:rFonts w:cs="Times New Roman"/>
              </w:rPr>
              <w:fldChar w:fldCharType="separate"/>
            </w:r>
            <w:r>
              <w:rPr>
                <w:rFonts w:cs="Times New Roman"/>
              </w:rPr>
              <w:t>10</w:t>
            </w:r>
            <w:r>
              <w:rPr>
                <w:rFonts w:cs="Times New Roman"/>
              </w:rPr>
              <w:fldChar w:fldCharType="end"/>
            </w:r>
            <w:r>
              <w:rPr>
                <w:rFonts w:cs="Times New Roman"/>
              </w:rPr>
              <w:t xml:space="preserve"> </w:t>
            </w:r>
            <w:r>
              <w:rPr>
                <w:rFonts w:hint="eastAsia" w:cs="Times New Roman"/>
              </w:rPr>
              <w:t xml:space="preserve"> </w:t>
            </w:r>
            <w:r>
              <w:rPr>
                <w:rFonts w:cs="Times New Roman"/>
              </w:rPr>
              <w:t>与大气污染防治相关要求符合性分析</w:t>
            </w:r>
          </w:p>
          <w:tbl>
            <w:tblPr>
              <w:tblStyle w:val="3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40"/>
              <w:gridCol w:w="4454"/>
              <w:gridCol w:w="2494"/>
              <w:gridCol w:w="670"/>
            </w:tblGrid>
            <w:tr w14:paraId="18EEC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8" w:type="pct"/>
                  <w:vAlign w:val="center"/>
                </w:tcPr>
                <w:p w14:paraId="4D6A18B7">
                  <w:pPr>
                    <w:pStyle w:val="53"/>
                    <w:rPr>
                      <w:rFonts w:cs="Times New Roman"/>
                    </w:rPr>
                  </w:pPr>
                  <w:r>
                    <w:rPr>
                      <w:rFonts w:cs="Times New Roman"/>
                    </w:rPr>
                    <w:t>名称</w:t>
                  </w:r>
                </w:p>
              </w:tc>
              <w:tc>
                <w:tcPr>
                  <w:tcW w:w="2486" w:type="pct"/>
                  <w:vAlign w:val="center"/>
                </w:tcPr>
                <w:p w14:paraId="7A42FBD8">
                  <w:pPr>
                    <w:pStyle w:val="53"/>
                    <w:rPr>
                      <w:rFonts w:cs="Times New Roman"/>
                    </w:rPr>
                  </w:pPr>
                  <w:r>
                    <w:rPr>
                      <w:rFonts w:cs="Times New Roman"/>
                    </w:rPr>
                    <w:t>要求内容</w:t>
                  </w:r>
                </w:p>
              </w:tc>
              <w:tc>
                <w:tcPr>
                  <w:tcW w:w="1392" w:type="pct"/>
                  <w:vAlign w:val="center"/>
                </w:tcPr>
                <w:p w14:paraId="76C485BA">
                  <w:pPr>
                    <w:pStyle w:val="53"/>
                    <w:rPr>
                      <w:rFonts w:cs="Times New Roman"/>
                    </w:rPr>
                  </w:pPr>
                  <w:r>
                    <w:rPr>
                      <w:rFonts w:cs="Times New Roman"/>
                    </w:rPr>
                    <w:t>本项目情况</w:t>
                  </w:r>
                </w:p>
              </w:tc>
              <w:tc>
                <w:tcPr>
                  <w:tcW w:w="374" w:type="pct"/>
                  <w:vAlign w:val="center"/>
                </w:tcPr>
                <w:p w14:paraId="6C4B1EF0">
                  <w:pPr>
                    <w:pStyle w:val="53"/>
                    <w:rPr>
                      <w:rFonts w:cs="Times New Roman"/>
                    </w:rPr>
                  </w:pPr>
                  <w:r>
                    <w:rPr>
                      <w:rFonts w:cs="Times New Roman"/>
                    </w:rPr>
                    <w:t>符合性</w:t>
                  </w:r>
                </w:p>
              </w:tc>
            </w:tr>
            <w:tr w14:paraId="57662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8" w:type="pct"/>
                  <w:vAlign w:val="center"/>
                </w:tcPr>
                <w:p w14:paraId="1C26744E">
                  <w:pPr>
                    <w:pStyle w:val="14"/>
                    <w:rPr>
                      <w:rFonts w:cs="Times New Roman"/>
                    </w:rPr>
                  </w:pPr>
                  <w:r>
                    <w:rPr>
                      <w:rFonts w:cs="Times New Roman"/>
                    </w:rPr>
                    <w:t>《中华人民共和国大气污染防治法》</w:t>
                  </w:r>
                </w:p>
              </w:tc>
              <w:tc>
                <w:tcPr>
                  <w:tcW w:w="2486" w:type="pct"/>
                  <w:vAlign w:val="center"/>
                </w:tcPr>
                <w:p w14:paraId="0A4898F9">
                  <w:pPr>
                    <w:pStyle w:val="14"/>
                    <w:rPr>
                      <w:rFonts w:cs="Times New Roman"/>
                    </w:rPr>
                  </w:pPr>
                  <w:r>
                    <w:rPr>
                      <w:rFonts w:cs="Times New Roman"/>
                    </w:rPr>
                    <w:t>产生含挥发性有机物废气的生产和服务活动，应当在密闭空间或者设备中进行，并按照规定安装、使用污染防治设施；无法密闭的，应当采取措施减少废气排放</w:t>
                  </w:r>
                </w:p>
              </w:tc>
              <w:tc>
                <w:tcPr>
                  <w:tcW w:w="1392" w:type="pct"/>
                  <w:vAlign w:val="center"/>
                </w:tcPr>
                <w:p w14:paraId="1E214A9F">
                  <w:pPr>
                    <w:pStyle w:val="14"/>
                    <w:rPr>
                      <w:rFonts w:cs="Times New Roman"/>
                    </w:rPr>
                  </w:pPr>
                  <w:r>
                    <w:rPr>
                      <w:rFonts w:cs="Times New Roman"/>
                    </w:rPr>
                    <w:t>本项目VOCs废气采用</w:t>
                  </w:r>
                  <w:r>
                    <w:rPr>
                      <w:rFonts w:hint="eastAsia" w:cs="Times New Roman"/>
                    </w:rPr>
                    <w:t>1套</w:t>
                  </w:r>
                  <w:r>
                    <w:rPr>
                      <w:rFonts w:cs="Times New Roman"/>
                    </w:rPr>
                    <w:t>活性炭装置吸附处理后，经</w:t>
                  </w:r>
                  <w:r>
                    <w:rPr>
                      <w:rFonts w:hint="eastAsia" w:cs="Times New Roman"/>
                    </w:rPr>
                    <w:t>1</w:t>
                  </w:r>
                  <w:r>
                    <w:rPr>
                      <w:rFonts w:cs="Times New Roman"/>
                    </w:rPr>
                    <w:t>根15m高排气筒排放（DA00</w:t>
                  </w:r>
                  <w:r>
                    <w:rPr>
                      <w:rFonts w:hint="eastAsia" w:cs="Times New Roman"/>
                    </w:rPr>
                    <w:t>2</w:t>
                  </w:r>
                  <w:r>
                    <w:rPr>
                      <w:rFonts w:cs="Times New Roman"/>
                    </w:rPr>
                    <w:t>）。</w:t>
                  </w:r>
                </w:p>
              </w:tc>
              <w:tc>
                <w:tcPr>
                  <w:tcW w:w="374" w:type="pct"/>
                  <w:vAlign w:val="center"/>
                </w:tcPr>
                <w:p w14:paraId="7E387825">
                  <w:pPr>
                    <w:pStyle w:val="14"/>
                    <w:rPr>
                      <w:rFonts w:cs="Times New Roman"/>
                    </w:rPr>
                  </w:pPr>
                  <w:r>
                    <w:rPr>
                      <w:rFonts w:cs="Times New Roman"/>
                    </w:rPr>
                    <w:t>符合</w:t>
                  </w:r>
                </w:p>
              </w:tc>
            </w:tr>
            <w:tr w14:paraId="514A1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8" w:type="pct"/>
                  <w:vAlign w:val="center"/>
                </w:tcPr>
                <w:p w14:paraId="04108717">
                  <w:pPr>
                    <w:pStyle w:val="14"/>
                    <w:rPr>
                      <w:rFonts w:cs="Times New Roman"/>
                    </w:rPr>
                  </w:pPr>
                  <w:r>
                    <w:rPr>
                      <w:rFonts w:cs="Times New Roman"/>
                    </w:rPr>
                    <w:t>《重点行业挥发性有机物综合治理方案》（生态环境部环大气[2019]53号）</w:t>
                  </w:r>
                </w:p>
              </w:tc>
              <w:tc>
                <w:tcPr>
                  <w:tcW w:w="2486" w:type="pct"/>
                  <w:vAlign w:val="center"/>
                </w:tcPr>
                <w:p w14:paraId="091B2A04">
                  <w:pPr>
                    <w:pStyle w:val="14"/>
                    <w:rPr>
                      <w:rFonts w:cs="Times New Roman"/>
                    </w:rPr>
                  </w:pPr>
                  <w:r>
                    <w:rPr>
                      <w:rFonts w:cs="Times New Roman"/>
                    </w:rPr>
                    <w:t>（一）大力推进源头替代。（二）全面加强无组织排放控制。重点对含VOCs物料储存、转移和输送、设备与管线组件泄漏、敞开液面逸散以及工艺过程等五类排放源实施管控，通过采取设备与场所密闭、工艺改进、废气有效收集等措施，削减VOCs无组织排放；加强设备与场所密闭管理。含VOCs物料应储存于密闭容器、包装袋，高效密封储罐，封闭式储库、料仓等。含VOCs物料转移和输送，应采用密闭管道或密闭容器、罐车等。含VOCs物料生产和使用过程，应采取有效收集措施或在密闭空间中操作；推进使用先进生产工艺。通过采用全密闭、连续化、自动化等生产技术，以及高效工艺与设备等，减少工艺过程无组织排放，挥发性有机液体装载优先采用底部装载方式；提高废气收集率。采用全密闭集气罩或密闭空间的，除行业有特殊要求外，应保持微负压状态，并根据相关规范合理设置通风量。采用局部集气罩的，距集气罩开口面最远处的VOCs无组织排放位置，控制风速应不低于0.3米/秒，有行业要求的按相关规定执行。（三）推进建设适宜高效的治污设施。</w:t>
                  </w:r>
                </w:p>
              </w:tc>
              <w:tc>
                <w:tcPr>
                  <w:tcW w:w="1392" w:type="pct"/>
                  <w:vAlign w:val="center"/>
                </w:tcPr>
                <w:p w14:paraId="722798D1">
                  <w:pPr>
                    <w:pStyle w:val="14"/>
                    <w:rPr>
                      <w:rFonts w:cs="Times New Roman"/>
                    </w:rPr>
                  </w:pPr>
                  <w:r>
                    <w:rPr>
                      <w:rFonts w:cs="Times New Roman"/>
                    </w:rPr>
                    <w:t>本项目含VOCs物料仅为</w:t>
                  </w:r>
                  <w:r>
                    <w:rPr>
                      <w:rFonts w:hint="eastAsia" w:cs="Times New Roman"/>
                    </w:rPr>
                    <w:t>三聚氰胺浸渍纸</w:t>
                  </w:r>
                  <w:r>
                    <w:rPr>
                      <w:rFonts w:cs="Times New Roman"/>
                    </w:rPr>
                    <w:t>，</w:t>
                  </w:r>
                  <w:r>
                    <w:rPr>
                      <w:rFonts w:hint="eastAsia" w:cs="Times New Roman"/>
                    </w:rPr>
                    <w:t>设备</w:t>
                  </w:r>
                  <w:r>
                    <w:rPr>
                      <w:rFonts w:cs="Times New Roman"/>
                    </w:rPr>
                    <w:t>出口设置集气罩收集含VOCs废气，采用</w:t>
                  </w:r>
                  <w:r>
                    <w:rPr>
                      <w:rFonts w:hint="eastAsia" w:cs="Times New Roman"/>
                    </w:rPr>
                    <w:t>1套</w:t>
                  </w:r>
                  <w:r>
                    <w:rPr>
                      <w:rFonts w:cs="Times New Roman"/>
                    </w:rPr>
                    <w:t>活性炭装置吸附处理后，经</w:t>
                  </w:r>
                  <w:r>
                    <w:rPr>
                      <w:rFonts w:hint="eastAsia" w:cs="Times New Roman"/>
                    </w:rPr>
                    <w:t>1</w:t>
                  </w:r>
                  <w:r>
                    <w:rPr>
                      <w:rFonts w:cs="Times New Roman"/>
                    </w:rPr>
                    <w:t>根15m高排气筒排放（DA00</w:t>
                  </w:r>
                  <w:r>
                    <w:rPr>
                      <w:rFonts w:hint="eastAsia" w:cs="Times New Roman"/>
                    </w:rPr>
                    <w:t>2</w:t>
                  </w:r>
                  <w:r>
                    <w:rPr>
                      <w:rFonts w:cs="Times New Roman"/>
                    </w:rPr>
                    <w:t>）。</w:t>
                  </w:r>
                </w:p>
              </w:tc>
              <w:tc>
                <w:tcPr>
                  <w:tcW w:w="374" w:type="pct"/>
                  <w:vAlign w:val="center"/>
                </w:tcPr>
                <w:p w14:paraId="741E810F">
                  <w:pPr>
                    <w:pStyle w:val="14"/>
                    <w:rPr>
                      <w:rFonts w:cs="Times New Roman"/>
                    </w:rPr>
                  </w:pPr>
                  <w:r>
                    <w:rPr>
                      <w:rFonts w:cs="Times New Roman"/>
                    </w:rPr>
                    <w:t>符合</w:t>
                  </w:r>
                </w:p>
              </w:tc>
            </w:tr>
            <w:tr w14:paraId="4CCCD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8" w:type="pct"/>
                  <w:vMerge w:val="restart"/>
                  <w:vAlign w:val="center"/>
                </w:tcPr>
                <w:p w14:paraId="222610D5">
                  <w:pPr>
                    <w:pStyle w:val="14"/>
                    <w:rPr>
                      <w:rFonts w:cs="Times New Roman"/>
                    </w:rPr>
                  </w:pPr>
                  <w:r>
                    <w:rPr>
                      <w:rFonts w:cs="Times New Roman"/>
                    </w:rPr>
                    <w:t>《巴中市空气质量持续改善行动计划实施方案》（巴府发[2025]1号）</w:t>
                  </w:r>
                </w:p>
              </w:tc>
              <w:tc>
                <w:tcPr>
                  <w:tcW w:w="2486" w:type="pct"/>
                  <w:vAlign w:val="center"/>
                </w:tcPr>
                <w:p w14:paraId="2960815D">
                  <w:pPr>
                    <w:pStyle w:val="14"/>
                    <w:rPr>
                      <w:rFonts w:cs="Times New Roman"/>
                    </w:rPr>
                  </w:pPr>
                  <w:r>
                    <w:rPr>
                      <w:rFonts w:cs="Times New Roman"/>
                    </w:rPr>
                    <w:t>坚决遏制高耗能、高排放、低水平项目盲目上马，新（改、扩）建项目要严格落实国（省）产业规划、产业政策、生态环境分区管控、规划环评、项目环评、节能审查、产能置换、重点污染物总量控制、污染物排放区域削减、碳排放碳达峰目标等相关要求，原则上采用清洁运输方式。</w:t>
                  </w:r>
                </w:p>
              </w:tc>
              <w:tc>
                <w:tcPr>
                  <w:tcW w:w="1392" w:type="pct"/>
                  <w:vAlign w:val="center"/>
                </w:tcPr>
                <w:p w14:paraId="764F9949">
                  <w:pPr>
                    <w:pStyle w:val="14"/>
                    <w:rPr>
                      <w:rFonts w:cs="Times New Roman"/>
                    </w:rPr>
                  </w:pPr>
                  <w:r>
                    <w:rPr>
                      <w:rFonts w:cs="Times New Roman"/>
                    </w:rPr>
                    <w:t>本项目属C2021胶合板制造，不属于高耗能、高排放、低水平项目，项目符合产业规划、产业政策、生态环境分区管控、规划环评等相关要求。</w:t>
                  </w:r>
                </w:p>
              </w:tc>
              <w:tc>
                <w:tcPr>
                  <w:tcW w:w="374" w:type="pct"/>
                  <w:vAlign w:val="center"/>
                </w:tcPr>
                <w:p w14:paraId="66B870D1">
                  <w:pPr>
                    <w:pStyle w:val="14"/>
                    <w:rPr>
                      <w:rFonts w:cs="Times New Roman"/>
                    </w:rPr>
                  </w:pPr>
                  <w:r>
                    <w:rPr>
                      <w:rFonts w:cs="Times New Roman"/>
                    </w:rPr>
                    <w:t>符合</w:t>
                  </w:r>
                </w:p>
              </w:tc>
            </w:tr>
            <w:tr w14:paraId="61FDF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8" w:type="pct"/>
                  <w:vMerge w:val="continue"/>
                  <w:vAlign w:val="center"/>
                </w:tcPr>
                <w:p w14:paraId="6AB8B8A1">
                  <w:pPr>
                    <w:pStyle w:val="14"/>
                    <w:rPr>
                      <w:rFonts w:cs="Times New Roman"/>
                    </w:rPr>
                  </w:pPr>
                </w:p>
              </w:tc>
              <w:tc>
                <w:tcPr>
                  <w:tcW w:w="2486" w:type="pct"/>
                  <w:vAlign w:val="center"/>
                </w:tcPr>
                <w:p w14:paraId="4B8FF7A4">
                  <w:pPr>
                    <w:pStyle w:val="14"/>
                    <w:rPr>
                      <w:rFonts w:cs="Times New Roman"/>
                    </w:rPr>
                  </w:pPr>
                  <w:r>
                    <w:rPr>
                      <w:rFonts w:cs="Times New Roman"/>
                    </w:rPr>
                    <w:t>加快重点行业落后产能淘汰。严格执行《产业结构调整指导目录（2024年本）》，制定实施年度落后产能退出工作方案，依法依规推动落后产能退出，支持限制类涉气行业工艺装备通过等量或减量置换退出或进行深度治理、超低排放改造。</w:t>
                  </w:r>
                </w:p>
              </w:tc>
              <w:tc>
                <w:tcPr>
                  <w:tcW w:w="1392" w:type="pct"/>
                  <w:vAlign w:val="center"/>
                </w:tcPr>
                <w:p w14:paraId="6D1C31C8">
                  <w:pPr>
                    <w:pStyle w:val="14"/>
                    <w:rPr>
                      <w:rFonts w:cs="Times New Roman"/>
                    </w:rPr>
                  </w:pPr>
                  <w:r>
                    <w:rPr>
                      <w:rFonts w:cs="Times New Roman"/>
                    </w:rPr>
                    <w:t>本项目对照《产业结构调整指导目录（2024年本）》，属允许类项目，不属于淘汰类、限制类项目。</w:t>
                  </w:r>
                </w:p>
              </w:tc>
              <w:tc>
                <w:tcPr>
                  <w:tcW w:w="374" w:type="pct"/>
                  <w:vAlign w:val="center"/>
                </w:tcPr>
                <w:p w14:paraId="6DAEB260">
                  <w:pPr>
                    <w:pStyle w:val="14"/>
                    <w:rPr>
                      <w:rFonts w:cs="Times New Roman"/>
                    </w:rPr>
                  </w:pPr>
                  <w:r>
                    <w:rPr>
                      <w:rFonts w:cs="Times New Roman"/>
                    </w:rPr>
                    <w:t>符合</w:t>
                  </w:r>
                </w:p>
              </w:tc>
            </w:tr>
            <w:tr w14:paraId="4BE9E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8" w:type="pct"/>
                  <w:vMerge w:val="continue"/>
                  <w:vAlign w:val="center"/>
                </w:tcPr>
                <w:p w14:paraId="67C4A6FB">
                  <w:pPr>
                    <w:pStyle w:val="14"/>
                    <w:rPr>
                      <w:rFonts w:cs="Times New Roman"/>
                    </w:rPr>
                  </w:pPr>
                </w:p>
              </w:tc>
              <w:tc>
                <w:tcPr>
                  <w:tcW w:w="2486" w:type="pct"/>
                  <w:vAlign w:val="center"/>
                </w:tcPr>
                <w:p w14:paraId="7E46CDF0">
                  <w:pPr>
                    <w:pStyle w:val="14"/>
                    <w:rPr>
                      <w:rFonts w:cs="Times New Roman"/>
                    </w:rPr>
                  </w:pPr>
                  <w:r>
                    <w:rPr>
                      <w:rFonts w:cs="Times New Roman"/>
                    </w:rPr>
                    <w:t>推进含VOCs原辅材料源头管控。严格控制生产和使用高VOCs含量溶剂型涂料、油墨、胶粘剂、清洗剂等建设项目。</w:t>
                  </w:r>
                </w:p>
              </w:tc>
              <w:tc>
                <w:tcPr>
                  <w:tcW w:w="1392" w:type="pct"/>
                  <w:vAlign w:val="center"/>
                </w:tcPr>
                <w:p w14:paraId="7D575975">
                  <w:pPr>
                    <w:pStyle w:val="14"/>
                    <w:rPr>
                      <w:rFonts w:cs="Times New Roman"/>
                    </w:rPr>
                  </w:pPr>
                  <w:r>
                    <w:rPr>
                      <w:rFonts w:cs="Times New Roman"/>
                    </w:rPr>
                    <w:t>本</w:t>
                  </w:r>
                  <w:r>
                    <w:rPr>
                      <w:rFonts w:ascii="宋体" w:hAnsi="宋体" w:cs="Times New Roman"/>
                    </w:rPr>
                    <w:t>项目使用的</w:t>
                  </w:r>
                  <w:r>
                    <w:rPr>
                      <w:rFonts w:hint="eastAsia" w:ascii="宋体" w:hAnsi="宋体" w:cs="仿宋"/>
                    </w:rPr>
                    <w:t>三聚氰胺浸渍纸</w:t>
                  </w:r>
                  <w:r>
                    <w:rPr>
                      <w:rFonts w:cs="Times New Roman"/>
                    </w:rPr>
                    <w:t>VOCs含量较低，符合《低挥发性有机化合物含量涂料产品技术要求》（GB T38597-2020）。</w:t>
                  </w:r>
                </w:p>
              </w:tc>
              <w:tc>
                <w:tcPr>
                  <w:tcW w:w="374" w:type="pct"/>
                  <w:vAlign w:val="center"/>
                </w:tcPr>
                <w:p w14:paraId="1B0FE5A7">
                  <w:pPr>
                    <w:pStyle w:val="14"/>
                    <w:rPr>
                      <w:rFonts w:cs="Times New Roman"/>
                    </w:rPr>
                  </w:pPr>
                  <w:r>
                    <w:rPr>
                      <w:rFonts w:cs="Times New Roman"/>
                    </w:rPr>
                    <w:t>符合</w:t>
                  </w:r>
                </w:p>
              </w:tc>
            </w:tr>
            <w:tr w14:paraId="5E899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8" w:type="pct"/>
                  <w:vMerge w:val="continue"/>
                  <w:vAlign w:val="center"/>
                </w:tcPr>
                <w:p w14:paraId="682DF944">
                  <w:pPr>
                    <w:pStyle w:val="14"/>
                    <w:rPr>
                      <w:rFonts w:cs="Times New Roman"/>
                    </w:rPr>
                  </w:pPr>
                </w:p>
              </w:tc>
              <w:tc>
                <w:tcPr>
                  <w:tcW w:w="2486" w:type="pct"/>
                  <w:vAlign w:val="center"/>
                </w:tcPr>
                <w:p w14:paraId="46C09785">
                  <w:pPr>
                    <w:pStyle w:val="14"/>
                    <w:rPr>
                      <w:rFonts w:cs="Times New Roman"/>
                    </w:rPr>
                  </w:pPr>
                  <w:r>
                    <w:rPr>
                      <w:rFonts w:cs="Times New Roman"/>
                    </w:rPr>
                    <w:t>大力推进工业炉窑清洁化改造。有序推进以电代煤，积极稳妥推进以气代煤。巴州区、恩阳区、巴中经开区原则上不再新增燃料类煤气发生炉，现有的煤气发生炉逐步实行清洁能源替代，或因地制宜采取园区（集群）集中供气、分散使用方式。新（改、扩）建加热炉、热处理炉、干燥炉、熔化炉原则上采用清洁低碳能源。</w:t>
                  </w:r>
                </w:p>
              </w:tc>
              <w:tc>
                <w:tcPr>
                  <w:tcW w:w="1392" w:type="pct"/>
                  <w:vAlign w:val="center"/>
                </w:tcPr>
                <w:p w14:paraId="65819FC8">
                  <w:pPr>
                    <w:pStyle w:val="14"/>
                    <w:rPr>
                      <w:rFonts w:cs="Times New Roman"/>
                    </w:rPr>
                  </w:pPr>
                  <w:r>
                    <w:rPr>
                      <w:rFonts w:cs="Times New Roman"/>
                    </w:rPr>
                    <w:t>本项目</w:t>
                  </w:r>
                  <w:r>
                    <w:rPr>
                      <w:rFonts w:hint="eastAsia" w:cs="Times New Roman"/>
                    </w:rPr>
                    <w:t>无</w:t>
                  </w:r>
                  <w:r>
                    <w:rPr>
                      <w:rFonts w:cs="Times New Roman"/>
                    </w:rPr>
                    <w:t>工业炉窑</w:t>
                  </w:r>
                </w:p>
              </w:tc>
              <w:tc>
                <w:tcPr>
                  <w:tcW w:w="374" w:type="pct"/>
                  <w:vAlign w:val="center"/>
                </w:tcPr>
                <w:p w14:paraId="38DBAD06">
                  <w:pPr>
                    <w:pStyle w:val="14"/>
                    <w:rPr>
                      <w:rFonts w:cs="Times New Roman"/>
                    </w:rPr>
                  </w:pPr>
                  <w:r>
                    <w:rPr>
                      <w:rFonts w:cs="Times New Roman"/>
                    </w:rPr>
                    <w:t>符合</w:t>
                  </w:r>
                </w:p>
              </w:tc>
            </w:tr>
            <w:tr w14:paraId="792A8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8" w:type="pct"/>
                  <w:vMerge w:val="continue"/>
                  <w:vAlign w:val="center"/>
                </w:tcPr>
                <w:p w14:paraId="5EBA9241">
                  <w:pPr>
                    <w:pStyle w:val="14"/>
                    <w:rPr>
                      <w:rFonts w:cs="Times New Roman"/>
                    </w:rPr>
                  </w:pPr>
                </w:p>
              </w:tc>
              <w:tc>
                <w:tcPr>
                  <w:tcW w:w="2486" w:type="pct"/>
                  <w:vAlign w:val="center"/>
                </w:tcPr>
                <w:p w14:paraId="3689BEC0">
                  <w:pPr>
                    <w:pStyle w:val="14"/>
                    <w:rPr>
                      <w:rFonts w:cs="Times New Roman"/>
                    </w:rPr>
                  </w:pPr>
                  <w:r>
                    <w:rPr>
                      <w:rFonts w:cs="Times New Roman"/>
                    </w:rPr>
                    <w:t>深化扬尘污染综合治理。严格落实《四川省建筑工程施工扬尘防治标准》要求，推行绿色标杆工地创建，建设用地面积5000平方米及以上且施工周期6个月及以上的建筑工地安装视频监控并接入监管平台。</w:t>
                  </w:r>
                </w:p>
              </w:tc>
              <w:tc>
                <w:tcPr>
                  <w:tcW w:w="1392" w:type="pct"/>
                  <w:vAlign w:val="center"/>
                </w:tcPr>
                <w:p w14:paraId="5D679E3F">
                  <w:pPr>
                    <w:pStyle w:val="14"/>
                    <w:rPr>
                      <w:rFonts w:cs="Times New Roman"/>
                    </w:rPr>
                  </w:pPr>
                  <w:r>
                    <w:rPr>
                      <w:rFonts w:cs="Times New Roman"/>
                    </w:rPr>
                    <w:t>本项目</w:t>
                  </w:r>
                  <w:r>
                    <w:rPr>
                      <w:rFonts w:hint="eastAsia" w:cs="Times New Roman"/>
                    </w:rPr>
                    <w:t>施工期已完成，没有造成环境污染。</w:t>
                  </w:r>
                </w:p>
              </w:tc>
              <w:tc>
                <w:tcPr>
                  <w:tcW w:w="374" w:type="pct"/>
                  <w:vAlign w:val="center"/>
                </w:tcPr>
                <w:p w14:paraId="6B2EB033">
                  <w:pPr>
                    <w:pStyle w:val="14"/>
                    <w:rPr>
                      <w:rFonts w:cs="Times New Roman"/>
                    </w:rPr>
                  </w:pPr>
                  <w:r>
                    <w:rPr>
                      <w:rFonts w:cs="Times New Roman"/>
                    </w:rPr>
                    <w:t>符合</w:t>
                  </w:r>
                </w:p>
              </w:tc>
            </w:tr>
          </w:tbl>
          <w:p w14:paraId="6ECFBBC0">
            <w:pPr>
              <w:ind w:firstLine="480"/>
              <w:rPr>
                <w:rFonts w:cs="Times New Roman"/>
              </w:rPr>
            </w:pPr>
            <w:r>
              <w:rPr>
                <w:rFonts w:cs="Times New Roman"/>
              </w:rPr>
              <w:t>综上所述，本项目符合大气污染防治相关的法规、规范要求。</w:t>
            </w:r>
          </w:p>
          <w:p w14:paraId="3262ADC3">
            <w:pPr>
              <w:pStyle w:val="3"/>
              <w:spacing w:before="163"/>
            </w:pPr>
            <w:r>
              <w:t>6、与</w:t>
            </w:r>
            <w:r>
              <w:rPr>
                <w:rFonts w:hint="eastAsia"/>
              </w:rPr>
              <w:t>长江经济带相关规划</w:t>
            </w:r>
            <w:r>
              <w:t>要求符合性分析</w:t>
            </w:r>
          </w:p>
          <w:p w14:paraId="0EB0D2CE">
            <w:pPr>
              <w:pStyle w:val="13"/>
              <w:keepNext/>
              <w:rPr>
                <w:rFonts w:cs="Times New Roman"/>
              </w:rPr>
            </w:pPr>
            <w:r>
              <w:rPr>
                <w:rFonts w:cs="Times New Roman"/>
              </w:rPr>
              <w:t xml:space="preserve">表 </w:t>
            </w:r>
            <w:r>
              <w:rPr>
                <w:rFonts w:cs="Times New Roman"/>
              </w:rPr>
              <w:fldChar w:fldCharType="begin"/>
            </w:r>
            <w:r>
              <w:rPr>
                <w:rFonts w:cs="Times New Roman"/>
              </w:rPr>
              <w:instrText xml:space="preserve"> SEQ seq \c </w:instrText>
            </w:r>
            <w:r>
              <w:rPr>
                <w:rFonts w:cs="Times New Roman"/>
              </w:rPr>
              <w:fldChar w:fldCharType="separate"/>
            </w:r>
            <w:r>
              <w:rPr>
                <w:rFonts w:cs="Times New Roman"/>
              </w:rPr>
              <w:t>1</w:t>
            </w:r>
            <w:r>
              <w:rPr>
                <w:rFonts w:cs="Times New Roman"/>
              </w:rPr>
              <w:fldChar w:fldCharType="end"/>
            </w:r>
            <w:r>
              <w:rPr>
                <w:rFonts w:cs="Times New Roman"/>
              </w:rPr>
              <w:noBreakHyphen/>
            </w:r>
            <w:r>
              <w:rPr>
                <w:rFonts w:cs="Times New Roman"/>
              </w:rPr>
              <w:fldChar w:fldCharType="begin"/>
            </w:r>
            <w:r>
              <w:rPr>
                <w:rFonts w:cs="Times New Roman"/>
              </w:rPr>
              <w:instrText xml:space="preserve"> SEQ 表 \* ARABIC \s 1 </w:instrText>
            </w:r>
            <w:r>
              <w:rPr>
                <w:rFonts w:cs="Times New Roman"/>
              </w:rPr>
              <w:fldChar w:fldCharType="separate"/>
            </w:r>
            <w:r>
              <w:rPr>
                <w:rFonts w:cs="Times New Roman"/>
              </w:rPr>
              <w:t>11</w:t>
            </w:r>
            <w:r>
              <w:rPr>
                <w:rFonts w:cs="Times New Roman"/>
              </w:rPr>
              <w:fldChar w:fldCharType="end"/>
            </w:r>
            <w:r>
              <w:rPr>
                <w:rFonts w:cs="Times New Roman"/>
              </w:rPr>
              <w:t xml:space="preserve"> 项目与</w:t>
            </w:r>
            <w:r>
              <w:rPr>
                <w:rFonts w:hint="eastAsia" w:cs="Times New Roman"/>
              </w:rPr>
              <w:t>长江经济带规划</w:t>
            </w:r>
            <w:r>
              <w:rPr>
                <w:rFonts w:cs="Times New Roman"/>
              </w:rPr>
              <w:t>相关要求符合性分析</w:t>
            </w:r>
          </w:p>
          <w:tbl>
            <w:tblPr>
              <w:tblStyle w:val="33"/>
              <w:tblW w:w="89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9"/>
              <w:gridCol w:w="5063"/>
              <w:gridCol w:w="1985"/>
              <w:gridCol w:w="851"/>
            </w:tblGrid>
            <w:tr w14:paraId="5DDF2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591" w:type="pct"/>
                  <w:vAlign w:val="center"/>
                </w:tcPr>
                <w:p w14:paraId="3093EED2">
                  <w:pPr>
                    <w:pStyle w:val="53"/>
                    <w:rPr>
                      <w:rFonts w:cs="Times New Roman"/>
                    </w:rPr>
                  </w:pPr>
                  <w:bookmarkStart w:id="37" w:name="_Hlk206146367"/>
                  <w:r>
                    <w:rPr>
                      <w:rFonts w:cs="Times New Roman"/>
                    </w:rPr>
                    <w:t>规划名称</w:t>
                  </w:r>
                </w:p>
              </w:tc>
              <w:tc>
                <w:tcPr>
                  <w:tcW w:w="2826" w:type="pct"/>
                  <w:vAlign w:val="center"/>
                </w:tcPr>
                <w:p w14:paraId="363DBACB">
                  <w:pPr>
                    <w:pStyle w:val="53"/>
                    <w:rPr>
                      <w:rFonts w:cs="Times New Roman"/>
                    </w:rPr>
                  </w:pPr>
                  <w:r>
                    <w:rPr>
                      <w:rFonts w:cs="Times New Roman"/>
                    </w:rPr>
                    <w:t>内容</w:t>
                  </w:r>
                </w:p>
              </w:tc>
              <w:tc>
                <w:tcPr>
                  <w:tcW w:w="1108" w:type="pct"/>
                  <w:vAlign w:val="center"/>
                </w:tcPr>
                <w:p w14:paraId="7933C2AD">
                  <w:pPr>
                    <w:pStyle w:val="53"/>
                    <w:rPr>
                      <w:rFonts w:cs="Times New Roman"/>
                    </w:rPr>
                  </w:pPr>
                  <w:r>
                    <w:rPr>
                      <w:rFonts w:cs="Times New Roman"/>
                    </w:rPr>
                    <w:t>本项目情况</w:t>
                  </w:r>
                </w:p>
              </w:tc>
              <w:tc>
                <w:tcPr>
                  <w:tcW w:w="475" w:type="pct"/>
                  <w:vAlign w:val="center"/>
                </w:tcPr>
                <w:p w14:paraId="51C06B3F">
                  <w:pPr>
                    <w:pStyle w:val="53"/>
                    <w:rPr>
                      <w:rFonts w:cs="Times New Roman"/>
                    </w:rPr>
                  </w:pPr>
                  <w:r>
                    <w:rPr>
                      <w:rFonts w:cs="Times New Roman"/>
                    </w:rPr>
                    <w:t>符合性</w:t>
                  </w:r>
                </w:p>
              </w:tc>
            </w:tr>
            <w:bookmarkEnd w:id="37"/>
            <w:tr w14:paraId="70883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591" w:type="pct"/>
                  <w:vAlign w:val="center"/>
                </w:tcPr>
                <w:p w14:paraId="551718D4">
                  <w:pPr>
                    <w:pStyle w:val="14"/>
                    <w:rPr>
                      <w:rFonts w:cs="Times New Roman"/>
                    </w:rPr>
                  </w:pPr>
                  <w:r>
                    <w:rPr>
                      <w:rFonts w:cs="Times New Roman"/>
                    </w:rPr>
                    <w:t>《长江经济带生态环境保护规划》</w:t>
                  </w:r>
                </w:p>
              </w:tc>
              <w:tc>
                <w:tcPr>
                  <w:tcW w:w="2826" w:type="pct"/>
                  <w:vAlign w:val="center"/>
                </w:tcPr>
                <w:p w14:paraId="72205C19">
                  <w:pPr>
                    <w:pStyle w:val="14"/>
                    <w:rPr>
                      <w:rFonts w:cs="Times New Roman"/>
                    </w:rPr>
                  </w:pPr>
                  <w:r>
                    <w:rPr>
                      <w:rFonts w:cs="Times New Roman"/>
                    </w:rPr>
                    <w:t>1、划定并严守生态保护红线。</w:t>
                  </w:r>
                </w:p>
                <w:p w14:paraId="5E7A182D">
                  <w:pPr>
                    <w:pStyle w:val="14"/>
                    <w:rPr>
                      <w:rFonts w:cs="Times New Roman"/>
                    </w:rPr>
                  </w:pPr>
                  <w:r>
                    <w:rPr>
                      <w:rFonts w:cs="Times New Roman"/>
                    </w:rPr>
                    <w:t>2、实施质量底线管理。3、强化突发环境事件预防应对，严格管控环境风险。</w:t>
                  </w:r>
                  <w:r>
                    <w:rPr>
                      <w:rFonts w:eastAsia="TimesNewRomanPSMT" w:cs="Times New Roman"/>
                    </w:rPr>
                    <w:t>4</w:t>
                  </w:r>
                  <w:r>
                    <w:rPr>
                      <w:rFonts w:cs="Times New Roman"/>
                    </w:rPr>
                    <w:t>、禁止在长江干流和主要支流（包括：岷</w:t>
                  </w:r>
                  <w:r>
                    <w:rPr>
                      <w:rStyle w:val="51"/>
                      <w:rFonts w:cs="Times New Roman"/>
                    </w:rPr>
                    <w:t>江干流、沱江干流、赤水河干流、嘉陵江干流、雅砻江干流）1 公里【指长江干支流岸线边界（即水利部门河道管理范围边界）向陆域纵深1公里】范围内新建、扩建化工园区和化工项目。5、禁止在合规园区外新建、扩建钢铁、石化、化工、焦化、建材、有色等高污染项目。</w:t>
                  </w:r>
                </w:p>
              </w:tc>
              <w:tc>
                <w:tcPr>
                  <w:tcW w:w="1108" w:type="pct"/>
                  <w:vAlign w:val="center"/>
                </w:tcPr>
                <w:p w14:paraId="0CFE622C">
                  <w:pPr>
                    <w:pStyle w:val="14"/>
                    <w:rPr>
                      <w:rFonts w:cs="Times New Roman"/>
                    </w:rPr>
                  </w:pPr>
                  <w:r>
                    <w:rPr>
                      <w:rFonts w:cs="Times New Roman"/>
                    </w:rPr>
                    <w:t>1、本项目不涉及生态保护红线。2、废水纳管排放，废气可达标排放，不会影响区域环境质量目标的实现，固体废物均可妥善处置。3、项目将严格落实环境风险应急预案，风险可控。4、本项目不属于化工项目、不属于高污染项目。</w:t>
                  </w:r>
                </w:p>
              </w:tc>
              <w:tc>
                <w:tcPr>
                  <w:tcW w:w="475" w:type="pct"/>
                  <w:vAlign w:val="center"/>
                </w:tcPr>
                <w:p w14:paraId="1608F413">
                  <w:pPr>
                    <w:pStyle w:val="14"/>
                    <w:rPr>
                      <w:rFonts w:cs="Times New Roman"/>
                    </w:rPr>
                  </w:pPr>
                  <w:r>
                    <w:rPr>
                      <w:rFonts w:cs="Times New Roman"/>
                    </w:rPr>
                    <w:t>符合</w:t>
                  </w:r>
                </w:p>
              </w:tc>
            </w:tr>
            <w:tr w14:paraId="356B2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591" w:type="pct"/>
                  <w:vMerge w:val="restart"/>
                  <w:vAlign w:val="center"/>
                </w:tcPr>
                <w:p w14:paraId="34E57D34">
                  <w:pPr>
                    <w:pStyle w:val="14"/>
                    <w:rPr>
                      <w:rFonts w:cs="Times New Roman"/>
                      <w:szCs w:val="21"/>
                    </w:rPr>
                  </w:pPr>
                  <w:r>
                    <w:rPr>
                      <w:rFonts w:cs="Times New Roman"/>
                      <w:szCs w:val="21"/>
                    </w:rPr>
                    <w:t>《四川省、重庆市长江经</w:t>
                  </w:r>
                </w:p>
                <w:p w14:paraId="6300FE71">
                  <w:pPr>
                    <w:pStyle w:val="14"/>
                    <w:rPr>
                      <w:rFonts w:cs="Times New Roman"/>
                    </w:rPr>
                  </w:pPr>
                  <w:r>
                    <w:rPr>
                      <w:rFonts w:cs="Times New Roman"/>
                    </w:rPr>
                    <w:t>济带发展负面清单实施细则》（试行，</w:t>
                  </w:r>
                  <w:r>
                    <w:rPr>
                      <w:rFonts w:eastAsia="TimesNewRomanPSMT" w:cs="Times New Roman"/>
                    </w:rPr>
                    <w:t>2022</w:t>
                  </w:r>
                  <w:r>
                    <w:rPr>
                      <w:rFonts w:cs="Times New Roman"/>
                    </w:rPr>
                    <w:t>年版）</w:t>
                  </w:r>
                </w:p>
              </w:tc>
              <w:tc>
                <w:tcPr>
                  <w:tcW w:w="2826" w:type="pct"/>
                  <w:vAlign w:val="center"/>
                </w:tcPr>
                <w:p w14:paraId="382E2AFD">
                  <w:pPr>
                    <w:pStyle w:val="14"/>
                    <w:rPr>
                      <w:rFonts w:eastAsia="TimesNewRomanPSMT" w:cs="Times New Roman"/>
                    </w:rPr>
                  </w:pPr>
                  <w:r>
                    <w:rPr>
                      <w:rFonts w:cs="Times New Roman"/>
                    </w:rPr>
                    <w:t>第十八条：禁止在长江干流、重要湖泊岸线一公里范围内新建、扩建化工园区和化工项目</w:t>
                  </w:r>
                </w:p>
              </w:tc>
              <w:tc>
                <w:tcPr>
                  <w:tcW w:w="1108" w:type="pct"/>
                  <w:vAlign w:val="center"/>
                </w:tcPr>
                <w:p w14:paraId="5E340200">
                  <w:pPr>
                    <w:pStyle w:val="14"/>
                    <w:rPr>
                      <w:rFonts w:cs="Times New Roman"/>
                    </w:rPr>
                  </w:pPr>
                  <w:r>
                    <w:rPr>
                      <w:rFonts w:cs="Times New Roman"/>
                    </w:rPr>
                    <w:t>本项目不属于化工项目。</w:t>
                  </w:r>
                </w:p>
              </w:tc>
              <w:tc>
                <w:tcPr>
                  <w:tcW w:w="475" w:type="pct"/>
                  <w:vAlign w:val="center"/>
                </w:tcPr>
                <w:p w14:paraId="0C3DAEE4">
                  <w:pPr>
                    <w:pStyle w:val="14"/>
                    <w:rPr>
                      <w:rFonts w:cs="Times New Roman"/>
                    </w:rPr>
                  </w:pPr>
                  <w:r>
                    <w:rPr>
                      <w:rFonts w:cs="Times New Roman"/>
                    </w:rPr>
                    <w:t>符合</w:t>
                  </w:r>
                </w:p>
              </w:tc>
            </w:tr>
            <w:tr w14:paraId="18EB2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591" w:type="pct"/>
                  <w:vMerge w:val="continue"/>
                  <w:vAlign w:val="center"/>
                </w:tcPr>
                <w:p w14:paraId="6A07AE36">
                  <w:pPr>
                    <w:pStyle w:val="14"/>
                    <w:rPr>
                      <w:rFonts w:cs="Times New Roman"/>
                    </w:rPr>
                  </w:pPr>
                </w:p>
              </w:tc>
              <w:tc>
                <w:tcPr>
                  <w:tcW w:w="2826" w:type="pct"/>
                  <w:vAlign w:val="center"/>
                </w:tcPr>
                <w:p w14:paraId="43B33000">
                  <w:pPr>
                    <w:pStyle w:val="14"/>
                    <w:rPr>
                      <w:rFonts w:eastAsia="TimesNewRomanPSMT" w:cs="Times New Roman"/>
                    </w:rPr>
                  </w:pPr>
                  <w:r>
                    <w:rPr>
                      <w:rFonts w:cs="Times New Roman"/>
                    </w:rPr>
                    <w:t>第二十一条：禁止在合规园区外新建、扩建钢铁、石化、化工、焦化、建材、有色、制浆等高污染项目。</w:t>
                  </w:r>
                </w:p>
              </w:tc>
              <w:tc>
                <w:tcPr>
                  <w:tcW w:w="1108" w:type="pct"/>
                  <w:vAlign w:val="center"/>
                </w:tcPr>
                <w:p w14:paraId="4C45366F">
                  <w:pPr>
                    <w:pStyle w:val="14"/>
                    <w:rPr>
                      <w:rFonts w:cs="Times New Roman"/>
                    </w:rPr>
                  </w:pPr>
                  <w:r>
                    <w:rPr>
                      <w:rFonts w:cs="Times New Roman"/>
                    </w:rPr>
                    <w:t>本项目为C</w:t>
                  </w:r>
                  <w:r>
                    <w:rPr>
                      <w:rFonts w:hint="eastAsia" w:cs="Times New Roman"/>
                    </w:rPr>
                    <w:t>2021胶合板制造</w:t>
                  </w:r>
                  <w:r>
                    <w:rPr>
                      <w:rFonts w:cs="Times New Roman"/>
                    </w:rPr>
                    <w:t>，不属于《环境保护综合名录（</w:t>
                  </w:r>
                  <w:r>
                    <w:rPr>
                      <w:rFonts w:eastAsia="TimesNewRomanPSMT" w:cs="Times New Roman"/>
                    </w:rPr>
                    <w:t>2021</w:t>
                  </w:r>
                  <w:r>
                    <w:rPr>
                      <w:rFonts w:cs="Times New Roman"/>
                    </w:rPr>
                    <w:t>年版）》规定的</w:t>
                  </w:r>
                  <w:r>
                    <w:rPr>
                      <w:rFonts w:eastAsia="TimesNewRomanPSMT" w:cs="Times New Roman"/>
                    </w:rPr>
                    <w:t>“</w:t>
                  </w:r>
                  <w:r>
                    <w:rPr>
                      <w:rFonts w:cs="Times New Roman"/>
                    </w:rPr>
                    <w:t>高污染</w:t>
                  </w:r>
                  <w:r>
                    <w:rPr>
                      <w:rFonts w:eastAsia="TimesNewRomanPSMT" w:cs="Times New Roman"/>
                    </w:rPr>
                    <w:t>”</w:t>
                  </w:r>
                  <w:r>
                    <w:rPr>
                      <w:rFonts w:cs="Times New Roman"/>
                    </w:rPr>
                    <w:t>产品；项目位于四川省人民政府批准的巴中经开区内。</w:t>
                  </w:r>
                </w:p>
              </w:tc>
              <w:tc>
                <w:tcPr>
                  <w:tcW w:w="475" w:type="pct"/>
                  <w:vAlign w:val="center"/>
                </w:tcPr>
                <w:p w14:paraId="16461047">
                  <w:pPr>
                    <w:pStyle w:val="14"/>
                    <w:rPr>
                      <w:rFonts w:cs="Times New Roman"/>
                    </w:rPr>
                  </w:pPr>
                  <w:r>
                    <w:rPr>
                      <w:rFonts w:cs="Times New Roman"/>
                    </w:rPr>
                    <w:t>符合</w:t>
                  </w:r>
                </w:p>
              </w:tc>
            </w:tr>
            <w:tr w14:paraId="6AAE1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591" w:type="pct"/>
                  <w:vMerge w:val="continue"/>
                  <w:vAlign w:val="center"/>
                </w:tcPr>
                <w:p w14:paraId="0F378049">
                  <w:pPr>
                    <w:pStyle w:val="14"/>
                    <w:rPr>
                      <w:rFonts w:cs="Times New Roman"/>
                    </w:rPr>
                  </w:pPr>
                </w:p>
              </w:tc>
              <w:tc>
                <w:tcPr>
                  <w:tcW w:w="2826" w:type="pct"/>
                  <w:vAlign w:val="center"/>
                </w:tcPr>
                <w:p w14:paraId="5F4133A7">
                  <w:pPr>
                    <w:pStyle w:val="14"/>
                    <w:rPr>
                      <w:rFonts w:cs="Times New Roman"/>
                    </w:rPr>
                  </w:pPr>
                  <w:r>
                    <w:rPr>
                      <w:rFonts w:cs="Times New Roman"/>
                    </w:rPr>
                    <w:t>第二十三条：禁止新建、扩建法律法规和相关政策明令禁止的落后产能项目。对《产业结构调整指导目录》中淘汰类项目，禁止投资；限制类的新建项目，禁止投资，对属于限制类的现有生产能力，允许企业</w:t>
                  </w:r>
                </w:p>
                <w:p w14:paraId="63678447">
                  <w:pPr>
                    <w:pStyle w:val="14"/>
                    <w:rPr>
                      <w:rFonts w:eastAsia="TimesNewRomanPSMT" w:cs="Times New Roman"/>
                    </w:rPr>
                  </w:pPr>
                  <w:r>
                    <w:rPr>
                      <w:rFonts w:cs="Times New Roman"/>
                    </w:rPr>
                    <w:t>在一定期限内采取措施改造升级。</w:t>
                  </w:r>
                </w:p>
              </w:tc>
              <w:tc>
                <w:tcPr>
                  <w:tcW w:w="1108" w:type="pct"/>
                  <w:vAlign w:val="center"/>
                </w:tcPr>
                <w:p w14:paraId="154A863D">
                  <w:pPr>
                    <w:pStyle w:val="14"/>
                    <w:rPr>
                      <w:rFonts w:cs="Times New Roman"/>
                    </w:rPr>
                  </w:pPr>
                  <w:r>
                    <w:rPr>
                      <w:rFonts w:cs="Times New Roman"/>
                    </w:rPr>
                    <w:t>本项目不属于《产业结构调整指导目录》中淘汰类、限制类项目。</w:t>
                  </w:r>
                </w:p>
              </w:tc>
              <w:tc>
                <w:tcPr>
                  <w:tcW w:w="475" w:type="pct"/>
                  <w:vAlign w:val="center"/>
                </w:tcPr>
                <w:p w14:paraId="670CA1F5">
                  <w:pPr>
                    <w:pStyle w:val="14"/>
                    <w:rPr>
                      <w:rFonts w:cs="Times New Roman"/>
                    </w:rPr>
                  </w:pPr>
                  <w:r>
                    <w:rPr>
                      <w:rFonts w:cs="Times New Roman"/>
                    </w:rPr>
                    <w:t>符合</w:t>
                  </w:r>
                </w:p>
              </w:tc>
            </w:tr>
          </w:tbl>
          <w:p w14:paraId="34E82B87">
            <w:pPr>
              <w:ind w:firstLine="480"/>
              <w:rPr>
                <w:rFonts w:cs="Times New Roman"/>
              </w:rPr>
            </w:pPr>
            <w:r>
              <w:rPr>
                <w:rFonts w:cs="Times New Roman"/>
              </w:rPr>
              <w:t>综上分析，本项目建设与四川省、重庆市长江经济带发展负面清单实施细则等相关政策要求相符。</w:t>
            </w:r>
          </w:p>
          <w:p w14:paraId="49DA9C6E">
            <w:pPr>
              <w:pStyle w:val="3"/>
              <w:spacing w:before="0" w:beforeLines="0"/>
            </w:pPr>
            <w:r>
              <w:t>7、项目与</w:t>
            </w:r>
            <w:r>
              <w:rPr>
                <w:rFonts w:hint="eastAsia"/>
              </w:rPr>
              <w:t>水环境</w:t>
            </w:r>
            <w:r>
              <w:t>污染防治相关要求符合性分析</w:t>
            </w:r>
          </w:p>
          <w:p w14:paraId="62AFFF40">
            <w:pPr>
              <w:pStyle w:val="13"/>
              <w:keepNext/>
              <w:rPr>
                <w:rFonts w:cs="Times New Roman"/>
              </w:rPr>
            </w:pPr>
            <w:r>
              <w:rPr>
                <w:rFonts w:cs="Times New Roman"/>
              </w:rPr>
              <w:t xml:space="preserve">表 </w:t>
            </w:r>
            <w:r>
              <w:rPr>
                <w:rFonts w:cs="Times New Roman"/>
              </w:rPr>
              <w:fldChar w:fldCharType="begin"/>
            </w:r>
            <w:r>
              <w:rPr>
                <w:rFonts w:cs="Times New Roman"/>
              </w:rPr>
              <w:instrText xml:space="preserve"> SEQ seq \c </w:instrText>
            </w:r>
            <w:r>
              <w:rPr>
                <w:rFonts w:cs="Times New Roman"/>
              </w:rPr>
              <w:fldChar w:fldCharType="separate"/>
            </w:r>
            <w:r>
              <w:rPr>
                <w:rFonts w:cs="Times New Roman"/>
              </w:rPr>
              <w:t>1</w:t>
            </w:r>
            <w:r>
              <w:rPr>
                <w:rFonts w:cs="Times New Roman"/>
              </w:rPr>
              <w:fldChar w:fldCharType="end"/>
            </w:r>
            <w:r>
              <w:rPr>
                <w:rFonts w:cs="Times New Roman"/>
              </w:rPr>
              <w:noBreakHyphen/>
            </w:r>
            <w:r>
              <w:rPr>
                <w:rFonts w:hint="eastAsia" w:cs="Times New Roman"/>
              </w:rPr>
              <w:t>12</w:t>
            </w:r>
            <w:r>
              <w:rPr>
                <w:rFonts w:cs="Times New Roman"/>
              </w:rPr>
              <w:t xml:space="preserve"> 项目与</w:t>
            </w:r>
            <w:r>
              <w:rPr>
                <w:rFonts w:hint="eastAsia" w:cs="Times New Roman"/>
              </w:rPr>
              <w:t>水环境污染防治</w:t>
            </w:r>
            <w:r>
              <w:rPr>
                <w:rFonts w:cs="Times New Roman"/>
              </w:rPr>
              <w:t>相关要求符合性分析</w:t>
            </w:r>
          </w:p>
          <w:tbl>
            <w:tblPr>
              <w:tblStyle w:val="3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7"/>
              <w:gridCol w:w="5152"/>
              <w:gridCol w:w="2018"/>
              <w:gridCol w:w="711"/>
            </w:tblGrid>
            <w:tr w14:paraId="49387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01" w:type="pct"/>
                  <w:vAlign w:val="center"/>
                </w:tcPr>
                <w:p w14:paraId="14E02B8B">
                  <w:pPr>
                    <w:pStyle w:val="14"/>
                    <w:rPr>
                      <w:rFonts w:cs="Times New Roman"/>
                    </w:rPr>
                  </w:pPr>
                  <w:r>
                    <w:rPr>
                      <w:rFonts w:cs="Times New Roman"/>
                    </w:rPr>
                    <w:t>《〈水污染防治行动计划〉四川省工作方案》</w:t>
                  </w:r>
                </w:p>
                <w:p w14:paraId="76F33F8C">
                  <w:pPr>
                    <w:pStyle w:val="14"/>
                    <w:rPr>
                      <w:rFonts w:cs="Times New Roman"/>
                    </w:rPr>
                  </w:pPr>
                  <w:r>
                    <w:rPr>
                      <w:rFonts w:cs="Times New Roman"/>
                    </w:rPr>
                    <w:t>（川府发59号）</w:t>
                  </w:r>
                </w:p>
              </w:tc>
              <w:tc>
                <w:tcPr>
                  <w:tcW w:w="2875" w:type="pct"/>
                  <w:vAlign w:val="center"/>
                </w:tcPr>
                <w:p w14:paraId="6CD9C5B5">
                  <w:pPr>
                    <w:pStyle w:val="14"/>
                    <w:rPr>
                      <w:rFonts w:cs="Times New Roman"/>
                    </w:rPr>
                  </w:pPr>
                  <w:r>
                    <w:rPr>
                      <w:rFonts w:cs="Times New Roman"/>
                    </w:rPr>
                    <w:t>（一）狠抓工业污染防治</w:t>
                  </w:r>
                </w:p>
                <w:p w14:paraId="7982A7A9">
                  <w:pPr>
                    <w:pStyle w:val="14"/>
                    <w:rPr>
                      <w:rFonts w:cs="Times New Roman"/>
                    </w:rPr>
                  </w:pPr>
                  <w:r>
                    <w:rPr>
                      <w:rFonts w:cs="Times New Roman"/>
                    </w:rPr>
                    <w:t>2.专项整治“10+1”重点行业。环境保护、经济和信息化部门联合制定造纸、焦化、氮肥、有色金属、印染、农副食品加工、原料药制造、制革、农药、电镀和磷化工等行业专项治理方案并组织实施；新建、改建、扩建上述行业的建设项目执行氨氮、化学需氧量等量或减量置换。</w:t>
                  </w:r>
                </w:p>
                <w:p w14:paraId="246708CA">
                  <w:pPr>
                    <w:pStyle w:val="14"/>
                    <w:rPr>
                      <w:rFonts w:cs="Times New Roman"/>
                    </w:rPr>
                  </w:pPr>
                  <w:r>
                    <w:rPr>
                      <w:rFonts w:cs="Times New Roman"/>
                    </w:rPr>
                    <w:t>（五）调整产业结构</w:t>
                  </w:r>
                </w:p>
                <w:p w14:paraId="1FC8F3BE">
                  <w:pPr>
                    <w:pStyle w:val="14"/>
                    <w:rPr>
                      <w:rFonts w:cs="Times New Roman"/>
                    </w:rPr>
                  </w:pPr>
                  <w:r>
                    <w:rPr>
                      <w:rFonts w:cs="Times New Roman"/>
                    </w:rPr>
                    <w:t>17.严格环境准入。环境保护部门按照流域水质目标、区域功能划分、容量总量核定的“三位一体”环境准入要求，进一步细化准入条件，严格准入标准，强化分类指导；执行规划环境影响评价、项目环境影响评价以及流域、区域水环境质量和水污染物减排绩效挂钩制度；逐步建立水环境承载能力监测评价体系，对已超过水环境承载能力的地方，由各地制定并组织实施水环境质量达标方案。</w:t>
                  </w:r>
                </w:p>
              </w:tc>
              <w:tc>
                <w:tcPr>
                  <w:tcW w:w="1126" w:type="pct"/>
                  <w:vAlign w:val="center"/>
                </w:tcPr>
                <w:p w14:paraId="7B3B8900">
                  <w:pPr>
                    <w:pStyle w:val="14"/>
                    <w:rPr>
                      <w:rFonts w:cs="Times New Roman"/>
                    </w:rPr>
                  </w:pPr>
                  <w:r>
                    <w:rPr>
                      <w:rFonts w:cs="Times New Roman"/>
                    </w:rPr>
                    <w:t>本项目属于C2021胶合板制造，不属于“十大重点行业”，所在区域地表水环境达标。</w:t>
                  </w:r>
                </w:p>
              </w:tc>
              <w:tc>
                <w:tcPr>
                  <w:tcW w:w="397" w:type="pct"/>
                  <w:vAlign w:val="center"/>
                </w:tcPr>
                <w:p w14:paraId="3603C20E">
                  <w:pPr>
                    <w:pStyle w:val="14"/>
                    <w:rPr>
                      <w:rFonts w:cs="Times New Roman"/>
                    </w:rPr>
                  </w:pPr>
                  <w:r>
                    <w:rPr>
                      <w:rFonts w:cs="Times New Roman"/>
                    </w:rPr>
                    <w:t>符合</w:t>
                  </w:r>
                </w:p>
              </w:tc>
            </w:tr>
            <w:tr w14:paraId="7D6E4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10" w:hRule="atLeast"/>
                <w:jc w:val="center"/>
              </w:trPr>
              <w:tc>
                <w:tcPr>
                  <w:tcW w:w="601" w:type="pct"/>
                  <w:vMerge w:val="restart"/>
                  <w:vAlign w:val="center"/>
                </w:tcPr>
                <w:p w14:paraId="15A3472B">
                  <w:pPr>
                    <w:pStyle w:val="14"/>
                    <w:rPr>
                      <w:rFonts w:cs="Times New Roman"/>
                    </w:rPr>
                  </w:pPr>
                  <w:r>
                    <w:rPr>
                      <w:rFonts w:cs="Times New Roman"/>
                    </w:rPr>
                    <w:t>《四川省打赢碧水保卫战实施方案》（川府发〔2019〕4 号）</w:t>
                  </w:r>
                </w:p>
              </w:tc>
              <w:tc>
                <w:tcPr>
                  <w:tcW w:w="2875" w:type="pct"/>
                  <w:vAlign w:val="center"/>
                </w:tcPr>
                <w:p w14:paraId="33EDF6FE">
                  <w:pPr>
                    <w:pStyle w:val="14"/>
                    <w:rPr>
                      <w:rFonts w:cs="Times New Roman"/>
                    </w:rPr>
                  </w:pPr>
                  <w:r>
                    <w:rPr>
                      <w:rFonts w:cs="Times New Roman"/>
                    </w:rPr>
                    <w:t>实施园区工业废水达标整治。在处理设施建成前，依托生活污水处理厂、一体化应急设备全面处理工业废水，确保达标排放；处理设施建成后，加强运行维护，确保设施稳定运行。</w:t>
                  </w:r>
                </w:p>
              </w:tc>
              <w:tc>
                <w:tcPr>
                  <w:tcW w:w="1126" w:type="pct"/>
                  <w:vAlign w:val="center"/>
                </w:tcPr>
                <w:p w14:paraId="4B2934DB">
                  <w:pPr>
                    <w:pStyle w:val="14"/>
                    <w:rPr>
                      <w:rFonts w:cs="Times New Roman"/>
                    </w:rPr>
                  </w:pPr>
                  <w:r>
                    <w:rPr>
                      <w:rFonts w:cs="Times New Roman"/>
                    </w:rPr>
                    <w:t>本项目</w:t>
                  </w:r>
                  <w:r>
                    <w:rPr>
                      <w:rFonts w:hint="eastAsia" w:cs="Times New Roman"/>
                    </w:rPr>
                    <w:t>无生产废水排放，生活污水</w:t>
                  </w:r>
                  <w:r>
                    <w:rPr>
                      <w:rFonts w:cs="Times New Roman"/>
                    </w:rPr>
                    <w:t>经预处理后排入</w:t>
                  </w:r>
                  <w:r>
                    <w:rPr>
                      <w:rFonts w:hint="eastAsia" w:cs="Times New Roman"/>
                    </w:rPr>
                    <w:t>园区</w:t>
                  </w:r>
                  <w:r>
                    <w:rPr>
                      <w:rFonts w:cs="Times New Roman"/>
                    </w:rPr>
                    <w:t>污水管网，送至巴中经开区污水处理厂进一步处理后达标排放。</w:t>
                  </w:r>
                </w:p>
              </w:tc>
              <w:tc>
                <w:tcPr>
                  <w:tcW w:w="397" w:type="pct"/>
                  <w:vAlign w:val="center"/>
                </w:tcPr>
                <w:p w14:paraId="06DD9373">
                  <w:pPr>
                    <w:pStyle w:val="14"/>
                    <w:rPr>
                      <w:rFonts w:cs="Times New Roman"/>
                    </w:rPr>
                  </w:pPr>
                  <w:r>
                    <w:rPr>
                      <w:rFonts w:cs="Times New Roman"/>
                    </w:rPr>
                    <w:t>符合</w:t>
                  </w:r>
                </w:p>
              </w:tc>
            </w:tr>
            <w:tr w14:paraId="1DA3C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01" w:type="pct"/>
                  <w:vMerge w:val="continue"/>
                  <w:vAlign w:val="center"/>
                </w:tcPr>
                <w:p w14:paraId="0A9CC80F">
                  <w:pPr>
                    <w:pStyle w:val="14"/>
                    <w:rPr>
                      <w:rFonts w:cs="Times New Roman"/>
                    </w:rPr>
                  </w:pPr>
                </w:p>
              </w:tc>
              <w:tc>
                <w:tcPr>
                  <w:tcW w:w="2875" w:type="pct"/>
                  <w:vAlign w:val="center"/>
                </w:tcPr>
                <w:p w14:paraId="3BB3A39E">
                  <w:pPr>
                    <w:pStyle w:val="14"/>
                    <w:rPr>
                      <w:rFonts w:cs="Times New Roman"/>
                    </w:rPr>
                  </w:pPr>
                  <w:r>
                    <w:rPr>
                      <w:rFonts w:cs="Times New Roman"/>
                    </w:rPr>
                    <w:t>减少工业废水排放量。减少重点行业工业企业废水排放量。指导钢铁、印染、造纸、石油化工、化工、制革等高耗水企业废水深度处 理回收利用。</w:t>
                  </w:r>
                </w:p>
              </w:tc>
              <w:tc>
                <w:tcPr>
                  <w:tcW w:w="1126" w:type="pct"/>
                  <w:vAlign w:val="center"/>
                </w:tcPr>
                <w:p w14:paraId="7598B8C4">
                  <w:pPr>
                    <w:pStyle w:val="14"/>
                    <w:rPr>
                      <w:rFonts w:cs="Times New Roman"/>
                    </w:rPr>
                  </w:pPr>
                  <w:r>
                    <w:rPr>
                      <w:rFonts w:cs="Times New Roman"/>
                    </w:rPr>
                    <w:t>本项目不属于高耗水项目，</w:t>
                  </w:r>
                  <w:r>
                    <w:rPr>
                      <w:rFonts w:hint="eastAsia" w:cs="Times New Roman"/>
                    </w:rPr>
                    <w:t>生产工序不使用水，</w:t>
                  </w:r>
                  <w:r>
                    <w:rPr>
                      <w:rFonts w:cs="Times New Roman"/>
                    </w:rPr>
                    <w:t>用水量和排水量</w:t>
                  </w:r>
                  <w:r>
                    <w:rPr>
                      <w:rFonts w:hint="eastAsia" w:cs="Times New Roman"/>
                    </w:rPr>
                    <w:t>较小</w:t>
                  </w:r>
                  <w:r>
                    <w:rPr>
                      <w:rFonts w:cs="Times New Roman"/>
                    </w:rPr>
                    <w:t>。</w:t>
                  </w:r>
                </w:p>
              </w:tc>
              <w:tc>
                <w:tcPr>
                  <w:tcW w:w="397" w:type="pct"/>
                  <w:vAlign w:val="center"/>
                </w:tcPr>
                <w:p w14:paraId="7EF52545">
                  <w:pPr>
                    <w:pStyle w:val="14"/>
                    <w:rPr>
                      <w:rFonts w:cs="Times New Roman"/>
                    </w:rPr>
                  </w:pPr>
                  <w:r>
                    <w:rPr>
                      <w:rFonts w:cs="Times New Roman"/>
                    </w:rPr>
                    <w:t>符合</w:t>
                  </w:r>
                </w:p>
              </w:tc>
            </w:tr>
            <w:tr w14:paraId="6D3B6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601" w:type="pct"/>
                  <w:vMerge w:val="restart"/>
                  <w:vAlign w:val="center"/>
                </w:tcPr>
                <w:p w14:paraId="2E4F9BF0">
                  <w:pPr>
                    <w:pStyle w:val="14"/>
                    <w:rPr>
                      <w:rFonts w:cs="Times New Roman"/>
                    </w:rPr>
                  </w:pPr>
                  <w:r>
                    <w:t>《巴中市打赢碧水保卫战实施方案》（巴府发〔2019〕10号）</w:t>
                  </w:r>
                </w:p>
              </w:tc>
              <w:tc>
                <w:tcPr>
                  <w:tcW w:w="2875" w:type="pct"/>
                  <w:vAlign w:val="center"/>
                </w:tcPr>
                <w:p w14:paraId="3F1E0953">
                  <w:pPr>
                    <w:pStyle w:val="14"/>
                    <w:rPr>
                      <w:rFonts w:cs="Times New Roman"/>
                    </w:rPr>
                  </w:pPr>
                  <w:r>
                    <w:rPr>
                      <w:rFonts w:hint="eastAsia" w:cs="Times New Roman"/>
                    </w:rPr>
                    <w:t>按照园区规划环评要求推进园区污水处理设施建设，确保污水处理设施按期建成并投入使用。2020年，完成巴州工业园污水处理站及配套管网建设。在处理设施建成前，依托生活污水处理厂、一体化应急设备全面处理工业废水，确保达标排放；处理设施建成后，加强运行维护，确保设施稳定运行。</w:t>
                  </w:r>
                </w:p>
              </w:tc>
              <w:tc>
                <w:tcPr>
                  <w:tcW w:w="1126" w:type="pct"/>
                  <w:vAlign w:val="center"/>
                </w:tcPr>
                <w:p w14:paraId="7E588566">
                  <w:pPr>
                    <w:pStyle w:val="14"/>
                    <w:rPr>
                      <w:rFonts w:cs="Times New Roman"/>
                    </w:rPr>
                  </w:pPr>
                  <w:r>
                    <w:rPr>
                      <w:rFonts w:cs="Times New Roman"/>
                    </w:rPr>
                    <w:t>本项目</w:t>
                  </w:r>
                  <w:r>
                    <w:rPr>
                      <w:rFonts w:hint="eastAsia" w:cs="Times New Roman"/>
                    </w:rPr>
                    <w:t>无生产废水排放，生活污水</w:t>
                  </w:r>
                  <w:r>
                    <w:rPr>
                      <w:rFonts w:cs="Times New Roman"/>
                    </w:rPr>
                    <w:t>经预处理后排入</w:t>
                  </w:r>
                  <w:r>
                    <w:rPr>
                      <w:rFonts w:hint="eastAsia" w:cs="Times New Roman"/>
                    </w:rPr>
                    <w:t>园区</w:t>
                  </w:r>
                  <w:r>
                    <w:rPr>
                      <w:rFonts w:cs="Times New Roman"/>
                    </w:rPr>
                    <w:t>污水管网，</w:t>
                  </w:r>
                  <w:r>
                    <w:rPr>
                      <w:rFonts w:hint="eastAsia" w:cs="Times New Roman"/>
                    </w:rPr>
                    <w:t>园区污水处理厂已经建成并稳定运行</w:t>
                  </w:r>
                </w:p>
              </w:tc>
              <w:tc>
                <w:tcPr>
                  <w:tcW w:w="397" w:type="pct"/>
                  <w:vAlign w:val="center"/>
                </w:tcPr>
                <w:p w14:paraId="25028880">
                  <w:pPr>
                    <w:pStyle w:val="14"/>
                    <w:rPr>
                      <w:rFonts w:cs="Times New Roman"/>
                    </w:rPr>
                  </w:pPr>
                  <w:r>
                    <w:rPr>
                      <w:rFonts w:cs="Times New Roman"/>
                    </w:rPr>
                    <w:t>符合</w:t>
                  </w:r>
                </w:p>
              </w:tc>
            </w:tr>
            <w:tr w14:paraId="47E2F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01" w:type="pct"/>
                  <w:vMerge w:val="continue"/>
                  <w:vAlign w:val="center"/>
                </w:tcPr>
                <w:p w14:paraId="1AD61C5A">
                  <w:pPr>
                    <w:pStyle w:val="14"/>
                    <w:rPr>
                      <w:rFonts w:cs="Times New Roman"/>
                    </w:rPr>
                  </w:pPr>
                </w:p>
              </w:tc>
              <w:tc>
                <w:tcPr>
                  <w:tcW w:w="2875" w:type="pct"/>
                  <w:vAlign w:val="center"/>
                </w:tcPr>
                <w:p w14:paraId="230A62C4">
                  <w:pPr>
                    <w:pStyle w:val="14"/>
                    <w:rPr>
                      <w:rFonts w:cs="Times New Roman"/>
                    </w:rPr>
                  </w:pPr>
                  <w:r>
                    <w:rPr>
                      <w:rFonts w:hint="eastAsia" w:cs="Times New Roman"/>
                    </w:rPr>
                    <w:t>减少重点行业工业企业废水排放量。加大高耗水企业废水深度处理回用。对具备使用再生水条件但未充分利用的企业，暂停其新增取水许可审批。</w:t>
                  </w:r>
                </w:p>
              </w:tc>
              <w:tc>
                <w:tcPr>
                  <w:tcW w:w="1126" w:type="pct"/>
                  <w:vAlign w:val="center"/>
                </w:tcPr>
                <w:p w14:paraId="607BCA46">
                  <w:pPr>
                    <w:pStyle w:val="14"/>
                    <w:rPr>
                      <w:rFonts w:cs="Times New Roman"/>
                    </w:rPr>
                  </w:pPr>
                  <w:r>
                    <w:rPr>
                      <w:rFonts w:cs="Times New Roman"/>
                    </w:rPr>
                    <w:t>本项目</w:t>
                  </w:r>
                  <w:r>
                    <w:rPr>
                      <w:rFonts w:hint="eastAsia" w:cs="Times New Roman"/>
                    </w:rPr>
                    <w:t>运营期间，生产线不使用新鲜水，无生产废水排放</w:t>
                  </w:r>
                </w:p>
              </w:tc>
              <w:tc>
                <w:tcPr>
                  <w:tcW w:w="397" w:type="pct"/>
                  <w:vAlign w:val="center"/>
                </w:tcPr>
                <w:p w14:paraId="080BCDCE">
                  <w:pPr>
                    <w:pStyle w:val="14"/>
                    <w:rPr>
                      <w:rFonts w:cs="Times New Roman"/>
                    </w:rPr>
                  </w:pPr>
                  <w:r>
                    <w:rPr>
                      <w:rFonts w:cs="Times New Roman"/>
                    </w:rPr>
                    <w:t>符合</w:t>
                  </w:r>
                </w:p>
              </w:tc>
            </w:tr>
            <w:tr w14:paraId="748ED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01" w:type="pct"/>
                  <w:vMerge w:val="continue"/>
                  <w:vAlign w:val="center"/>
                </w:tcPr>
                <w:p w14:paraId="69A94B17">
                  <w:pPr>
                    <w:pStyle w:val="14"/>
                    <w:rPr>
                      <w:rFonts w:cs="Times New Roman"/>
                    </w:rPr>
                  </w:pPr>
                </w:p>
              </w:tc>
              <w:tc>
                <w:tcPr>
                  <w:tcW w:w="2875" w:type="pct"/>
                  <w:vAlign w:val="center"/>
                </w:tcPr>
                <w:p w14:paraId="1EB29982">
                  <w:pPr>
                    <w:pStyle w:val="14"/>
                    <w:rPr>
                      <w:rFonts w:cs="Times New Roman"/>
                    </w:rPr>
                  </w:pPr>
                  <w:r>
                    <w:rPr>
                      <w:rFonts w:hint="eastAsia" w:cs="Times New Roman"/>
                    </w:rPr>
                    <w:t>落实主体功能区战略，强化“三线一单”（生态保护红线、环境质量底线、资源利用上线、生态环境准入清单）约束，积极推行区域规划环评，优化产业布局和资源配置，有效控制区域发展规模和开发强度，着力解决全区主要河流沿河工业企业布局不合理问题。提高环保准入门槛，充分考虑水资源、水环境承载力，以水定业、以水定产，严控高耗水、高污染项目建设，鼓励和支持低耗水、低污染高新技术产业发展，着力推动工业产业改造升级。强化环保、能耗等标准约束，倒逼淘汰落后产能并防止转移。有序推动危险化学品生产企业搬迁改造，全面降低环境风险。</w:t>
                  </w:r>
                </w:p>
              </w:tc>
              <w:tc>
                <w:tcPr>
                  <w:tcW w:w="1126" w:type="pct"/>
                  <w:vAlign w:val="center"/>
                </w:tcPr>
                <w:p w14:paraId="44B7D622">
                  <w:pPr>
                    <w:pStyle w:val="14"/>
                    <w:rPr>
                      <w:rFonts w:cs="Times New Roman"/>
                    </w:rPr>
                  </w:pPr>
                  <w:r>
                    <w:rPr>
                      <w:rFonts w:hint="eastAsia" w:cs="Times New Roman"/>
                    </w:rPr>
                    <w:t>项目建设符合“三线一单”约束，运营期间，生产线不使用新鲜水，无生产废水排放，不属于高耗水、高污染项目建设。</w:t>
                  </w:r>
                </w:p>
              </w:tc>
              <w:tc>
                <w:tcPr>
                  <w:tcW w:w="397" w:type="pct"/>
                  <w:vAlign w:val="center"/>
                </w:tcPr>
                <w:p w14:paraId="5B9EC23F">
                  <w:pPr>
                    <w:pStyle w:val="14"/>
                    <w:rPr>
                      <w:rFonts w:cs="Times New Roman"/>
                    </w:rPr>
                  </w:pPr>
                  <w:r>
                    <w:rPr>
                      <w:rFonts w:cs="Times New Roman"/>
                    </w:rPr>
                    <w:t>符合</w:t>
                  </w:r>
                </w:p>
              </w:tc>
            </w:tr>
            <w:tr w14:paraId="338BF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01" w:type="pct"/>
                  <w:vMerge w:val="restart"/>
                  <w:vAlign w:val="center"/>
                </w:tcPr>
                <w:p w14:paraId="2759C000">
                  <w:pPr>
                    <w:pStyle w:val="14"/>
                    <w:rPr>
                      <w:rFonts w:cs="Times New Roman"/>
                    </w:rPr>
                  </w:pPr>
                  <w:r>
                    <w:t>《巴中市“十四五”水生态环境保护规划》</w:t>
                  </w:r>
                </w:p>
              </w:tc>
              <w:tc>
                <w:tcPr>
                  <w:tcW w:w="2875" w:type="pct"/>
                  <w:vAlign w:val="center"/>
                </w:tcPr>
                <w:p w14:paraId="3D38065B">
                  <w:pPr>
                    <w:pStyle w:val="14"/>
                    <w:rPr>
                      <w:rFonts w:cs="Times New Roman"/>
                    </w:rPr>
                  </w:pPr>
                  <w:r>
                    <w:rPr>
                      <w:rFonts w:hint="eastAsia" w:cs="Times New Roman"/>
                    </w:rPr>
                    <w:t>“十四五”期间，补齐环境基础设施短板，保护小流域水生态，构建“一干、四支、二区、多库”的流域水生态环境保护网络。</w:t>
                  </w:r>
                </w:p>
                <w:p w14:paraId="29589F49">
                  <w:pPr>
                    <w:pStyle w:val="14"/>
                    <w:rPr>
                      <w:rFonts w:cs="Times New Roman"/>
                    </w:rPr>
                  </w:pPr>
                  <w:r>
                    <w:rPr>
                      <w:rFonts w:hint="eastAsia" w:cs="Times New Roman"/>
                    </w:rPr>
                    <w:t>“一干”即巴河干流，加强城市污水收集和处理，强化沿河水环境综合治理，保证巴河水质稳定，有效防范工业园区风险。</w:t>
                  </w:r>
                </w:p>
                <w:p w14:paraId="47E37F46">
                  <w:pPr>
                    <w:pStyle w:val="14"/>
                    <w:rPr>
                      <w:rFonts w:cs="Times New Roman"/>
                    </w:rPr>
                  </w:pPr>
                  <w:r>
                    <w:rPr>
                      <w:rFonts w:hint="eastAsia" w:cs="Times New Roman"/>
                    </w:rPr>
                    <w:t>“四支”即恩阳河、驷马河、蹬子河、澌滩河，实施“三水统筹”综合治理，进一步提升水环境质量。</w:t>
                  </w:r>
                </w:p>
                <w:p w14:paraId="7D966C67">
                  <w:pPr>
                    <w:pStyle w:val="14"/>
                    <w:rPr>
                      <w:rFonts w:cs="Times New Roman"/>
                    </w:rPr>
                  </w:pPr>
                  <w:r>
                    <w:rPr>
                      <w:rFonts w:hint="eastAsia" w:cs="Times New Roman"/>
                    </w:rPr>
                    <w:t>“二区”即恩阳河中华鳖国家级水产种质资源保护区、驷马河流域湿地省级自然保护区，加强水生生境恢复和土著鱼类保护，保护区内实施永久禁捕，定期开展增殖放流活动；加强天然湿地保护，修复受损滩涂，恢复退化湿地，提升湿地生态服务功能。</w:t>
                  </w:r>
                </w:p>
                <w:p w14:paraId="7ED739A1">
                  <w:pPr>
                    <w:pStyle w:val="14"/>
                    <w:rPr>
                      <w:rFonts w:cs="Times New Roman"/>
                    </w:rPr>
                  </w:pPr>
                  <w:r>
                    <w:rPr>
                      <w:rFonts w:hint="eastAsia" w:cs="Times New Roman"/>
                    </w:rPr>
                    <w:t>“多库”即化成水库、双桥水库、牛角坑水库、友谊水库、龙洞沟水库等湖库型饮用水水源地，加强面源污染治理及风险防范，保障饮用水水质安全。</w:t>
                  </w:r>
                </w:p>
              </w:tc>
              <w:tc>
                <w:tcPr>
                  <w:tcW w:w="1126" w:type="pct"/>
                  <w:vAlign w:val="center"/>
                </w:tcPr>
                <w:p w14:paraId="21CAC655">
                  <w:pPr>
                    <w:pStyle w:val="14"/>
                    <w:rPr>
                      <w:rFonts w:cs="Times New Roman"/>
                    </w:rPr>
                  </w:pPr>
                  <w:r>
                    <w:rPr>
                      <w:rFonts w:hint="eastAsia" w:cs="Times New Roman"/>
                    </w:rPr>
                    <w:t>本项目选址工业园区内，改扩建项目运营期间生产线不产生废水，厂区员工生活污水纳入市政污水管网进入污水厂处理。</w:t>
                  </w:r>
                </w:p>
              </w:tc>
              <w:tc>
                <w:tcPr>
                  <w:tcW w:w="397" w:type="pct"/>
                  <w:vAlign w:val="center"/>
                </w:tcPr>
                <w:p w14:paraId="7B2773A2">
                  <w:pPr>
                    <w:pStyle w:val="14"/>
                    <w:rPr>
                      <w:rFonts w:cs="Times New Roman"/>
                    </w:rPr>
                  </w:pPr>
                  <w:r>
                    <w:rPr>
                      <w:rFonts w:cs="Times New Roman"/>
                    </w:rPr>
                    <w:t>符合</w:t>
                  </w:r>
                </w:p>
              </w:tc>
            </w:tr>
            <w:tr w14:paraId="30F95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01" w:type="pct"/>
                  <w:vMerge w:val="continue"/>
                  <w:vAlign w:val="center"/>
                </w:tcPr>
                <w:p w14:paraId="1B694A6C">
                  <w:pPr>
                    <w:pStyle w:val="14"/>
                    <w:rPr>
                      <w:rFonts w:cs="Times New Roman"/>
                    </w:rPr>
                  </w:pPr>
                </w:p>
              </w:tc>
              <w:tc>
                <w:tcPr>
                  <w:tcW w:w="2875" w:type="pct"/>
                  <w:vAlign w:val="center"/>
                </w:tcPr>
                <w:p w14:paraId="3158E4B5">
                  <w:pPr>
                    <w:pStyle w:val="14"/>
                    <w:rPr>
                      <w:rFonts w:cs="Times New Roman"/>
                    </w:rPr>
                  </w:pPr>
                  <w:r>
                    <w:rPr>
                      <w:rFonts w:hint="eastAsia" w:cs="Times New Roman"/>
                    </w:rPr>
                    <w:t>优化产业空间布局。强化巴河、南江河和通江河沿岸企业整治，禁止在嘉陵江支流岸线一公里范围内新建、扩建化工园区和化工项目。持续优化农业生产结构和产业布局，做大做强茶叶、核桃、道地药材、生态养殖等特色农业，提升和扶持特色资源加工和农林产品加工产业，加快创建南江黄羊+金银花国家级现代农业产业园，积极争创巴州道地药材国家级现代农业产业园，巩固提升恩阳优质粮油+猪、通江食用菌、平昌茶叶+猪省级现代农业产业园区，培育创建省级现代农业园区5个，改造提升市级园区20个，进一步擦亮巴中特色农产品“富硒、有机”品牌，做强新型工业，重点发展食品饮料、生物医药、新能源新材料等产业，加快推进天然气资源勘探和综合开发利用。</w:t>
                  </w:r>
                </w:p>
                <w:p w14:paraId="3A4AB491">
                  <w:pPr>
                    <w:pStyle w:val="14"/>
                    <w:rPr>
                      <w:rFonts w:cs="Times New Roman"/>
                    </w:rPr>
                  </w:pPr>
                  <w:r>
                    <w:rPr>
                      <w:rFonts w:hint="eastAsia" w:cs="Times New Roman"/>
                    </w:rPr>
                    <w:t>强化“散乱污”企业整治。开展食品加工、饮料酿造、砖瓦、家具生产等行业和燃煤锅炉、工业炉窑等领域落后产能淘汰工作，推动工业企业燃煤锅炉升级改造。完善全市“散乱污”企业认定办法，分类实施关停取缔、整合搬迁、整改提升等措施，依法开展涉水“散乱污”企业综合整治。</w:t>
                  </w:r>
                </w:p>
              </w:tc>
              <w:tc>
                <w:tcPr>
                  <w:tcW w:w="1126" w:type="pct"/>
                  <w:vAlign w:val="center"/>
                </w:tcPr>
                <w:p w14:paraId="5EFDFD15">
                  <w:pPr>
                    <w:pStyle w:val="14"/>
                    <w:rPr>
                      <w:rFonts w:cs="Times New Roman"/>
                    </w:rPr>
                  </w:pPr>
                  <w:r>
                    <w:rPr>
                      <w:rFonts w:hint="eastAsia" w:cs="Times New Roman"/>
                    </w:rPr>
                    <w:t>本项目不属于化工项目，不是农业产业，项目远离嘉陵江支流岸线一公里范围，项目属于家具产品制造，项目无燃煤锅炉、工业炉窑，不属于“散乱污”企业整治类。</w:t>
                  </w:r>
                </w:p>
              </w:tc>
              <w:tc>
                <w:tcPr>
                  <w:tcW w:w="397" w:type="pct"/>
                  <w:vAlign w:val="center"/>
                </w:tcPr>
                <w:p w14:paraId="50E309BC">
                  <w:pPr>
                    <w:pStyle w:val="14"/>
                    <w:rPr>
                      <w:rFonts w:cs="Times New Roman"/>
                    </w:rPr>
                  </w:pPr>
                  <w:r>
                    <w:rPr>
                      <w:rFonts w:cs="Times New Roman"/>
                    </w:rPr>
                    <w:t>符合</w:t>
                  </w:r>
                </w:p>
              </w:tc>
            </w:tr>
          </w:tbl>
          <w:p w14:paraId="6945528B">
            <w:pPr>
              <w:pStyle w:val="3"/>
              <w:spacing w:before="163"/>
            </w:pPr>
            <w:r>
              <w:t>8、项目与土壤、固废污染防治相关要求符合性分析</w:t>
            </w:r>
          </w:p>
          <w:p w14:paraId="237C9FF9">
            <w:pPr>
              <w:pStyle w:val="13"/>
              <w:keepNext/>
              <w:rPr>
                <w:rFonts w:cs="Times New Roman"/>
              </w:rPr>
            </w:pPr>
            <w:r>
              <w:rPr>
                <w:rFonts w:cs="Times New Roman"/>
              </w:rPr>
              <w:t xml:space="preserve">表 </w:t>
            </w:r>
            <w:r>
              <w:rPr>
                <w:rFonts w:cs="Times New Roman"/>
              </w:rPr>
              <w:fldChar w:fldCharType="begin"/>
            </w:r>
            <w:r>
              <w:rPr>
                <w:rFonts w:cs="Times New Roman"/>
              </w:rPr>
              <w:instrText xml:space="preserve"> SEQ seq \c </w:instrText>
            </w:r>
            <w:r>
              <w:rPr>
                <w:rFonts w:cs="Times New Roman"/>
              </w:rPr>
              <w:fldChar w:fldCharType="separate"/>
            </w:r>
            <w:r>
              <w:rPr>
                <w:rFonts w:cs="Times New Roman"/>
              </w:rPr>
              <w:t>1</w:t>
            </w:r>
            <w:r>
              <w:rPr>
                <w:rFonts w:cs="Times New Roman"/>
              </w:rPr>
              <w:fldChar w:fldCharType="end"/>
            </w:r>
            <w:r>
              <w:rPr>
                <w:rFonts w:cs="Times New Roman"/>
              </w:rPr>
              <w:noBreakHyphen/>
            </w:r>
            <w:r>
              <w:rPr>
                <w:rFonts w:cs="Times New Roman"/>
              </w:rPr>
              <w:fldChar w:fldCharType="begin"/>
            </w:r>
            <w:r>
              <w:rPr>
                <w:rFonts w:cs="Times New Roman"/>
              </w:rPr>
              <w:instrText xml:space="preserve"> SEQ 表 \* ARABIC \s 1 </w:instrText>
            </w:r>
            <w:r>
              <w:rPr>
                <w:rFonts w:cs="Times New Roman"/>
              </w:rPr>
              <w:fldChar w:fldCharType="separate"/>
            </w:r>
            <w:r>
              <w:rPr>
                <w:rFonts w:cs="Times New Roman"/>
              </w:rPr>
              <w:t>1</w:t>
            </w:r>
            <w:r>
              <w:rPr>
                <w:rFonts w:hint="eastAsia" w:cs="Times New Roman"/>
              </w:rPr>
              <w:t>3</w:t>
            </w:r>
            <w:r>
              <w:rPr>
                <w:rFonts w:cs="Times New Roman"/>
              </w:rPr>
              <w:fldChar w:fldCharType="end"/>
            </w:r>
            <w:r>
              <w:rPr>
                <w:rFonts w:cs="Times New Roman"/>
              </w:rPr>
              <w:t xml:space="preserve"> </w:t>
            </w:r>
            <w:r>
              <w:rPr>
                <w:rFonts w:hint="eastAsia" w:cs="Times New Roman"/>
              </w:rPr>
              <w:t xml:space="preserve"> </w:t>
            </w:r>
            <w:r>
              <w:rPr>
                <w:rFonts w:cs="Times New Roman"/>
              </w:rPr>
              <w:t>项目与土壤、固废污染防治相关要求符合性分析</w:t>
            </w:r>
          </w:p>
          <w:tbl>
            <w:tblPr>
              <w:tblStyle w:val="3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8"/>
              <w:gridCol w:w="5008"/>
              <w:gridCol w:w="1625"/>
              <w:gridCol w:w="1107"/>
            </w:tblGrid>
            <w:tr w14:paraId="384A7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80" w:type="pct"/>
                  <w:vAlign w:val="center"/>
                </w:tcPr>
                <w:p w14:paraId="7F11E87F">
                  <w:pPr>
                    <w:pStyle w:val="53"/>
                    <w:rPr>
                      <w:rFonts w:cs="Times New Roman"/>
                    </w:rPr>
                  </w:pPr>
                  <w:r>
                    <w:rPr>
                      <w:rFonts w:cs="Times New Roman"/>
                    </w:rPr>
                    <w:t>规划名称</w:t>
                  </w:r>
                </w:p>
              </w:tc>
              <w:tc>
                <w:tcPr>
                  <w:tcW w:w="2795" w:type="pct"/>
                  <w:vAlign w:val="center"/>
                </w:tcPr>
                <w:p w14:paraId="6D11568E">
                  <w:pPr>
                    <w:pStyle w:val="53"/>
                    <w:rPr>
                      <w:rFonts w:cs="Times New Roman"/>
                    </w:rPr>
                  </w:pPr>
                  <w:r>
                    <w:rPr>
                      <w:rFonts w:cs="Times New Roman"/>
                    </w:rPr>
                    <w:t>内容</w:t>
                  </w:r>
                </w:p>
              </w:tc>
              <w:tc>
                <w:tcPr>
                  <w:tcW w:w="907" w:type="pct"/>
                  <w:vAlign w:val="center"/>
                </w:tcPr>
                <w:p w14:paraId="4D3280B1">
                  <w:pPr>
                    <w:pStyle w:val="53"/>
                    <w:rPr>
                      <w:rFonts w:cs="Times New Roman"/>
                    </w:rPr>
                  </w:pPr>
                  <w:r>
                    <w:rPr>
                      <w:rFonts w:cs="Times New Roman"/>
                    </w:rPr>
                    <w:t>本项目情况</w:t>
                  </w:r>
                </w:p>
              </w:tc>
              <w:tc>
                <w:tcPr>
                  <w:tcW w:w="618" w:type="pct"/>
                  <w:vAlign w:val="center"/>
                </w:tcPr>
                <w:p w14:paraId="257FF0ED">
                  <w:pPr>
                    <w:pStyle w:val="53"/>
                    <w:rPr>
                      <w:rFonts w:cs="Times New Roman"/>
                    </w:rPr>
                  </w:pPr>
                  <w:r>
                    <w:rPr>
                      <w:rFonts w:cs="Times New Roman"/>
                    </w:rPr>
                    <w:t>符合性</w:t>
                  </w:r>
                </w:p>
              </w:tc>
            </w:tr>
            <w:tr w14:paraId="10494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80" w:type="pct"/>
                  <w:vMerge w:val="restart"/>
                  <w:vAlign w:val="center"/>
                </w:tcPr>
                <w:p w14:paraId="1C2EC4A7">
                  <w:pPr>
                    <w:pStyle w:val="14"/>
                    <w:rPr>
                      <w:rFonts w:cs="Times New Roman"/>
                    </w:rPr>
                  </w:pPr>
                  <w:r>
                    <w:rPr>
                      <w:rFonts w:cs="Times New Roman"/>
                    </w:rPr>
                    <w:t>《巴中市“十四五”土壤污染防治规划》</w:t>
                  </w:r>
                </w:p>
              </w:tc>
              <w:tc>
                <w:tcPr>
                  <w:tcW w:w="2795" w:type="pct"/>
                  <w:vAlign w:val="center"/>
                </w:tcPr>
                <w:p w14:paraId="493AE9B9">
                  <w:pPr>
                    <w:pStyle w:val="14"/>
                    <w:rPr>
                      <w:rFonts w:cs="Times New Roman"/>
                    </w:rPr>
                  </w:pPr>
                  <w:r>
                    <w:rPr>
                      <w:rFonts w:cs="Times New Roman"/>
                    </w:rPr>
                    <w:t>加强固体废物污染管控。提升固体废物资源化利用水平，通过回收、加工、循环、交换等方式，加快推进工业固体废物资源化利用。推进巴中经开区绿色化、循环化改造，构建废旧物资循环利用体系。</w:t>
                  </w:r>
                </w:p>
              </w:tc>
              <w:tc>
                <w:tcPr>
                  <w:tcW w:w="907" w:type="pct"/>
                  <w:vAlign w:val="center"/>
                </w:tcPr>
                <w:p w14:paraId="74253ABE">
                  <w:pPr>
                    <w:pStyle w:val="14"/>
                    <w:rPr>
                      <w:rFonts w:cs="Times New Roman"/>
                    </w:rPr>
                  </w:pPr>
                  <w:r>
                    <w:rPr>
                      <w:rFonts w:cs="Times New Roman"/>
                    </w:rPr>
                    <w:t>本项目</w:t>
                  </w:r>
                  <w:r>
                    <w:rPr>
                      <w:rFonts w:hint="eastAsia" w:cs="Times New Roman"/>
                    </w:rPr>
                    <w:t>一般</w:t>
                  </w:r>
                  <w:r>
                    <w:rPr>
                      <w:rFonts w:cs="Times New Roman"/>
                    </w:rPr>
                    <w:t>固废优先外售进行综合利用，实现废物资源化。</w:t>
                  </w:r>
                </w:p>
              </w:tc>
              <w:tc>
                <w:tcPr>
                  <w:tcW w:w="618" w:type="pct"/>
                  <w:vAlign w:val="center"/>
                </w:tcPr>
                <w:p w14:paraId="534B7160">
                  <w:pPr>
                    <w:pStyle w:val="14"/>
                    <w:rPr>
                      <w:rFonts w:cs="Times New Roman"/>
                    </w:rPr>
                  </w:pPr>
                  <w:r>
                    <w:rPr>
                      <w:rFonts w:cs="Times New Roman"/>
                    </w:rPr>
                    <w:t>符合</w:t>
                  </w:r>
                </w:p>
              </w:tc>
            </w:tr>
            <w:tr w14:paraId="3422F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80" w:type="pct"/>
                  <w:vMerge w:val="continue"/>
                  <w:vAlign w:val="center"/>
                </w:tcPr>
                <w:p w14:paraId="6755BAE0">
                  <w:pPr>
                    <w:pStyle w:val="14"/>
                    <w:rPr>
                      <w:rFonts w:cs="Times New Roman"/>
                    </w:rPr>
                  </w:pPr>
                </w:p>
              </w:tc>
              <w:tc>
                <w:tcPr>
                  <w:tcW w:w="2795" w:type="pct"/>
                  <w:vAlign w:val="center"/>
                </w:tcPr>
                <w:p w14:paraId="5EEF018F">
                  <w:pPr>
                    <w:pStyle w:val="14"/>
                    <w:rPr>
                      <w:rFonts w:cs="Times New Roman"/>
                    </w:rPr>
                  </w:pPr>
                  <w:r>
                    <w:rPr>
                      <w:rFonts w:cs="Times New Roman"/>
                    </w:rPr>
                    <w:t>严格巴中经开区等工业园区建设环境准入标准，工业园区须全面开展园区规划环境影响评价，并在规划环评中充分评估园区环境风险，提出园区风险防范工程措施。根据工业园区的污染现状和对周边土壤环境的影响，开展园区内固废污染源治理工作，防止污染土壤。严格控制涉重金属等产业新增产能的快速增长，严格企业环境准入管理，新（改、扩）建建设项目实施“等量替代”或“减量替代”。</w:t>
                  </w:r>
                </w:p>
              </w:tc>
              <w:tc>
                <w:tcPr>
                  <w:tcW w:w="907" w:type="pct"/>
                  <w:vAlign w:val="center"/>
                </w:tcPr>
                <w:p w14:paraId="121BB128">
                  <w:pPr>
                    <w:pStyle w:val="14"/>
                    <w:rPr>
                      <w:rFonts w:cs="Times New Roman"/>
                    </w:rPr>
                  </w:pPr>
                  <w:r>
                    <w:rPr>
                      <w:rFonts w:cs="Times New Roman"/>
                    </w:rPr>
                    <w:t>本项目所在巴中经开区以开展规划环评，并充分评估环境风险。本项目符合园区规划环评要求。</w:t>
                  </w:r>
                </w:p>
                <w:p w14:paraId="4B67F5B7">
                  <w:pPr>
                    <w:pStyle w:val="14"/>
                    <w:rPr>
                      <w:rFonts w:cs="Times New Roman"/>
                    </w:rPr>
                  </w:pPr>
                  <w:r>
                    <w:rPr>
                      <w:rFonts w:cs="Times New Roman"/>
                    </w:rPr>
                    <w:t>本项目不涉及重金属污染物排放。</w:t>
                  </w:r>
                </w:p>
              </w:tc>
              <w:tc>
                <w:tcPr>
                  <w:tcW w:w="618" w:type="pct"/>
                  <w:vAlign w:val="center"/>
                </w:tcPr>
                <w:p w14:paraId="6E4A516F">
                  <w:pPr>
                    <w:pStyle w:val="14"/>
                    <w:rPr>
                      <w:rFonts w:cs="Times New Roman"/>
                    </w:rPr>
                  </w:pPr>
                  <w:r>
                    <w:rPr>
                      <w:rFonts w:cs="Times New Roman"/>
                    </w:rPr>
                    <w:t>符合</w:t>
                  </w:r>
                </w:p>
              </w:tc>
            </w:tr>
            <w:tr w14:paraId="02CCA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80" w:type="pct"/>
                  <w:vAlign w:val="center"/>
                </w:tcPr>
                <w:p w14:paraId="3C1DED92">
                  <w:pPr>
                    <w:pStyle w:val="14"/>
                    <w:rPr>
                      <w:rFonts w:cs="Times New Roman"/>
                    </w:rPr>
                  </w:pPr>
                  <w:r>
                    <w:rPr>
                      <w:rFonts w:cs="Times New Roman"/>
                    </w:rPr>
                    <w:t>《中华人民共和国固体废物污染环境防治法》（2020年4</w:t>
                  </w:r>
                </w:p>
                <w:p w14:paraId="632FDB72">
                  <w:pPr>
                    <w:pStyle w:val="14"/>
                    <w:rPr>
                      <w:rFonts w:cs="Times New Roman"/>
                    </w:rPr>
                  </w:pPr>
                  <w:r>
                    <w:rPr>
                      <w:rFonts w:cs="Times New Roman"/>
                    </w:rPr>
                    <w:t>月29日第二次修订）</w:t>
                  </w:r>
                </w:p>
              </w:tc>
              <w:tc>
                <w:tcPr>
                  <w:tcW w:w="2795" w:type="pct"/>
                </w:tcPr>
                <w:p w14:paraId="3E028359">
                  <w:pPr>
                    <w:pStyle w:val="14"/>
                    <w:rPr>
                      <w:rFonts w:cs="Times New Roman"/>
                    </w:rPr>
                  </w:pPr>
                  <w:r>
                    <w:rPr>
                      <w:rFonts w:cs="Times New Roman"/>
                    </w:rPr>
                    <w:t>第三十六条：产生工业固体废物的单位应当建立健全工业固体废物产生、收集、贮存、运输、利用、处置全过程的污染环境防治责任制度，建立工业固体废物管理台账，如实记录产生工业固体废物的种类、数量、流向、贮存、利用、处置等信息，实现工业固体废物可追溯、可查询，并采取防治工业固体废物污染环境的措施。禁止向生活垃圾收集设施中投放工业固体废物。</w:t>
                  </w:r>
                </w:p>
                <w:p w14:paraId="0175CC7F">
                  <w:pPr>
                    <w:pStyle w:val="14"/>
                    <w:rPr>
                      <w:rFonts w:cs="Times New Roman"/>
                    </w:rPr>
                  </w:pPr>
                  <w:r>
                    <w:rPr>
                      <w:rFonts w:cs="Times New Roman"/>
                    </w:rPr>
                    <w:t>第三十七条：产生工业固体废物的单位委托他人运输、利用、处置工业固体废物的，应当对受托方的主体资格和技术能力进行核实，依法签订书面合同，在合同中约定污染防治要求。</w:t>
                  </w:r>
                </w:p>
                <w:p w14:paraId="1F32CB7A">
                  <w:pPr>
                    <w:pStyle w:val="14"/>
                    <w:rPr>
                      <w:rFonts w:cs="Times New Roman"/>
                    </w:rPr>
                  </w:pPr>
                  <w:r>
                    <w:rPr>
                      <w:rFonts w:cs="Times New Roman"/>
                    </w:rPr>
                    <w:t>第四十条：产生工业固体废物的单位应当根据经济、技术条件对工业固体废物加以利用；对暂时不利用或者不能利用的，应当按照国务院生态环境等主管部门的规定建设贮存设施、场所，安全分类存放，或者采取无害化处置措施。贮存工业固体废物应当采取符合国家环境保护标准的防护措施。</w:t>
                  </w:r>
                </w:p>
                <w:p w14:paraId="7AB4C8A8">
                  <w:pPr>
                    <w:pStyle w:val="14"/>
                    <w:rPr>
                      <w:rFonts w:cs="Times New Roman"/>
                    </w:rPr>
                  </w:pPr>
                  <w:r>
                    <w:rPr>
                      <w:rFonts w:cs="Times New Roman"/>
                    </w:rPr>
                    <w:t>第七十八条：产生危险废物的单位，应当按照国家有关规定制定危险废物管理计划；建立危险废物管理台账，如实记录有关信息，并通过国家危险废物信息管理系统向所在地生态环境主管部门申报危险废物的种类、产生量、流向、贮存、处置等有关资料。</w:t>
                  </w:r>
                </w:p>
                <w:p w14:paraId="0482C95D">
                  <w:pPr>
                    <w:pStyle w:val="14"/>
                    <w:rPr>
                      <w:rFonts w:cs="Times New Roman"/>
                    </w:rPr>
                  </w:pPr>
                  <w:r>
                    <w:rPr>
                      <w:rFonts w:cs="Times New Roman"/>
                    </w:rPr>
                    <w:t>第七十九条：产生危险废物的单位，应当按照国家有关规定和环境保护标准要求贮存、利用、处置危险废物，不得擅自倾倒、堆放。禁止将危险废物提供或者委托给无许可证的单位或者其他生产经营者从事收集、贮存、利用、处置活动。</w:t>
                  </w:r>
                </w:p>
                <w:p w14:paraId="28739515">
                  <w:pPr>
                    <w:pStyle w:val="14"/>
                    <w:rPr>
                      <w:rFonts w:cs="Times New Roman"/>
                    </w:rPr>
                  </w:pPr>
                  <w:r>
                    <w:rPr>
                      <w:rFonts w:cs="Times New Roman"/>
                    </w:rPr>
                    <w:t>第八十五条：产生、收集、贮存、运输、利用、处置危险废物的单位，应当依法制定意外事故的防范措施和应急预案，并向所在地生态环境主管部门和其他负有固体废物污染环境防治监督管理职责的部门备案；生态环境主管部门和其他负有固体废物污染环境防治监督管理职责的部门应当进行检查。</w:t>
                  </w:r>
                </w:p>
              </w:tc>
              <w:tc>
                <w:tcPr>
                  <w:tcW w:w="907" w:type="pct"/>
                  <w:vAlign w:val="center"/>
                </w:tcPr>
                <w:p w14:paraId="752B051E">
                  <w:pPr>
                    <w:pStyle w:val="14"/>
                    <w:rPr>
                      <w:rFonts w:cs="Times New Roman"/>
                    </w:rPr>
                  </w:pPr>
                  <w:r>
                    <w:rPr>
                      <w:rFonts w:cs="Times New Roman"/>
                    </w:rPr>
                    <w:t>设置有环境管理专职人员，负责项目的环境保护工作，包括：建立工业固体废物管理台账、签订固废处置协议等，项目建设的工业固废暂存场所，改建完善后符合国家环境保护标准的防护措施；项目危险废物暂存于危废暂存间内，定期交由资质单位处理处置，并建立危险废物管理台账。</w:t>
                  </w:r>
                </w:p>
              </w:tc>
              <w:tc>
                <w:tcPr>
                  <w:tcW w:w="618" w:type="pct"/>
                  <w:vAlign w:val="center"/>
                </w:tcPr>
                <w:p w14:paraId="0E703C79">
                  <w:pPr>
                    <w:pStyle w:val="14"/>
                    <w:rPr>
                      <w:rFonts w:cs="Times New Roman"/>
                    </w:rPr>
                  </w:pPr>
                  <w:r>
                    <w:rPr>
                      <w:rFonts w:cs="Times New Roman"/>
                    </w:rPr>
                    <w:t>符合</w:t>
                  </w:r>
                </w:p>
              </w:tc>
            </w:tr>
          </w:tbl>
          <w:p w14:paraId="007F23CF">
            <w:pPr>
              <w:ind w:left="480" w:firstLine="0" w:firstLineChars="0"/>
              <w:rPr>
                <w:rFonts w:cs="Times New Roman"/>
              </w:rPr>
            </w:pPr>
            <w:r>
              <w:rPr>
                <w:rFonts w:cs="Times New Roman"/>
              </w:rPr>
              <w:t>综上，本项目建设与土壤、固废污染防治相关要求相符。</w:t>
            </w:r>
          </w:p>
          <w:p w14:paraId="288D70E1">
            <w:pPr>
              <w:pStyle w:val="3"/>
              <w:spacing w:before="163"/>
            </w:pPr>
            <w:r>
              <w:t>9、外环境关系及选址合理性分析</w:t>
            </w:r>
          </w:p>
          <w:p w14:paraId="55302672">
            <w:pPr>
              <w:ind w:firstLine="480"/>
              <w:rPr>
                <w:rFonts w:cs="Times New Roman"/>
              </w:rPr>
            </w:pPr>
            <w:r>
              <w:rPr>
                <w:rFonts w:cs="Times New Roman"/>
              </w:rPr>
              <w:t>（1）外环境情况</w:t>
            </w:r>
          </w:p>
          <w:p w14:paraId="333FD1BF">
            <w:pPr>
              <w:ind w:firstLine="480"/>
              <w:rPr>
                <w:rFonts w:cs="Times New Roman"/>
              </w:rPr>
            </w:pPr>
            <w:r>
              <w:rPr>
                <w:rFonts w:cs="Times New Roman"/>
              </w:rPr>
              <w:t>本项目位于</w:t>
            </w:r>
            <w:r>
              <w:rPr>
                <w:rFonts w:hint="eastAsia" w:cs="Times New Roman"/>
              </w:rPr>
              <w:t>四川省巴中市经济开发区兴文街道办事处中山北路21号附1号</w:t>
            </w:r>
            <w:r>
              <w:rPr>
                <w:rFonts w:cs="Times New Roman"/>
              </w:rPr>
              <w:t>，</w:t>
            </w:r>
            <w:r>
              <w:rPr>
                <w:rFonts w:hint="eastAsia" w:cs="Times New Roman"/>
              </w:rPr>
              <w:t>符合园区规划要求</w:t>
            </w:r>
            <w:r>
              <w:rPr>
                <w:rFonts w:cs="Times New Roman"/>
              </w:rPr>
              <w:t>。周边总体上以其他工业企业、待建工业用地和林地为主。本项目外环境关系如下：</w:t>
            </w:r>
          </w:p>
          <w:p w14:paraId="325E64F4">
            <w:pPr>
              <w:ind w:firstLine="480"/>
              <w:rPr>
                <w:rFonts w:cs="Times New Roman"/>
              </w:rPr>
            </w:pPr>
            <w:r>
              <w:rPr>
                <w:rFonts w:cs="Times New Roman"/>
              </w:rPr>
              <w:t>东侧：东侧500m范围内主要为</w:t>
            </w:r>
            <w:r>
              <w:rPr>
                <w:rFonts w:hint="eastAsia" w:cs="Times New Roman"/>
              </w:rPr>
              <w:t>四川宇光光学玻璃有限公司、四川中兴纺织有限责任公司、</w:t>
            </w:r>
            <w:r>
              <w:rPr>
                <w:rFonts w:hint="eastAsia" w:cs="Times New Roman"/>
                <w:kern w:val="0"/>
                <w:szCs w:val="21"/>
              </w:rPr>
              <w:t>巴中市经开区消防救援大队（约30人）；</w:t>
            </w:r>
          </w:p>
          <w:p w14:paraId="6A53B2F0">
            <w:pPr>
              <w:ind w:firstLine="480"/>
              <w:rPr>
                <w:rFonts w:cs="Times New Roman"/>
              </w:rPr>
            </w:pPr>
            <w:r>
              <w:rPr>
                <w:rFonts w:cs="Times New Roman"/>
              </w:rPr>
              <w:t>北侧：500m范围内</w:t>
            </w:r>
            <w:r>
              <w:rPr>
                <w:rFonts w:hint="eastAsia" w:cs="Times New Roman"/>
              </w:rPr>
              <w:t>为古井河池塘，林地和</w:t>
            </w:r>
            <w:r>
              <w:rPr>
                <w:rFonts w:hint="eastAsia" w:cs="Times New Roman"/>
                <w:kern w:val="0"/>
                <w:szCs w:val="21"/>
              </w:rPr>
              <w:t>巴中建丰新材料有限公司；</w:t>
            </w:r>
          </w:p>
          <w:p w14:paraId="28049A46">
            <w:pPr>
              <w:ind w:firstLine="480"/>
              <w:rPr>
                <w:rFonts w:cs="Times New Roman"/>
              </w:rPr>
            </w:pPr>
            <w:r>
              <w:rPr>
                <w:rFonts w:cs="Times New Roman"/>
              </w:rPr>
              <w:t>南侧：500m范围内</w:t>
            </w:r>
            <w:r>
              <w:rPr>
                <w:rFonts w:hint="eastAsia" w:cs="Times New Roman"/>
              </w:rPr>
              <w:t>为中山北路，隔道路是林地和</w:t>
            </w:r>
            <w:r>
              <w:rPr>
                <w:rFonts w:hint="eastAsia" w:cs="Times New Roman"/>
                <w:kern w:val="0"/>
                <w:szCs w:val="21"/>
              </w:rPr>
              <w:t>巴中日报印刷厂；</w:t>
            </w:r>
          </w:p>
          <w:p w14:paraId="539F3749">
            <w:pPr>
              <w:ind w:firstLine="480"/>
              <w:rPr>
                <w:rFonts w:cs="Times New Roman"/>
              </w:rPr>
            </w:pPr>
            <w:r>
              <w:rPr>
                <w:rFonts w:cs="Times New Roman"/>
              </w:rPr>
              <w:t>西侧：500m范围内</w:t>
            </w:r>
            <w:r>
              <w:rPr>
                <w:rFonts w:hint="eastAsia" w:cs="Times New Roman"/>
              </w:rPr>
              <w:t>为林地，少量耕地。</w:t>
            </w:r>
          </w:p>
          <w:p w14:paraId="1E18CCC7">
            <w:pPr>
              <w:pStyle w:val="13"/>
              <w:keepNext/>
              <w:rPr>
                <w:rFonts w:cs="Times New Roman"/>
              </w:rPr>
            </w:pPr>
            <w:r>
              <w:rPr>
                <w:rFonts w:cs="Times New Roman"/>
              </w:rPr>
              <w:t xml:space="preserve">表 </w:t>
            </w:r>
            <w:r>
              <w:rPr>
                <w:rFonts w:cs="Times New Roman"/>
              </w:rPr>
              <w:fldChar w:fldCharType="begin"/>
            </w:r>
            <w:r>
              <w:rPr>
                <w:rFonts w:cs="Times New Roman"/>
              </w:rPr>
              <w:instrText xml:space="preserve"> SEQ seq \c </w:instrText>
            </w:r>
            <w:r>
              <w:rPr>
                <w:rFonts w:cs="Times New Roman"/>
              </w:rPr>
              <w:fldChar w:fldCharType="separate"/>
            </w:r>
            <w:r>
              <w:rPr>
                <w:rFonts w:cs="Times New Roman"/>
              </w:rPr>
              <w:t>1</w:t>
            </w:r>
            <w:r>
              <w:rPr>
                <w:rFonts w:cs="Times New Roman"/>
              </w:rPr>
              <w:fldChar w:fldCharType="end"/>
            </w:r>
            <w:r>
              <w:rPr>
                <w:rFonts w:cs="Times New Roman"/>
              </w:rPr>
              <w:noBreakHyphen/>
            </w:r>
            <w:r>
              <w:rPr>
                <w:rFonts w:hint="eastAsia" w:cs="Times New Roman"/>
              </w:rPr>
              <w:t>14</w:t>
            </w:r>
            <w:r>
              <w:rPr>
                <w:rFonts w:cs="Times New Roman"/>
              </w:rPr>
              <w:t xml:space="preserve"> </w:t>
            </w:r>
            <w:r>
              <w:rPr>
                <w:rFonts w:hint="eastAsia" w:cs="Times New Roman"/>
              </w:rPr>
              <w:t xml:space="preserve"> </w:t>
            </w:r>
            <w:r>
              <w:rPr>
                <w:rFonts w:cs="Times New Roman"/>
              </w:rPr>
              <w:t>本项目外环境</w:t>
            </w:r>
            <w:r>
              <w:rPr>
                <w:rFonts w:hint="eastAsia" w:cs="Times New Roman"/>
              </w:rPr>
              <w:t>关系</w:t>
            </w:r>
            <w:r>
              <w:rPr>
                <w:rFonts w:cs="Times New Roman"/>
              </w:rPr>
              <w:t>概括表</w:t>
            </w:r>
          </w:p>
          <w:tbl>
            <w:tblPr>
              <w:tblStyle w:val="33"/>
              <w:tblW w:w="4997" w:type="pct"/>
              <w:jc w:val="center"/>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Layout w:type="autofit"/>
              <w:tblCellMar>
                <w:top w:w="0" w:type="dxa"/>
                <w:left w:w="108" w:type="dxa"/>
                <w:bottom w:w="0" w:type="dxa"/>
                <w:right w:w="108" w:type="dxa"/>
              </w:tblCellMar>
            </w:tblPr>
            <w:tblGrid>
              <w:gridCol w:w="596"/>
              <w:gridCol w:w="3236"/>
              <w:gridCol w:w="1079"/>
              <w:gridCol w:w="1236"/>
              <w:gridCol w:w="2811"/>
            </w:tblGrid>
            <w:tr w14:paraId="1CB1C76A">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333" w:type="pct"/>
                  <w:tcBorders>
                    <w:bottom w:val="single" w:color="auto" w:sz="2" w:space="0"/>
                  </w:tcBorders>
                  <w:vAlign w:val="center"/>
                </w:tcPr>
                <w:p w14:paraId="3874BF4B">
                  <w:pPr>
                    <w:adjustRightInd w:val="0"/>
                    <w:snapToGrid w:val="0"/>
                    <w:spacing w:line="240" w:lineRule="auto"/>
                    <w:ind w:firstLine="0" w:firstLineChars="0"/>
                    <w:jc w:val="center"/>
                    <w:rPr>
                      <w:rFonts w:cs="Times New Roman"/>
                      <w:b/>
                      <w:kern w:val="0"/>
                      <w:sz w:val="21"/>
                      <w:szCs w:val="21"/>
                    </w:rPr>
                  </w:pPr>
                  <w:r>
                    <w:rPr>
                      <w:rFonts w:cs="Times New Roman"/>
                      <w:b/>
                      <w:kern w:val="0"/>
                      <w:sz w:val="21"/>
                      <w:szCs w:val="21"/>
                    </w:rPr>
                    <w:t>序号</w:t>
                  </w:r>
                </w:p>
              </w:tc>
              <w:tc>
                <w:tcPr>
                  <w:tcW w:w="1806" w:type="pct"/>
                  <w:tcBorders>
                    <w:bottom w:val="single" w:color="auto" w:sz="2" w:space="0"/>
                  </w:tcBorders>
                  <w:vAlign w:val="center"/>
                </w:tcPr>
                <w:p w14:paraId="71DB6148">
                  <w:pPr>
                    <w:adjustRightInd w:val="0"/>
                    <w:snapToGrid w:val="0"/>
                    <w:spacing w:line="240" w:lineRule="auto"/>
                    <w:ind w:firstLine="0" w:firstLineChars="0"/>
                    <w:jc w:val="center"/>
                    <w:rPr>
                      <w:rFonts w:cs="Times New Roman"/>
                      <w:b/>
                      <w:kern w:val="0"/>
                      <w:sz w:val="21"/>
                      <w:szCs w:val="21"/>
                    </w:rPr>
                  </w:pPr>
                  <w:r>
                    <w:rPr>
                      <w:rFonts w:cs="Times New Roman"/>
                      <w:b/>
                      <w:kern w:val="0"/>
                      <w:sz w:val="21"/>
                      <w:szCs w:val="21"/>
                    </w:rPr>
                    <w:t>名称</w:t>
                  </w:r>
                </w:p>
              </w:tc>
              <w:tc>
                <w:tcPr>
                  <w:tcW w:w="602" w:type="pct"/>
                  <w:tcBorders>
                    <w:bottom w:val="single" w:color="auto" w:sz="2" w:space="0"/>
                  </w:tcBorders>
                  <w:vAlign w:val="center"/>
                </w:tcPr>
                <w:p w14:paraId="082FFA7A">
                  <w:pPr>
                    <w:adjustRightInd w:val="0"/>
                    <w:snapToGrid w:val="0"/>
                    <w:spacing w:line="240" w:lineRule="auto"/>
                    <w:ind w:firstLine="0" w:firstLineChars="0"/>
                    <w:jc w:val="center"/>
                    <w:rPr>
                      <w:rFonts w:cs="Times New Roman"/>
                      <w:b/>
                      <w:kern w:val="0"/>
                      <w:sz w:val="21"/>
                      <w:szCs w:val="21"/>
                    </w:rPr>
                  </w:pPr>
                  <w:r>
                    <w:rPr>
                      <w:rFonts w:cs="Times New Roman"/>
                      <w:b/>
                      <w:kern w:val="0"/>
                      <w:sz w:val="21"/>
                      <w:szCs w:val="21"/>
                    </w:rPr>
                    <w:t>方位</w:t>
                  </w:r>
                </w:p>
              </w:tc>
              <w:tc>
                <w:tcPr>
                  <w:tcW w:w="690" w:type="pct"/>
                  <w:tcBorders>
                    <w:bottom w:val="single" w:color="auto" w:sz="2" w:space="0"/>
                  </w:tcBorders>
                  <w:vAlign w:val="center"/>
                </w:tcPr>
                <w:p w14:paraId="33A8BC6A">
                  <w:pPr>
                    <w:adjustRightInd w:val="0"/>
                    <w:snapToGrid w:val="0"/>
                    <w:spacing w:line="240" w:lineRule="auto"/>
                    <w:ind w:firstLine="0" w:firstLineChars="0"/>
                    <w:jc w:val="center"/>
                    <w:rPr>
                      <w:rFonts w:cs="Times New Roman"/>
                      <w:b/>
                      <w:kern w:val="0"/>
                      <w:sz w:val="21"/>
                      <w:szCs w:val="21"/>
                    </w:rPr>
                  </w:pPr>
                  <w:r>
                    <w:rPr>
                      <w:rFonts w:hint="eastAsia" w:cs="Times New Roman"/>
                      <w:b/>
                      <w:kern w:val="0"/>
                      <w:sz w:val="21"/>
                      <w:szCs w:val="21"/>
                    </w:rPr>
                    <w:t>最近距离（m）</w:t>
                  </w:r>
                </w:p>
              </w:tc>
              <w:tc>
                <w:tcPr>
                  <w:tcW w:w="1569" w:type="pct"/>
                  <w:tcBorders>
                    <w:bottom w:val="single" w:color="auto" w:sz="2" w:space="0"/>
                  </w:tcBorders>
                  <w:vAlign w:val="center"/>
                </w:tcPr>
                <w:p w14:paraId="6B50FAC8">
                  <w:pPr>
                    <w:adjustRightInd w:val="0"/>
                    <w:snapToGrid w:val="0"/>
                    <w:spacing w:line="240" w:lineRule="auto"/>
                    <w:ind w:firstLine="0" w:firstLineChars="0"/>
                    <w:jc w:val="center"/>
                    <w:rPr>
                      <w:rFonts w:cs="Times New Roman"/>
                      <w:b/>
                      <w:kern w:val="0"/>
                      <w:sz w:val="21"/>
                      <w:szCs w:val="21"/>
                    </w:rPr>
                  </w:pPr>
                  <w:r>
                    <w:rPr>
                      <w:rFonts w:cs="Times New Roman"/>
                      <w:b/>
                      <w:kern w:val="0"/>
                      <w:sz w:val="21"/>
                      <w:szCs w:val="21"/>
                    </w:rPr>
                    <w:t>目标情况</w:t>
                  </w:r>
                </w:p>
              </w:tc>
            </w:tr>
            <w:tr w14:paraId="3B40BD6C">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33" w:type="pct"/>
                  <w:tcBorders>
                    <w:top w:val="single" w:color="auto" w:sz="2" w:space="0"/>
                  </w:tcBorders>
                  <w:vAlign w:val="center"/>
                </w:tcPr>
                <w:p w14:paraId="6B3BF19E">
                  <w:pPr>
                    <w:adjustRightInd w:val="0"/>
                    <w:snapToGrid w:val="0"/>
                    <w:spacing w:line="240" w:lineRule="auto"/>
                    <w:ind w:firstLine="0" w:firstLineChars="0"/>
                    <w:jc w:val="center"/>
                    <w:rPr>
                      <w:rFonts w:cs="Times New Roman"/>
                      <w:kern w:val="0"/>
                      <w:sz w:val="21"/>
                      <w:szCs w:val="21"/>
                    </w:rPr>
                  </w:pPr>
                  <w:r>
                    <w:rPr>
                      <w:rFonts w:cs="Times New Roman"/>
                      <w:kern w:val="0"/>
                      <w:sz w:val="21"/>
                      <w:szCs w:val="21"/>
                    </w:rPr>
                    <w:t>1</w:t>
                  </w:r>
                </w:p>
              </w:tc>
              <w:tc>
                <w:tcPr>
                  <w:tcW w:w="1806" w:type="pct"/>
                  <w:tcBorders>
                    <w:top w:val="single" w:color="auto" w:sz="2" w:space="0"/>
                  </w:tcBorders>
                  <w:vAlign w:val="center"/>
                </w:tcPr>
                <w:p w14:paraId="75B11881">
                  <w:pPr>
                    <w:adjustRightInd w:val="0"/>
                    <w:snapToGrid w:val="0"/>
                    <w:spacing w:line="240" w:lineRule="auto"/>
                    <w:ind w:firstLine="0" w:firstLineChars="0"/>
                    <w:jc w:val="center"/>
                    <w:rPr>
                      <w:rFonts w:cs="Times New Roman"/>
                      <w:kern w:val="0"/>
                      <w:sz w:val="21"/>
                      <w:szCs w:val="21"/>
                    </w:rPr>
                  </w:pPr>
                  <w:r>
                    <w:rPr>
                      <w:rFonts w:hint="eastAsia" w:cs="Times New Roman"/>
                      <w:kern w:val="0"/>
                      <w:sz w:val="21"/>
                      <w:szCs w:val="21"/>
                    </w:rPr>
                    <w:t>四川宇光光学玻璃有限公司</w:t>
                  </w:r>
                </w:p>
              </w:tc>
              <w:tc>
                <w:tcPr>
                  <w:tcW w:w="602" w:type="pct"/>
                  <w:tcBorders>
                    <w:top w:val="single" w:color="auto" w:sz="2" w:space="0"/>
                  </w:tcBorders>
                  <w:vAlign w:val="center"/>
                </w:tcPr>
                <w:p w14:paraId="26061276">
                  <w:pPr>
                    <w:adjustRightInd w:val="0"/>
                    <w:snapToGrid w:val="0"/>
                    <w:spacing w:line="240" w:lineRule="auto"/>
                    <w:ind w:firstLine="0" w:firstLineChars="0"/>
                    <w:jc w:val="center"/>
                    <w:rPr>
                      <w:rFonts w:cs="Times New Roman"/>
                      <w:kern w:val="0"/>
                      <w:sz w:val="21"/>
                      <w:szCs w:val="21"/>
                    </w:rPr>
                  </w:pPr>
                  <w:r>
                    <w:rPr>
                      <w:rFonts w:hint="eastAsia" w:cs="Times New Roman"/>
                      <w:kern w:val="0"/>
                      <w:sz w:val="21"/>
                      <w:szCs w:val="21"/>
                    </w:rPr>
                    <w:t>东侧</w:t>
                  </w:r>
                </w:p>
              </w:tc>
              <w:tc>
                <w:tcPr>
                  <w:tcW w:w="690" w:type="pct"/>
                  <w:tcBorders>
                    <w:top w:val="single" w:color="auto" w:sz="2" w:space="0"/>
                  </w:tcBorders>
                  <w:vAlign w:val="center"/>
                </w:tcPr>
                <w:p w14:paraId="51FF0D9C">
                  <w:pPr>
                    <w:adjustRightInd w:val="0"/>
                    <w:snapToGrid w:val="0"/>
                    <w:spacing w:line="240" w:lineRule="auto"/>
                    <w:ind w:firstLine="0" w:firstLineChars="0"/>
                    <w:jc w:val="center"/>
                    <w:rPr>
                      <w:rFonts w:cs="Times New Roman"/>
                      <w:kern w:val="0"/>
                      <w:sz w:val="21"/>
                      <w:szCs w:val="21"/>
                    </w:rPr>
                  </w:pPr>
                  <w:r>
                    <w:rPr>
                      <w:rFonts w:hint="eastAsia" w:cs="Times New Roman"/>
                      <w:kern w:val="0"/>
                      <w:sz w:val="21"/>
                      <w:szCs w:val="21"/>
                    </w:rPr>
                    <w:t>68</w:t>
                  </w:r>
                </w:p>
              </w:tc>
              <w:tc>
                <w:tcPr>
                  <w:tcW w:w="1569" w:type="pct"/>
                  <w:tcBorders>
                    <w:top w:val="single" w:color="auto" w:sz="2" w:space="0"/>
                  </w:tcBorders>
                  <w:vAlign w:val="center"/>
                </w:tcPr>
                <w:p w14:paraId="40BA0438">
                  <w:pPr>
                    <w:adjustRightInd w:val="0"/>
                    <w:snapToGrid w:val="0"/>
                    <w:spacing w:line="240" w:lineRule="auto"/>
                    <w:ind w:firstLine="0" w:firstLineChars="0"/>
                    <w:jc w:val="center"/>
                    <w:rPr>
                      <w:rFonts w:cs="Times New Roman"/>
                      <w:kern w:val="0"/>
                      <w:sz w:val="21"/>
                      <w:szCs w:val="21"/>
                    </w:rPr>
                  </w:pPr>
                  <w:r>
                    <w:rPr>
                      <w:rFonts w:hint="eastAsia" w:cs="Times New Roman"/>
                      <w:kern w:val="0"/>
                      <w:sz w:val="21"/>
                      <w:szCs w:val="21"/>
                    </w:rPr>
                    <w:t>玻璃深加工</w:t>
                  </w:r>
                </w:p>
              </w:tc>
            </w:tr>
            <w:tr w14:paraId="2A7E3601">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33" w:type="pct"/>
                  <w:tcBorders>
                    <w:top w:val="single" w:color="auto" w:sz="2" w:space="0"/>
                  </w:tcBorders>
                  <w:vAlign w:val="center"/>
                </w:tcPr>
                <w:p w14:paraId="3DAFB359">
                  <w:pPr>
                    <w:adjustRightInd w:val="0"/>
                    <w:snapToGrid w:val="0"/>
                    <w:spacing w:line="240" w:lineRule="auto"/>
                    <w:ind w:firstLine="0" w:firstLineChars="0"/>
                    <w:jc w:val="center"/>
                    <w:rPr>
                      <w:rFonts w:cs="Times New Roman"/>
                      <w:kern w:val="0"/>
                      <w:sz w:val="21"/>
                      <w:szCs w:val="21"/>
                    </w:rPr>
                  </w:pPr>
                  <w:r>
                    <w:rPr>
                      <w:rFonts w:cs="Times New Roman"/>
                      <w:kern w:val="0"/>
                      <w:sz w:val="21"/>
                      <w:szCs w:val="21"/>
                    </w:rPr>
                    <w:t>2</w:t>
                  </w:r>
                </w:p>
              </w:tc>
              <w:tc>
                <w:tcPr>
                  <w:tcW w:w="1806" w:type="pct"/>
                  <w:tcBorders>
                    <w:top w:val="single" w:color="auto" w:sz="2" w:space="0"/>
                  </w:tcBorders>
                  <w:vAlign w:val="center"/>
                </w:tcPr>
                <w:p w14:paraId="18803261">
                  <w:pPr>
                    <w:adjustRightInd w:val="0"/>
                    <w:snapToGrid w:val="0"/>
                    <w:spacing w:line="240" w:lineRule="auto"/>
                    <w:ind w:firstLine="0" w:firstLineChars="0"/>
                    <w:jc w:val="center"/>
                    <w:rPr>
                      <w:rFonts w:cs="Times New Roman"/>
                      <w:kern w:val="0"/>
                      <w:sz w:val="21"/>
                      <w:szCs w:val="21"/>
                    </w:rPr>
                  </w:pPr>
                  <w:r>
                    <w:rPr>
                      <w:rFonts w:hint="eastAsia" w:cs="Times New Roman"/>
                      <w:kern w:val="0"/>
                      <w:sz w:val="21"/>
                      <w:szCs w:val="21"/>
                    </w:rPr>
                    <w:t>四川中兴纺织有限责任公司</w:t>
                  </w:r>
                </w:p>
              </w:tc>
              <w:tc>
                <w:tcPr>
                  <w:tcW w:w="602" w:type="pct"/>
                  <w:tcBorders>
                    <w:top w:val="single" w:color="auto" w:sz="2" w:space="0"/>
                  </w:tcBorders>
                  <w:vAlign w:val="center"/>
                </w:tcPr>
                <w:p w14:paraId="09196CF0">
                  <w:pPr>
                    <w:adjustRightInd w:val="0"/>
                    <w:snapToGrid w:val="0"/>
                    <w:spacing w:line="240" w:lineRule="auto"/>
                    <w:ind w:firstLine="0" w:firstLineChars="0"/>
                    <w:jc w:val="center"/>
                    <w:rPr>
                      <w:rFonts w:cs="Times New Roman"/>
                      <w:kern w:val="0"/>
                      <w:sz w:val="21"/>
                      <w:szCs w:val="21"/>
                    </w:rPr>
                  </w:pPr>
                  <w:r>
                    <w:rPr>
                      <w:rFonts w:hint="eastAsia" w:cs="Times New Roman"/>
                      <w:kern w:val="0"/>
                      <w:sz w:val="21"/>
                      <w:szCs w:val="21"/>
                    </w:rPr>
                    <w:t>东侧</w:t>
                  </w:r>
                </w:p>
              </w:tc>
              <w:tc>
                <w:tcPr>
                  <w:tcW w:w="690" w:type="pct"/>
                  <w:tcBorders>
                    <w:top w:val="single" w:color="auto" w:sz="2" w:space="0"/>
                  </w:tcBorders>
                  <w:vAlign w:val="center"/>
                </w:tcPr>
                <w:p w14:paraId="2F74E16B">
                  <w:pPr>
                    <w:adjustRightInd w:val="0"/>
                    <w:snapToGrid w:val="0"/>
                    <w:spacing w:line="240" w:lineRule="auto"/>
                    <w:ind w:firstLine="0" w:firstLineChars="0"/>
                    <w:jc w:val="center"/>
                    <w:rPr>
                      <w:rFonts w:cs="Times New Roman"/>
                      <w:kern w:val="0"/>
                      <w:sz w:val="21"/>
                      <w:szCs w:val="21"/>
                    </w:rPr>
                  </w:pPr>
                  <w:r>
                    <w:rPr>
                      <w:rFonts w:hint="eastAsia" w:cs="Times New Roman"/>
                      <w:kern w:val="0"/>
                      <w:sz w:val="21"/>
                      <w:szCs w:val="21"/>
                    </w:rPr>
                    <w:t>106</w:t>
                  </w:r>
                </w:p>
              </w:tc>
              <w:tc>
                <w:tcPr>
                  <w:tcW w:w="1569" w:type="pct"/>
                  <w:tcBorders>
                    <w:top w:val="single" w:color="auto" w:sz="2" w:space="0"/>
                  </w:tcBorders>
                  <w:vAlign w:val="center"/>
                </w:tcPr>
                <w:p w14:paraId="31F8A27C">
                  <w:pPr>
                    <w:adjustRightInd w:val="0"/>
                    <w:snapToGrid w:val="0"/>
                    <w:spacing w:line="240" w:lineRule="auto"/>
                    <w:ind w:firstLine="0" w:firstLineChars="0"/>
                    <w:jc w:val="center"/>
                    <w:rPr>
                      <w:rFonts w:cs="Times New Roman"/>
                      <w:kern w:val="0"/>
                      <w:sz w:val="21"/>
                      <w:szCs w:val="21"/>
                    </w:rPr>
                  </w:pPr>
                  <w:r>
                    <w:rPr>
                      <w:rFonts w:cs="Times New Roman"/>
                      <w:kern w:val="0"/>
                      <w:sz w:val="21"/>
                      <w:szCs w:val="21"/>
                    </w:rPr>
                    <w:t>纱、布、棉絮、纺织品、针织品的生产、销售</w:t>
                  </w:r>
                </w:p>
              </w:tc>
            </w:tr>
            <w:tr w14:paraId="06E26FA5">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33" w:type="pct"/>
                  <w:vAlign w:val="center"/>
                </w:tcPr>
                <w:p w14:paraId="46EA9EBA">
                  <w:pPr>
                    <w:adjustRightInd w:val="0"/>
                    <w:snapToGrid w:val="0"/>
                    <w:spacing w:line="240" w:lineRule="auto"/>
                    <w:ind w:firstLine="0" w:firstLineChars="0"/>
                    <w:jc w:val="center"/>
                    <w:rPr>
                      <w:rFonts w:cs="Times New Roman"/>
                      <w:kern w:val="0"/>
                      <w:sz w:val="21"/>
                      <w:szCs w:val="21"/>
                    </w:rPr>
                  </w:pPr>
                  <w:r>
                    <w:rPr>
                      <w:rFonts w:cs="Times New Roman"/>
                      <w:kern w:val="0"/>
                      <w:sz w:val="21"/>
                      <w:szCs w:val="21"/>
                    </w:rPr>
                    <w:t>3</w:t>
                  </w:r>
                </w:p>
              </w:tc>
              <w:tc>
                <w:tcPr>
                  <w:tcW w:w="1806" w:type="pct"/>
                  <w:vAlign w:val="center"/>
                </w:tcPr>
                <w:p w14:paraId="31D821A9">
                  <w:pPr>
                    <w:adjustRightInd w:val="0"/>
                    <w:snapToGrid w:val="0"/>
                    <w:spacing w:line="240" w:lineRule="auto"/>
                    <w:ind w:firstLine="0" w:firstLineChars="0"/>
                    <w:jc w:val="center"/>
                    <w:rPr>
                      <w:rFonts w:cs="Times New Roman"/>
                      <w:kern w:val="0"/>
                      <w:sz w:val="21"/>
                      <w:szCs w:val="21"/>
                    </w:rPr>
                  </w:pPr>
                  <w:r>
                    <w:rPr>
                      <w:rFonts w:hint="eastAsia" w:cs="Times New Roman"/>
                      <w:kern w:val="0"/>
                      <w:sz w:val="21"/>
                      <w:szCs w:val="21"/>
                    </w:rPr>
                    <w:t>巴中日报印刷厂</w:t>
                  </w:r>
                </w:p>
              </w:tc>
              <w:tc>
                <w:tcPr>
                  <w:tcW w:w="602" w:type="pct"/>
                  <w:vAlign w:val="center"/>
                </w:tcPr>
                <w:p w14:paraId="4B900CF0">
                  <w:pPr>
                    <w:adjustRightInd w:val="0"/>
                    <w:snapToGrid w:val="0"/>
                    <w:spacing w:line="240" w:lineRule="auto"/>
                    <w:ind w:firstLine="0" w:firstLineChars="0"/>
                    <w:jc w:val="center"/>
                    <w:rPr>
                      <w:rFonts w:cs="Times New Roman"/>
                      <w:kern w:val="0"/>
                      <w:sz w:val="21"/>
                      <w:szCs w:val="21"/>
                    </w:rPr>
                  </w:pPr>
                  <w:r>
                    <w:rPr>
                      <w:rFonts w:hint="eastAsia" w:cs="Times New Roman"/>
                      <w:kern w:val="0"/>
                      <w:sz w:val="21"/>
                      <w:szCs w:val="21"/>
                    </w:rPr>
                    <w:t>南侧</w:t>
                  </w:r>
                </w:p>
              </w:tc>
              <w:tc>
                <w:tcPr>
                  <w:tcW w:w="690" w:type="pct"/>
                  <w:vAlign w:val="center"/>
                </w:tcPr>
                <w:p w14:paraId="704D2408">
                  <w:pPr>
                    <w:adjustRightInd w:val="0"/>
                    <w:snapToGrid w:val="0"/>
                    <w:spacing w:line="240" w:lineRule="auto"/>
                    <w:ind w:firstLine="0" w:firstLineChars="0"/>
                    <w:jc w:val="center"/>
                    <w:rPr>
                      <w:rFonts w:cs="Times New Roman"/>
                      <w:kern w:val="0"/>
                      <w:sz w:val="21"/>
                      <w:szCs w:val="21"/>
                    </w:rPr>
                  </w:pPr>
                  <w:r>
                    <w:rPr>
                      <w:rFonts w:hint="eastAsia" w:cs="Times New Roman"/>
                      <w:kern w:val="0"/>
                      <w:sz w:val="21"/>
                      <w:szCs w:val="21"/>
                    </w:rPr>
                    <w:t>109</w:t>
                  </w:r>
                </w:p>
              </w:tc>
              <w:tc>
                <w:tcPr>
                  <w:tcW w:w="1569" w:type="pct"/>
                  <w:vAlign w:val="center"/>
                </w:tcPr>
                <w:p w14:paraId="5A6C46BC">
                  <w:pPr>
                    <w:adjustRightInd w:val="0"/>
                    <w:snapToGrid w:val="0"/>
                    <w:spacing w:line="240" w:lineRule="auto"/>
                    <w:ind w:firstLine="0" w:firstLineChars="0"/>
                    <w:jc w:val="center"/>
                    <w:rPr>
                      <w:rFonts w:cs="Times New Roman"/>
                      <w:kern w:val="0"/>
                      <w:sz w:val="21"/>
                      <w:szCs w:val="21"/>
                    </w:rPr>
                  </w:pPr>
                  <w:r>
                    <w:rPr>
                      <w:rFonts w:hint="eastAsia" w:cs="Times New Roman"/>
                      <w:kern w:val="0"/>
                      <w:sz w:val="21"/>
                      <w:szCs w:val="21"/>
                    </w:rPr>
                    <w:t>报纸印刷</w:t>
                  </w:r>
                </w:p>
              </w:tc>
            </w:tr>
            <w:tr w14:paraId="37A1A645">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238" w:hRule="atLeast"/>
                <w:jc w:val="center"/>
              </w:trPr>
              <w:tc>
                <w:tcPr>
                  <w:tcW w:w="333" w:type="pct"/>
                  <w:vAlign w:val="center"/>
                </w:tcPr>
                <w:p w14:paraId="37E1BC26">
                  <w:pPr>
                    <w:adjustRightInd w:val="0"/>
                    <w:snapToGrid w:val="0"/>
                    <w:spacing w:line="240" w:lineRule="auto"/>
                    <w:ind w:firstLine="0" w:firstLineChars="0"/>
                    <w:jc w:val="center"/>
                    <w:rPr>
                      <w:rFonts w:cs="Times New Roman"/>
                      <w:kern w:val="0"/>
                      <w:sz w:val="21"/>
                      <w:szCs w:val="21"/>
                    </w:rPr>
                  </w:pPr>
                  <w:r>
                    <w:rPr>
                      <w:rFonts w:cs="Times New Roman"/>
                      <w:sz w:val="21"/>
                      <w:szCs w:val="21"/>
                    </w:rPr>
                    <w:t>4</w:t>
                  </w:r>
                </w:p>
              </w:tc>
              <w:tc>
                <w:tcPr>
                  <w:tcW w:w="1806" w:type="pct"/>
                  <w:vAlign w:val="center"/>
                </w:tcPr>
                <w:p w14:paraId="69FBC1EA">
                  <w:pPr>
                    <w:adjustRightInd w:val="0"/>
                    <w:snapToGrid w:val="0"/>
                    <w:spacing w:line="240" w:lineRule="auto"/>
                    <w:ind w:firstLine="0" w:firstLineChars="0"/>
                    <w:jc w:val="center"/>
                    <w:rPr>
                      <w:rFonts w:cs="Times New Roman"/>
                      <w:kern w:val="0"/>
                      <w:sz w:val="21"/>
                      <w:szCs w:val="21"/>
                    </w:rPr>
                  </w:pPr>
                  <w:r>
                    <w:rPr>
                      <w:rFonts w:hint="eastAsia" w:cs="Times New Roman"/>
                      <w:kern w:val="0"/>
                      <w:sz w:val="21"/>
                      <w:szCs w:val="21"/>
                    </w:rPr>
                    <w:t>巴中建丰新材料有限公司</w:t>
                  </w:r>
                </w:p>
              </w:tc>
              <w:tc>
                <w:tcPr>
                  <w:tcW w:w="602" w:type="pct"/>
                  <w:vAlign w:val="center"/>
                </w:tcPr>
                <w:p w14:paraId="7A4B0C1D">
                  <w:pPr>
                    <w:adjustRightInd w:val="0"/>
                    <w:snapToGrid w:val="0"/>
                    <w:spacing w:line="240" w:lineRule="auto"/>
                    <w:ind w:firstLine="0" w:firstLineChars="0"/>
                    <w:jc w:val="center"/>
                    <w:rPr>
                      <w:rFonts w:cs="Times New Roman"/>
                      <w:kern w:val="0"/>
                      <w:sz w:val="21"/>
                      <w:szCs w:val="21"/>
                    </w:rPr>
                  </w:pPr>
                  <w:r>
                    <w:rPr>
                      <w:rFonts w:hint="eastAsia" w:cs="Times New Roman"/>
                      <w:kern w:val="0"/>
                      <w:sz w:val="21"/>
                      <w:szCs w:val="21"/>
                    </w:rPr>
                    <w:t>东北侧</w:t>
                  </w:r>
                </w:p>
              </w:tc>
              <w:tc>
                <w:tcPr>
                  <w:tcW w:w="690" w:type="pct"/>
                  <w:vAlign w:val="center"/>
                </w:tcPr>
                <w:p w14:paraId="2C1CBA22">
                  <w:pPr>
                    <w:adjustRightInd w:val="0"/>
                    <w:snapToGrid w:val="0"/>
                    <w:spacing w:line="240" w:lineRule="auto"/>
                    <w:ind w:firstLine="0" w:firstLineChars="0"/>
                    <w:jc w:val="center"/>
                    <w:rPr>
                      <w:rFonts w:cs="Times New Roman"/>
                      <w:kern w:val="0"/>
                      <w:sz w:val="21"/>
                      <w:szCs w:val="21"/>
                    </w:rPr>
                  </w:pPr>
                  <w:r>
                    <w:rPr>
                      <w:rFonts w:hint="eastAsia" w:cs="Times New Roman"/>
                      <w:kern w:val="0"/>
                      <w:sz w:val="21"/>
                      <w:szCs w:val="21"/>
                    </w:rPr>
                    <w:t>156</w:t>
                  </w:r>
                </w:p>
              </w:tc>
              <w:tc>
                <w:tcPr>
                  <w:tcW w:w="1569" w:type="pct"/>
                  <w:vAlign w:val="center"/>
                </w:tcPr>
                <w:p w14:paraId="651D7F18">
                  <w:pPr>
                    <w:adjustRightInd w:val="0"/>
                    <w:snapToGrid w:val="0"/>
                    <w:spacing w:line="240" w:lineRule="auto"/>
                    <w:ind w:firstLine="0" w:firstLineChars="0"/>
                    <w:jc w:val="center"/>
                    <w:rPr>
                      <w:rFonts w:cs="Times New Roman"/>
                      <w:kern w:val="0"/>
                      <w:sz w:val="21"/>
                      <w:szCs w:val="21"/>
                    </w:rPr>
                  </w:pPr>
                  <w:r>
                    <w:rPr>
                      <w:rFonts w:cs="Times New Roman"/>
                      <w:kern w:val="0"/>
                      <w:sz w:val="21"/>
                      <w:szCs w:val="21"/>
                    </w:rPr>
                    <w:t>制造、销售人造板、强化木地板</w:t>
                  </w:r>
                </w:p>
              </w:tc>
            </w:tr>
            <w:tr w14:paraId="427D411E">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33" w:type="pct"/>
                  <w:vAlign w:val="center"/>
                </w:tcPr>
                <w:p w14:paraId="4F7463C8">
                  <w:pPr>
                    <w:adjustRightInd w:val="0"/>
                    <w:snapToGrid w:val="0"/>
                    <w:spacing w:line="240" w:lineRule="auto"/>
                    <w:ind w:firstLine="0" w:firstLineChars="0"/>
                    <w:jc w:val="center"/>
                    <w:rPr>
                      <w:rFonts w:cs="Times New Roman"/>
                      <w:kern w:val="0"/>
                      <w:sz w:val="21"/>
                      <w:szCs w:val="21"/>
                    </w:rPr>
                  </w:pPr>
                  <w:r>
                    <w:rPr>
                      <w:rFonts w:hint="eastAsia" w:cs="Times New Roman"/>
                      <w:kern w:val="0"/>
                      <w:sz w:val="21"/>
                      <w:szCs w:val="21"/>
                    </w:rPr>
                    <w:t>5</w:t>
                  </w:r>
                </w:p>
              </w:tc>
              <w:tc>
                <w:tcPr>
                  <w:tcW w:w="1806" w:type="pct"/>
                  <w:vAlign w:val="center"/>
                </w:tcPr>
                <w:p w14:paraId="3F24CAC5">
                  <w:pPr>
                    <w:adjustRightInd w:val="0"/>
                    <w:snapToGrid w:val="0"/>
                    <w:spacing w:line="240" w:lineRule="auto"/>
                    <w:ind w:firstLine="0" w:firstLineChars="0"/>
                    <w:jc w:val="center"/>
                    <w:rPr>
                      <w:rFonts w:cs="Times New Roman"/>
                      <w:kern w:val="0"/>
                      <w:sz w:val="21"/>
                      <w:szCs w:val="21"/>
                    </w:rPr>
                  </w:pPr>
                  <w:r>
                    <w:rPr>
                      <w:rFonts w:hint="eastAsia" w:cs="Times New Roman"/>
                      <w:kern w:val="0"/>
                      <w:sz w:val="21"/>
                      <w:szCs w:val="21"/>
                    </w:rPr>
                    <w:t>巴中市经开区消防救援大队</w:t>
                  </w:r>
                </w:p>
              </w:tc>
              <w:tc>
                <w:tcPr>
                  <w:tcW w:w="602" w:type="pct"/>
                  <w:vAlign w:val="center"/>
                </w:tcPr>
                <w:p w14:paraId="0183BC9D">
                  <w:pPr>
                    <w:adjustRightInd w:val="0"/>
                    <w:snapToGrid w:val="0"/>
                    <w:spacing w:line="240" w:lineRule="auto"/>
                    <w:ind w:firstLine="0" w:firstLineChars="0"/>
                    <w:jc w:val="center"/>
                    <w:rPr>
                      <w:rFonts w:cs="Times New Roman"/>
                      <w:kern w:val="0"/>
                      <w:sz w:val="21"/>
                      <w:szCs w:val="21"/>
                    </w:rPr>
                  </w:pPr>
                  <w:r>
                    <w:rPr>
                      <w:rFonts w:hint="eastAsia" w:cs="Times New Roman"/>
                      <w:kern w:val="0"/>
                      <w:sz w:val="21"/>
                      <w:szCs w:val="21"/>
                    </w:rPr>
                    <w:t>东北侧</w:t>
                  </w:r>
                </w:p>
              </w:tc>
              <w:tc>
                <w:tcPr>
                  <w:tcW w:w="690" w:type="pct"/>
                  <w:vAlign w:val="center"/>
                </w:tcPr>
                <w:p w14:paraId="35E78CBB">
                  <w:pPr>
                    <w:adjustRightInd w:val="0"/>
                    <w:snapToGrid w:val="0"/>
                    <w:spacing w:line="240" w:lineRule="auto"/>
                    <w:ind w:firstLine="0" w:firstLineChars="0"/>
                    <w:jc w:val="center"/>
                    <w:rPr>
                      <w:rFonts w:cs="Times New Roman"/>
                      <w:kern w:val="0"/>
                      <w:sz w:val="21"/>
                      <w:szCs w:val="21"/>
                    </w:rPr>
                  </w:pPr>
                  <w:r>
                    <w:rPr>
                      <w:rFonts w:hint="eastAsia" w:cs="Times New Roman"/>
                      <w:kern w:val="0"/>
                      <w:sz w:val="21"/>
                      <w:szCs w:val="21"/>
                    </w:rPr>
                    <w:t>270</w:t>
                  </w:r>
                </w:p>
              </w:tc>
              <w:tc>
                <w:tcPr>
                  <w:tcW w:w="1569" w:type="pct"/>
                  <w:vAlign w:val="center"/>
                </w:tcPr>
                <w:p w14:paraId="0F0EB688">
                  <w:pPr>
                    <w:adjustRightInd w:val="0"/>
                    <w:snapToGrid w:val="0"/>
                    <w:spacing w:line="240" w:lineRule="auto"/>
                    <w:ind w:firstLine="0" w:firstLineChars="0"/>
                    <w:jc w:val="center"/>
                    <w:rPr>
                      <w:rFonts w:cs="Times New Roman"/>
                      <w:kern w:val="0"/>
                      <w:sz w:val="21"/>
                      <w:szCs w:val="21"/>
                    </w:rPr>
                  </w:pPr>
                  <w:r>
                    <w:rPr>
                      <w:rFonts w:hint="eastAsia" w:cs="Times New Roman"/>
                      <w:kern w:val="0"/>
                      <w:sz w:val="21"/>
                      <w:szCs w:val="21"/>
                    </w:rPr>
                    <w:t>约30人</w:t>
                  </w:r>
                </w:p>
              </w:tc>
            </w:tr>
            <w:tr w14:paraId="44381D89">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33" w:type="pct"/>
                  <w:vAlign w:val="center"/>
                </w:tcPr>
                <w:p w14:paraId="5A380133">
                  <w:pPr>
                    <w:adjustRightInd w:val="0"/>
                    <w:snapToGrid w:val="0"/>
                    <w:spacing w:line="240" w:lineRule="auto"/>
                    <w:ind w:firstLine="0" w:firstLineChars="0"/>
                    <w:jc w:val="center"/>
                    <w:rPr>
                      <w:rFonts w:cs="Times New Roman"/>
                      <w:kern w:val="0"/>
                      <w:sz w:val="21"/>
                      <w:szCs w:val="21"/>
                    </w:rPr>
                  </w:pPr>
                  <w:r>
                    <w:rPr>
                      <w:rFonts w:hint="eastAsia" w:cs="Times New Roman"/>
                      <w:kern w:val="0"/>
                      <w:sz w:val="21"/>
                      <w:szCs w:val="21"/>
                    </w:rPr>
                    <w:t>6</w:t>
                  </w:r>
                </w:p>
              </w:tc>
              <w:tc>
                <w:tcPr>
                  <w:tcW w:w="1806" w:type="pct"/>
                  <w:vAlign w:val="center"/>
                </w:tcPr>
                <w:p w14:paraId="3192F18C">
                  <w:pPr>
                    <w:adjustRightInd w:val="0"/>
                    <w:snapToGrid w:val="0"/>
                    <w:spacing w:line="240" w:lineRule="auto"/>
                    <w:ind w:firstLine="0" w:firstLineChars="0"/>
                    <w:jc w:val="center"/>
                    <w:rPr>
                      <w:rFonts w:cs="Times New Roman"/>
                      <w:kern w:val="0"/>
                      <w:sz w:val="21"/>
                      <w:szCs w:val="21"/>
                    </w:rPr>
                  </w:pPr>
                  <w:r>
                    <w:rPr>
                      <w:rFonts w:hint="eastAsia" w:cs="Times New Roman"/>
                      <w:kern w:val="0"/>
                      <w:sz w:val="21"/>
                      <w:szCs w:val="21"/>
                    </w:rPr>
                    <w:t>古井河池塘</w:t>
                  </w:r>
                </w:p>
              </w:tc>
              <w:tc>
                <w:tcPr>
                  <w:tcW w:w="602" w:type="pct"/>
                  <w:vAlign w:val="center"/>
                </w:tcPr>
                <w:p w14:paraId="6D49508A">
                  <w:pPr>
                    <w:adjustRightInd w:val="0"/>
                    <w:snapToGrid w:val="0"/>
                    <w:spacing w:line="240" w:lineRule="auto"/>
                    <w:ind w:firstLine="0" w:firstLineChars="0"/>
                    <w:jc w:val="center"/>
                    <w:rPr>
                      <w:rFonts w:cs="Times New Roman"/>
                      <w:kern w:val="0"/>
                      <w:sz w:val="21"/>
                      <w:szCs w:val="21"/>
                    </w:rPr>
                  </w:pPr>
                  <w:r>
                    <w:rPr>
                      <w:rFonts w:hint="eastAsia" w:cs="Times New Roman"/>
                      <w:kern w:val="0"/>
                      <w:sz w:val="21"/>
                      <w:szCs w:val="21"/>
                    </w:rPr>
                    <w:t>北侧</w:t>
                  </w:r>
                </w:p>
              </w:tc>
              <w:tc>
                <w:tcPr>
                  <w:tcW w:w="690" w:type="pct"/>
                  <w:vAlign w:val="center"/>
                </w:tcPr>
                <w:p w14:paraId="30A39F51">
                  <w:pPr>
                    <w:adjustRightInd w:val="0"/>
                    <w:snapToGrid w:val="0"/>
                    <w:spacing w:line="240" w:lineRule="auto"/>
                    <w:ind w:firstLine="0" w:firstLineChars="0"/>
                    <w:jc w:val="center"/>
                    <w:rPr>
                      <w:rFonts w:cs="Times New Roman"/>
                      <w:kern w:val="0"/>
                      <w:sz w:val="21"/>
                      <w:szCs w:val="21"/>
                    </w:rPr>
                  </w:pPr>
                  <w:r>
                    <w:rPr>
                      <w:rFonts w:hint="eastAsia" w:cs="Times New Roman"/>
                      <w:kern w:val="0"/>
                      <w:sz w:val="21"/>
                      <w:szCs w:val="21"/>
                    </w:rPr>
                    <w:t>20</w:t>
                  </w:r>
                </w:p>
              </w:tc>
              <w:tc>
                <w:tcPr>
                  <w:tcW w:w="1569" w:type="pct"/>
                  <w:vAlign w:val="center"/>
                </w:tcPr>
                <w:p w14:paraId="1023B088">
                  <w:pPr>
                    <w:adjustRightInd w:val="0"/>
                    <w:snapToGrid w:val="0"/>
                    <w:spacing w:line="240" w:lineRule="auto"/>
                    <w:ind w:firstLine="0" w:firstLineChars="0"/>
                    <w:jc w:val="center"/>
                    <w:rPr>
                      <w:rFonts w:cs="Times New Roman"/>
                      <w:kern w:val="0"/>
                      <w:sz w:val="21"/>
                      <w:szCs w:val="21"/>
                    </w:rPr>
                  </w:pPr>
                  <w:r>
                    <w:rPr>
                      <w:rFonts w:hint="eastAsia" w:cs="Times New Roman"/>
                      <w:kern w:val="0"/>
                      <w:sz w:val="21"/>
                      <w:szCs w:val="21"/>
                    </w:rPr>
                    <w:t>池塘</w:t>
                  </w:r>
                </w:p>
              </w:tc>
            </w:tr>
          </w:tbl>
          <w:p w14:paraId="37D1D93A">
            <w:pPr>
              <w:ind w:firstLine="480"/>
              <w:rPr>
                <w:rFonts w:cs="Times New Roman"/>
              </w:rPr>
            </w:pPr>
            <w:r>
              <w:rPr>
                <w:rFonts w:cs="Times New Roman"/>
              </w:rPr>
              <w:t>项目</w:t>
            </w:r>
            <w:r>
              <w:rPr>
                <w:rFonts w:hint="eastAsia" w:cs="Times New Roman"/>
              </w:rPr>
              <w:t>周边区域</w:t>
            </w:r>
            <w:r>
              <w:rPr>
                <w:rFonts w:cs="Times New Roman"/>
              </w:rPr>
              <w:t>不涉及自然保护区、风景名胜区等重要的生态环境区域。根据工程性质、污染物排放特征及所在地区情况，项目区周边</w:t>
            </w:r>
            <w:r>
              <w:rPr>
                <w:rFonts w:hint="eastAsia" w:cs="Times New Roman"/>
              </w:rPr>
              <w:t>主要</w:t>
            </w:r>
            <w:r>
              <w:rPr>
                <w:rFonts w:cs="Times New Roman"/>
              </w:rPr>
              <w:t>环境保护目标</w:t>
            </w:r>
            <w:r>
              <w:rPr>
                <w:rFonts w:hint="eastAsia" w:cs="Times New Roman"/>
              </w:rPr>
              <w:t>汇总如下</w:t>
            </w:r>
            <w:r>
              <w:rPr>
                <w:rFonts w:cs="Times New Roman"/>
              </w:rPr>
              <w:t>。</w:t>
            </w:r>
          </w:p>
          <w:p w14:paraId="0887525A">
            <w:pPr>
              <w:pStyle w:val="13"/>
              <w:keepNext/>
              <w:rPr>
                <w:rFonts w:cs="Times New Roman"/>
              </w:rPr>
            </w:pPr>
            <w:r>
              <w:rPr>
                <w:rFonts w:cs="Times New Roman"/>
              </w:rPr>
              <w:t xml:space="preserve">表 </w:t>
            </w:r>
            <w:r>
              <w:rPr>
                <w:rFonts w:cs="Times New Roman"/>
              </w:rPr>
              <w:fldChar w:fldCharType="begin"/>
            </w:r>
            <w:r>
              <w:rPr>
                <w:rFonts w:cs="Times New Roman"/>
              </w:rPr>
              <w:instrText xml:space="preserve"> SEQ seq \c </w:instrText>
            </w:r>
            <w:r>
              <w:rPr>
                <w:rFonts w:cs="Times New Roman"/>
              </w:rPr>
              <w:fldChar w:fldCharType="separate"/>
            </w:r>
            <w:r>
              <w:rPr>
                <w:rFonts w:cs="Times New Roman"/>
              </w:rPr>
              <w:t>1</w:t>
            </w:r>
            <w:r>
              <w:rPr>
                <w:rFonts w:cs="Times New Roman"/>
              </w:rPr>
              <w:fldChar w:fldCharType="end"/>
            </w:r>
            <w:r>
              <w:rPr>
                <w:rFonts w:cs="Times New Roman"/>
              </w:rPr>
              <w:noBreakHyphen/>
            </w:r>
            <w:r>
              <w:rPr>
                <w:rFonts w:cs="Times New Roman"/>
              </w:rPr>
              <w:fldChar w:fldCharType="begin"/>
            </w:r>
            <w:r>
              <w:rPr>
                <w:rFonts w:cs="Times New Roman"/>
              </w:rPr>
              <w:instrText xml:space="preserve"> SEQ 表 \* ARABIC \s 1 </w:instrText>
            </w:r>
            <w:r>
              <w:rPr>
                <w:rFonts w:cs="Times New Roman"/>
              </w:rPr>
              <w:fldChar w:fldCharType="separate"/>
            </w:r>
            <w:r>
              <w:rPr>
                <w:rFonts w:hint="eastAsia" w:cs="Times New Roman"/>
              </w:rPr>
              <w:t>15</w:t>
            </w:r>
            <w:r>
              <w:rPr>
                <w:rFonts w:cs="Times New Roman"/>
              </w:rPr>
              <w:fldChar w:fldCharType="end"/>
            </w:r>
            <w:r>
              <w:rPr>
                <w:rFonts w:cs="Times New Roman"/>
              </w:rPr>
              <w:t xml:space="preserve"> 环境保护目标</w:t>
            </w:r>
            <w:r>
              <w:rPr>
                <w:rFonts w:hint="eastAsia" w:cs="Times New Roman"/>
              </w:rPr>
              <w:t>汇总表</w:t>
            </w:r>
          </w:p>
          <w:tbl>
            <w:tblPr>
              <w:tblStyle w:val="3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806"/>
              <w:gridCol w:w="1304"/>
              <w:gridCol w:w="1405"/>
              <w:gridCol w:w="758"/>
              <w:gridCol w:w="559"/>
              <w:gridCol w:w="826"/>
              <w:gridCol w:w="1021"/>
              <w:gridCol w:w="1021"/>
              <w:gridCol w:w="1258"/>
            </w:tblGrid>
            <w:tr w14:paraId="5FDC3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80" w:hRule="atLeast"/>
              </w:trPr>
              <w:tc>
                <w:tcPr>
                  <w:tcW w:w="450" w:type="pct"/>
                  <w:vAlign w:val="center"/>
                </w:tcPr>
                <w:p w14:paraId="4A6EF6B9">
                  <w:pPr>
                    <w:pStyle w:val="53"/>
                    <w:rPr>
                      <w:rFonts w:cs="Times New Roman"/>
                      <w:lang w:val="zh-CN"/>
                    </w:rPr>
                  </w:pPr>
                  <w:r>
                    <w:rPr>
                      <w:rFonts w:cs="Times New Roman"/>
                      <w:lang w:val="zh-CN"/>
                    </w:rPr>
                    <w:t>环境要素</w:t>
                  </w:r>
                </w:p>
              </w:tc>
              <w:tc>
                <w:tcPr>
                  <w:tcW w:w="728" w:type="pct"/>
                  <w:vAlign w:val="center"/>
                </w:tcPr>
                <w:p w14:paraId="1DFC019C">
                  <w:pPr>
                    <w:pStyle w:val="53"/>
                    <w:rPr>
                      <w:rFonts w:cs="Times New Roman"/>
                      <w:lang w:val="zh-CN"/>
                    </w:rPr>
                  </w:pPr>
                  <w:r>
                    <w:rPr>
                      <w:rFonts w:cs="Times New Roman"/>
                      <w:lang w:val="zh-CN"/>
                    </w:rPr>
                    <w:t>保护目标</w:t>
                  </w:r>
                </w:p>
              </w:tc>
              <w:tc>
                <w:tcPr>
                  <w:tcW w:w="784" w:type="pct"/>
                  <w:vAlign w:val="center"/>
                </w:tcPr>
                <w:p w14:paraId="67D66E73">
                  <w:pPr>
                    <w:pStyle w:val="53"/>
                    <w:rPr>
                      <w:rFonts w:cs="Times New Roman"/>
                    </w:rPr>
                  </w:pPr>
                  <w:r>
                    <w:rPr>
                      <w:rFonts w:cs="Times New Roman"/>
                    </w:rPr>
                    <w:t>中心地理坐标</w:t>
                  </w:r>
                </w:p>
              </w:tc>
              <w:tc>
                <w:tcPr>
                  <w:tcW w:w="423" w:type="pct"/>
                  <w:vAlign w:val="center"/>
                </w:tcPr>
                <w:p w14:paraId="28581522">
                  <w:pPr>
                    <w:pStyle w:val="53"/>
                    <w:rPr>
                      <w:rFonts w:cs="Times New Roman"/>
                      <w:lang w:val="zh-CN"/>
                    </w:rPr>
                  </w:pPr>
                  <w:r>
                    <w:rPr>
                      <w:rFonts w:cs="Times New Roman"/>
                      <w:lang w:val="zh-CN"/>
                    </w:rPr>
                    <w:t>类型</w:t>
                  </w:r>
                </w:p>
              </w:tc>
              <w:tc>
                <w:tcPr>
                  <w:tcW w:w="312" w:type="pct"/>
                  <w:vAlign w:val="center"/>
                </w:tcPr>
                <w:p w14:paraId="562F8DA5">
                  <w:pPr>
                    <w:pStyle w:val="53"/>
                    <w:rPr>
                      <w:rFonts w:cs="Times New Roman"/>
                      <w:lang w:val="zh-CN"/>
                    </w:rPr>
                  </w:pPr>
                  <w:r>
                    <w:rPr>
                      <w:rFonts w:cs="Times New Roman"/>
                      <w:lang w:val="zh-CN"/>
                    </w:rPr>
                    <w:t>方位</w:t>
                  </w:r>
                </w:p>
              </w:tc>
              <w:tc>
                <w:tcPr>
                  <w:tcW w:w="461" w:type="pct"/>
                  <w:vAlign w:val="center"/>
                </w:tcPr>
                <w:p w14:paraId="7959DA0A">
                  <w:pPr>
                    <w:pStyle w:val="53"/>
                    <w:rPr>
                      <w:rFonts w:cs="Times New Roman"/>
                      <w:lang w:val="zh-CN"/>
                    </w:rPr>
                  </w:pPr>
                  <w:r>
                    <w:rPr>
                      <w:rFonts w:cs="Times New Roman"/>
                      <w:lang w:val="zh-CN"/>
                    </w:rPr>
                    <w:t>与本项目</w:t>
                  </w:r>
                </w:p>
                <w:p w14:paraId="070EAF71">
                  <w:pPr>
                    <w:pStyle w:val="53"/>
                    <w:rPr>
                      <w:rFonts w:cs="Times New Roman"/>
                      <w:lang w:val="zh-CN"/>
                    </w:rPr>
                  </w:pPr>
                  <w:r>
                    <w:rPr>
                      <w:rFonts w:cs="Times New Roman"/>
                      <w:lang w:val="zh-CN"/>
                    </w:rPr>
                    <w:t>厂界的距离（m）</w:t>
                  </w:r>
                </w:p>
              </w:tc>
              <w:tc>
                <w:tcPr>
                  <w:tcW w:w="570" w:type="pct"/>
                  <w:vAlign w:val="center"/>
                </w:tcPr>
                <w:p w14:paraId="596D34A0">
                  <w:pPr>
                    <w:pStyle w:val="53"/>
                    <w:rPr>
                      <w:rFonts w:cs="Times New Roman"/>
                    </w:rPr>
                  </w:pPr>
                  <w:r>
                    <w:rPr>
                      <w:rFonts w:hint="eastAsia" w:cs="Times New Roman"/>
                    </w:rPr>
                    <w:t>高程差（m）</w:t>
                  </w:r>
                </w:p>
              </w:tc>
              <w:tc>
                <w:tcPr>
                  <w:tcW w:w="570" w:type="pct"/>
                  <w:vAlign w:val="center"/>
                </w:tcPr>
                <w:p w14:paraId="4D88CF44">
                  <w:pPr>
                    <w:pStyle w:val="53"/>
                    <w:rPr>
                      <w:rFonts w:cs="Times New Roman"/>
                      <w:lang w:val="zh-CN"/>
                    </w:rPr>
                  </w:pPr>
                  <w:r>
                    <w:rPr>
                      <w:rFonts w:cs="Times New Roman"/>
                    </w:rPr>
                    <w:t>保护目标</w:t>
                  </w:r>
                  <w:r>
                    <w:rPr>
                      <w:rFonts w:cs="Times New Roman"/>
                      <w:lang w:val="zh-CN"/>
                    </w:rPr>
                    <w:t>人口数</w:t>
                  </w:r>
                </w:p>
              </w:tc>
              <w:tc>
                <w:tcPr>
                  <w:tcW w:w="702" w:type="pct"/>
                  <w:vAlign w:val="center"/>
                </w:tcPr>
                <w:p w14:paraId="1484482F">
                  <w:pPr>
                    <w:pStyle w:val="53"/>
                    <w:rPr>
                      <w:rFonts w:cs="Times New Roman"/>
                      <w:lang w:val="zh-CN"/>
                    </w:rPr>
                  </w:pPr>
                  <w:r>
                    <w:rPr>
                      <w:rFonts w:cs="Times New Roman"/>
                      <w:lang w:val="zh-CN"/>
                    </w:rPr>
                    <w:t>保护级别</w:t>
                  </w:r>
                </w:p>
                <w:p w14:paraId="31D1FCCE">
                  <w:pPr>
                    <w:pStyle w:val="53"/>
                    <w:rPr>
                      <w:rFonts w:cs="Times New Roman"/>
                      <w:lang w:val="zh-CN"/>
                    </w:rPr>
                  </w:pPr>
                  <w:r>
                    <w:rPr>
                      <w:rFonts w:cs="Times New Roman"/>
                      <w:lang w:val="zh-CN"/>
                    </w:rPr>
                    <w:t>（环境功能）</w:t>
                  </w:r>
                </w:p>
              </w:tc>
            </w:tr>
            <w:tr w14:paraId="3C3AA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450" w:type="pct"/>
                  <w:vAlign w:val="center"/>
                </w:tcPr>
                <w:p w14:paraId="1EBC841C">
                  <w:pPr>
                    <w:pStyle w:val="14"/>
                    <w:rPr>
                      <w:rFonts w:cs="Times New Roman"/>
                      <w:bCs/>
                      <w:lang w:val="zh-CN"/>
                    </w:rPr>
                  </w:pPr>
                  <w:r>
                    <w:rPr>
                      <w:rFonts w:cs="Times New Roman"/>
                      <w:bCs/>
                      <w:lang w:val="zh-CN"/>
                    </w:rPr>
                    <w:t>环境空气</w:t>
                  </w:r>
                </w:p>
              </w:tc>
              <w:tc>
                <w:tcPr>
                  <w:tcW w:w="728" w:type="pct"/>
                  <w:vAlign w:val="center"/>
                </w:tcPr>
                <w:p w14:paraId="4124F093">
                  <w:pPr>
                    <w:pStyle w:val="14"/>
                    <w:rPr>
                      <w:rFonts w:cs="Times New Roman"/>
                      <w:bCs/>
                      <w:lang w:val="zh-CN"/>
                    </w:rPr>
                  </w:pPr>
                  <w:r>
                    <w:rPr>
                      <w:rFonts w:hint="eastAsia" w:cs="Times New Roman"/>
                      <w:szCs w:val="21"/>
                    </w:rPr>
                    <w:t>巴中市经开区消防救援大队</w:t>
                  </w:r>
                </w:p>
              </w:tc>
              <w:tc>
                <w:tcPr>
                  <w:tcW w:w="784" w:type="pct"/>
                  <w:vAlign w:val="center"/>
                </w:tcPr>
                <w:p w14:paraId="412E1F67">
                  <w:pPr>
                    <w:pStyle w:val="14"/>
                    <w:rPr>
                      <w:rFonts w:cs="Times New Roman"/>
                      <w:bCs/>
                    </w:rPr>
                  </w:pPr>
                  <w:r>
                    <w:rPr>
                      <w:rFonts w:cs="Times New Roman"/>
                      <w:bCs/>
                    </w:rPr>
                    <w:t>106.8885991</w:t>
                  </w:r>
                </w:p>
                <w:p w14:paraId="217790C1">
                  <w:pPr>
                    <w:pStyle w:val="14"/>
                    <w:rPr>
                      <w:rFonts w:cs="Times New Roman"/>
                      <w:bCs/>
                    </w:rPr>
                  </w:pPr>
                  <w:r>
                    <w:rPr>
                      <w:rFonts w:cs="Times New Roman"/>
                      <w:bCs/>
                    </w:rPr>
                    <w:t>31.8617756</w:t>
                  </w:r>
                </w:p>
              </w:tc>
              <w:tc>
                <w:tcPr>
                  <w:tcW w:w="423" w:type="pct"/>
                  <w:vAlign w:val="center"/>
                </w:tcPr>
                <w:p w14:paraId="02F909E5">
                  <w:pPr>
                    <w:pStyle w:val="14"/>
                    <w:rPr>
                      <w:rFonts w:cs="Times New Roman"/>
                      <w:bCs/>
                      <w:lang w:val="zh-CN"/>
                    </w:rPr>
                  </w:pPr>
                  <w:r>
                    <w:rPr>
                      <w:rFonts w:hint="eastAsia" w:cs="Times New Roman"/>
                      <w:bCs/>
                      <w:lang w:val="zh-CN"/>
                    </w:rPr>
                    <w:t>办公</w:t>
                  </w:r>
                </w:p>
              </w:tc>
              <w:tc>
                <w:tcPr>
                  <w:tcW w:w="312" w:type="pct"/>
                  <w:vAlign w:val="center"/>
                </w:tcPr>
                <w:p w14:paraId="26FD3823">
                  <w:pPr>
                    <w:pStyle w:val="14"/>
                    <w:rPr>
                      <w:rFonts w:cs="Times New Roman"/>
                      <w:bCs/>
                    </w:rPr>
                  </w:pPr>
                  <w:r>
                    <w:rPr>
                      <w:rFonts w:hint="eastAsia" w:cs="Times New Roman"/>
                      <w:szCs w:val="21"/>
                    </w:rPr>
                    <w:t>东北</w:t>
                  </w:r>
                </w:p>
              </w:tc>
              <w:tc>
                <w:tcPr>
                  <w:tcW w:w="461" w:type="pct"/>
                  <w:vAlign w:val="center"/>
                </w:tcPr>
                <w:p w14:paraId="5B5F550E">
                  <w:pPr>
                    <w:pStyle w:val="14"/>
                    <w:rPr>
                      <w:rFonts w:cs="Times New Roman"/>
                      <w:bCs/>
                    </w:rPr>
                  </w:pPr>
                  <w:r>
                    <w:rPr>
                      <w:rFonts w:hint="eastAsia" w:cs="Times New Roman"/>
                      <w:bCs/>
                    </w:rPr>
                    <w:t>27</w:t>
                  </w:r>
                  <w:r>
                    <w:rPr>
                      <w:rFonts w:cs="Times New Roman"/>
                      <w:bCs/>
                    </w:rPr>
                    <w:t>0-</w:t>
                  </w:r>
                  <w:r>
                    <w:rPr>
                      <w:rFonts w:hint="eastAsia" w:cs="Times New Roman"/>
                      <w:bCs/>
                    </w:rPr>
                    <w:t>360</w:t>
                  </w:r>
                </w:p>
              </w:tc>
              <w:tc>
                <w:tcPr>
                  <w:tcW w:w="570" w:type="pct"/>
                  <w:vAlign w:val="center"/>
                </w:tcPr>
                <w:p w14:paraId="734EEFB8">
                  <w:pPr>
                    <w:pStyle w:val="14"/>
                    <w:rPr>
                      <w:rFonts w:cs="Times New Roman"/>
                      <w:bCs/>
                      <w:lang w:val="zh-CN"/>
                    </w:rPr>
                  </w:pPr>
                  <w:r>
                    <w:rPr>
                      <w:rFonts w:hint="eastAsia" w:cs="Times New Roman"/>
                      <w:bCs/>
                      <w:lang w:val="zh-CN"/>
                    </w:rPr>
                    <w:t>+2</w:t>
                  </w:r>
                </w:p>
              </w:tc>
              <w:tc>
                <w:tcPr>
                  <w:tcW w:w="570" w:type="pct"/>
                  <w:vAlign w:val="center"/>
                </w:tcPr>
                <w:p w14:paraId="364F6CCA">
                  <w:pPr>
                    <w:pStyle w:val="14"/>
                    <w:rPr>
                      <w:rFonts w:cs="Times New Roman"/>
                      <w:bCs/>
                      <w:lang w:val="zh-CN"/>
                    </w:rPr>
                  </w:pPr>
                  <w:r>
                    <w:rPr>
                      <w:rFonts w:cs="Times New Roman"/>
                      <w:bCs/>
                      <w:lang w:val="zh-CN"/>
                    </w:rPr>
                    <w:t>约3</w:t>
                  </w:r>
                  <w:r>
                    <w:rPr>
                      <w:rFonts w:hint="eastAsia" w:cs="Times New Roman"/>
                      <w:bCs/>
                      <w:lang w:val="zh-CN"/>
                    </w:rPr>
                    <w:t>0</w:t>
                  </w:r>
                  <w:r>
                    <w:rPr>
                      <w:rFonts w:cs="Times New Roman"/>
                      <w:bCs/>
                      <w:lang w:val="zh-CN"/>
                    </w:rPr>
                    <w:t>人</w:t>
                  </w:r>
                </w:p>
              </w:tc>
              <w:tc>
                <w:tcPr>
                  <w:tcW w:w="702" w:type="pct"/>
                  <w:vAlign w:val="center"/>
                </w:tcPr>
                <w:p w14:paraId="200D6078">
                  <w:pPr>
                    <w:pStyle w:val="14"/>
                    <w:rPr>
                      <w:rFonts w:cs="Times New Roman"/>
                      <w:bCs/>
                    </w:rPr>
                  </w:pPr>
                  <w:r>
                    <w:rPr>
                      <w:rFonts w:cs="Times New Roman"/>
                      <w:bCs/>
                    </w:rPr>
                    <w:t>大气环境质量二类功能区</w:t>
                  </w:r>
                </w:p>
              </w:tc>
            </w:tr>
            <w:tr w14:paraId="20BA3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80" w:hRule="atLeast"/>
              </w:trPr>
              <w:tc>
                <w:tcPr>
                  <w:tcW w:w="450" w:type="pct"/>
                  <w:vAlign w:val="center"/>
                </w:tcPr>
                <w:p w14:paraId="307235FA">
                  <w:pPr>
                    <w:pStyle w:val="14"/>
                    <w:rPr>
                      <w:rFonts w:cs="Times New Roman"/>
                      <w:bCs/>
                      <w:lang w:val="zh-CN"/>
                    </w:rPr>
                  </w:pPr>
                  <w:r>
                    <w:rPr>
                      <w:rFonts w:cs="Times New Roman"/>
                      <w:bCs/>
                      <w:lang w:val="zh-CN"/>
                    </w:rPr>
                    <w:t>水环境</w:t>
                  </w:r>
                </w:p>
              </w:tc>
              <w:tc>
                <w:tcPr>
                  <w:tcW w:w="728" w:type="pct"/>
                  <w:vAlign w:val="center"/>
                </w:tcPr>
                <w:p w14:paraId="288D79E9">
                  <w:pPr>
                    <w:pStyle w:val="14"/>
                    <w:rPr>
                      <w:rFonts w:cs="Times New Roman"/>
                      <w:bCs/>
                      <w:lang w:val="zh-CN"/>
                    </w:rPr>
                  </w:pPr>
                  <w:r>
                    <w:rPr>
                      <w:rFonts w:hint="eastAsia" w:cs="Times New Roman"/>
                      <w:szCs w:val="21"/>
                    </w:rPr>
                    <w:t>古井河池塘</w:t>
                  </w:r>
                </w:p>
              </w:tc>
              <w:tc>
                <w:tcPr>
                  <w:tcW w:w="784" w:type="pct"/>
                  <w:vAlign w:val="center"/>
                </w:tcPr>
                <w:p w14:paraId="568A9B10">
                  <w:pPr>
                    <w:pStyle w:val="14"/>
                    <w:rPr>
                      <w:rFonts w:cs="Times New Roman"/>
                      <w:bCs/>
                    </w:rPr>
                  </w:pPr>
                  <w:r>
                    <w:rPr>
                      <w:rFonts w:cs="Times New Roman"/>
                      <w:bCs/>
                      <w:lang w:val="zh-CN"/>
                    </w:rPr>
                    <w:t>106.8827626</w:t>
                  </w:r>
                </w:p>
                <w:p w14:paraId="1E6B903A">
                  <w:pPr>
                    <w:pStyle w:val="14"/>
                  </w:pPr>
                  <w:r>
                    <w:rPr>
                      <w:rFonts w:cs="Times New Roman"/>
                      <w:bCs/>
                    </w:rPr>
                    <w:t>31.862655</w:t>
                  </w:r>
                  <w:r>
                    <w:rPr>
                      <w:rFonts w:hint="eastAsia" w:cs="Times New Roman"/>
                      <w:bCs/>
                    </w:rPr>
                    <w:t>4</w:t>
                  </w:r>
                </w:p>
              </w:tc>
              <w:tc>
                <w:tcPr>
                  <w:tcW w:w="423" w:type="pct"/>
                  <w:vAlign w:val="center"/>
                </w:tcPr>
                <w:p w14:paraId="1F88CBA0">
                  <w:pPr>
                    <w:pStyle w:val="14"/>
                    <w:rPr>
                      <w:rFonts w:cs="Times New Roman"/>
                      <w:bCs/>
                      <w:lang w:val="zh-CN"/>
                    </w:rPr>
                  </w:pPr>
                  <w:r>
                    <w:rPr>
                      <w:rFonts w:hint="eastAsia" w:cs="Times New Roman"/>
                      <w:bCs/>
                      <w:lang w:val="zh-CN"/>
                    </w:rPr>
                    <w:t>池塘</w:t>
                  </w:r>
                </w:p>
              </w:tc>
              <w:tc>
                <w:tcPr>
                  <w:tcW w:w="312" w:type="pct"/>
                  <w:vAlign w:val="center"/>
                </w:tcPr>
                <w:p w14:paraId="5DF888B3">
                  <w:pPr>
                    <w:pStyle w:val="14"/>
                    <w:rPr>
                      <w:rFonts w:cs="Times New Roman"/>
                      <w:bCs/>
                      <w:lang w:val="zh-CN"/>
                    </w:rPr>
                  </w:pPr>
                  <w:r>
                    <w:rPr>
                      <w:rFonts w:hint="eastAsia" w:cs="Times New Roman"/>
                      <w:bCs/>
                      <w:lang w:val="zh-CN"/>
                    </w:rPr>
                    <w:t>北</w:t>
                  </w:r>
                </w:p>
              </w:tc>
              <w:tc>
                <w:tcPr>
                  <w:tcW w:w="461" w:type="pct"/>
                  <w:vAlign w:val="center"/>
                </w:tcPr>
                <w:p w14:paraId="22A1111F">
                  <w:pPr>
                    <w:pStyle w:val="14"/>
                    <w:rPr>
                      <w:rFonts w:cs="Times New Roman"/>
                      <w:bCs/>
                    </w:rPr>
                  </w:pPr>
                  <w:r>
                    <w:rPr>
                      <w:rFonts w:hint="eastAsia" w:cs="Times New Roman"/>
                      <w:bCs/>
                    </w:rPr>
                    <w:t>10-345</w:t>
                  </w:r>
                </w:p>
              </w:tc>
              <w:tc>
                <w:tcPr>
                  <w:tcW w:w="570" w:type="pct"/>
                  <w:vAlign w:val="center"/>
                </w:tcPr>
                <w:p w14:paraId="181AA0CA">
                  <w:pPr>
                    <w:pStyle w:val="14"/>
                    <w:rPr>
                      <w:rFonts w:cs="Times New Roman"/>
                      <w:bCs/>
                      <w:lang w:val="zh-CN"/>
                    </w:rPr>
                  </w:pPr>
                  <w:r>
                    <w:rPr>
                      <w:rFonts w:hint="eastAsia" w:cs="Times New Roman"/>
                      <w:bCs/>
                      <w:lang w:val="zh-CN"/>
                    </w:rPr>
                    <w:t>-2</w:t>
                  </w:r>
                </w:p>
              </w:tc>
              <w:tc>
                <w:tcPr>
                  <w:tcW w:w="570" w:type="pct"/>
                  <w:vAlign w:val="center"/>
                </w:tcPr>
                <w:p w14:paraId="509726A5">
                  <w:pPr>
                    <w:pStyle w:val="14"/>
                    <w:rPr>
                      <w:rFonts w:cs="Times New Roman"/>
                      <w:bCs/>
                      <w:lang w:val="zh-CN"/>
                    </w:rPr>
                  </w:pPr>
                  <w:r>
                    <w:rPr>
                      <w:rFonts w:cs="Times New Roman"/>
                      <w:bCs/>
                      <w:lang w:val="zh-CN"/>
                    </w:rPr>
                    <w:t>/</w:t>
                  </w:r>
                </w:p>
              </w:tc>
              <w:tc>
                <w:tcPr>
                  <w:tcW w:w="702" w:type="pct"/>
                  <w:vAlign w:val="center"/>
                </w:tcPr>
                <w:p w14:paraId="51B269CC">
                  <w:pPr>
                    <w:pStyle w:val="14"/>
                    <w:rPr>
                      <w:rFonts w:cs="Times New Roman"/>
                      <w:bCs/>
                    </w:rPr>
                  </w:pPr>
                  <w:r>
                    <w:rPr>
                      <w:rFonts w:cs="Times New Roman"/>
                      <w:bCs/>
                    </w:rPr>
                    <w:t>GB3838-2002</w:t>
                  </w:r>
                </w:p>
                <w:p w14:paraId="4491997E">
                  <w:pPr>
                    <w:pStyle w:val="14"/>
                    <w:rPr>
                      <w:rFonts w:cs="Times New Roman"/>
                      <w:bCs/>
                    </w:rPr>
                  </w:pPr>
                  <w:r>
                    <w:rPr>
                      <w:rFonts w:cs="Times New Roman"/>
                      <w:bCs/>
                    </w:rPr>
                    <w:t>Ⅲ类水体</w:t>
                  </w:r>
                </w:p>
              </w:tc>
            </w:tr>
            <w:tr w14:paraId="7FFD5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450" w:type="pct"/>
                  <w:vAlign w:val="center"/>
                </w:tcPr>
                <w:p w14:paraId="23CAEA34">
                  <w:pPr>
                    <w:pStyle w:val="14"/>
                    <w:rPr>
                      <w:rFonts w:cs="Times New Roman"/>
                      <w:bCs/>
                      <w:lang w:val="zh-CN"/>
                    </w:rPr>
                  </w:pPr>
                  <w:r>
                    <w:rPr>
                      <w:rFonts w:cs="Times New Roman"/>
                      <w:bCs/>
                      <w:lang w:val="zh-CN"/>
                    </w:rPr>
                    <w:t>声环境</w:t>
                  </w:r>
                </w:p>
              </w:tc>
              <w:tc>
                <w:tcPr>
                  <w:tcW w:w="4550" w:type="pct"/>
                  <w:gridSpan w:val="8"/>
                </w:tcPr>
                <w:p w14:paraId="3A879F76">
                  <w:pPr>
                    <w:pStyle w:val="14"/>
                    <w:rPr>
                      <w:rFonts w:cs="Times New Roman"/>
                      <w:bCs/>
                      <w:lang w:val="zh-CN"/>
                    </w:rPr>
                  </w:pPr>
                  <w:r>
                    <w:rPr>
                      <w:rFonts w:eastAsia="新宋体" w:cs="Times New Roman"/>
                      <w:bCs/>
                      <w:szCs w:val="21"/>
                    </w:rPr>
                    <w:t>厂界外50m 范围内无声环境保护目标</w:t>
                  </w:r>
                </w:p>
              </w:tc>
            </w:tr>
            <w:tr w14:paraId="0ABD4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80" w:hRule="atLeast"/>
              </w:trPr>
              <w:tc>
                <w:tcPr>
                  <w:tcW w:w="450" w:type="pct"/>
                  <w:vAlign w:val="center"/>
                </w:tcPr>
                <w:p w14:paraId="3445654E">
                  <w:pPr>
                    <w:pStyle w:val="14"/>
                    <w:rPr>
                      <w:rFonts w:cs="Times New Roman"/>
                      <w:bCs/>
                      <w:lang w:val="zh-CN"/>
                    </w:rPr>
                  </w:pPr>
                  <w:r>
                    <w:rPr>
                      <w:rFonts w:cs="Times New Roman"/>
                      <w:bCs/>
                      <w:lang w:val="zh-CN"/>
                    </w:rPr>
                    <w:t>地下水</w:t>
                  </w:r>
                </w:p>
                <w:p w14:paraId="654C3195">
                  <w:pPr>
                    <w:pStyle w:val="14"/>
                    <w:rPr>
                      <w:rFonts w:cs="Times New Roman"/>
                      <w:bCs/>
                      <w:lang w:val="zh-CN"/>
                    </w:rPr>
                  </w:pPr>
                  <w:r>
                    <w:rPr>
                      <w:rFonts w:cs="Times New Roman"/>
                      <w:bCs/>
                      <w:lang w:val="zh-CN"/>
                    </w:rPr>
                    <w:t>环境</w:t>
                  </w:r>
                </w:p>
              </w:tc>
              <w:tc>
                <w:tcPr>
                  <w:tcW w:w="4550" w:type="pct"/>
                  <w:gridSpan w:val="8"/>
                </w:tcPr>
                <w:p w14:paraId="37170F93">
                  <w:pPr>
                    <w:pStyle w:val="14"/>
                    <w:rPr>
                      <w:rFonts w:cs="Times New Roman"/>
                      <w:bCs/>
                    </w:rPr>
                  </w:pPr>
                  <w:r>
                    <w:rPr>
                      <w:rFonts w:cs="Times New Roman"/>
                      <w:bCs/>
                    </w:rPr>
                    <w:t>厂界外500米范围内无地下水集中式饮用水水源和热水、矿泉水、温泉等特殊地下水资源，无特定保护目标</w:t>
                  </w:r>
                </w:p>
              </w:tc>
            </w:tr>
            <w:tr w14:paraId="12D85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450" w:type="pct"/>
                  <w:vAlign w:val="center"/>
                </w:tcPr>
                <w:p w14:paraId="1AD47187">
                  <w:pPr>
                    <w:pStyle w:val="14"/>
                    <w:rPr>
                      <w:rFonts w:cs="Times New Roman"/>
                      <w:bCs/>
                      <w:lang w:val="zh-CN"/>
                    </w:rPr>
                  </w:pPr>
                  <w:r>
                    <w:rPr>
                      <w:rFonts w:cs="Times New Roman"/>
                      <w:bCs/>
                      <w:lang w:val="zh-CN"/>
                    </w:rPr>
                    <w:t>风险环境</w:t>
                  </w:r>
                </w:p>
              </w:tc>
              <w:tc>
                <w:tcPr>
                  <w:tcW w:w="4550" w:type="pct"/>
                  <w:gridSpan w:val="8"/>
                </w:tcPr>
                <w:p w14:paraId="63140A34">
                  <w:pPr>
                    <w:pStyle w:val="14"/>
                    <w:rPr>
                      <w:rFonts w:cs="Times New Roman"/>
                      <w:bCs/>
                    </w:rPr>
                  </w:pPr>
                  <w:r>
                    <w:rPr>
                      <w:rFonts w:cs="Times New Roman"/>
                      <w:bCs/>
                    </w:rPr>
                    <w:t>上述环境空气、地表水、地下水、土壤保护目标</w:t>
                  </w:r>
                </w:p>
              </w:tc>
            </w:tr>
            <w:tr w14:paraId="731D7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80" w:hRule="atLeast"/>
              </w:trPr>
              <w:tc>
                <w:tcPr>
                  <w:tcW w:w="5000" w:type="pct"/>
                  <w:gridSpan w:val="9"/>
                </w:tcPr>
                <w:p w14:paraId="105A4BDF">
                  <w:pPr>
                    <w:pStyle w:val="14"/>
                    <w:rPr>
                      <w:rFonts w:cs="Times New Roman"/>
                      <w:bCs/>
                    </w:rPr>
                  </w:pPr>
                  <w:r>
                    <w:rPr>
                      <w:rFonts w:cs="Times New Roman"/>
                      <w:bCs/>
                    </w:rPr>
                    <w:t>注：根据《建设项目环境影响报告表编制技术指南（污染影响类）（试行）》，本项目处于产业园区</w:t>
                  </w:r>
                  <w:r>
                    <w:rPr>
                      <w:rFonts w:hint="eastAsia" w:cs="Times New Roman"/>
                      <w:bCs/>
                    </w:rPr>
                    <w:t>内</w:t>
                  </w:r>
                  <w:r>
                    <w:rPr>
                      <w:rFonts w:cs="Times New Roman"/>
                      <w:bCs/>
                    </w:rPr>
                    <w:t>，且不新增用地，无需明确生态环境保护目标</w:t>
                  </w:r>
                </w:p>
              </w:tc>
            </w:tr>
          </w:tbl>
          <w:p w14:paraId="4C1C0D9A">
            <w:pPr>
              <w:ind w:firstLine="480"/>
              <w:rPr>
                <w:rFonts w:cs="Times New Roman"/>
              </w:rPr>
            </w:pPr>
            <w:r>
              <w:rPr>
                <w:rFonts w:cs="Times New Roman"/>
              </w:rPr>
              <w:t>（2）外环境相容性分析</w:t>
            </w:r>
          </w:p>
          <w:p w14:paraId="6B42B4DE">
            <w:pPr>
              <w:ind w:firstLine="480"/>
              <w:rPr>
                <w:rFonts w:cs="Times New Roman"/>
                <w:b/>
              </w:rPr>
            </w:pPr>
            <w:r>
              <w:rPr>
                <w:rFonts w:cs="Times New Roman"/>
              </w:rPr>
              <w:t>本项目位于巴中经开区核心区，根据现场勘查项目周边以工业企业、</w:t>
            </w:r>
            <w:r>
              <w:rPr>
                <w:rFonts w:hint="eastAsia" w:cs="Times New Roman"/>
              </w:rPr>
              <w:t>林地</w:t>
            </w:r>
            <w:r>
              <w:rPr>
                <w:rFonts w:cs="Times New Roman"/>
              </w:rPr>
              <w:t>和待建空地为主，</w:t>
            </w:r>
            <w:r>
              <w:rPr>
                <w:rFonts w:hint="eastAsia" w:cs="Times New Roman"/>
                <w:bCs/>
              </w:rPr>
              <w:t>本项目周边5</w:t>
            </w:r>
            <w:r>
              <w:rPr>
                <w:rFonts w:cs="Times New Roman"/>
                <w:bCs/>
              </w:rPr>
              <w:t>00</w:t>
            </w:r>
            <w:r>
              <w:rPr>
                <w:rFonts w:hint="eastAsia" w:cs="Times New Roman"/>
                <w:bCs/>
              </w:rPr>
              <w:t>m范围内主要环境保护目标为</w:t>
            </w:r>
            <w:r>
              <w:rPr>
                <w:rFonts w:hint="eastAsia" w:cs="Times New Roman"/>
                <w:kern w:val="0"/>
                <w:szCs w:val="21"/>
              </w:rPr>
              <w:t>巴中市经开区消防救援大队</w:t>
            </w:r>
            <w:r>
              <w:rPr>
                <w:rFonts w:hint="eastAsia" w:cs="Times New Roman"/>
                <w:bCs/>
              </w:rPr>
              <w:t>，位于本项目东北侧，距离本项目27</w:t>
            </w:r>
            <w:r>
              <w:rPr>
                <w:rFonts w:cs="Times New Roman"/>
                <w:bCs/>
              </w:rPr>
              <w:t>0</w:t>
            </w:r>
            <w:r>
              <w:rPr>
                <w:rFonts w:hint="eastAsia" w:cs="Times New Roman"/>
                <w:bCs/>
              </w:rPr>
              <w:t>m</w:t>
            </w:r>
            <w:r>
              <w:rPr>
                <w:rFonts w:cs="Times New Roman"/>
                <w:bCs/>
              </w:rPr>
              <w:t>-</w:t>
            </w:r>
            <w:r>
              <w:rPr>
                <w:rFonts w:hint="eastAsia" w:cs="Times New Roman"/>
                <w:bCs/>
              </w:rPr>
              <w:t>36</w:t>
            </w:r>
            <w:r>
              <w:rPr>
                <w:rFonts w:cs="Times New Roman"/>
                <w:bCs/>
              </w:rPr>
              <w:t>0m</w:t>
            </w:r>
            <w:r>
              <w:rPr>
                <w:rFonts w:hint="eastAsia" w:cs="Times New Roman"/>
                <w:bCs/>
              </w:rPr>
              <w:t>，与本项目高程差为+2m，与本项目有一定距离，与本项目之间有市政道路，受到本项目影响较小。</w:t>
            </w:r>
          </w:p>
          <w:p w14:paraId="7921A660">
            <w:pPr>
              <w:ind w:firstLine="480"/>
              <w:rPr>
                <w:rFonts w:cs="Times New Roman"/>
              </w:rPr>
            </w:pPr>
            <w:r>
              <w:rPr>
                <w:rFonts w:cs="Times New Roman"/>
              </w:rPr>
              <w:t>根据工程分析，根据工程分析，项目废气、废水经对应治理措施处理后做到达标排放；项目噪声经隔声、减振等综合降噪措施处理后达标排放，固体废物处置合理，去向明确。项目在满足各项污染物达标排放的前提下，不会对周边保护目标造成明显影响，对外环境影响较小。同时本项目建设对外环境无特殊要求，本项目与周边外环境相容。</w:t>
            </w:r>
          </w:p>
          <w:p w14:paraId="1AF8A94A">
            <w:pPr>
              <w:ind w:firstLine="480"/>
              <w:rPr>
                <w:rFonts w:cs="Times New Roman"/>
              </w:rPr>
            </w:pPr>
            <w:r>
              <w:rPr>
                <w:rFonts w:cs="Times New Roman"/>
              </w:rPr>
              <w:t>经调查，项目所排园区污水处理厂排口下游10km范围内无集中式饮用水源取水点；同时项目所在区域也无集中式饮用水水源地、特殊地下水资源保护区以及分散式居民饮用水水源等环境敏感区。同时，项目所在区域周围评价范围内无自然保护区、风景名胜区、文物保护单位等特殊环境敏感区，无重大制约因素。</w:t>
            </w:r>
          </w:p>
          <w:p w14:paraId="50832B76">
            <w:pPr>
              <w:ind w:firstLine="480"/>
              <w:rPr>
                <w:rFonts w:cs="Times New Roman"/>
              </w:rPr>
            </w:pPr>
            <w:r>
              <w:rPr>
                <w:rFonts w:cs="Times New Roman"/>
              </w:rPr>
              <w:t>本项目位于巴中经开区核心区，用地性质为工业用地，项目周边基础设施配套完善，供水、供电均能得到保障，周边交通便捷，能够满足项目运行需要。</w:t>
            </w:r>
          </w:p>
          <w:p w14:paraId="532734D1">
            <w:pPr>
              <w:ind w:firstLine="480"/>
              <w:rPr>
                <w:rFonts w:cs="Times New Roman"/>
              </w:rPr>
            </w:pPr>
            <w:r>
              <w:rPr>
                <w:rFonts w:cs="Times New Roman"/>
              </w:rPr>
              <w:t>综上，本项目的建设无环境限制性因素；项目通过采取措施后排污较小，严格落实本环评提出的措施后，与周边环境相容；项目所在区域基础设施条件良好，可支撑本项目的实施，因此，本项目选址合理可行。</w:t>
            </w:r>
          </w:p>
        </w:tc>
      </w:tr>
    </w:tbl>
    <w:p w14:paraId="1310BDDB">
      <w:pPr>
        <w:ind w:firstLine="0" w:firstLineChars="0"/>
        <w:rPr>
          <w:rFonts w:cs="Times New Roman"/>
        </w:rPr>
        <w:sectPr>
          <w:pgSz w:w="11906" w:h="16838"/>
          <w:pgMar w:top="1440" w:right="1080" w:bottom="1440" w:left="1080" w:header="851" w:footer="567" w:gutter="0"/>
          <w:cols w:space="425" w:num="1"/>
          <w:docGrid w:type="lines" w:linePitch="326" w:charSpace="0"/>
        </w:sectPr>
      </w:pPr>
    </w:p>
    <w:p w14:paraId="04503DA0">
      <w:pPr>
        <w:pStyle w:val="2"/>
        <w:spacing w:before="0" w:beforeAutospacing="0" w:after="0" w:afterAutospacing="0" w:line="360" w:lineRule="auto"/>
        <w:rPr>
          <w:rFonts w:ascii="Times New Roman" w:hAnsi="Times New Roman"/>
        </w:rPr>
      </w:pPr>
      <w:r>
        <w:rPr>
          <w:rFonts w:ascii="Times New Roman" w:hAnsi="Times New Roman"/>
        </w:rPr>
        <w:fldChar w:fldCharType="begin"/>
      </w:r>
      <w:r>
        <w:rPr>
          <w:rFonts w:ascii="Times New Roman" w:hAnsi="Times New Roman"/>
        </w:rPr>
        <w:instrText xml:space="preserve"> SEQ seq \h </w:instrText>
      </w:r>
      <w:r>
        <w:rPr>
          <w:rFonts w:ascii="Times New Roman" w:hAnsi="Times New Roman"/>
        </w:rPr>
        <w:fldChar w:fldCharType="end"/>
      </w:r>
      <w:r>
        <w:rPr>
          <w:rFonts w:ascii="Times New Roman" w:hAnsi="Times New Roman"/>
        </w:rPr>
        <w:t>建设项目工程分析</w:t>
      </w:r>
    </w:p>
    <w:tbl>
      <w:tblPr>
        <w:tblStyle w:val="33"/>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57" w:type="dxa"/>
          <w:bottom w:w="0" w:type="dxa"/>
          <w:right w:w="57" w:type="dxa"/>
        </w:tblCellMar>
      </w:tblPr>
      <w:tblGrid>
        <w:gridCol w:w="698"/>
        <w:gridCol w:w="9028"/>
      </w:tblGrid>
      <w:tr w14:paraId="596EC3F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jc w:val="center"/>
        </w:trPr>
        <w:tc>
          <w:tcPr>
            <w:tcW w:w="359" w:type="pct"/>
            <w:tcMar>
              <w:top w:w="16" w:type="dxa"/>
              <w:left w:w="16" w:type="dxa"/>
              <w:right w:w="16" w:type="dxa"/>
            </w:tcMar>
            <w:vAlign w:val="center"/>
          </w:tcPr>
          <w:p w14:paraId="1558C60B">
            <w:pPr>
              <w:pStyle w:val="30"/>
              <w:rPr>
                <w:rFonts w:cs="Times New Roman"/>
                <w:sz w:val="24"/>
                <w:szCs w:val="24"/>
              </w:rPr>
            </w:pPr>
            <w:r>
              <w:rPr>
                <w:rFonts w:cs="Times New Roman"/>
                <w:sz w:val="24"/>
                <w:szCs w:val="24"/>
              </w:rPr>
              <w:t>建设内容</w:t>
            </w:r>
          </w:p>
        </w:tc>
        <w:tc>
          <w:tcPr>
            <w:tcW w:w="4641" w:type="pct"/>
            <w:vAlign w:val="center"/>
          </w:tcPr>
          <w:p w14:paraId="09B26034">
            <w:pPr>
              <w:pStyle w:val="3"/>
              <w:spacing w:before="163"/>
            </w:pPr>
            <w:r>
              <w:t>1、项目由来</w:t>
            </w:r>
          </w:p>
          <w:p w14:paraId="1B2153F4">
            <w:pPr>
              <w:ind w:firstLine="480"/>
              <w:rPr>
                <w:rFonts w:cs="Times New Roman"/>
              </w:rPr>
            </w:pPr>
            <w:r>
              <w:rPr>
                <w:rFonts w:cs="Times New Roman"/>
              </w:rPr>
              <w:t>四川森港莱工贸有限公司成立于20</w:t>
            </w:r>
            <w:r>
              <w:rPr>
                <w:rFonts w:hint="eastAsia" w:cs="Times New Roman"/>
              </w:rPr>
              <w:t>14</w:t>
            </w:r>
            <w:r>
              <w:rPr>
                <w:rFonts w:cs="Times New Roman"/>
              </w:rPr>
              <w:t>年</w:t>
            </w:r>
            <w:r>
              <w:rPr>
                <w:rFonts w:hint="eastAsia" w:cs="Times New Roman"/>
              </w:rPr>
              <w:t>5</w:t>
            </w:r>
            <w:r>
              <w:rPr>
                <w:rFonts w:cs="Times New Roman"/>
              </w:rPr>
              <w:t>月，从事</w:t>
            </w:r>
            <w:r>
              <w:rPr>
                <w:rFonts w:hint="eastAsia" w:cs="Times New Roman"/>
              </w:rPr>
              <w:t>新型环保建材生产与销售，家具生产的企业。2015年11月</w:t>
            </w:r>
            <w:r>
              <w:rPr>
                <w:rFonts w:cs="Times New Roman"/>
              </w:rPr>
              <w:t>四川森港莱工贸有限公</w:t>
            </w:r>
            <w:r>
              <w:rPr>
                <w:rFonts w:hint="eastAsia" w:cs="Times New Roman"/>
              </w:rPr>
              <w:t>司委托四川中环立新环保工程咨询有限公司编制《龙港中高档家具生产项目环境影响评价报告表》，</w:t>
            </w:r>
            <w:r>
              <w:t>原</w:t>
            </w:r>
            <w:r>
              <w:rPr>
                <w:rFonts w:hint="eastAsia"/>
              </w:rPr>
              <w:t>项目</w:t>
            </w:r>
            <w:r>
              <w:t>建设内容为：</w:t>
            </w:r>
            <w:r>
              <w:rPr>
                <w:rFonts w:hint="eastAsia"/>
              </w:rPr>
              <w:t>总投资7000万元，建设2个生产车间、办公综合楼和附属设施，占地面积23334.69平方米，建筑面积3172.64平方米，建设2条板式家具生产线，含衣柜、木床、门、茶几等板式家具，年生产5000套。</w:t>
            </w:r>
            <w:r>
              <w:rPr>
                <w:rFonts w:hint="eastAsia" w:cs="Times New Roman"/>
              </w:rPr>
              <w:t>并由巴中市环境保护局经济开发区分局审核和批复，审批文号：巴环经审[2016]8号，审批时间：2016年2月2日。2016年“龙港中高档家具生产项目”开始整地开工，2018年2月建设完工并开始试生产，2018年4月委托四川紫荆环保科技服务有限公司承担了该项目竣工环境保护验收调查报告编制工作。并于2018年6月25日取得巴中市环境保护局出具的《关于龙港中高档家具生产主体工程(一车间)项目(噪声、固体废物)竣工环境保护验收的批复》（巴环函【2018】123号）。</w:t>
            </w:r>
          </w:p>
          <w:p w14:paraId="689E7FCB">
            <w:pPr>
              <w:ind w:firstLine="480"/>
              <w:rPr>
                <w:rFonts w:cs="Times New Roman"/>
              </w:rPr>
            </w:pPr>
            <w:r>
              <w:rPr>
                <w:rFonts w:hint="eastAsia" w:cs="Times New Roman"/>
              </w:rPr>
              <w:t>2025年5月公司应市场需求，投资1000万元在厂房内改扩建项目“龙港中高档家具生产项目二期”</w:t>
            </w:r>
            <w:r>
              <w:rPr>
                <w:rFonts w:cs="Times New Roman"/>
              </w:rPr>
              <w:t>（以下简称“本项目”</w:t>
            </w:r>
            <w:r>
              <w:rPr>
                <w:rFonts w:hint="eastAsia" w:cs="Times New Roman"/>
              </w:rPr>
              <w:t>），建设内容为：</w:t>
            </w:r>
            <w:bookmarkStart w:id="38" w:name="_Hlk233991800"/>
            <w:r>
              <w:rPr>
                <w:rFonts w:hint="eastAsia" w:cs="Times New Roman"/>
              </w:rPr>
              <w:t>新购置</w:t>
            </w:r>
            <w:r>
              <w:rPr>
                <w:rFonts w:hint="eastAsia"/>
                <w:bCs/>
              </w:rPr>
              <w:t>自动压贴机、自动凉板机、模温机等建成2条板材贴面生产线。</w:t>
            </w:r>
            <w:r>
              <w:rPr>
                <w:rFonts w:cs="Times New Roman"/>
              </w:rPr>
              <w:t>建成投产后将形成</w:t>
            </w:r>
            <w:r>
              <w:rPr>
                <w:rFonts w:hint="eastAsia" w:cs="Times New Roman"/>
              </w:rPr>
              <w:t>压贴板</w:t>
            </w:r>
            <w:r>
              <w:rPr>
                <w:rFonts w:cs="Times New Roman"/>
              </w:rPr>
              <w:t>共计</w:t>
            </w:r>
            <w:r>
              <w:rPr>
                <w:rFonts w:hint="eastAsia" w:cs="Times New Roman"/>
              </w:rPr>
              <w:t>1万张</w:t>
            </w:r>
            <w:r>
              <w:rPr>
                <w:rFonts w:cs="Times New Roman"/>
              </w:rPr>
              <w:t>/年的生产能力</w:t>
            </w:r>
            <w:bookmarkEnd w:id="38"/>
            <w:r>
              <w:rPr>
                <w:rFonts w:cs="Times New Roman"/>
              </w:rPr>
              <w:t>。</w:t>
            </w:r>
          </w:p>
          <w:p w14:paraId="23998BE1">
            <w:pPr>
              <w:ind w:firstLine="480"/>
              <w:rPr>
                <w:rFonts w:cs="Times New Roman"/>
              </w:rPr>
            </w:pPr>
            <w:r>
              <w:rPr>
                <w:rFonts w:cs="Times New Roman"/>
              </w:rPr>
              <w:t>根据《</w:t>
            </w:r>
            <w:r>
              <w:rPr>
                <w:rFonts w:hint="eastAsia" w:cs="Times New Roman"/>
              </w:rPr>
              <w:t>中华人民共和国生态环境法典</w:t>
            </w:r>
            <w:r>
              <w:rPr>
                <w:rFonts w:cs="Times New Roman"/>
              </w:rPr>
              <w:t>》</w:t>
            </w:r>
            <w:r>
              <w:rPr>
                <w:rFonts w:hint="eastAsia" w:cs="Times New Roman"/>
              </w:rPr>
              <w:t>（2026年3月12日第十四届全国人民代表大会第四次会议通过）的</w:t>
            </w:r>
            <w:r>
              <w:rPr>
                <w:rFonts w:cs="Times New Roman"/>
              </w:rPr>
              <w:t>要求，为了加强建设项目的环境保护管理，严格控制新的污染，保护和改善环境，项目建设前应该开展环境影响评价工作。根据《国民经济行业分类》（GB/T4754-2017）及第1号修改单，项目属于“C2021胶合板制造”，依据《建设项目环境影响评价分类管理名录（2021年版）》（生态环境部令第16号），本项目属于“</w:t>
            </w:r>
            <w:r>
              <w:rPr>
                <w:rFonts w:hint="eastAsia" w:cs="Times New Roman"/>
              </w:rPr>
              <w:t>十七、木材加工和木、竹、藤、棕、草制品业 34人造板制造 202 /其他</w:t>
            </w:r>
            <w:r>
              <w:rPr>
                <w:rFonts w:cs="Times New Roman"/>
              </w:rPr>
              <w:t>”，应编制环境影响报告表。</w:t>
            </w:r>
          </w:p>
          <w:p w14:paraId="5497F740">
            <w:pPr>
              <w:ind w:firstLine="480"/>
              <w:rPr>
                <w:rFonts w:cs="Times New Roman"/>
              </w:rPr>
            </w:pPr>
            <w:r>
              <w:rPr>
                <w:rFonts w:cs="Times New Roman"/>
              </w:rPr>
              <w:t>四川森港莱工贸有限公司委托我单位承担本项目环境影响评价工作。我单位接受托后，立即组织项目参评人员对项目进行现场踏勘，详细了解项目建设内容，收集当地区域自然环境等相关资料。在此基础上开展该项目环境影响评价工作，编制完成本项目环境影响报告表。</w:t>
            </w:r>
          </w:p>
          <w:p w14:paraId="64F53B26">
            <w:pPr>
              <w:pStyle w:val="3"/>
              <w:spacing w:before="0" w:beforeLines="0"/>
            </w:pPr>
            <w:r>
              <w:t>2、项目概括</w:t>
            </w:r>
          </w:p>
          <w:p w14:paraId="2EEB0609">
            <w:pPr>
              <w:ind w:firstLine="480"/>
              <w:rPr>
                <w:rFonts w:cs="Times New Roman"/>
              </w:rPr>
            </w:pPr>
            <w:r>
              <w:rPr>
                <w:rFonts w:cs="Times New Roman"/>
              </w:rPr>
              <w:t>（1）项目名称：龙港中高档家具生产项目二期</w:t>
            </w:r>
          </w:p>
          <w:p w14:paraId="095349F6">
            <w:pPr>
              <w:ind w:firstLine="480"/>
              <w:rPr>
                <w:rFonts w:cs="Times New Roman"/>
              </w:rPr>
            </w:pPr>
            <w:r>
              <w:rPr>
                <w:rFonts w:cs="Times New Roman"/>
              </w:rPr>
              <w:t>（2）项目代码：川投资备【2309-511924-04-01-828166】FGQB-0027号</w:t>
            </w:r>
          </w:p>
          <w:p w14:paraId="5B4908CE">
            <w:pPr>
              <w:ind w:firstLine="480"/>
              <w:rPr>
                <w:rFonts w:cs="Times New Roman"/>
              </w:rPr>
            </w:pPr>
            <w:r>
              <w:rPr>
                <w:rFonts w:cs="Times New Roman"/>
              </w:rPr>
              <w:t>（2）建设性质：</w:t>
            </w:r>
            <w:r>
              <w:rPr>
                <w:rFonts w:hint="eastAsia" w:cs="Times New Roman"/>
              </w:rPr>
              <w:t>改扩建</w:t>
            </w:r>
          </w:p>
          <w:p w14:paraId="1BE3A7A5">
            <w:pPr>
              <w:ind w:firstLine="480"/>
              <w:rPr>
                <w:rFonts w:cs="Times New Roman"/>
              </w:rPr>
            </w:pPr>
            <w:r>
              <w:rPr>
                <w:rFonts w:cs="Times New Roman"/>
              </w:rPr>
              <w:t>（3）建设单位：四川森港莱工贸有限公司</w:t>
            </w:r>
          </w:p>
          <w:p w14:paraId="07A3327F">
            <w:pPr>
              <w:ind w:firstLine="480"/>
              <w:rPr>
                <w:rFonts w:cs="Times New Roman"/>
              </w:rPr>
            </w:pPr>
            <w:r>
              <w:rPr>
                <w:rFonts w:cs="Times New Roman"/>
              </w:rPr>
              <w:t>（4）建设地点：</w:t>
            </w:r>
            <w:r>
              <w:rPr>
                <w:rFonts w:hint="eastAsia" w:cs="Times New Roman"/>
              </w:rPr>
              <w:t>四川省巴中市经济开发区兴文街道办事处中山北路21号附1号</w:t>
            </w:r>
          </w:p>
          <w:p w14:paraId="1AD4E58A">
            <w:pPr>
              <w:ind w:firstLine="480"/>
              <w:rPr>
                <w:rFonts w:cs="Times New Roman"/>
              </w:rPr>
            </w:pPr>
            <w:r>
              <w:rPr>
                <w:rFonts w:cs="Times New Roman"/>
              </w:rPr>
              <w:t>（5）占地面积：</w:t>
            </w:r>
            <w:r>
              <w:rPr>
                <w:rFonts w:hint="eastAsia" w:cs="Times New Roman"/>
              </w:rPr>
              <w:t>在原厂房二车间内建设生产线，不新增占地</w:t>
            </w:r>
          </w:p>
          <w:p w14:paraId="7476A9D5">
            <w:pPr>
              <w:ind w:firstLine="480"/>
              <w:rPr>
                <w:rFonts w:cs="Times New Roman"/>
              </w:rPr>
            </w:pPr>
            <w:r>
              <w:rPr>
                <w:rFonts w:cs="Times New Roman"/>
              </w:rPr>
              <w:t>（6）总投资及资金来源：</w:t>
            </w:r>
            <w:r>
              <w:rPr>
                <w:rFonts w:hint="eastAsia" w:cs="Times New Roman"/>
              </w:rPr>
              <w:t>1</w:t>
            </w:r>
            <w:r>
              <w:rPr>
                <w:rFonts w:cs="Times New Roman"/>
              </w:rPr>
              <w:t>000万元，自筹</w:t>
            </w:r>
            <w:r>
              <w:rPr>
                <w:rFonts w:hint="eastAsia" w:cs="Times New Roman"/>
              </w:rPr>
              <w:t>。</w:t>
            </w:r>
          </w:p>
          <w:p w14:paraId="075E5442">
            <w:pPr>
              <w:pStyle w:val="3"/>
              <w:spacing w:before="163"/>
            </w:pPr>
            <w:r>
              <w:t>3、建设内容</w:t>
            </w:r>
          </w:p>
          <w:p w14:paraId="48D30F77">
            <w:pPr>
              <w:ind w:firstLine="480"/>
              <w:rPr>
                <w:rFonts w:cs="Times New Roman"/>
              </w:rPr>
            </w:pPr>
            <w:r>
              <w:rPr>
                <w:rFonts w:cs="Times New Roman"/>
              </w:rPr>
              <w:t>本项目位于</w:t>
            </w:r>
            <w:r>
              <w:rPr>
                <w:rFonts w:hint="eastAsia" w:cs="Times New Roman"/>
              </w:rPr>
              <w:t>四川省巴中市经济开发区兴文街道办事处中山北路21号附1号</w:t>
            </w:r>
            <w:r>
              <w:rPr>
                <w:rFonts w:cs="Times New Roman"/>
              </w:rPr>
              <w:t>的</w:t>
            </w:r>
            <w:r>
              <w:rPr>
                <w:rFonts w:hint="eastAsia" w:cs="Times New Roman"/>
              </w:rPr>
              <w:t>原厂房二</w:t>
            </w:r>
            <w:r>
              <w:rPr>
                <w:rFonts w:cs="Times New Roman"/>
              </w:rPr>
              <w:t>号车间内，</w:t>
            </w:r>
            <w:bookmarkStart w:id="39" w:name="OLE_LINK465"/>
            <w:bookmarkStart w:id="40" w:name="OLE_LINK466"/>
            <w:r>
              <w:rPr>
                <w:rFonts w:cs="Times New Roman"/>
              </w:rPr>
              <w:t>建筑面积</w:t>
            </w:r>
            <w:r>
              <w:rPr>
                <w:rFonts w:hint="eastAsia" w:cs="Times New Roman"/>
              </w:rPr>
              <w:t>约3172</w:t>
            </w:r>
            <w:r>
              <w:rPr>
                <w:rFonts w:cs="Times New Roman"/>
              </w:rPr>
              <w:t>m</w:t>
            </w:r>
            <w:r>
              <w:rPr>
                <w:rFonts w:cs="Times New Roman"/>
                <w:vertAlign w:val="superscript"/>
              </w:rPr>
              <w:t>2</w:t>
            </w:r>
            <w:r>
              <w:rPr>
                <w:rFonts w:cs="Times New Roman"/>
              </w:rPr>
              <w:t>。本项目主要采用</w:t>
            </w:r>
            <w:r>
              <w:rPr>
                <w:rFonts w:hint="eastAsia" w:cs="Times New Roman"/>
              </w:rPr>
              <w:t>贴面、热压、自然冷却</w:t>
            </w:r>
            <w:r>
              <w:rPr>
                <w:rFonts w:cs="Times New Roman"/>
              </w:rPr>
              <w:t>等工艺，购置</w:t>
            </w:r>
            <w:r>
              <w:rPr>
                <w:rFonts w:hint="eastAsia"/>
                <w:bCs/>
              </w:rPr>
              <w:t>自动压贴机、自动凉板机、模温机</w:t>
            </w:r>
            <w:r>
              <w:rPr>
                <w:rFonts w:cs="Times New Roman"/>
              </w:rPr>
              <w:t>等生产设备，建设</w:t>
            </w:r>
            <w:r>
              <w:rPr>
                <w:rFonts w:hint="eastAsia" w:cs="Times New Roman"/>
              </w:rPr>
              <w:t>板材贴面</w:t>
            </w:r>
            <w:r>
              <w:rPr>
                <w:rFonts w:cs="Times New Roman"/>
              </w:rPr>
              <w:t>生产线2条，年产共计</w:t>
            </w:r>
            <w:r>
              <w:rPr>
                <w:rFonts w:hint="eastAsia" w:cs="Times New Roman"/>
              </w:rPr>
              <w:t>1万张</w:t>
            </w:r>
            <w:r>
              <w:rPr>
                <w:rFonts w:cs="Times New Roman"/>
              </w:rPr>
              <w:t>。</w:t>
            </w:r>
            <w:bookmarkEnd w:id="39"/>
            <w:bookmarkEnd w:id="40"/>
            <w:r>
              <w:rPr>
                <w:rFonts w:cs="Times New Roman"/>
              </w:rPr>
              <w:t>主要建设内容见下表。</w:t>
            </w:r>
          </w:p>
          <w:p w14:paraId="64051781">
            <w:pPr>
              <w:pStyle w:val="13"/>
              <w:keepNext/>
              <w:rPr>
                <w:rFonts w:cs="Times New Roman"/>
              </w:rPr>
            </w:pPr>
            <w:r>
              <w:rPr>
                <w:rFonts w:cs="Times New Roman"/>
              </w:rPr>
              <w:t xml:space="preserve">表 </w:t>
            </w:r>
            <w:r>
              <w:rPr>
                <w:rFonts w:cs="Times New Roman"/>
              </w:rPr>
              <w:fldChar w:fldCharType="begin"/>
            </w:r>
            <w:r>
              <w:rPr>
                <w:rFonts w:cs="Times New Roman"/>
              </w:rPr>
              <w:instrText xml:space="preserve"> SEQ seq \c </w:instrText>
            </w:r>
            <w:r>
              <w:rPr>
                <w:rFonts w:cs="Times New Roman"/>
              </w:rPr>
              <w:fldChar w:fldCharType="separate"/>
            </w:r>
            <w:r>
              <w:rPr>
                <w:rFonts w:cs="Times New Roman"/>
              </w:rPr>
              <w:t>2</w:t>
            </w:r>
            <w:r>
              <w:rPr>
                <w:rFonts w:cs="Times New Roman"/>
              </w:rPr>
              <w:fldChar w:fldCharType="end"/>
            </w:r>
            <w:r>
              <w:rPr>
                <w:rFonts w:cs="Times New Roman"/>
              </w:rPr>
              <w:noBreakHyphen/>
            </w:r>
            <w:r>
              <w:rPr>
                <w:rFonts w:cs="Times New Roman"/>
              </w:rPr>
              <w:fldChar w:fldCharType="begin"/>
            </w:r>
            <w:r>
              <w:rPr>
                <w:rFonts w:cs="Times New Roman"/>
              </w:rPr>
              <w:instrText xml:space="preserve"> SEQ 表 \* ARABIC \s 1 </w:instrText>
            </w:r>
            <w:r>
              <w:rPr>
                <w:rFonts w:cs="Times New Roman"/>
              </w:rPr>
              <w:fldChar w:fldCharType="separate"/>
            </w:r>
            <w:r>
              <w:rPr>
                <w:rFonts w:cs="Times New Roman"/>
              </w:rPr>
              <w:t>1</w:t>
            </w:r>
            <w:r>
              <w:rPr>
                <w:rFonts w:cs="Times New Roman"/>
              </w:rPr>
              <w:fldChar w:fldCharType="end"/>
            </w:r>
            <w:r>
              <w:rPr>
                <w:rFonts w:cs="Times New Roman"/>
              </w:rPr>
              <w:t xml:space="preserve"> </w:t>
            </w:r>
            <w:r>
              <w:rPr>
                <w:rFonts w:hint="eastAsia" w:cs="Times New Roman"/>
              </w:rPr>
              <w:t>扩建</w:t>
            </w:r>
            <w:r>
              <w:rPr>
                <w:rFonts w:cs="Times New Roman"/>
              </w:rPr>
              <w:t>项目组成及主要环境问题一览表</w:t>
            </w:r>
          </w:p>
          <w:tbl>
            <w:tblPr>
              <w:tblStyle w:val="54"/>
              <w:tblW w:w="93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2"/>
              <w:gridCol w:w="707"/>
              <w:gridCol w:w="5161"/>
              <w:gridCol w:w="880"/>
              <w:gridCol w:w="870"/>
              <w:gridCol w:w="1027"/>
            </w:tblGrid>
            <w:tr w14:paraId="5CEE2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80" w:type="pct"/>
                  <w:vMerge w:val="restart"/>
                  <w:vAlign w:val="center"/>
                </w:tcPr>
                <w:p w14:paraId="32639072">
                  <w:pPr>
                    <w:pStyle w:val="53"/>
                    <w:rPr>
                      <w:rFonts w:cs="Times New Roman"/>
                    </w:rPr>
                  </w:pPr>
                  <w:bookmarkStart w:id="41" w:name="_Hlk221200739"/>
                  <w:r>
                    <w:rPr>
                      <w:rFonts w:cs="Times New Roman"/>
                    </w:rPr>
                    <w:t>工程分类</w:t>
                  </w:r>
                </w:p>
              </w:tc>
              <w:tc>
                <w:tcPr>
                  <w:tcW w:w="378" w:type="pct"/>
                  <w:vMerge w:val="restart"/>
                  <w:vAlign w:val="center"/>
                </w:tcPr>
                <w:p w14:paraId="30A9446D">
                  <w:pPr>
                    <w:pStyle w:val="53"/>
                    <w:rPr>
                      <w:rFonts w:cs="Times New Roman"/>
                    </w:rPr>
                  </w:pPr>
                  <w:r>
                    <w:rPr>
                      <w:rFonts w:cs="Times New Roman"/>
                    </w:rPr>
                    <w:t>名称</w:t>
                  </w:r>
                </w:p>
              </w:tc>
              <w:tc>
                <w:tcPr>
                  <w:tcW w:w="2758" w:type="pct"/>
                  <w:vMerge w:val="restart"/>
                  <w:vAlign w:val="center"/>
                </w:tcPr>
                <w:p w14:paraId="68B2C95C">
                  <w:pPr>
                    <w:pStyle w:val="53"/>
                    <w:rPr>
                      <w:rFonts w:cs="Times New Roman"/>
                    </w:rPr>
                  </w:pPr>
                  <w:r>
                    <w:rPr>
                      <w:rFonts w:cs="Times New Roman"/>
                    </w:rPr>
                    <w:t>建设内容及规模</w:t>
                  </w:r>
                </w:p>
              </w:tc>
              <w:tc>
                <w:tcPr>
                  <w:tcW w:w="470" w:type="pct"/>
                  <w:vMerge w:val="restart"/>
                  <w:vAlign w:val="center"/>
                </w:tcPr>
                <w:p w14:paraId="2DE3BE5E">
                  <w:pPr>
                    <w:pStyle w:val="53"/>
                    <w:rPr>
                      <w:rFonts w:cs="Times New Roman"/>
                    </w:rPr>
                  </w:pPr>
                  <w:r>
                    <w:rPr>
                      <w:rFonts w:hint="eastAsia" w:cs="Times New Roman"/>
                    </w:rPr>
                    <w:t>备注</w:t>
                  </w:r>
                </w:p>
              </w:tc>
              <w:tc>
                <w:tcPr>
                  <w:tcW w:w="1014" w:type="pct"/>
                  <w:gridSpan w:val="2"/>
                  <w:vAlign w:val="center"/>
                </w:tcPr>
                <w:p w14:paraId="150ADDDD">
                  <w:pPr>
                    <w:pStyle w:val="53"/>
                    <w:rPr>
                      <w:rFonts w:cs="Times New Roman"/>
                    </w:rPr>
                  </w:pPr>
                  <w:r>
                    <w:rPr>
                      <w:rFonts w:cs="Times New Roman"/>
                    </w:rPr>
                    <w:t>主要环境问题</w:t>
                  </w:r>
                </w:p>
              </w:tc>
            </w:tr>
            <w:tr w14:paraId="6C98E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80" w:type="pct"/>
                  <w:vMerge w:val="continue"/>
                  <w:vAlign w:val="center"/>
                </w:tcPr>
                <w:p w14:paraId="373D48BA">
                  <w:pPr>
                    <w:pStyle w:val="53"/>
                    <w:rPr>
                      <w:rFonts w:cs="Times New Roman"/>
                    </w:rPr>
                  </w:pPr>
                </w:p>
              </w:tc>
              <w:tc>
                <w:tcPr>
                  <w:tcW w:w="378" w:type="pct"/>
                  <w:vMerge w:val="continue"/>
                  <w:vAlign w:val="center"/>
                </w:tcPr>
                <w:p w14:paraId="451BD040">
                  <w:pPr>
                    <w:pStyle w:val="53"/>
                    <w:rPr>
                      <w:rFonts w:cs="Times New Roman"/>
                    </w:rPr>
                  </w:pPr>
                </w:p>
              </w:tc>
              <w:tc>
                <w:tcPr>
                  <w:tcW w:w="2758" w:type="pct"/>
                  <w:vMerge w:val="continue"/>
                  <w:vAlign w:val="center"/>
                </w:tcPr>
                <w:p w14:paraId="5711086E">
                  <w:pPr>
                    <w:pStyle w:val="53"/>
                    <w:rPr>
                      <w:rFonts w:cs="Times New Roman"/>
                    </w:rPr>
                  </w:pPr>
                </w:p>
              </w:tc>
              <w:tc>
                <w:tcPr>
                  <w:tcW w:w="470" w:type="pct"/>
                  <w:vMerge w:val="continue"/>
                  <w:vAlign w:val="center"/>
                </w:tcPr>
                <w:p w14:paraId="437D545A">
                  <w:pPr>
                    <w:pStyle w:val="53"/>
                    <w:rPr>
                      <w:rFonts w:cs="Times New Roman"/>
                    </w:rPr>
                  </w:pPr>
                </w:p>
              </w:tc>
              <w:tc>
                <w:tcPr>
                  <w:tcW w:w="465" w:type="pct"/>
                  <w:vAlign w:val="center"/>
                </w:tcPr>
                <w:p w14:paraId="3A19EC38">
                  <w:pPr>
                    <w:pStyle w:val="53"/>
                    <w:rPr>
                      <w:rFonts w:cs="Times New Roman"/>
                    </w:rPr>
                  </w:pPr>
                  <w:r>
                    <w:rPr>
                      <w:rFonts w:cs="Times New Roman"/>
                    </w:rPr>
                    <w:t>施工期</w:t>
                  </w:r>
                </w:p>
              </w:tc>
              <w:tc>
                <w:tcPr>
                  <w:tcW w:w="549" w:type="pct"/>
                  <w:vAlign w:val="center"/>
                </w:tcPr>
                <w:p w14:paraId="0F87ECEC">
                  <w:pPr>
                    <w:pStyle w:val="53"/>
                    <w:rPr>
                      <w:rFonts w:cs="Times New Roman"/>
                    </w:rPr>
                  </w:pPr>
                  <w:r>
                    <w:rPr>
                      <w:rFonts w:cs="Times New Roman"/>
                    </w:rPr>
                    <w:t>运营期</w:t>
                  </w:r>
                </w:p>
              </w:tc>
            </w:tr>
            <w:tr w14:paraId="75924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80" w:type="pct"/>
                  <w:vAlign w:val="center"/>
                </w:tcPr>
                <w:p w14:paraId="40AE7821">
                  <w:pPr>
                    <w:pStyle w:val="14"/>
                    <w:rPr>
                      <w:rFonts w:cs="Times New Roman"/>
                    </w:rPr>
                  </w:pPr>
                  <w:r>
                    <w:rPr>
                      <w:rFonts w:cs="Times New Roman"/>
                    </w:rPr>
                    <w:t>主体工程</w:t>
                  </w:r>
                </w:p>
              </w:tc>
              <w:tc>
                <w:tcPr>
                  <w:tcW w:w="378" w:type="pct"/>
                  <w:vAlign w:val="center"/>
                </w:tcPr>
                <w:p w14:paraId="004362A2">
                  <w:pPr>
                    <w:pStyle w:val="14"/>
                    <w:rPr>
                      <w:rFonts w:cs="Times New Roman"/>
                    </w:rPr>
                  </w:pPr>
                  <w:r>
                    <w:rPr>
                      <w:rFonts w:cs="Times New Roman"/>
                    </w:rPr>
                    <w:t>生产车间</w:t>
                  </w:r>
                </w:p>
              </w:tc>
              <w:tc>
                <w:tcPr>
                  <w:tcW w:w="2758" w:type="pct"/>
                  <w:vAlign w:val="center"/>
                </w:tcPr>
                <w:p w14:paraId="342B8FC2">
                  <w:pPr>
                    <w:pStyle w:val="14"/>
                    <w:adjustRightInd w:val="0"/>
                    <w:jc w:val="both"/>
                    <w:rPr>
                      <w:rFonts w:cs="Times New Roman"/>
                    </w:rPr>
                  </w:pPr>
                  <w:r>
                    <w:rPr>
                      <w:rFonts w:hint="eastAsia" w:cs="Times New Roman"/>
                    </w:rPr>
                    <w:t>生产车间二，主体结构已建，</w:t>
                  </w:r>
                  <w:r>
                    <w:rPr>
                      <w:rFonts w:cs="Times New Roman"/>
                    </w:rPr>
                    <w:t>钢混结构厂房，</w:t>
                  </w:r>
                  <w:r>
                    <w:rPr>
                      <w:rFonts w:hint="eastAsia" w:cs="Times New Roman"/>
                    </w:rPr>
                    <w:t>3172</w:t>
                  </w:r>
                  <w:r>
                    <w:rPr>
                      <w:rFonts w:cs="Times New Roman"/>
                    </w:rPr>
                    <w:t>m</w:t>
                  </w:r>
                  <w:r>
                    <w:rPr>
                      <w:rFonts w:cs="Times New Roman"/>
                      <w:vertAlign w:val="superscript"/>
                    </w:rPr>
                    <w:t>2</w:t>
                  </w:r>
                  <w:r>
                    <w:rPr>
                      <w:rFonts w:cs="Times New Roman"/>
                    </w:rPr>
                    <w:t>。</w:t>
                  </w:r>
                  <w:r>
                    <w:rPr>
                      <w:rFonts w:hint="eastAsia" w:cs="Times New Roman"/>
                    </w:rPr>
                    <w:t>二期项目建设内容：预购</w:t>
                  </w:r>
                  <w:r>
                    <w:rPr>
                      <w:rFonts w:hint="eastAsia"/>
                      <w:bCs/>
                    </w:rPr>
                    <w:t>自动压贴机、自动凉板机、模温机等设备，生产颗粒板贴面</w:t>
                  </w:r>
                </w:p>
              </w:tc>
              <w:tc>
                <w:tcPr>
                  <w:tcW w:w="470" w:type="pct"/>
                  <w:vAlign w:val="center"/>
                </w:tcPr>
                <w:p w14:paraId="0636D415">
                  <w:pPr>
                    <w:pStyle w:val="14"/>
                    <w:rPr>
                      <w:rFonts w:cs="Times New Roman"/>
                    </w:rPr>
                  </w:pPr>
                  <w:r>
                    <w:rPr>
                      <w:rFonts w:hint="eastAsia" w:cs="Times New Roman"/>
                    </w:rPr>
                    <w:t>原为仓库，本次仅安装设备</w:t>
                  </w:r>
                </w:p>
              </w:tc>
              <w:tc>
                <w:tcPr>
                  <w:tcW w:w="465" w:type="pct"/>
                  <w:vAlign w:val="center"/>
                </w:tcPr>
                <w:p w14:paraId="0072D9E3">
                  <w:pPr>
                    <w:pStyle w:val="14"/>
                    <w:rPr>
                      <w:rFonts w:cs="Times New Roman"/>
                    </w:rPr>
                  </w:pPr>
                  <w:r>
                    <w:rPr>
                      <w:rFonts w:hint="eastAsia" w:cs="Times New Roman"/>
                    </w:rPr>
                    <w:t>装修固废</w:t>
                  </w:r>
                </w:p>
              </w:tc>
              <w:tc>
                <w:tcPr>
                  <w:tcW w:w="549" w:type="pct"/>
                  <w:vAlign w:val="center"/>
                </w:tcPr>
                <w:p w14:paraId="511D8C0A">
                  <w:pPr>
                    <w:pStyle w:val="14"/>
                    <w:rPr>
                      <w:rFonts w:cs="Times New Roman"/>
                    </w:rPr>
                  </w:pPr>
                  <w:r>
                    <w:rPr>
                      <w:rFonts w:cs="Times New Roman"/>
                    </w:rPr>
                    <w:t>废气、废水、噪声、固废</w:t>
                  </w:r>
                </w:p>
              </w:tc>
            </w:tr>
            <w:tr w14:paraId="0B2D5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80" w:type="pct"/>
                  <w:vMerge w:val="restart"/>
                  <w:vAlign w:val="center"/>
                </w:tcPr>
                <w:p w14:paraId="089837E0">
                  <w:pPr>
                    <w:pStyle w:val="14"/>
                    <w:rPr>
                      <w:rFonts w:cs="Times New Roman"/>
                    </w:rPr>
                  </w:pPr>
                  <w:bookmarkStart w:id="42" w:name="_Hlk206774860"/>
                  <w:r>
                    <w:rPr>
                      <w:rFonts w:cs="Times New Roman"/>
                    </w:rPr>
                    <w:t>辅助及公用工程</w:t>
                  </w:r>
                </w:p>
              </w:tc>
              <w:tc>
                <w:tcPr>
                  <w:tcW w:w="378" w:type="pct"/>
                  <w:vAlign w:val="center"/>
                </w:tcPr>
                <w:p w14:paraId="52A44E3C">
                  <w:pPr>
                    <w:pStyle w:val="14"/>
                    <w:rPr>
                      <w:rFonts w:cs="Times New Roman"/>
                    </w:rPr>
                  </w:pPr>
                  <w:r>
                    <w:rPr>
                      <w:rFonts w:cs="Times New Roman"/>
                    </w:rPr>
                    <w:t>供电</w:t>
                  </w:r>
                </w:p>
              </w:tc>
              <w:tc>
                <w:tcPr>
                  <w:tcW w:w="2758" w:type="pct"/>
                  <w:vAlign w:val="center"/>
                </w:tcPr>
                <w:p w14:paraId="045A470A">
                  <w:pPr>
                    <w:pStyle w:val="14"/>
                    <w:rPr>
                      <w:rFonts w:cs="Times New Roman"/>
                    </w:rPr>
                  </w:pPr>
                  <w:r>
                    <w:rPr>
                      <w:rFonts w:cs="Times New Roman"/>
                    </w:rPr>
                    <w:t>市政电网供电。</w:t>
                  </w:r>
                </w:p>
              </w:tc>
              <w:tc>
                <w:tcPr>
                  <w:tcW w:w="470" w:type="pct"/>
                  <w:vAlign w:val="center"/>
                </w:tcPr>
                <w:p w14:paraId="16640C0C">
                  <w:pPr>
                    <w:pStyle w:val="14"/>
                    <w:rPr>
                      <w:rFonts w:cs="Times New Roman"/>
                    </w:rPr>
                  </w:pPr>
                  <w:r>
                    <w:rPr>
                      <w:rFonts w:hint="eastAsia" w:cs="Times New Roman"/>
                    </w:rPr>
                    <w:t>利旧</w:t>
                  </w:r>
                </w:p>
              </w:tc>
              <w:tc>
                <w:tcPr>
                  <w:tcW w:w="465" w:type="pct"/>
                  <w:vAlign w:val="center"/>
                </w:tcPr>
                <w:p w14:paraId="172EF1CB">
                  <w:pPr>
                    <w:pStyle w:val="14"/>
                    <w:rPr>
                      <w:rFonts w:cs="Times New Roman"/>
                    </w:rPr>
                  </w:pPr>
                  <w:bookmarkStart w:id="43" w:name="OLE_LINK43"/>
                  <w:r>
                    <w:rPr>
                      <w:rFonts w:cs="Times New Roman"/>
                    </w:rPr>
                    <w:t>/</w:t>
                  </w:r>
                  <w:bookmarkEnd w:id="43"/>
                </w:p>
              </w:tc>
              <w:tc>
                <w:tcPr>
                  <w:tcW w:w="549" w:type="pct"/>
                  <w:vAlign w:val="center"/>
                </w:tcPr>
                <w:p w14:paraId="7EFEAC85">
                  <w:pPr>
                    <w:pStyle w:val="14"/>
                    <w:rPr>
                      <w:rFonts w:cs="Times New Roman"/>
                    </w:rPr>
                  </w:pPr>
                  <w:r>
                    <w:rPr>
                      <w:rFonts w:cs="Times New Roman"/>
                    </w:rPr>
                    <w:t>/</w:t>
                  </w:r>
                </w:p>
              </w:tc>
            </w:tr>
            <w:tr w14:paraId="4F3F9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80" w:type="pct"/>
                  <w:vMerge w:val="continue"/>
                  <w:vAlign w:val="center"/>
                </w:tcPr>
                <w:p w14:paraId="65908257">
                  <w:pPr>
                    <w:pStyle w:val="14"/>
                    <w:rPr>
                      <w:rFonts w:cs="Times New Roman"/>
                    </w:rPr>
                  </w:pPr>
                </w:p>
              </w:tc>
              <w:tc>
                <w:tcPr>
                  <w:tcW w:w="378" w:type="pct"/>
                  <w:vAlign w:val="center"/>
                </w:tcPr>
                <w:p w14:paraId="73E52143">
                  <w:pPr>
                    <w:pStyle w:val="14"/>
                    <w:rPr>
                      <w:rFonts w:cs="Times New Roman"/>
                    </w:rPr>
                  </w:pPr>
                  <w:r>
                    <w:rPr>
                      <w:rFonts w:cs="Times New Roman"/>
                    </w:rPr>
                    <w:t>供水</w:t>
                  </w:r>
                </w:p>
              </w:tc>
              <w:tc>
                <w:tcPr>
                  <w:tcW w:w="2758" w:type="pct"/>
                  <w:vAlign w:val="center"/>
                </w:tcPr>
                <w:p w14:paraId="383A097E">
                  <w:pPr>
                    <w:pStyle w:val="14"/>
                    <w:rPr>
                      <w:rFonts w:cs="Times New Roman"/>
                    </w:rPr>
                  </w:pPr>
                  <w:r>
                    <w:rPr>
                      <w:rFonts w:cs="Times New Roman"/>
                    </w:rPr>
                    <w:t>市政自来水管网供水。</w:t>
                  </w:r>
                </w:p>
              </w:tc>
              <w:tc>
                <w:tcPr>
                  <w:tcW w:w="470" w:type="pct"/>
                  <w:vAlign w:val="center"/>
                </w:tcPr>
                <w:p w14:paraId="258AEDE2">
                  <w:pPr>
                    <w:pStyle w:val="14"/>
                    <w:rPr>
                      <w:rFonts w:cs="Times New Roman"/>
                    </w:rPr>
                  </w:pPr>
                  <w:r>
                    <w:rPr>
                      <w:rFonts w:hint="eastAsia" w:cs="Times New Roman"/>
                    </w:rPr>
                    <w:t>利旧</w:t>
                  </w:r>
                </w:p>
              </w:tc>
              <w:tc>
                <w:tcPr>
                  <w:tcW w:w="465" w:type="pct"/>
                  <w:vAlign w:val="center"/>
                </w:tcPr>
                <w:p w14:paraId="5DD4B909">
                  <w:pPr>
                    <w:pStyle w:val="14"/>
                    <w:rPr>
                      <w:rFonts w:cs="Times New Roman"/>
                    </w:rPr>
                  </w:pPr>
                  <w:r>
                    <w:rPr>
                      <w:rFonts w:cs="Times New Roman"/>
                    </w:rPr>
                    <w:t>/</w:t>
                  </w:r>
                </w:p>
              </w:tc>
              <w:tc>
                <w:tcPr>
                  <w:tcW w:w="549" w:type="pct"/>
                  <w:vAlign w:val="center"/>
                </w:tcPr>
                <w:p w14:paraId="44CB887A">
                  <w:pPr>
                    <w:pStyle w:val="14"/>
                    <w:rPr>
                      <w:rFonts w:cs="Times New Roman"/>
                    </w:rPr>
                  </w:pPr>
                  <w:r>
                    <w:rPr>
                      <w:rFonts w:cs="Times New Roman"/>
                    </w:rPr>
                    <w:t>/</w:t>
                  </w:r>
                </w:p>
              </w:tc>
            </w:tr>
            <w:bookmarkEnd w:id="42"/>
            <w:tr w14:paraId="07C11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80" w:type="pct"/>
                  <w:vMerge w:val="continue"/>
                  <w:vAlign w:val="center"/>
                </w:tcPr>
                <w:p w14:paraId="551CA7A0">
                  <w:pPr>
                    <w:pStyle w:val="14"/>
                    <w:rPr>
                      <w:rFonts w:cs="Times New Roman"/>
                    </w:rPr>
                  </w:pPr>
                </w:p>
              </w:tc>
              <w:tc>
                <w:tcPr>
                  <w:tcW w:w="378" w:type="pct"/>
                  <w:vAlign w:val="center"/>
                </w:tcPr>
                <w:p w14:paraId="47577BBE">
                  <w:pPr>
                    <w:pStyle w:val="14"/>
                    <w:rPr>
                      <w:rFonts w:cs="Times New Roman"/>
                    </w:rPr>
                  </w:pPr>
                  <w:r>
                    <w:rPr>
                      <w:rFonts w:cs="Times New Roman"/>
                    </w:rPr>
                    <w:t>排水</w:t>
                  </w:r>
                </w:p>
              </w:tc>
              <w:tc>
                <w:tcPr>
                  <w:tcW w:w="2758" w:type="pct"/>
                  <w:vAlign w:val="center"/>
                </w:tcPr>
                <w:p w14:paraId="023300F8">
                  <w:pPr>
                    <w:pStyle w:val="14"/>
                    <w:rPr>
                      <w:rFonts w:cs="Times New Roman"/>
                    </w:rPr>
                  </w:pPr>
                  <w:r>
                    <w:rPr>
                      <w:rFonts w:cs="Times New Roman"/>
                    </w:rPr>
                    <w:t>园区配套雨水、污水管网，雨污分流。</w:t>
                  </w:r>
                </w:p>
              </w:tc>
              <w:tc>
                <w:tcPr>
                  <w:tcW w:w="470" w:type="pct"/>
                  <w:vAlign w:val="center"/>
                </w:tcPr>
                <w:p w14:paraId="79B8CE81">
                  <w:pPr>
                    <w:pStyle w:val="14"/>
                    <w:rPr>
                      <w:rFonts w:cs="Times New Roman"/>
                    </w:rPr>
                  </w:pPr>
                  <w:r>
                    <w:rPr>
                      <w:rFonts w:hint="eastAsia" w:cs="Times New Roman"/>
                    </w:rPr>
                    <w:t>利旧</w:t>
                  </w:r>
                </w:p>
              </w:tc>
              <w:tc>
                <w:tcPr>
                  <w:tcW w:w="465" w:type="pct"/>
                  <w:vAlign w:val="center"/>
                </w:tcPr>
                <w:p w14:paraId="41D735B5">
                  <w:pPr>
                    <w:pStyle w:val="14"/>
                    <w:rPr>
                      <w:rFonts w:cs="Times New Roman"/>
                    </w:rPr>
                  </w:pPr>
                  <w:r>
                    <w:rPr>
                      <w:rFonts w:cs="Times New Roman"/>
                    </w:rPr>
                    <w:t>/</w:t>
                  </w:r>
                </w:p>
              </w:tc>
              <w:tc>
                <w:tcPr>
                  <w:tcW w:w="549" w:type="pct"/>
                  <w:vAlign w:val="center"/>
                </w:tcPr>
                <w:p w14:paraId="7834417C">
                  <w:pPr>
                    <w:pStyle w:val="14"/>
                    <w:rPr>
                      <w:rFonts w:cs="Times New Roman"/>
                    </w:rPr>
                  </w:pPr>
                  <w:r>
                    <w:rPr>
                      <w:rFonts w:cs="Times New Roman"/>
                    </w:rPr>
                    <w:t>废水</w:t>
                  </w:r>
                </w:p>
              </w:tc>
            </w:tr>
            <w:tr w14:paraId="7A67C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80" w:type="pct"/>
                  <w:vAlign w:val="center"/>
                </w:tcPr>
                <w:p w14:paraId="16CED450">
                  <w:pPr>
                    <w:pStyle w:val="14"/>
                    <w:rPr>
                      <w:rFonts w:cs="Times New Roman"/>
                    </w:rPr>
                  </w:pPr>
                  <w:r>
                    <w:rPr>
                      <w:rFonts w:cs="Times New Roman"/>
                    </w:rPr>
                    <w:t>办公及生活设施</w:t>
                  </w:r>
                </w:p>
              </w:tc>
              <w:tc>
                <w:tcPr>
                  <w:tcW w:w="378" w:type="pct"/>
                  <w:vAlign w:val="center"/>
                </w:tcPr>
                <w:p w14:paraId="17B3B2F8">
                  <w:pPr>
                    <w:pStyle w:val="14"/>
                    <w:rPr>
                      <w:rFonts w:cs="Times New Roman"/>
                    </w:rPr>
                  </w:pPr>
                  <w:r>
                    <w:rPr>
                      <w:rFonts w:cs="Times New Roman"/>
                    </w:rPr>
                    <w:t>办公区</w:t>
                  </w:r>
                </w:p>
              </w:tc>
              <w:tc>
                <w:tcPr>
                  <w:tcW w:w="2758" w:type="pct"/>
                  <w:vAlign w:val="center"/>
                </w:tcPr>
                <w:p w14:paraId="63E58685">
                  <w:pPr>
                    <w:pStyle w:val="14"/>
                    <w:rPr>
                      <w:rFonts w:cs="Times New Roman"/>
                    </w:rPr>
                  </w:pPr>
                  <w:r>
                    <w:rPr>
                      <w:rFonts w:hint="eastAsia" w:cs="Times New Roman"/>
                    </w:rPr>
                    <w:t>1栋三层</w:t>
                  </w:r>
                  <w:r>
                    <w:rPr>
                      <w:rFonts w:cs="Times New Roman"/>
                    </w:rPr>
                    <w:t>，厂房内砖混结构构筑物，</w:t>
                  </w:r>
                </w:p>
                <w:p w14:paraId="77667F85">
                  <w:pPr>
                    <w:pStyle w:val="14"/>
                    <w:rPr>
                      <w:rFonts w:cs="Times New Roman"/>
                    </w:rPr>
                  </w:pPr>
                  <w:r>
                    <w:rPr>
                      <w:rFonts w:hint="eastAsia" w:cs="Times New Roman"/>
                    </w:rPr>
                    <w:t>1F：展示厅，厨房</w:t>
                  </w:r>
                </w:p>
                <w:p w14:paraId="3236FE0A">
                  <w:pPr>
                    <w:pStyle w:val="14"/>
                    <w:rPr>
                      <w:rFonts w:cs="Times New Roman"/>
                    </w:rPr>
                  </w:pPr>
                  <w:r>
                    <w:rPr>
                      <w:rFonts w:hint="eastAsia" w:cs="Times New Roman"/>
                    </w:rPr>
                    <w:t>2F、3F：</w:t>
                  </w:r>
                  <w:r>
                    <w:rPr>
                      <w:rFonts w:cs="Times New Roman"/>
                    </w:rPr>
                    <w:t>设置多间办公室用于人员办公。</w:t>
                  </w:r>
                </w:p>
              </w:tc>
              <w:tc>
                <w:tcPr>
                  <w:tcW w:w="470" w:type="pct"/>
                  <w:vAlign w:val="center"/>
                </w:tcPr>
                <w:p w14:paraId="02BC8EB1">
                  <w:pPr>
                    <w:pStyle w:val="14"/>
                    <w:rPr>
                      <w:rFonts w:cs="Times New Roman"/>
                    </w:rPr>
                  </w:pPr>
                  <w:r>
                    <w:rPr>
                      <w:rFonts w:hint="eastAsia" w:cs="Times New Roman"/>
                    </w:rPr>
                    <w:t>利旧</w:t>
                  </w:r>
                </w:p>
              </w:tc>
              <w:tc>
                <w:tcPr>
                  <w:tcW w:w="465" w:type="pct"/>
                  <w:vMerge w:val="restart"/>
                  <w:vAlign w:val="center"/>
                </w:tcPr>
                <w:p w14:paraId="16BAD39A">
                  <w:pPr>
                    <w:pStyle w:val="14"/>
                    <w:rPr>
                      <w:rFonts w:cs="Times New Roman"/>
                    </w:rPr>
                  </w:pPr>
                  <w:r>
                    <w:rPr>
                      <w:rFonts w:cs="Times New Roman"/>
                    </w:rPr>
                    <w:t>施工扬尘、施工噪声、施工废水、建筑垃圾</w:t>
                  </w:r>
                </w:p>
              </w:tc>
              <w:tc>
                <w:tcPr>
                  <w:tcW w:w="549" w:type="pct"/>
                  <w:vAlign w:val="center"/>
                </w:tcPr>
                <w:p w14:paraId="18547060">
                  <w:pPr>
                    <w:pStyle w:val="14"/>
                    <w:rPr>
                      <w:rFonts w:cs="Times New Roman"/>
                    </w:rPr>
                  </w:pPr>
                  <w:r>
                    <w:rPr>
                      <w:rFonts w:cs="Times New Roman"/>
                    </w:rPr>
                    <w:t>生活污水、生活垃圾</w:t>
                  </w:r>
                </w:p>
              </w:tc>
            </w:tr>
            <w:tr w14:paraId="213EF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58" w:type="pct"/>
                  <w:gridSpan w:val="2"/>
                  <w:vAlign w:val="center"/>
                </w:tcPr>
                <w:p w14:paraId="7AD2351F">
                  <w:pPr>
                    <w:pStyle w:val="14"/>
                    <w:rPr>
                      <w:rFonts w:cs="Times New Roman"/>
                    </w:rPr>
                  </w:pPr>
                  <w:r>
                    <w:rPr>
                      <w:rFonts w:cs="Times New Roman"/>
                    </w:rPr>
                    <w:t>仓储及其他</w:t>
                  </w:r>
                </w:p>
              </w:tc>
              <w:tc>
                <w:tcPr>
                  <w:tcW w:w="2758" w:type="pct"/>
                  <w:vAlign w:val="center"/>
                </w:tcPr>
                <w:p w14:paraId="6D4CE590">
                  <w:pPr>
                    <w:pStyle w:val="14"/>
                    <w:rPr>
                      <w:rFonts w:cs="Times New Roman"/>
                    </w:rPr>
                  </w:pPr>
                  <w:r>
                    <w:rPr>
                      <w:rFonts w:hint="eastAsia" w:cs="Times New Roman"/>
                    </w:rPr>
                    <w:t>原辅材料及成品堆放区，位于车间内。</w:t>
                  </w:r>
                </w:p>
              </w:tc>
              <w:tc>
                <w:tcPr>
                  <w:tcW w:w="470" w:type="pct"/>
                  <w:vAlign w:val="center"/>
                </w:tcPr>
                <w:p w14:paraId="3A0FB688">
                  <w:pPr>
                    <w:pStyle w:val="14"/>
                    <w:rPr>
                      <w:rFonts w:cs="Times New Roman"/>
                    </w:rPr>
                  </w:pPr>
                  <w:r>
                    <w:rPr>
                      <w:rFonts w:hint="eastAsia" w:cs="Times New Roman"/>
                    </w:rPr>
                    <w:t>/</w:t>
                  </w:r>
                </w:p>
              </w:tc>
              <w:tc>
                <w:tcPr>
                  <w:tcW w:w="465" w:type="pct"/>
                  <w:vMerge w:val="continue"/>
                  <w:vAlign w:val="center"/>
                </w:tcPr>
                <w:p w14:paraId="07DA4492">
                  <w:pPr>
                    <w:pStyle w:val="14"/>
                    <w:rPr>
                      <w:rFonts w:cs="Times New Roman"/>
                    </w:rPr>
                  </w:pPr>
                </w:p>
              </w:tc>
              <w:tc>
                <w:tcPr>
                  <w:tcW w:w="549" w:type="pct"/>
                  <w:vAlign w:val="center"/>
                </w:tcPr>
                <w:p w14:paraId="5B853B40">
                  <w:pPr>
                    <w:pStyle w:val="14"/>
                    <w:rPr>
                      <w:rFonts w:cs="Times New Roman"/>
                    </w:rPr>
                  </w:pPr>
                  <w:r>
                    <w:rPr>
                      <w:rFonts w:cs="Times New Roman"/>
                    </w:rPr>
                    <w:t>噪声</w:t>
                  </w:r>
                </w:p>
              </w:tc>
            </w:tr>
            <w:tr w14:paraId="524E7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80" w:type="pct"/>
                  <w:vMerge w:val="restart"/>
                  <w:vAlign w:val="center"/>
                </w:tcPr>
                <w:p w14:paraId="07D0B9DF">
                  <w:pPr>
                    <w:pStyle w:val="14"/>
                    <w:rPr>
                      <w:rFonts w:cs="Times New Roman"/>
                    </w:rPr>
                  </w:pPr>
                  <w:r>
                    <w:rPr>
                      <w:rFonts w:cs="Times New Roman"/>
                    </w:rPr>
                    <w:t>环保工程</w:t>
                  </w:r>
                </w:p>
              </w:tc>
              <w:tc>
                <w:tcPr>
                  <w:tcW w:w="378" w:type="pct"/>
                  <w:vMerge w:val="restart"/>
                  <w:vAlign w:val="center"/>
                </w:tcPr>
                <w:p w14:paraId="6D775249">
                  <w:pPr>
                    <w:pStyle w:val="14"/>
                    <w:rPr>
                      <w:rFonts w:cs="Times New Roman"/>
                    </w:rPr>
                  </w:pPr>
                  <w:r>
                    <w:rPr>
                      <w:rFonts w:cs="Times New Roman"/>
                    </w:rPr>
                    <w:t>废气治理</w:t>
                  </w:r>
                </w:p>
              </w:tc>
              <w:tc>
                <w:tcPr>
                  <w:tcW w:w="2758" w:type="pct"/>
                  <w:vAlign w:val="center"/>
                </w:tcPr>
                <w:p w14:paraId="159CB627">
                  <w:pPr>
                    <w:pStyle w:val="14"/>
                    <w:rPr>
                      <w:rFonts w:cs="Times New Roman"/>
                    </w:rPr>
                  </w:pPr>
                  <w:r>
                    <w:rPr>
                      <w:rFonts w:hint="eastAsia" w:cs="Times New Roman"/>
                    </w:rPr>
                    <w:t>二车间有机</w:t>
                  </w:r>
                  <w:r>
                    <w:rPr>
                      <w:rFonts w:cs="Times New Roman"/>
                    </w:rPr>
                    <w:t>废气：</w:t>
                  </w:r>
                  <w:r>
                    <w:rPr>
                      <w:rFonts w:hint="eastAsia" w:cs="Times New Roman"/>
                    </w:rPr>
                    <w:t>贴面废气经</w:t>
                  </w:r>
                  <w:r>
                    <w:rPr>
                      <w:rFonts w:cs="Times New Roman"/>
                    </w:rPr>
                    <w:t>负压收集</w:t>
                  </w:r>
                  <w:r>
                    <w:rPr>
                      <w:rFonts w:hint="eastAsia" w:cs="Times New Roman"/>
                    </w:rPr>
                    <w:t>，收集的有机废气经1套活性炭处理设施</w:t>
                  </w:r>
                  <w:r>
                    <w:rPr>
                      <w:rFonts w:cs="Times New Roman"/>
                    </w:rPr>
                    <w:t>，</w:t>
                  </w:r>
                  <w:r>
                    <w:rPr>
                      <w:rFonts w:hint="eastAsia" w:cs="Times New Roman"/>
                    </w:rPr>
                    <w:t>处理后的废气</w:t>
                  </w:r>
                  <w:r>
                    <w:rPr>
                      <w:rFonts w:cs="Times New Roman"/>
                    </w:rPr>
                    <w:t>经</w:t>
                  </w:r>
                  <w:r>
                    <w:rPr>
                      <w:rFonts w:hint="eastAsia" w:cs="Times New Roman"/>
                    </w:rPr>
                    <w:t>1</w:t>
                  </w:r>
                  <w:r>
                    <w:rPr>
                      <w:rFonts w:cs="Times New Roman"/>
                    </w:rPr>
                    <w:t>根15m高排气筒（</w:t>
                  </w:r>
                  <w:r>
                    <w:rPr>
                      <w:rFonts w:hint="eastAsia" w:cs="Times New Roman"/>
                    </w:rPr>
                    <w:t>DA002</w:t>
                  </w:r>
                  <w:r>
                    <w:rPr>
                      <w:rFonts w:cs="Times New Roman"/>
                    </w:rPr>
                    <w:t>）排放。</w:t>
                  </w:r>
                </w:p>
              </w:tc>
              <w:tc>
                <w:tcPr>
                  <w:tcW w:w="470" w:type="pct"/>
                  <w:vAlign w:val="center"/>
                </w:tcPr>
                <w:p w14:paraId="3804C4EB">
                  <w:pPr>
                    <w:pStyle w:val="14"/>
                    <w:rPr>
                      <w:rFonts w:cs="Times New Roman"/>
                    </w:rPr>
                  </w:pPr>
                  <w:r>
                    <w:rPr>
                      <w:rFonts w:hint="eastAsia" w:cs="Times New Roman"/>
                    </w:rPr>
                    <w:t>本次新增</w:t>
                  </w:r>
                </w:p>
              </w:tc>
              <w:tc>
                <w:tcPr>
                  <w:tcW w:w="465" w:type="pct"/>
                  <w:vMerge w:val="continue"/>
                  <w:vAlign w:val="center"/>
                </w:tcPr>
                <w:p w14:paraId="2A03418A">
                  <w:pPr>
                    <w:pStyle w:val="14"/>
                    <w:rPr>
                      <w:rFonts w:cs="Times New Roman"/>
                    </w:rPr>
                  </w:pPr>
                </w:p>
              </w:tc>
              <w:tc>
                <w:tcPr>
                  <w:tcW w:w="549" w:type="pct"/>
                  <w:vAlign w:val="center"/>
                </w:tcPr>
                <w:p w14:paraId="59F620A0">
                  <w:pPr>
                    <w:pStyle w:val="14"/>
                    <w:rPr>
                      <w:rFonts w:cs="Times New Roman"/>
                    </w:rPr>
                  </w:pPr>
                  <w:r>
                    <w:rPr>
                      <w:rFonts w:cs="Times New Roman"/>
                    </w:rPr>
                    <w:t>废气、噪声、固废</w:t>
                  </w:r>
                </w:p>
              </w:tc>
            </w:tr>
            <w:tr w14:paraId="2D8F0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80" w:type="pct"/>
                  <w:vMerge w:val="continue"/>
                  <w:vAlign w:val="center"/>
                </w:tcPr>
                <w:p w14:paraId="28366BB9">
                  <w:pPr>
                    <w:pStyle w:val="14"/>
                    <w:rPr>
                      <w:rFonts w:cs="Times New Roman"/>
                    </w:rPr>
                  </w:pPr>
                </w:p>
              </w:tc>
              <w:tc>
                <w:tcPr>
                  <w:tcW w:w="378" w:type="pct"/>
                  <w:vMerge w:val="continue"/>
                  <w:vAlign w:val="center"/>
                </w:tcPr>
                <w:p w14:paraId="4ACF50B4">
                  <w:pPr>
                    <w:pStyle w:val="14"/>
                    <w:rPr>
                      <w:rFonts w:cs="Times New Roman"/>
                    </w:rPr>
                  </w:pPr>
                </w:p>
              </w:tc>
              <w:tc>
                <w:tcPr>
                  <w:tcW w:w="2758" w:type="pct"/>
                  <w:vAlign w:val="center"/>
                </w:tcPr>
                <w:p w14:paraId="0E57E196">
                  <w:pPr>
                    <w:pStyle w:val="14"/>
                    <w:rPr>
                      <w:rFonts w:cs="Times New Roman"/>
                    </w:rPr>
                  </w:pPr>
                  <w:r>
                    <w:rPr>
                      <w:rFonts w:hint="eastAsia" w:cs="Times New Roman"/>
                    </w:rPr>
                    <w:t>二车间天然气燃烧废气：废气经一根</w:t>
                  </w:r>
                  <w:r>
                    <w:rPr>
                      <w:rFonts w:cs="Times New Roman"/>
                    </w:rPr>
                    <w:t>1</w:t>
                  </w:r>
                  <w:r>
                    <w:rPr>
                      <w:rFonts w:hint="eastAsia" w:cs="Times New Roman"/>
                    </w:rPr>
                    <w:t>2</w:t>
                  </w:r>
                  <w:r>
                    <w:rPr>
                      <w:rFonts w:cs="Times New Roman"/>
                    </w:rPr>
                    <w:t>m高排气筒（</w:t>
                  </w:r>
                  <w:r>
                    <w:rPr>
                      <w:rFonts w:hint="eastAsia" w:cs="Times New Roman"/>
                    </w:rPr>
                    <w:t>DA003</w:t>
                  </w:r>
                  <w:r>
                    <w:rPr>
                      <w:rFonts w:cs="Times New Roman"/>
                    </w:rPr>
                    <w:t>）排放。</w:t>
                  </w:r>
                </w:p>
              </w:tc>
              <w:tc>
                <w:tcPr>
                  <w:tcW w:w="470" w:type="pct"/>
                  <w:vAlign w:val="center"/>
                </w:tcPr>
                <w:p w14:paraId="5C75E2F3">
                  <w:pPr>
                    <w:pStyle w:val="14"/>
                    <w:rPr>
                      <w:rFonts w:cs="Times New Roman"/>
                    </w:rPr>
                  </w:pPr>
                  <w:r>
                    <w:rPr>
                      <w:rFonts w:hint="eastAsia" w:cs="Times New Roman"/>
                    </w:rPr>
                    <w:t>本次新增</w:t>
                  </w:r>
                </w:p>
              </w:tc>
              <w:tc>
                <w:tcPr>
                  <w:tcW w:w="465" w:type="pct"/>
                  <w:vMerge w:val="continue"/>
                  <w:vAlign w:val="center"/>
                </w:tcPr>
                <w:p w14:paraId="31906B9B">
                  <w:pPr>
                    <w:pStyle w:val="14"/>
                    <w:rPr>
                      <w:rFonts w:cs="Times New Roman"/>
                    </w:rPr>
                  </w:pPr>
                </w:p>
              </w:tc>
              <w:tc>
                <w:tcPr>
                  <w:tcW w:w="549" w:type="pct"/>
                  <w:vAlign w:val="center"/>
                </w:tcPr>
                <w:p w14:paraId="0C7CDF4C">
                  <w:pPr>
                    <w:pStyle w:val="14"/>
                    <w:rPr>
                      <w:rFonts w:cs="Times New Roman"/>
                    </w:rPr>
                  </w:pPr>
                  <w:r>
                    <w:rPr>
                      <w:rFonts w:cs="Times New Roman"/>
                    </w:rPr>
                    <w:t>废气</w:t>
                  </w:r>
                </w:p>
              </w:tc>
            </w:tr>
            <w:tr w14:paraId="266C7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04" w:hRule="atLeast"/>
                <w:jc w:val="center"/>
              </w:trPr>
              <w:tc>
                <w:tcPr>
                  <w:tcW w:w="380" w:type="pct"/>
                  <w:vMerge w:val="continue"/>
                  <w:vAlign w:val="center"/>
                </w:tcPr>
                <w:p w14:paraId="63E8E6AF">
                  <w:pPr>
                    <w:pStyle w:val="14"/>
                    <w:rPr>
                      <w:rFonts w:cs="Times New Roman"/>
                    </w:rPr>
                  </w:pPr>
                </w:p>
              </w:tc>
              <w:tc>
                <w:tcPr>
                  <w:tcW w:w="378" w:type="pct"/>
                  <w:vAlign w:val="center"/>
                </w:tcPr>
                <w:p w14:paraId="78E6A59B">
                  <w:pPr>
                    <w:pStyle w:val="14"/>
                    <w:rPr>
                      <w:rFonts w:cs="Times New Roman"/>
                    </w:rPr>
                  </w:pPr>
                  <w:r>
                    <w:rPr>
                      <w:rFonts w:cs="Times New Roman"/>
                    </w:rPr>
                    <w:t>废水治理</w:t>
                  </w:r>
                </w:p>
              </w:tc>
              <w:tc>
                <w:tcPr>
                  <w:tcW w:w="2758" w:type="pct"/>
                  <w:vAlign w:val="center"/>
                </w:tcPr>
                <w:p w14:paraId="436C29F0">
                  <w:pPr>
                    <w:pStyle w:val="14"/>
                    <w:rPr>
                      <w:rFonts w:cs="Times New Roman"/>
                    </w:rPr>
                  </w:pPr>
                  <w:r>
                    <w:rPr>
                      <w:rFonts w:cs="Times New Roman"/>
                    </w:rPr>
                    <w:t>生活污水</w:t>
                  </w:r>
                  <w:r>
                    <w:rPr>
                      <w:rFonts w:hint="eastAsia" w:cs="Times New Roman"/>
                    </w:rPr>
                    <w:t>经厂区管网排入预处理池处理（容积10</w:t>
                  </w:r>
                  <w:r>
                    <w:rPr>
                      <w:rFonts w:cs="Times New Roman"/>
                    </w:rPr>
                    <w:t>m</w:t>
                  </w:r>
                  <w:r>
                    <w:rPr>
                      <w:rFonts w:cs="Times New Roman"/>
                      <w:vertAlign w:val="superscript"/>
                    </w:rPr>
                    <w:t>3</w:t>
                  </w:r>
                  <w:r>
                    <w:rPr>
                      <w:rFonts w:hint="eastAsia" w:cs="Times New Roman"/>
                    </w:rPr>
                    <w:t>），</w:t>
                  </w:r>
                  <w:bookmarkStart w:id="44" w:name="OLE_LINK257"/>
                  <w:bookmarkStart w:id="45" w:name="OLE_LINK256"/>
                  <w:r>
                    <w:rPr>
                      <w:rFonts w:hint="eastAsia" w:cs="Times New Roman"/>
                    </w:rPr>
                    <w:t>后</w:t>
                  </w:r>
                  <w:r>
                    <w:rPr>
                      <w:rFonts w:cs="Times New Roman"/>
                    </w:rPr>
                    <w:t>排入园区污水管网，进入巴中经开区污水处理厂处理，达标后排入巴河。</w:t>
                  </w:r>
                  <w:bookmarkEnd w:id="44"/>
                  <w:bookmarkEnd w:id="45"/>
                </w:p>
              </w:tc>
              <w:tc>
                <w:tcPr>
                  <w:tcW w:w="470" w:type="pct"/>
                  <w:vAlign w:val="center"/>
                </w:tcPr>
                <w:p w14:paraId="2791B521">
                  <w:pPr>
                    <w:pStyle w:val="14"/>
                    <w:rPr>
                      <w:rFonts w:cs="Times New Roman"/>
                    </w:rPr>
                  </w:pPr>
                  <w:r>
                    <w:rPr>
                      <w:rFonts w:hint="eastAsia" w:cs="Times New Roman"/>
                    </w:rPr>
                    <w:t>不新增员工</w:t>
                  </w:r>
                </w:p>
              </w:tc>
              <w:tc>
                <w:tcPr>
                  <w:tcW w:w="465" w:type="pct"/>
                  <w:vMerge w:val="continue"/>
                  <w:vAlign w:val="center"/>
                </w:tcPr>
                <w:p w14:paraId="1BDE7DC5">
                  <w:pPr>
                    <w:pStyle w:val="14"/>
                    <w:rPr>
                      <w:rFonts w:cs="Times New Roman"/>
                    </w:rPr>
                  </w:pPr>
                </w:p>
              </w:tc>
              <w:tc>
                <w:tcPr>
                  <w:tcW w:w="549" w:type="pct"/>
                  <w:vAlign w:val="center"/>
                </w:tcPr>
                <w:p w14:paraId="418BACAF">
                  <w:pPr>
                    <w:pStyle w:val="14"/>
                    <w:rPr>
                      <w:rFonts w:cs="Times New Roman"/>
                    </w:rPr>
                  </w:pPr>
                  <w:r>
                    <w:rPr>
                      <w:rFonts w:cs="Times New Roman"/>
                    </w:rPr>
                    <w:t>生活污水</w:t>
                  </w:r>
                </w:p>
              </w:tc>
            </w:tr>
            <w:tr w14:paraId="25EF6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80" w:type="pct"/>
                  <w:vMerge w:val="continue"/>
                  <w:vAlign w:val="center"/>
                </w:tcPr>
                <w:p w14:paraId="2B5CA2FC">
                  <w:pPr>
                    <w:pStyle w:val="14"/>
                    <w:rPr>
                      <w:rFonts w:cs="Times New Roman"/>
                    </w:rPr>
                  </w:pPr>
                </w:p>
              </w:tc>
              <w:tc>
                <w:tcPr>
                  <w:tcW w:w="378" w:type="pct"/>
                  <w:vAlign w:val="center"/>
                </w:tcPr>
                <w:p w14:paraId="1BE57A9C">
                  <w:pPr>
                    <w:pStyle w:val="14"/>
                    <w:rPr>
                      <w:rFonts w:cs="Times New Roman"/>
                    </w:rPr>
                  </w:pPr>
                  <w:r>
                    <w:rPr>
                      <w:rFonts w:cs="Times New Roman"/>
                    </w:rPr>
                    <w:t>噪声治理</w:t>
                  </w:r>
                </w:p>
              </w:tc>
              <w:tc>
                <w:tcPr>
                  <w:tcW w:w="2758" w:type="pct"/>
                  <w:vAlign w:val="center"/>
                </w:tcPr>
                <w:p w14:paraId="4D9D7D13">
                  <w:pPr>
                    <w:pStyle w:val="14"/>
                    <w:rPr>
                      <w:rFonts w:cs="Times New Roman"/>
                    </w:rPr>
                  </w:pPr>
                  <w:r>
                    <w:rPr>
                      <w:rFonts w:hint="eastAsia" w:cs="Times New Roman"/>
                    </w:rPr>
                    <w:t>二车间</w:t>
                  </w:r>
                  <w:r>
                    <w:rPr>
                      <w:rFonts w:cs="Times New Roman"/>
                    </w:rPr>
                    <w:t>生产设备均置于厂房</w:t>
                  </w:r>
                  <w:r>
                    <w:rPr>
                      <w:rFonts w:hint="eastAsia" w:cs="Times New Roman"/>
                    </w:rPr>
                    <w:t>车间</w:t>
                  </w:r>
                  <w:r>
                    <w:rPr>
                      <w:rFonts w:cs="Times New Roman"/>
                    </w:rPr>
                    <w:t>内、选用低噪声设备、风机进出风口加装消声器、厂房隔声、设备基础减震等。</w:t>
                  </w:r>
                </w:p>
              </w:tc>
              <w:tc>
                <w:tcPr>
                  <w:tcW w:w="470" w:type="pct"/>
                  <w:vAlign w:val="center"/>
                </w:tcPr>
                <w:p w14:paraId="2DD429E7">
                  <w:pPr>
                    <w:pStyle w:val="14"/>
                    <w:rPr>
                      <w:rFonts w:cs="Times New Roman"/>
                    </w:rPr>
                  </w:pPr>
                  <w:r>
                    <w:rPr>
                      <w:rFonts w:hint="eastAsia" w:cs="Times New Roman"/>
                    </w:rPr>
                    <w:t>本次新增</w:t>
                  </w:r>
                </w:p>
              </w:tc>
              <w:tc>
                <w:tcPr>
                  <w:tcW w:w="465" w:type="pct"/>
                  <w:vMerge w:val="continue"/>
                  <w:vAlign w:val="center"/>
                </w:tcPr>
                <w:p w14:paraId="3F586141">
                  <w:pPr>
                    <w:pStyle w:val="14"/>
                    <w:rPr>
                      <w:rFonts w:cs="Times New Roman"/>
                    </w:rPr>
                  </w:pPr>
                </w:p>
              </w:tc>
              <w:tc>
                <w:tcPr>
                  <w:tcW w:w="549" w:type="pct"/>
                  <w:vAlign w:val="center"/>
                </w:tcPr>
                <w:p w14:paraId="3C97C864">
                  <w:pPr>
                    <w:pStyle w:val="14"/>
                    <w:rPr>
                      <w:rFonts w:cs="Times New Roman"/>
                    </w:rPr>
                  </w:pPr>
                  <w:r>
                    <w:rPr>
                      <w:rFonts w:cs="Times New Roman"/>
                    </w:rPr>
                    <w:t>噪声</w:t>
                  </w:r>
                </w:p>
              </w:tc>
            </w:tr>
            <w:tr w14:paraId="41519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80" w:type="pct"/>
                  <w:vMerge w:val="continue"/>
                  <w:vAlign w:val="center"/>
                </w:tcPr>
                <w:p w14:paraId="6D27678E">
                  <w:pPr>
                    <w:pStyle w:val="14"/>
                    <w:rPr>
                      <w:rFonts w:cs="Times New Roman"/>
                    </w:rPr>
                  </w:pPr>
                </w:p>
              </w:tc>
              <w:tc>
                <w:tcPr>
                  <w:tcW w:w="378" w:type="pct"/>
                  <w:vAlign w:val="center"/>
                </w:tcPr>
                <w:p w14:paraId="1BBC9139">
                  <w:pPr>
                    <w:pStyle w:val="14"/>
                    <w:rPr>
                      <w:rFonts w:cs="Times New Roman"/>
                    </w:rPr>
                  </w:pPr>
                  <w:r>
                    <w:rPr>
                      <w:rFonts w:cs="Times New Roman"/>
                    </w:rPr>
                    <w:t>固废处置</w:t>
                  </w:r>
                </w:p>
              </w:tc>
              <w:tc>
                <w:tcPr>
                  <w:tcW w:w="2758" w:type="pct"/>
                  <w:vAlign w:val="center"/>
                </w:tcPr>
                <w:p w14:paraId="2C1BFB12">
                  <w:pPr>
                    <w:pStyle w:val="14"/>
                    <w:rPr>
                      <w:rFonts w:cs="Times New Roman"/>
                    </w:rPr>
                  </w:pPr>
                  <w:r>
                    <w:rPr>
                      <w:rFonts w:cs="Times New Roman"/>
                    </w:rPr>
                    <w:t>危险废物：</w:t>
                  </w:r>
                  <w:r>
                    <w:rPr>
                      <w:rFonts w:hint="eastAsia" w:cs="Times New Roman"/>
                    </w:rPr>
                    <w:t>新建一处危废暂存间位于二车间内，</w:t>
                  </w:r>
                  <w:r>
                    <w:rPr>
                      <w:rFonts w:cs="Times New Roman"/>
                    </w:rPr>
                    <w:t>建筑面积约</w:t>
                  </w:r>
                  <w:r>
                    <w:rPr>
                      <w:rFonts w:hint="eastAsia" w:cs="Times New Roman"/>
                    </w:rPr>
                    <w:t>5</w:t>
                  </w:r>
                  <w:r>
                    <w:rPr>
                      <w:rFonts w:cs="Times New Roman"/>
                    </w:rPr>
                    <w:t>m</w:t>
                  </w:r>
                  <w:r>
                    <w:rPr>
                      <w:rFonts w:cs="Times New Roman"/>
                      <w:vertAlign w:val="superscript"/>
                    </w:rPr>
                    <w:t>2</w:t>
                  </w:r>
                  <w:r>
                    <w:rPr>
                      <w:rFonts w:cs="Times New Roman"/>
                    </w:rPr>
                    <w:t>。危险废物分类收集暂存，并委托资质单位清运处置。</w:t>
                  </w:r>
                </w:p>
              </w:tc>
              <w:tc>
                <w:tcPr>
                  <w:tcW w:w="470" w:type="pct"/>
                  <w:vAlign w:val="center"/>
                </w:tcPr>
                <w:p w14:paraId="487BA054">
                  <w:pPr>
                    <w:pStyle w:val="14"/>
                    <w:rPr>
                      <w:rFonts w:cs="Times New Roman"/>
                    </w:rPr>
                  </w:pPr>
                  <w:r>
                    <w:rPr>
                      <w:rFonts w:hint="eastAsia" w:cs="Times New Roman"/>
                    </w:rPr>
                    <w:t>本次新增</w:t>
                  </w:r>
                </w:p>
              </w:tc>
              <w:tc>
                <w:tcPr>
                  <w:tcW w:w="465" w:type="pct"/>
                  <w:vMerge w:val="continue"/>
                  <w:vAlign w:val="center"/>
                </w:tcPr>
                <w:p w14:paraId="49C29899">
                  <w:pPr>
                    <w:pStyle w:val="14"/>
                    <w:rPr>
                      <w:rFonts w:cs="Times New Roman"/>
                    </w:rPr>
                  </w:pPr>
                </w:p>
              </w:tc>
              <w:tc>
                <w:tcPr>
                  <w:tcW w:w="549" w:type="pct"/>
                  <w:vAlign w:val="center"/>
                </w:tcPr>
                <w:p w14:paraId="4964F681">
                  <w:pPr>
                    <w:pStyle w:val="14"/>
                    <w:rPr>
                      <w:rFonts w:cs="Times New Roman"/>
                    </w:rPr>
                  </w:pPr>
                  <w:r>
                    <w:rPr>
                      <w:rFonts w:cs="Times New Roman"/>
                    </w:rPr>
                    <w:t>固废</w:t>
                  </w:r>
                </w:p>
              </w:tc>
            </w:tr>
            <w:bookmarkEnd w:id="41"/>
          </w:tbl>
          <w:p w14:paraId="718C9BAE">
            <w:pPr>
              <w:pStyle w:val="3"/>
              <w:spacing w:before="163"/>
            </w:pPr>
            <w:r>
              <w:t>4、产品方案</w:t>
            </w:r>
          </w:p>
          <w:p w14:paraId="3A3D5095">
            <w:pPr>
              <w:ind w:firstLine="480"/>
              <w:rPr>
                <w:rFonts w:cs="Times New Roman"/>
              </w:rPr>
            </w:pPr>
            <w:r>
              <w:rPr>
                <w:rFonts w:cs="Times New Roman"/>
              </w:rPr>
              <w:t>本项目</w:t>
            </w:r>
            <w:r>
              <w:rPr>
                <w:rFonts w:hint="eastAsia" w:cs="Times New Roman"/>
              </w:rPr>
              <w:t>此次扩建</w:t>
            </w:r>
            <w:r>
              <w:rPr>
                <w:rFonts w:cs="Times New Roman"/>
              </w:rPr>
              <w:t>营运期产品为</w:t>
            </w:r>
            <w:r>
              <w:rPr>
                <w:rFonts w:hint="eastAsia" w:cs="Times New Roman"/>
              </w:rPr>
              <w:t>贴面</w:t>
            </w:r>
            <w:r>
              <w:rPr>
                <w:rFonts w:hint="eastAsia"/>
                <w:bCs/>
                <w:snapToGrid w:val="0"/>
                <w:kern w:val="0"/>
                <w:szCs w:val="21"/>
              </w:rPr>
              <w:t>胶合板、多层实木板、单板。</w:t>
            </w:r>
            <w:r>
              <w:rPr>
                <w:rFonts w:cs="Times New Roman"/>
              </w:rPr>
              <w:t>产品方案如下：</w:t>
            </w:r>
          </w:p>
          <w:p w14:paraId="5D492D08">
            <w:pPr>
              <w:pStyle w:val="13"/>
              <w:keepNext/>
              <w:rPr>
                <w:rFonts w:cs="Times New Roman"/>
              </w:rPr>
            </w:pPr>
            <w:r>
              <w:rPr>
                <w:rFonts w:cs="Times New Roman"/>
              </w:rPr>
              <w:t xml:space="preserve">表 </w:t>
            </w:r>
            <w:r>
              <w:rPr>
                <w:rFonts w:cs="Times New Roman"/>
              </w:rPr>
              <w:fldChar w:fldCharType="begin"/>
            </w:r>
            <w:r>
              <w:rPr>
                <w:rFonts w:cs="Times New Roman"/>
              </w:rPr>
              <w:instrText xml:space="preserve"> SEQ seq \c </w:instrText>
            </w:r>
            <w:r>
              <w:rPr>
                <w:rFonts w:cs="Times New Roman"/>
              </w:rPr>
              <w:fldChar w:fldCharType="separate"/>
            </w:r>
            <w:r>
              <w:rPr>
                <w:rFonts w:cs="Times New Roman"/>
              </w:rPr>
              <w:t>2</w:t>
            </w:r>
            <w:r>
              <w:rPr>
                <w:rFonts w:cs="Times New Roman"/>
              </w:rPr>
              <w:fldChar w:fldCharType="end"/>
            </w:r>
            <w:r>
              <w:rPr>
                <w:rFonts w:cs="Times New Roman"/>
              </w:rPr>
              <w:noBreakHyphen/>
            </w:r>
            <w:r>
              <w:rPr>
                <w:rFonts w:hint="eastAsia" w:cs="Times New Roman"/>
              </w:rPr>
              <w:t>2  本</w:t>
            </w:r>
            <w:r>
              <w:rPr>
                <w:bCs/>
                <w:szCs w:val="21"/>
              </w:rPr>
              <w:t>项目产品方案及生产规模</w:t>
            </w:r>
          </w:p>
          <w:tbl>
            <w:tblPr>
              <w:tblStyle w:val="33"/>
              <w:tblW w:w="4927"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31"/>
              <w:gridCol w:w="1376"/>
              <w:gridCol w:w="1035"/>
              <w:gridCol w:w="1947"/>
              <w:gridCol w:w="887"/>
              <w:gridCol w:w="2908"/>
            </w:tblGrid>
            <w:tr w14:paraId="0B3B222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59" w:type="pct"/>
                </w:tcPr>
                <w:p w14:paraId="5B5181FE">
                  <w:pPr>
                    <w:widowControl/>
                    <w:adjustRightInd w:val="0"/>
                    <w:snapToGrid w:val="0"/>
                    <w:ind w:firstLine="0" w:firstLineChars="0"/>
                    <w:jc w:val="center"/>
                    <w:rPr>
                      <w:bCs/>
                      <w:snapToGrid w:val="0"/>
                      <w:kern w:val="0"/>
                      <w:sz w:val="21"/>
                      <w:szCs w:val="21"/>
                    </w:rPr>
                  </w:pPr>
                  <w:r>
                    <w:rPr>
                      <w:bCs/>
                      <w:snapToGrid w:val="0"/>
                      <w:kern w:val="0"/>
                      <w:sz w:val="21"/>
                      <w:szCs w:val="21"/>
                    </w:rPr>
                    <w:t>序号</w:t>
                  </w:r>
                </w:p>
              </w:tc>
              <w:tc>
                <w:tcPr>
                  <w:tcW w:w="783" w:type="pct"/>
                </w:tcPr>
                <w:p w14:paraId="60F4D14D">
                  <w:pPr>
                    <w:widowControl/>
                    <w:adjustRightInd w:val="0"/>
                    <w:snapToGrid w:val="0"/>
                    <w:ind w:firstLine="0" w:firstLineChars="0"/>
                    <w:jc w:val="center"/>
                    <w:rPr>
                      <w:bCs/>
                      <w:snapToGrid w:val="0"/>
                      <w:kern w:val="0"/>
                      <w:sz w:val="21"/>
                      <w:szCs w:val="21"/>
                    </w:rPr>
                  </w:pPr>
                  <w:r>
                    <w:rPr>
                      <w:bCs/>
                      <w:snapToGrid w:val="0"/>
                      <w:kern w:val="0"/>
                      <w:sz w:val="21"/>
                      <w:szCs w:val="21"/>
                    </w:rPr>
                    <w:t>产品名称</w:t>
                  </w:r>
                </w:p>
              </w:tc>
              <w:tc>
                <w:tcPr>
                  <w:tcW w:w="589" w:type="pct"/>
                </w:tcPr>
                <w:p w14:paraId="2B0E639F">
                  <w:pPr>
                    <w:widowControl/>
                    <w:adjustRightInd w:val="0"/>
                    <w:snapToGrid w:val="0"/>
                    <w:ind w:firstLine="0" w:firstLineChars="0"/>
                    <w:jc w:val="center"/>
                    <w:rPr>
                      <w:bCs/>
                      <w:snapToGrid w:val="0"/>
                      <w:kern w:val="0"/>
                      <w:sz w:val="21"/>
                      <w:szCs w:val="21"/>
                    </w:rPr>
                  </w:pPr>
                  <w:r>
                    <w:rPr>
                      <w:bCs/>
                      <w:snapToGrid w:val="0"/>
                      <w:kern w:val="0"/>
                      <w:sz w:val="21"/>
                      <w:szCs w:val="21"/>
                    </w:rPr>
                    <w:t>产量</w:t>
                  </w:r>
                </w:p>
              </w:tc>
              <w:tc>
                <w:tcPr>
                  <w:tcW w:w="1108" w:type="pct"/>
                </w:tcPr>
                <w:p w14:paraId="62108CC6">
                  <w:pPr>
                    <w:widowControl/>
                    <w:adjustRightInd w:val="0"/>
                    <w:snapToGrid w:val="0"/>
                    <w:ind w:firstLine="0" w:firstLineChars="0"/>
                    <w:jc w:val="center"/>
                    <w:rPr>
                      <w:bCs/>
                      <w:snapToGrid w:val="0"/>
                      <w:kern w:val="0"/>
                      <w:sz w:val="21"/>
                      <w:szCs w:val="21"/>
                    </w:rPr>
                  </w:pPr>
                  <w:r>
                    <w:rPr>
                      <w:bCs/>
                      <w:snapToGrid w:val="0"/>
                      <w:kern w:val="0"/>
                      <w:sz w:val="21"/>
                      <w:szCs w:val="21"/>
                    </w:rPr>
                    <w:t>规格型号</w:t>
                  </w:r>
                  <w:r>
                    <w:rPr>
                      <w:rFonts w:hint="eastAsia"/>
                      <w:bCs/>
                      <w:snapToGrid w:val="0"/>
                      <w:kern w:val="0"/>
                      <w:sz w:val="21"/>
                      <w:szCs w:val="21"/>
                    </w:rPr>
                    <w:t>（mm）</w:t>
                  </w:r>
                </w:p>
              </w:tc>
              <w:tc>
                <w:tcPr>
                  <w:tcW w:w="505" w:type="pct"/>
                </w:tcPr>
                <w:p w14:paraId="2FF562BE">
                  <w:pPr>
                    <w:widowControl/>
                    <w:adjustRightInd w:val="0"/>
                    <w:snapToGrid w:val="0"/>
                    <w:ind w:firstLine="0" w:firstLineChars="0"/>
                    <w:jc w:val="center"/>
                    <w:rPr>
                      <w:bCs/>
                      <w:snapToGrid w:val="0"/>
                      <w:kern w:val="0"/>
                      <w:sz w:val="21"/>
                      <w:szCs w:val="21"/>
                    </w:rPr>
                  </w:pPr>
                  <w:r>
                    <w:rPr>
                      <w:bCs/>
                      <w:snapToGrid w:val="0"/>
                      <w:kern w:val="0"/>
                      <w:sz w:val="21"/>
                      <w:szCs w:val="21"/>
                    </w:rPr>
                    <w:t>单位</w:t>
                  </w:r>
                </w:p>
              </w:tc>
              <w:tc>
                <w:tcPr>
                  <w:tcW w:w="1654" w:type="pct"/>
                </w:tcPr>
                <w:p w14:paraId="73D9F28E">
                  <w:pPr>
                    <w:widowControl/>
                    <w:adjustRightInd w:val="0"/>
                    <w:snapToGrid w:val="0"/>
                    <w:ind w:firstLine="0" w:firstLineChars="0"/>
                    <w:jc w:val="center"/>
                    <w:rPr>
                      <w:bCs/>
                      <w:snapToGrid w:val="0"/>
                      <w:kern w:val="0"/>
                      <w:sz w:val="21"/>
                      <w:szCs w:val="21"/>
                    </w:rPr>
                  </w:pPr>
                  <w:r>
                    <w:rPr>
                      <w:rFonts w:hint="eastAsia"/>
                      <w:bCs/>
                      <w:snapToGrid w:val="0"/>
                      <w:kern w:val="0"/>
                      <w:sz w:val="21"/>
                      <w:szCs w:val="21"/>
                    </w:rPr>
                    <w:t>图片</w:t>
                  </w:r>
                </w:p>
              </w:tc>
            </w:tr>
            <w:tr w14:paraId="765A552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59" w:type="pct"/>
                </w:tcPr>
                <w:p w14:paraId="76991F3B">
                  <w:pPr>
                    <w:widowControl/>
                    <w:adjustRightInd w:val="0"/>
                    <w:snapToGrid w:val="0"/>
                    <w:ind w:firstLine="0" w:firstLineChars="0"/>
                    <w:jc w:val="center"/>
                    <w:rPr>
                      <w:bCs/>
                      <w:snapToGrid w:val="0"/>
                      <w:kern w:val="0"/>
                      <w:sz w:val="21"/>
                      <w:szCs w:val="21"/>
                    </w:rPr>
                  </w:pPr>
                  <w:r>
                    <w:rPr>
                      <w:bCs/>
                      <w:snapToGrid w:val="0"/>
                      <w:kern w:val="0"/>
                      <w:sz w:val="21"/>
                      <w:szCs w:val="21"/>
                    </w:rPr>
                    <w:t>1</w:t>
                  </w:r>
                </w:p>
              </w:tc>
              <w:tc>
                <w:tcPr>
                  <w:tcW w:w="783" w:type="pct"/>
                </w:tcPr>
                <w:p w14:paraId="6B501311">
                  <w:pPr>
                    <w:widowControl/>
                    <w:adjustRightInd w:val="0"/>
                    <w:snapToGrid w:val="0"/>
                    <w:ind w:firstLine="0" w:firstLineChars="0"/>
                    <w:jc w:val="center"/>
                    <w:rPr>
                      <w:bCs/>
                      <w:snapToGrid w:val="0"/>
                      <w:kern w:val="0"/>
                      <w:sz w:val="21"/>
                      <w:szCs w:val="21"/>
                    </w:rPr>
                  </w:pPr>
                  <w:r>
                    <w:rPr>
                      <w:sz w:val="21"/>
                      <w:szCs w:val="21"/>
                    </w:rPr>
                    <w:t>胶合</w:t>
                  </w:r>
                  <w:r>
                    <w:rPr>
                      <w:rFonts w:hint="eastAsia"/>
                      <w:bCs/>
                      <w:snapToGrid w:val="0"/>
                      <w:kern w:val="0"/>
                      <w:sz w:val="21"/>
                      <w:szCs w:val="21"/>
                    </w:rPr>
                    <w:t>板</w:t>
                  </w:r>
                </w:p>
              </w:tc>
              <w:tc>
                <w:tcPr>
                  <w:tcW w:w="589" w:type="pct"/>
                </w:tcPr>
                <w:p w14:paraId="79F85E18">
                  <w:pPr>
                    <w:widowControl/>
                    <w:adjustRightInd w:val="0"/>
                    <w:snapToGrid w:val="0"/>
                    <w:ind w:firstLine="0" w:firstLineChars="0"/>
                    <w:jc w:val="center"/>
                    <w:rPr>
                      <w:bCs/>
                      <w:snapToGrid w:val="0"/>
                      <w:kern w:val="0"/>
                      <w:sz w:val="21"/>
                      <w:szCs w:val="21"/>
                    </w:rPr>
                  </w:pPr>
                  <w:r>
                    <w:rPr>
                      <w:rFonts w:hint="eastAsia"/>
                      <w:bCs/>
                      <w:snapToGrid w:val="0"/>
                      <w:kern w:val="0"/>
                      <w:sz w:val="21"/>
                      <w:szCs w:val="21"/>
                    </w:rPr>
                    <w:t>3000</w:t>
                  </w:r>
                </w:p>
              </w:tc>
              <w:tc>
                <w:tcPr>
                  <w:tcW w:w="1108" w:type="pct"/>
                </w:tcPr>
                <w:p w14:paraId="483EC6B7">
                  <w:pPr>
                    <w:widowControl/>
                    <w:adjustRightInd w:val="0"/>
                    <w:snapToGrid w:val="0"/>
                    <w:ind w:firstLine="0" w:firstLineChars="0"/>
                    <w:jc w:val="center"/>
                    <w:rPr>
                      <w:bCs/>
                      <w:snapToGrid w:val="0"/>
                      <w:kern w:val="0"/>
                      <w:sz w:val="21"/>
                      <w:szCs w:val="21"/>
                    </w:rPr>
                  </w:pPr>
                  <w:r>
                    <w:rPr>
                      <w:rFonts w:hint="eastAsia"/>
                      <w:bCs/>
                      <w:snapToGrid w:val="0"/>
                      <w:kern w:val="0"/>
                      <w:sz w:val="21"/>
                      <w:szCs w:val="21"/>
                    </w:rPr>
                    <w:t>1220x2440×2</w:t>
                  </w:r>
                </w:p>
              </w:tc>
              <w:tc>
                <w:tcPr>
                  <w:tcW w:w="505" w:type="pct"/>
                </w:tcPr>
                <w:p w14:paraId="2B5A2808">
                  <w:pPr>
                    <w:widowControl/>
                    <w:adjustRightInd w:val="0"/>
                    <w:snapToGrid w:val="0"/>
                    <w:ind w:firstLine="0" w:firstLineChars="0"/>
                    <w:jc w:val="center"/>
                    <w:rPr>
                      <w:bCs/>
                      <w:snapToGrid w:val="0"/>
                      <w:kern w:val="0"/>
                      <w:sz w:val="21"/>
                      <w:szCs w:val="21"/>
                    </w:rPr>
                  </w:pPr>
                  <w:r>
                    <w:rPr>
                      <w:rFonts w:hint="eastAsia"/>
                      <w:bCs/>
                      <w:snapToGrid w:val="0"/>
                      <w:kern w:val="0"/>
                      <w:sz w:val="21"/>
                      <w:szCs w:val="21"/>
                    </w:rPr>
                    <w:t>张</w:t>
                  </w:r>
                </w:p>
              </w:tc>
              <w:tc>
                <w:tcPr>
                  <w:tcW w:w="1654" w:type="pct"/>
                </w:tcPr>
                <w:p w14:paraId="3CBE94AC">
                  <w:pPr>
                    <w:widowControl/>
                    <w:adjustRightInd w:val="0"/>
                    <w:snapToGrid w:val="0"/>
                    <w:ind w:firstLine="0" w:firstLineChars="0"/>
                    <w:jc w:val="center"/>
                    <w:rPr>
                      <w:bCs/>
                      <w:snapToGrid w:val="0"/>
                      <w:kern w:val="0"/>
                      <w:sz w:val="21"/>
                      <w:szCs w:val="21"/>
                    </w:rPr>
                  </w:pPr>
                  <w:r>
                    <w:rPr>
                      <w:bCs/>
                      <w:snapToGrid w:val="0"/>
                      <w:kern w:val="0"/>
                      <w:sz w:val="21"/>
                      <w:szCs w:val="21"/>
                    </w:rPr>
                    <w:drawing>
                      <wp:inline distT="0" distB="0" distL="0" distR="0">
                        <wp:extent cx="1604010" cy="1344295"/>
                        <wp:effectExtent l="0" t="0" r="11430" b="12065"/>
                        <wp:docPr id="214357214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572142" name="图片 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1604010" cy="1355464"/>
                                </a:xfrm>
                                <a:prstGeom prst="rect">
                                  <a:avLst/>
                                </a:prstGeom>
                                <a:noFill/>
                                <a:ln>
                                  <a:noFill/>
                                </a:ln>
                              </pic:spPr>
                            </pic:pic>
                          </a:graphicData>
                        </a:graphic>
                      </wp:inline>
                    </w:drawing>
                  </w:r>
                </w:p>
              </w:tc>
            </w:tr>
            <w:tr w14:paraId="2642114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87" w:hRule="atLeast"/>
                <w:jc w:val="center"/>
              </w:trPr>
              <w:tc>
                <w:tcPr>
                  <w:tcW w:w="359" w:type="pct"/>
                </w:tcPr>
                <w:p w14:paraId="0282EFF4">
                  <w:pPr>
                    <w:widowControl/>
                    <w:adjustRightInd w:val="0"/>
                    <w:snapToGrid w:val="0"/>
                    <w:ind w:firstLine="0" w:firstLineChars="0"/>
                    <w:jc w:val="center"/>
                    <w:rPr>
                      <w:bCs/>
                      <w:snapToGrid w:val="0"/>
                      <w:kern w:val="0"/>
                      <w:sz w:val="21"/>
                      <w:szCs w:val="21"/>
                    </w:rPr>
                  </w:pPr>
                  <w:r>
                    <w:rPr>
                      <w:bCs/>
                      <w:snapToGrid w:val="0"/>
                      <w:kern w:val="0"/>
                      <w:sz w:val="21"/>
                      <w:szCs w:val="21"/>
                    </w:rPr>
                    <w:t>2</w:t>
                  </w:r>
                </w:p>
              </w:tc>
              <w:tc>
                <w:tcPr>
                  <w:tcW w:w="783" w:type="pct"/>
                </w:tcPr>
                <w:p w14:paraId="743C0B20">
                  <w:pPr>
                    <w:widowControl/>
                    <w:adjustRightInd w:val="0"/>
                    <w:snapToGrid w:val="0"/>
                    <w:ind w:firstLine="0" w:firstLineChars="0"/>
                    <w:jc w:val="center"/>
                    <w:rPr>
                      <w:bCs/>
                      <w:snapToGrid w:val="0"/>
                      <w:kern w:val="0"/>
                      <w:sz w:val="21"/>
                      <w:szCs w:val="21"/>
                    </w:rPr>
                  </w:pPr>
                  <w:r>
                    <w:rPr>
                      <w:rFonts w:hint="eastAsia"/>
                      <w:bCs/>
                      <w:snapToGrid w:val="0"/>
                      <w:kern w:val="0"/>
                      <w:sz w:val="21"/>
                      <w:szCs w:val="21"/>
                    </w:rPr>
                    <w:t>多层</w:t>
                  </w:r>
                  <w:r>
                    <w:rPr>
                      <w:sz w:val="21"/>
                      <w:szCs w:val="21"/>
                    </w:rPr>
                    <w:t>实木</w:t>
                  </w:r>
                  <w:r>
                    <w:rPr>
                      <w:rFonts w:hint="eastAsia"/>
                      <w:bCs/>
                      <w:snapToGrid w:val="0"/>
                      <w:kern w:val="0"/>
                      <w:sz w:val="21"/>
                      <w:szCs w:val="21"/>
                    </w:rPr>
                    <w:t>板</w:t>
                  </w:r>
                </w:p>
              </w:tc>
              <w:tc>
                <w:tcPr>
                  <w:tcW w:w="589" w:type="pct"/>
                </w:tcPr>
                <w:p w14:paraId="3E83C044">
                  <w:pPr>
                    <w:widowControl/>
                    <w:adjustRightInd w:val="0"/>
                    <w:snapToGrid w:val="0"/>
                    <w:ind w:firstLine="0" w:firstLineChars="0"/>
                    <w:jc w:val="center"/>
                    <w:rPr>
                      <w:bCs/>
                      <w:snapToGrid w:val="0"/>
                      <w:kern w:val="0"/>
                      <w:sz w:val="21"/>
                      <w:szCs w:val="21"/>
                    </w:rPr>
                  </w:pPr>
                  <w:r>
                    <w:rPr>
                      <w:rFonts w:hint="eastAsia"/>
                      <w:bCs/>
                      <w:snapToGrid w:val="0"/>
                      <w:kern w:val="0"/>
                      <w:sz w:val="21"/>
                      <w:szCs w:val="21"/>
                    </w:rPr>
                    <w:t>5000</w:t>
                  </w:r>
                </w:p>
              </w:tc>
              <w:tc>
                <w:tcPr>
                  <w:tcW w:w="1108" w:type="pct"/>
                </w:tcPr>
                <w:p w14:paraId="5F73C200">
                  <w:pPr>
                    <w:widowControl/>
                    <w:adjustRightInd w:val="0"/>
                    <w:snapToGrid w:val="0"/>
                    <w:ind w:firstLine="0" w:firstLineChars="0"/>
                    <w:jc w:val="center"/>
                    <w:rPr>
                      <w:bCs/>
                      <w:snapToGrid w:val="0"/>
                      <w:kern w:val="0"/>
                      <w:sz w:val="21"/>
                      <w:szCs w:val="21"/>
                    </w:rPr>
                  </w:pPr>
                  <w:r>
                    <w:rPr>
                      <w:rFonts w:hint="eastAsia"/>
                      <w:bCs/>
                      <w:snapToGrid w:val="0"/>
                      <w:kern w:val="0"/>
                      <w:sz w:val="21"/>
                      <w:szCs w:val="21"/>
                    </w:rPr>
                    <w:t>1220x2440×2</w:t>
                  </w:r>
                </w:p>
              </w:tc>
              <w:tc>
                <w:tcPr>
                  <w:tcW w:w="505" w:type="pct"/>
                </w:tcPr>
                <w:p w14:paraId="76E656E8">
                  <w:pPr>
                    <w:widowControl/>
                    <w:adjustRightInd w:val="0"/>
                    <w:snapToGrid w:val="0"/>
                    <w:ind w:firstLine="0" w:firstLineChars="0"/>
                    <w:jc w:val="center"/>
                    <w:rPr>
                      <w:bCs/>
                      <w:snapToGrid w:val="0"/>
                      <w:kern w:val="0"/>
                      <w:sz w:val="21"/>
                      <w:szCs w:val="21"/>
                    </w:rPr>
                  </w:pPr>
                  <w:r>
                    <w:rPr>
                      <w:rFonts w:hint="eastAsia"/>
                      <w:bCs/>
                      <w:snapToGrid w:val="0"/>
                      <w:kern w:val="0"/>
                      <w:sz w:val="21"/>
                      <w:szCs w:val="21"/>
                    </w:rPr>
                    <w:t>张</w:t>
                  </w:r>
                </w:p>
              </w:tc>
              <w:tc>
                <w:tcPr>
                  <w:tcW w:w="1654" w:type="pct"/>
                </w:tcPr>
                <w:p w14:paraId="7DA10B79">
                  <w:pPr>
                    <w:widowControl/>
                    <w:adjustRightInd w:val="0"/>
                    <w:snapToGrid w:val="0"/>
                    <w:ind w:firstLine="0" w:firstLineChars="0"/>
                    <w:jc w:val="center"/>
                    <w:rPr>
                      <w:bCs/>
                      <w:snapToGrid w:val="0"/>
                      <w:kern w:val="0"/>
                      <w:sz w:val="21"/>
                      <w:szCs w:val="21"/>
                    </w:rPr>
                  </w:pPr>
                  <w:r>
                    <w:rPr>
                      <w:bCs/>
                      <w:snapToGrid w:val="0"/>
                      <w:kern w:val="0"/>
                      <w:sz w:val="21"/>
                      <w:szCs w:val="21"/>
                    </w:rPr>
                    <w:drawing>
                      <wp:inline distT="0" distB="0" distL="0" distR="0">
                        <wp:extent cx="1430655" cy="1187450"/>
                        <wp:effectExtent l="0" t="0" r="1905" b="1270"/>
                        <wp:docPr id="78018538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185389" name="图片 3"/>
                                <pic:cNvPicPr>
                                  <a:picLocks noChangeAspect="1" noChangeArrowheads="1"/>
                                </pic:cNvPicPr>
                              </pic:nvPicPr>
                              <pic:blipFill>
                                <a:blip r:embed="rId20" cstate="print">
                                  <a:extLst>
                                    <a:ext uri="{28A0092B-C50C-407E-A947-70E740481C1C}">
                                      <a14:useLocalDpi xmlns:a14="http://schemas.microsoft.com/office/drawing/2010/main" val="0"/>
                                    </a:ext>
                                  </a:extLst>
                                </a:blip>
                                <a:srcRect t="5661" b="42086"/>
                                <a:stretch>
                                  <a:fillRect/>
                                </a:stretch>
                              </pic:blipFill>
                              <pic:spPr>
                                <a:xfrm>
                                  <a:off x="0" y="0"/>
                                  <a:ext cx="1430655" cy="1187450"/>
                                </a:xfrm>
                                <a:prstGeom prst="rect">
                                  <a:avLst/>
                                </a:prstGeom>
                                <a:noFill/>
                                <a:ln>
                                  <a:noFill/>
                                </a:ln>
                              </pic:spPr>
                            </pic:pic>
                          </a:graphicData>
                        </a:graphic>
                      </wp:inline>
                    </w:drawing>
                  </w:r>
                </w:p>
              </w:tc>
            </w:tr>
            <w:tr w14:paraId="5D32193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87" w:hRule="atLeast"/>
                <w:jc w:val="center"/>
              </w:trPr>
              <w:tc>
                <w:tcPr>
                  <w:tcW w:w="359" w:type="pct"/>
                </w:tcPr>
                <w:p w14:paraId="4F9D8F0F">
                  <w:pPr>
                    <w:widowControl/>
                    <w:adjustRightInd w:val="0"/>
                    <w:snapToGrid w:val="0"/>
                    <w:ind w:firstLine="0" w:firstLineChars="0"/>
                    <w:jc w:val="center"/>
                    <w:rPr>
                      <w:bCs/>
                      <w:snapToGrid w:val="0"/>
                      <w:kern w:val="0"/>
                      <w:sz w:val="21"/>
                      <w:szCs w:val="21"/>
                    </w:rPr>
                  </w:pPr>
                  <w:r>
                    <w:rPr>
                      <w:bCs/>
                      <w:snapToGrid w:val="0"/>
                      <w:kern w:val="0"/>
                      <w:sz w:val="21"/>
                      <w:szCs w:val="21"/>
                    </w:rPr>
                    <w:t>3</w:t>
                  </w:r>
                </w:p>
              </w:tc>
              <w:tc>
                <w:tcPr>
                  <w:tcW w:w="783" w:type="pct"/>
                </w:tcPr>
                <w:p w14:paraId="6A860A1D">
                  <w:pPr>
                    <w:widowControl/>
                    <w:adjustRightInd w:val="0"/>
                    <w:snapToGrid w:val="0"/>
                    <w:ind w:firstLine="0" w:firstLineChars="0"/>
                    <w:jc w:val="center"/>
                    <w:rPr>
                      <w:bCs/>
                      <w:snapToGrid w:val="0"/>
                      <w:kern w:val="0"/>
                      <w:sz w:val="21"/>
                      <w:szCs w:val="21"/>
                    </w:rPr>
                  </w:pPr>
                  <w:r>
                    <w:rPr>
                      <w:sz w:val="21"/>
                      <w:szCs w:val="21"/>
                    </w:rPr>
                    <w:t>单板</w:t>
                  </w:r>
                </w:p>
              </w:tc>
              <w:tc>
                <w:tcPr>
                  <w:tcW w:w="589" w:type="pct"/>
                </w:tcPr>
                <w:p w14:paraId="333EE84E">
                  <w:pPr>
                    <w:widowControl/>
                    <w:adjustRightInd w:val="0"/>
                    <w:snapToGrid w:val="0"/>
                    <w:ind w:firstLine="0" w:firstLineChars="0"/>
                    <w:jc w:val="center"/>
                    <w:rPr>
                      <w:bCs/>
                      <w:snapToGrid w:val="0"/>
                      <w:kern w:val="0"/>
                      <w:sz w:val="21"/>
                      <w:szCs w:val="21"/>
                    </w:rPr>
                  </w:pPr>
                  <w:r>
                    <w:rPr>
                      <w:rFonts w:hint="eastAsia"/>
                      <w:bCs/>
                      <w:snapToGrid w:val="0"/>
                      <w:kern w:val="0"/>
                      <w:sz w:val="21"/>
                      <w:szCs w:val="21"/>
                    </w:rPr>
                    <w:t>2000</w:t>
                  </w:r>
                </w:p>
              </w:tc>
              <w:tc>
                <w:tcPr>
                  <w:tcW w:w="1108" w:type="pct"/>
                </w:tcPr>
                <w:p w14:paraId="0F62D626">
                  <w:pPr>
                    <w:widowControl/>
                    <w:adjustRightInd w:val="0"/>
                    <w:snapToGrid w:val="0"/>
                    <w:ind w:firstLine="0" w:firstLineChars="0"/>
                    <w:jc w:val="center"/>
                    <w:rPr>
                      <w:bCs/>
                      <w:snapToGrid w:val="0"/>
                      <w:kern w:val="0"/>
                      <w:sz w:val="21"/>
                      <w:szCs w:val="21"/>
                    </w:rPr>
                  </w:pPr>
                  <w:r>
                    <w:rPr>
                      <w:rFonts w:hint="eastAsia"/>
                      <w:bCs/>
                      <w:snapToGrid w:val="0"/>
                      <w:kern w:val="0"/>
                      <w:sz w:val="21"/>
                      <w:szCs w:val="21"/>
                    </w:rPr>
                    <w:t>1220x2440×2</w:t>
                  </w:r>
                </w:p>
              </w:tc>
              <w:tc>
                <w:tcPr>
                  <w:tcW w:w="505" w:type="pct"/>
                </w:tcPr>
                <w:p w14:paraId="5DBE332A">
                  <w:pPr>
                    <w:widowControl/>
                    <w:adjustRightInd w:val="0"/>
                    <w:snapToGrid w:val="0"/>
                    <w:ind w:firstLine="0" w:firstLineChars="0"/>
                    <w:jc w:val="center"/>
                    <w:rPr>
                      <w:bCs/>
                      <w:snapToGrid w:val="0"/>
                      <w:kern w:val="0"/>
                      <w:sz w:val="21"/>
                      <w:szCs w:val="21"/>
                    </w:rPr>
                  </w:pPr>
                  <w:r>
                    <w:rPr>
                      <w:rFonts w:hint="eastAsia"/>
                      <w:bCs/>
                      <w:snapToGrid w:val="0"/>
                      <w:kern w:val="0"/>
                      <w:sz w:val="21"/>
                      <w:szCs w:val="21"/>
                    </w:rPr>
                    <w:t>张</w:t>
                  </w:r>
                </w:p>
              </w:tc>
              <w:tc>
                <w:tcPr>
                  <w:tcW w:w="1654" w:type="pct"/>
                </w:tcPr>
                <w:p w14:paraId="64BDB769">
                  <w:pPr>
                    <w:widowControl/>
                    <w:adjustRightInd w:val="0"/>
                    <w:snapToGrid w:val="0"/>
                    <w:ind w:firstLine="0" w:firstLineChars="0"/>
                    <w:jc w:val="center"/>
                    <w:rPr>
                      <w:bCs/>
                      <w:snapToGrid w:val="0"/>
                      <w:kern w:val="0"/>
                      <w:sz w:val="21"/>
                      <w:szCs w:val="21"/>
                    </w:rPr>
                  </w:pPr>
                  <w:r>
                    <w:rPr>
                      <w:bCs/>
                      <w:snapToGrid w:val="0"/>
                      <w:kern w:val="0"/>
                      <w:sz w:val="21"/>
                      <w:szCs w:val="21"/>
                    </w:rPr>
                    <w:drawing>
                      <wp:inline distT="0" distB="0" distL="0" distR="0">
                        <wp:extent cx="983615" cy="1471295"/>
                        <wp:effectExtent l="0" t="0" r="6985" b="6985"/>
                        <wp:docPr id="212864355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643556" name="图片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rot="5400000">
                                  <a:off x="0" y="0"/>
                                  <a:ext cx="983653" cy="1471295"/>
                                </a:xfrm>
                                <a:prstGeom prst="rect">
                                  <a:avLst/>
                                </a:prstGeom>
                                <a:noFill/>
                                <a:ln>
                                  <a:noFill/>
                                </a:ln>
                              </pic:spPr>
                            </pic:pic>
                          </a:graphicData>
                        </a:graphic>
                      </wp:inline>
                    </w:drawing>
                  </w:r>
                </w:p>
              </w:tc>
            </w:tr>
          </w:tbl>
          <w:p w14:paraId="65FE96FE">
            <w:pPr>
              <w:pStyle w:val="13"/>
              <w:keepNext/>
              <w:rPr>
                <w:rFonts w:cs="Times New Roman"/>
              </w:rPr>
            </w:pPr>
            <w:r>
              <w:rPr>
                <w:rFonts w:cs="Times New Roman"/>
              </w:rPr>
              <w:t xml:space="preserve">表 </w:t>
            </w:r>
            <w:r>
              <w:rPr>
                <w:rFonts w:cs="Times New Roman"/>
              </w:rPr>
              <w:fldChar w:fldCharType="begin"/>
            </w:r>
            <w:r>
              <w:rPr>
                <w:rFonts w:cs="Times New Roman"/>
              </w:rPr>
              <w:instrText xml:space="preserve"> SEQ seq \c </w:instrText>
            </w:r>
            <w:r>
              <w:rPr>
                <w:rFonts w:cs="Times New Roman"/>
              </w:rPr>
              <w:fldChar w:fldCharType="separate"/>
            </w:r>
            <w:r>
              <w:rPr>
                <w:rFonts w:cs="Times New Roman"/>
              </w:rPr>
              <w:t>2</w:t>
            </w:r>
            <w:r>
              <w:rPr>
                <w:rFonts w:cs="Times New Roman"/>
              </w:rPr>
              <w:fldChar w:fldCharType="end"/>
            </w:r>
            <w:r>
              <w:rPr>
                <w:rFonts w:cs="Times New Roman"/>
              </w:rPr>
              <w:noBreakHyphen/>
            </w:r>
            <w:r>
              <w:rPr>
                <w:rFonts w:hint="eastAsia" w:cs="Times New Roman"/>
              </w:rPr>
              <w:t>3  原有</w:t>
            </w:r>
            <w:r>
              <w:rPr>
                <w:bCs/>
                <w:szCs w:val="21"/>
              </w:rPr>
              <w:t>项目产品方案及生产规模</w:t>
            </w:r>
          </w:p>
          <w:tbl>
            <w:tblPr>
              <w:tblStyle w:val="33"/>
              <w:tblW w:w="4819"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94"/>
              <w:gridCol w:w="2418"/>
              <w:gridCol w:w="1393"/>
              <w:gridCol w:w="2981"/>
              <w:gridCol w:w="1105"/>
            </w:tblGrid>
            <w:tr w14:paraId="01E78DC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04" w:type="pct"/>
                </w:tcPr>
                <w:p w14:paraId="72F36EB4">
                  <w:pPr>
                    <w:widowControl/>
                    <w:adjustRightInd w:val="0"/>
                    <w:snapToGrid w:val="0"/>
                    <w:ind w:firstLine="0" w:firstLineChars="0"/>
                    <w:jc w:val="center"/>
                    <w:rPr>
                      <w:bCs/>
                      <w:snapToGrid w:val="0"/>
                      <w:kern w:val="0"/>
                      <w:sz w:val="21"/>
                      <w:szCs w:val="21"/>
                    </w:rPr>
                  </w:pPr>
                  <w:r>
                    <w:rPr>
                      <w:bCs/>
                      <w:snapToGrid w:val="0"/>
                      <w:kern w:val="0"/>
                      <w:sz w:val="21"/>
                      <w:szCs w:val="21"/>
                    </w:rPr>
                    <w:t>序号</w:t>
                  </w:r>
                </w:p>
              </w:tc>
              <w:tc>
                <w:tcPr>
                  <w:tcW w:w="1406" w:type="pct"/>
                </w:tcPr>
                <w:p w14:paraId="7FEAE6D3">
                  <w:pPr>
                    <w:widowControl/>
                    <w:adjustRightInd w:val="0"/>
                    <w:snapToGrid w:val="0"/>
                    <w:ind w:firstLine="0" w:firstLineChars="0"/>
                    <w:jc w:val="center"/>
                    <w:rPr>
                      <w:bCs/>
                      <w:snapToGrid w:val="0"/>
                      <w:kern w:val="0"/>
                      <w:sz w:val="21"/>
                      <w:szCs w:val="21"/>
                    </w:rPr>
                  </w:pPr>
                  <w:r>
                    <w:rPr>
                      <w:bCs/>
                      <w:snapToGrid w:val="0"/>
                      <w:kern w:val="0"/>
                      <w:sz w:val="21"/>
                      <w:szCs w:val="21"/>
                    </w:rPr>
                    <w:t>产品名称</w:t>
                  </w:r>
                </w:p>
              </w:tc>
              <w:tc>
                <w:tcPr>
                  <w:tcW w:w="811" w:type="pct"/>
                </w:tcPr>
                <w:p w14:paraId="71A61B2B">
                  <w:pPr>
                    <w:widowControl/>
                    <w:adjustRightInd w:val="0"/>
                    <w:snapToGrid w:val="0"/>
                    <w:ind w:firstLine="0" w:firstLineChars="0"/>
                    <w:jc w:val="center"/>
                    <w:rPr>
                      <w:bCs/>
                      <w:snapToGrid w:val="0"/>
                      <w:kern w:val="0"/>
                      <w:sz w:val="21"/>
                      <w:szCs w:val="21"/>
                    </w:rPr>
                  </w:pPr>
                  <w:r>
                    <w:rPr>
                      <w:bCs/>
                      <w:snapToGrid w:val="0"/>
                      <w:kern w:val="0"/>
                      <w:sz w:val="21"/>
                      <w:szCs w:val="21"/>
                    </w:rPr>
                    <w:t>产量</w:t>
                  </w:r>
                </w:p>
              </w:tc>
              <w:tc>
                <w:tcPr>
                  <w:tcW w:w="1734" w:type="pct"/>
                </w:tcPr>
                <w:p w14:paraId="0C6D3DD4">
                  <w:pPr>
                    <w:widowControl/>
                    <w:adjustRightInd w:val="0"/>
                    <w:snapToGrid w:val="0"/>
                    <w:ind w:firstLine="0" w:firstLineChars="0"/>
                    <w:jc w:val="center"/>
                    <w:rPr>
                      <w:bCs/>
                      <w:snapToGrid w:val="0"/>
                      <w:kern w:val="0"/>
                      <w:sz w:val="21"/>
                      <w:szCs w:val="21"/>
                    </w:rPr>
                  </w:pPr>
                  <w:r>
                    <w:rPr>
                      <w:rFonts w:hint="eastAsia"/>
                      <w:bCs/>
                      <w:snapToGrid w:val="0"/>
                      <w:kern w:val="0"/>
                      <w:sz w:val="21"/>
                      <w:szCs w:val="21"/>
                    </w:rPr>
                    <w:t>类别</w:t>
                  </w:r>
                </w:p>
              </w:tc>
              <w:tc>
                <w:tcPr>
                  <w:tcW w:w="643" w:type="pct"/>
                </w:tcPr>
                <w:p w14:paraId="55E9B592">
                  <w:pPr>
                    <w:widowControl/>
                    <w:adjustRightInd w:val="0"/>
                    <w:snapToGrid w:val="0"/>
                    <w:ind w:firstLine="0" w:firstLineChars="0"/>
                    <w:jc w:val="center"/>
                    <w:rPr>
                      <w:bCs/>
                      <w:snapToGrid w:val="0"/>
                      <w:kern w:val="0"/>
                      <w:sz w:val="21"/>
                      <w:szCs w:val="21"/>
                    </w:rPr>
                  </w:pPr>
                  <w:r>
                    <w:rPr>
                      <w:bCs/>
                      <w:snapToGrid w:val="0"/>
                      <w:kern w:val="0"/>
                      <w:sz w:val="21"/>
                      <w:szCs w:val="21"/>
                    </w:rPr>
                    <w:t>单位</w:t>
                  </w:r>
                </w:p>
              </w:tc>
            </w:tr>
            <w:tr w14:paraId="769B105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04" w:type="pct"/>
                </w:tcPr>
                <w:p w14:paraId="2B373981">
                  <w:pPr>
                    <w:widowControl/>
                    <w:adjustRightInd w:val="0"/>
                    <w:snapToGrid w:val="0"/>
                    <w:ind w:firstLine="0" w:firstLineChars="0"/>
                    <w:jc w:val="center"/>
                    <w:rPr>
                      <w:bCs/>
                      <w:snapToGrid w:val="0"/>
                      <w:kern w:val="0"/>
                      <w:sz w:val="21"/>
                      <w:szCs w:val="21"/>
                    </w:rPr>
                  </w:pPr>
                  <w:r>
                    <w:rPr>
                      <w:bCs/>
                      <w:snapToGrid w:val="0"/>
                      <w:kern w:val="0"/>
                      <w:sz w:val="21"/>
                      <w:szCs w:val="21"/>
                    </w:rPr>
                    <w:t>1</w:t>
                  </w:r>
                </w:p>
              </w:tc>
              <w:tc>
                <w:tcPr>
                  <w:tcW w:w="1406" w:type="pct"/>
                </w:tcPr>
                <w:p w14:paraId="00A5C969">
                  <w:pPr>
                    <w:widowControl/>
                    <w:adjustRightInd w:val="0"/>
                    <w:snapToGrid w:val="0"/>
                    <w:ind w:firstLine="0" w:firstLineChars="0"/>
                    <w:jc w:val="center"/>
                    <w:rPr>
                      <w:bCs/>
                      <w:snapToGrid w:val="0"/>
                      <w:kern w:val="0"/>
                      <w:sz w:val="21"/>
                      <w:szCs w:val="21"/>
                    </w:rPr>
                  </w:pPr>
                  <w:r>
                    <w:rPr>
                      <w:rFonts w:hint="eastAsia"/>
                      <w:sz w:val="21"/>
                      <w:szCs w:val="21"/>
                    </w:rPr>
                    <w:t>版式家具</w:t>
                  </w:r>
                </w:p>
              </w:tc>
              <w:tc>
                <w:tcPr>
                  <w:tcW w:w="811" w:type="pct"/>
                </w:tcPr>
                <w:p w14:paraId="732C6675">
                  <w:pPr>
                    <w:widowControl/>
                    <w:adjustRightInd w:val="0"/>
                    <w:snapToGrid w:val="0"/>
                    <w:ind w:firstLine="0" w:firstLineChars="0"/>
                    <w:jc w:val="center"/>
                    <w:rPr>
                      <w:bCs/>
                      <w:snapToGrid w:val="0"/>
                      <w:kern w:val="0"/>
                      <w:sz w:val="21"/>
                      <w:szCs w:val="21"/>
                    </w:rPr>
                  </w:pPr>
                  <w:r>
                    <w:rPr>
                      <w:rFonts w:hint="eastAsia"/>
                      <w:bCs/>
                      <w:snapToGrid w:val="0"/>
                      <w:kern w:val="0"/>
                      <w:sz w:val="21"/>
                      <w:szCs w:val="21"/>
                    </w:rPr>
                    <w:t>3000</w:t>
                  </w:r>
                </w:p>
              </w:tc>
              <w:tc>
                <w:tcPr>
                  <w:tcW w:w="1734" w:type="pct"/>
                </w:tcPr>
                <w:p w14:paraId="096381E2">
                  <w:pPr>
                    <w:widowControl/>
                    <w:adjustRightInd w:val="0"/>
                    <w:snapToGrid w:val="0"/>
                    <w:ind w:firstLine="0" w:firstLineChars="0"/>
                    <w:jc w:val="center"/>
                    <w:rPr>
                      <w:bCs/>
                      <w:snapToGrid w:val="0"/>
                      <w:kern w:val="0"/>
                      <w:sz w:val="21"/>
                      <w:szCs w:val="21"/>
                    </w:rPr>
                  </w:pPr>
                  <w:r>
                    <w:rPr>
                      <w:rFonts w:hint="eastAsia"/>
                      <w:bCs/>
                      <w:snapToGrid w:val="0"/>
                      <w:kern w:val="0"/>
                      <w:sz w:val="21"/>
                      <w:szCs w:val="21"/>
                    </w:rPr>
                    <w:t>衣柜、木床、门、茶几等</w:t>
                  </w:r>
                </w:p>
              </w:tc>
              <w:tc>
                <w:tcPr>
                  <w:tcW w:w="643" w:type="pct"/>
                </w:tcPr>
                <w:p w14:paraId="497A5EFE">
                  <w:pPr>
                    <w:widowControl/>
                    <w:adjustRightInd w:val="0"/>
                    <w:snapToGrid w:val="0"/>
                    <w:ind w:firstLine="0" w:firstLineChars="0"/>
                    <w:jc w:val="center"/>
                    <w:rPr>
                      <w:bCs/>
                      <w:snapToGrid w:val="0"/>
                      <w:kern w:val="0"/>
                      <w:sz w:val="21"/>
                      <w:szCs w:val="21"/>
                    </w:rPr>
                  </w:pPr>
                  <w:r>
                    <w:rPr>
                      <w:rFonts w:hint="eastAsia"/>
                      <w:bCs/>
                      <w:snapToGrid w:val="0"/>
                      <w:kern w:val="0"/>
                      <w:sz w:val="21"/>
                      <w:szCs w:val="21"/>
                    </w:rPr>
                    <w:t>套</w:t>
                  </w:r>
                </w:p>
              </w:tc>
            </w:tr>
          </w:tbl>
          <w:p w14:paraId="35CE99D2">
            <w:pPr>
              <w:pStyle w:val="3"/>
              <w:spacing w:before="163"/>
            </w:pPr>
            <w:r>
              <w:t>5、主要设备</w:t>
            </w:r>
          </w:p>
          <w:p w14:paraId="51EFDA64">
            <w:pPr>
              <w:ind w:firstLine="480"/>
              <w:rPr>
                <w:rFonts w:cs="Times New Roman"/>
              </w:rPr>
            </w:pPr>
            <w:r>
              <w:rPr>
                <w:rFonts w:cs="Times New Roman"/>
              </w:rPr>
              <w:t>依据建设单位提供的生产设备清单，对照《部分工业行业淘汰落后生产工艺装备和产品指导目录》（</w:t>
            </w:r>
            <w:r>
              <w:rPr>
                <w:rFonts w:eastAsia="TimesNewRomanPSMT" w:cs="Times New Roman"/>
              </w:rPr>
              <w:t>2010</w:t>
            </w:r>
            <w:r>
              <w:rPr>
                <w:rFonts w:cs="Times New Roman"/>
              </w:rPr>
              <w:t>年本）、《高耗能落后机电设备淘汰目录》（第一批至第四批），本项目所用设备均不属于淘汰落后设备。</w:t>
            </w:r>
          </w:p>
          <w:p w14:paraId="799A04A4">
            <w:pPr>
              <w:ind w:firstLine="480"/>
              <w:rPr>
                <w:rFonts w:cs="Times New Roman"/>
              </w:rPr>
            </w:pPr>
            <w:r>
              <w:rPr>
                <w:rFonts w:cs="Times New Roman"/>
              </w:rPr>
              <w:t>本项目主要设备如下：</w:t>
            </w:r>
          </w:p>
          <w:p w14:paraId="24B11160">
            <w:pPr>
              <w:pStyle w:val="13"/>
              <w:keepNext/>
              <w:rPr>
                <w:rFonts w:cs="Times New Roman"/>
              </w:rPr>
            </w:pPr>
            <w:r>
              <w:rPr>
                <w:rFonts w:cs="Times New Roman"/>
              </w:rPr>
              <w:t xml:space="preserve">表 </w:t>
            </w:r>
            <w:r>
              <w:rPr>
                <w:rFonts w:cs="Times New Roman"/>
              </w:rPr>
              <w:fldChar w:fldCharType="begin"/>
            </w:r>
            <w:r>
              <w:rPr>
                <w:rFonts w:cs="Times New Roman"/>
              </w:rPr>
              <w:instrText xml:space="preserve"> SEQ seq \c </w:instrText>
            </w:r>
            <w:r>
              <w:rPr>
                <w:rFonts w:cs="Times New Roman"/>
              </w:rPr>
              <w:fldChar w:fldCharType="separate"/>
            </w:r>
            <w:r>
              <w:rPr>
                <w:rFonts w:cs="Times New Roman"/>
              </w:rPr>
              <w:t>2</w:t>
            </w:r>
            <w:r>
              <w:rPr>
                <w:rFonts w:cs="Times New Roman"/>
              </w:rPr>
              <w:fldChar w:fldCharType="end"/>
            </w:r>
            <w:r>
              <w:rPr>
                <w:rFonts w:cs="Times New Roman"/>
              </w:rPr>
              <w:noBreakHyphen/>
            </w:r>
            <w:r>
              <w:rPr>
                <w:rFonts w:hint="eastAsia" w:cs="Times New Roman"/>
              </w:rPr>
              <w:t>4</w:t>
            </w:r>
            <w:r>
              <w:rPr>
                <w:rFonts w:cs="Times New Roman"/>
              </w:rPr>
              <w:t xml:space="preserve"> 项目主要设备清单</w:t>
            </w:r>
          </w:p>
          <w:tbl>
            <w:tblPr>
              <w:tblStyle w:val="34"/>
              <w:tblW w:w="8606"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1"/>
              <w:gridCol w:w="1276"/>
              <w:gridCol w:w="2246"/>
              <w:gridCol w:w="1377"/>
              <w:gridCol w:w="1559"/>
              <w:gridCol w:w="1417"/>
            </w:tblGrid>
            <w:tr w14:paraId="6CC7B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exact"/>
                <w:jc w:val="right"/>
              </w:trPr>
              <w:tc>
                <w:tcPr>
                  <w:tcW w:w="731" w:type="dxa"/>
                </w:tcPr>
                <w:p w14:paraId="37F444DA">
                  <w:pPr>
                    <w:adjustRightInd w:val="0"/>
                    <w:snapToGrid w:val="0"/>
                    <w:ind w:firstLine="0" w:firstLineChars="0"/>
                    <w:jc w:val="center"/>
                    <w:rPr>
                      <w:b/>
                      <w:sz w:val="21"/>
                      <w:szCs w:val="21"/>
                    </w:rPr>
                  </w:pPr>
                  <w:r>
                    <w:rPr>
                      <w:rFonts w:hint="eastAsia"/>
                      <w:b/>
                      <w:sz w:val="21"/>
                      <w:szCs w:val="21"/>
                    </w:rPr>
                    <w:t>编号</w:t>
                  </w:r>
                </w:p>
              </w:tc>
              <w:tc>
                <w:tcPr>
                  <w:tcW w:w="1276" w:type="dxa"/>
                </w:tcPr>
                <w:p w14:paraId="310222C8">
                  <w:pPr>
                    <w:adjustRightInd w:val="0"/>
                    <w:snapToGrid w:val="0"/>
                    <w:ind w:firstLine="0" w:firstLineChars="0"/>
                    <w:jc w:val="center"/>
                    <w:rPr>
                      <w:b/>
                      <w:sz w:val="21"/>
                      <w:szCs w:val="21"/>
                    </w:rPr>
                  </w:pPr>
                  <w:r>
                    <w:rPr>
                      <w:rFonts w:hint="eastAsia"/>
                      <w:b/>
                      <w:sz w:val="21"/>
                      <w:szCs w:val="21"/>
                    </w:rPr>
                    <w:t>位置</w:t>
                  </w:r>
                </w:p>
              </w:tc>
              <w:tc>
                <w:tcPr>
                  <w:tcW w:w="2246" w:type="dxa"/>
                </w:tcPr>
                <w:p w14:paraId="39FD265A">
                  <w:pPr>
                    <w:adjustRightInd w:val="0"/>
                    <w:snapToGrid w:val="0"/>
                    <w:ind w:firstLine="422"/>
                    <w:rPr>
                      <w:b/>
                      <w:sz w:val="21"/>
                      <w:szCs w:val="21"/>
                    </w:rPr>
                  </w:pPr>
                  <w:r>
                    <w:rPr>
                      <w:rFonts w:hint="eastAsia"/>
                      <w:b/>
                      <w:sz w:val="21"/>
                      <w:szCs w:val="21"/>
                    </w:rPr>
                    <w:t>设备名称</w:t>
                  </w:r>
                </w:p>
              </w:tc>
              <w:tc>
                <w:tcPr>
                  <w:tcW w:w="1377" w:type="dxa"/>
                </w:tcPr>
                <w:p w14:paraId="3FB5206A">
                  <w:pPr>
                    <w:adjustRightInd w:val="0"/>
                    <w:snapToGrid w:val="0"/>
                    <w:ind w:firstLine="0" w:firstLineChars="0"/>
                    <w:rPr>
                      <w:b/>
                      <w:sz w:val="21"/>
                      <w:szCs w:val="21"/>
                    </w:rPr>
                  </w:pPr>
                  <w:r>
                    <w:rPr>
                      <w:rFonts w:hint="eastAsia"/>
                      <w:b/>
                      <w:sz w:val="21"/>
                      <w:szCs w:val="21"/>
                    </w:rPr>
                    <w:t>数量（台）</w:t>
                  </w:r>
                </w:p>
              </w:tc>
              <w:tc>
                <w:tcPr>
                  <w:tcW w:w="1559" w:type="dxa"/>
                </w:tcPr>
                <w:p w14:paraId="22A9548E">
                  <w:pPr>
                    <w:adjustRightInd w:val="0"/>
                    <w:snapToGrid w:val="0"/>
                    <w:ind w:firstLine="0" w:firstLineChars="0"/>
                    <w:jc w:val="center"/>
                    <w:rPr>
                      <w:b/>
                      <w:sz w:val="21"/>
                      <w:szCs w:val="21"/>
                    </w:rPr>
                  </w:pPr>
                  <w:r>
                    <w:rPr>
                      <w:rFonts w:hint="eastAsia"/>
                      <w:b/>
                      <w:sz w:val="21"/>
                      <w:szCs w:val="21"/>
                    </w:rPr>
                    <w:t>型号</w:t>
                  </w:r>
                </w:p>
              </w:tc>
              <w:tc>
                <w:tcPr>
                  <w:tcW w:w="1417" w:type="dxa"/>
                </w:tcPr>
                <w:p w14:paraId="551DA174">
                  <w:pPr>
                    <w:adjustRightInd w:val="0"/>
                    <w:snapToGrid w:val="0"/>
                    <w:ind w:firstLine="0" w:firstLineChars="0"/>
                    <w:jc w:val="center"/>
                    <w:rPr>
                      <w:b/>
                      <w:sz w:val="21"/>
                      <w:szCs w:val="21"/>
                    </w:rPr>
                  </w:pPr>
                  <w:r>
                    <w:rPr>
                      <w:rFonts w:hint="eastAsia"/>
                      <w:b/>
                      <w:sz w:val="21"/>
                      <w:szCs w:val="21"/>
                    </w:rPr>
                    <w:t>备注</w:t>
                  </w:r>
                </w:p>
              </w:tc>
            </w:tr>
            <w:tr w14:paraId="2A85D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731" w:type="dxa"/>
                </w:tcPr>
                <w:p w14:paraId="45FBFC40">
                  <w:pPr>
                    <w:adjustRightInd w:val="0"/>
                    <w:snapToGrid w:val="0"/>
                    <w:ind w:firstLine="0" w:firstLineChars="0"/>
                    <w:rPr>
                      <w:bCs/>
                      <w:sz w:val="21"/>
                      <w:szCs w:val="21"/>
                    </w:rPr>
                  </w:pPr>
                  <w:r>
                    <w:rPr>
                      <w:rFonts w:hint="eastAsia"/>
                      <w:bCs/>
                      <w:sz w:val="21"/>
                      <w:szCs w:val="21"/>
                    </w:rPr>
                    <w:t>1</w:t>
                  </w:r>
                </w:p>
              </w:tc>
              <w:tc>
                <w:tcPr>
                  <w:tcW w:w="1276" w:type="dxa"/>
                  <w:vMerge w:val="restart"/>
                  <w:vAlign w:val="center"/>
                </w:tcPr>
                <w:p w14:paraId="6F0903FB">
                  <w:pPr>
                    <w:adjustRightInd w:val="0"/>
                    <w:snapToGrid w:val="0"/>
                    <w:ind w:firstLine="0" w:firstLineChars="0"/>
                    <w:rPr>
                      <w:bCs/>
                      <w:sz w:val="21"/>
                      <w:szCs w:val="21"/>
                    </w:rPr>
                  </w:pPr>
                  <w:r>
                    <w:rPr>
                      <w:rFonts w:hint="eastAsia"/>
                      <w:bCs/>
                      <w:sz w:val="21"/>
                      <w:szCs w:val="21"/>
                    </w:rPr>
                    <w:t>一车间（原项目）</w:t>
                  </w:r>
                </w:p>
              </w:tc>
              <w:tc>
                <w:tcPr>
                  <w:tcW w:w="2246" w:type="dxa"/>
                </w:tcPr>
                <w:p w14:paraId="47EAA121">
                  <w:pPr>
                    <w:adjustRightInd w:val="0"/>
                    <w:snapToGrid w:val="0"/>
                    <w:ind w:firstLine="420"/>
                    <w:rPr>
                      <w:bCs/>
                      <w:sz w:val="21"/>
                      <w:szCs w:val="21"/>
                    </w:rPr>
                  </w:pPr>
                  <w:r>
                    <w:rPr>
                      <w:rFonts w:hint="eastAsia" w:cs="Times New Roman"/>
                      <w:sz w:val="21"/>
                      <w:szCs w:val="21"/>
                    </w:rPr>
                    <w:t>打孔机</w:t>
                  </w:r>
                </w:p>
              </w:tc>
              <w:tc>
                <w:tcPr>
                  <w:tcW w:w="1377" w:type="dxa"/>
                </w:tcPr>
                <w:p w14:paraId="0F344D07">
                  <w:pPr>
                    <w:adjustRightInd w:val="0"/>
                    <w:snapToGrid w:val="0"/>
                    <w:ind w:firstLine="420"/>
                    <w:rPr>
                      <w:bCs/>
                      <w:sz w:val="21"/>
                      <w:szCs w:val="21"/>
                    </w:rPr>
                  </w:pPr>
                  <w:r>
                    <w:rPr>
                      <w:rFonts w:hint="eastAsia"/>
                      <w:bCs/>
                      <w:sz w:val="21"/>
                      <w:szCs w:val="21"/>
                    </w:rPr>
                    <w:t>2台</w:t>
                  </w:r>
                </w:p>
              </w:tc>
              <w:tc>
                <w:tcPr>
                  <w:tcW w:w="1559" w:type="dxa"/>
                </w:tcPr>
                <w:p w14:paraId="647BB771">
                  <w:pPr>
                    <w:adjustRightInd w:val="0"/>
                    <w:snapToGrid w:val="0"/>
                    <w:ind w:firstLine="0" w:firstLineChars="0"/>
                    <w:rPr>
                      <w:bCs/>
                      <w:sz w:val="21"/>
                      <w:szCs w:val="21"/>
                    </w:rPr>
                  </w:pPr>
                  <w:r>
                    <w:rPr>
                      <w:rFonts w:hint="eastAsia"/>
                      <w:bCs/>
                      <w:sz w:val="21"/>
                      <w:szCs w:val="21"/>
                    </w:rPr>
                    <w:t>/</w:t>
                  </w:r>
                </w:p>
              </w:tc>
              <w:tc>
                <w:tcPr>
                  <w:tcW w:w="1417" w:type="dxa"/>
                </w:tcPr>
                <w:p w14:paraId="79396933">
                  <w:pPr>
                    <w:adjustRightInd w:val="0"/>
                    <w:snapToGrid w:val="0"/>
                    <w:ind w:firstLine="0" w:firstLineChars="0"/>
                    <w:jc w:val="center"/>
                    <w:rPr>
                      <w:bCs/>
                      <w:sz w:val="21"/>
                      <w:szCs w:val="21"/>
                    </w:rPr>
                  </w:pPr>
                  <w:r>
                    <w:rPr>
                      <w:rFonts w:hint="eastAsia"/>
                      <w:bCs/>
                      <w:sz w:val="21"/>
                      <w:szCs w:val="21"/>
                    </w:rPr>
                    <w:t>已建</w:t>
                  </w:r>
                </w:p>
              </w:tc>
            </w:tr>
            <w:tr w14:paraId="0CA8D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731" w:type="dxa"/>
                </w:tcPr>
                <w:p w14:paraId="6B002C70">
                  <w:pPr>
                    <w:adjustRightInd w:val="0"/>
                    <w:snapToGrid w:val="0"/>
                    <w:ind w:firstLine="0" w:firstLineChars="0"/>
                    <w:rPr>
                      <w:bCs/>
                      <w:sz w:val="21"/>
                      <w:szCs w:val="21"/>
                    </w:rPr>
                  </w:pPr>
                  <w:r>
                    <w:rPr>
                      <w:rFonts w:hint="eastAsia"/>
                      <w:bCs/>
                      <w:sz w:val="21"/>
                      <w:szCs w:val="21"/>
                    </w:rPr>
                    <w:t>2</w:t>
                  </w:r>
                </w:p>
              </w:tc>
              <w:tc>
                <w:tcPr>
                  <w:tcW w:w="1276" w:type="dxa"/>
                  <w:vMerge w:val="continue"/>
                  <w:vAlign w:val="center"/>
                </w:tcPr>
                <w:p w14:paraId="00B5B409">
                  <w:pPr>
                    <w:adjustRightInd w:val="0"/>
                    <w:snapToGrid w:val="0"/>
                    <w:ind w:firstLine="0" w:firstLineChars="0"/>
                    <w:rPr>
                      <w:bCs/>
                      <w:sz w:val="21"/>
                      <w:szCs w:val="21"/>
                    </w:rPr>
                  </w:pPr>
                </w:p>
              </w:tc>
              <w:tc>
                <w:tcPr>
                  <w:tcW w:w="2246" w:type="dxa"/>
                </w:tcPr>
                <w:p w14:paraId="55C86DBF">
                  <w:pPr>
                    <w:adjustRightInd w:val="0"/>
                    <w:snapToGrid w:val="0"/>
                    <w:ind w:firstLine="420"/>
                    <w:rPr>
                      <w:bCs/>
                      <w:sz w:val="21"/>
                      <w:szCs w:val="21"/>
                    </w:rPr>
                  </w:pPr>
                  <w:r>
                    <w:rPr>
                      <w:rFonts w:hint="eastAsia" w:cs="Times New Roman"/>
                      <w:sz w:val="21"/>
                      <w:szCs w:val="21"/>
                    </w:rPr>
                    <w:t>封边机</w:t>
                  </w:r>
                </w:p>
              </w:tc>
              <w:tc>
                <w:tcPr>
                  <w:tcW w:w="1377" w:type="dxa"/>
                </w:tcPr>
                <w:p w14:paraId="0527263D">
                  <w:pPr>
                    <w:adjustRightInd w:val="0"/>
                    <w:snapToGrid w:val="0"/>
                    <w:ind w:firstLine="420"/>
                    <w:rPr>
                      <w:bCs/>
                      <w:sz w:val="21"/>
                      <w:szCs w:val="21"/>
                    </w:rPr>
                  </w:pPr>
                  <w:r>
                    <w:rPr>
                      <w:rFonts w:hint="eastAsia"/>
                      <w:bCs/>
                      <w:sz w:val="21"/>
                      <w:szCs w:val="21"/>
                    </w:rPr>
                    <w:t>2台</w:t>
                  </w:r>
                </w:p>
              </w:tc>
              <w:tc>
                <w:tcPr>
                  <w:tcW w:w="1559" w:type="dxa"/>
                </w:tcPr>
                <w:p w14:paraId="49F295AD">
                  <w:pPr>
                    <w:adjustRightInd w:val="0"/>
                    <w:snapToGrid w:val="0"/>
                    <w:ind w:firstLine="0" w:firstLineChars="0"/>
                    <w:rPr>
                      <w:bCs/>
                      <w:sz w:val="21"/>
                      <w:szCs w:val="21"/>
                    </w:rPr>
                  </w:pPr>
                  <w:r>
                    <w:rPr>
                      <w:rFonts w:hint="eastAsia"/>
                      <w:bCs/>
                      <w:sz w:val="21"/>
                      <w:szCs w:val="21"/>
                    </w:rPr>
                    <w:t>/</w:t>
                  </w:r>
                </w:p>
              </w:tc>
              <w:tc>
                <w:tcPr>
                  <w:tcW w:w="1417" w:type="dxa"/>
                </w:tcPr>
                <w:p w14:paraId="7A64EB6E">
                  <w:pPr>
                    <w:adjustRightInd w:val="0"/>
                    <w:snapToGrid w:val="0"/>
                    <w:ind w:firstLine="0" w:firstLineChars="0"/>
                    <w:jc w:val="center"/>
                    <w:rPr>
                      <w:bCs/>
                      <w:sz w:val="21"/>
                      <w:szCs w:val="21"/>
                    </w:rPr>
                  </w:pPr>
                  <w:r>
                    <w:rPr>
                      <w:rFonts w:hint="eastAsia"/>
                      <w:bCs/>
                      <w:sz w:val="21"/>
                      <w:szCs w:val="21"/>
                    </w:rPr>
                    <w:t>已建</w:t>
                  </w:r>
                </w:p>
              </w:tc>
            </w:tr>
            <w:tr w14:paraId="2951D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731" w:type="dxa"/>
                </w:tcPr>
                <w:p w14:paraId="442C1498">
                  <w:pPr>
                    <w:adjustRightInd w:val="0"/>
                    <w:snapToGrid w:val="0"/>
                    <w:ind w:firstLine="0" w:firstLineChars="0"/>
                    <w:rPr>
                      <w:bCs/>
                      <w:sz w:val="21"/>
                      <w:szCs w:val="21"/>
                    </w:rPr>
                  </w:pPr>
                  <w:r>
                    <w:rPr>
                      <w:rFonts w:hint="eastAsia"/>
                      <w:bCs/>
                      <w:sz w:val="21"/>
                      <w:szCs w:val="21"/>
                    </w:rPr>
                    <w:t>3</w:t>
                  </w:r>
                </w:p>
              </w:tc>
              <w:tc>
                <w:tcPr>
                  <w:tcW w:w="1276" w:type="dxa"/>
                  <w:vMerge w:val="continue"/>
                  <w:vAlign w:val="center"/>
                </w:tcPr>
                <w:p w14:paraId="6A1EEC2C">
                  <w:pPr>
                    <w:adjustRightInd w:val="0"/>
                    <w:snapToGrid w:val="0"/>
                    <w:ind w:firstLine="0" w:firstLineChars="0"/>
                    <w:rPr>
                      <w:bCs/>
                      <w:sz w:val="21"/>
                      <w:szCs w:val="21"/>
                    </w:rPr>
                  </w:pPr>
                </w:p>
              </w:tc>
              <w:tc>
                <w:tcPr>
                  <w:tcW w:w="2246" w:type="dxa"/>
                </w:tcPr>
                <w:p w14:paraId="3F5755D6">
                  <w:pPr>
                    <w:adjustRightInd w:val="0"/>
                    <w:snapToGrid w:val="0"/>
                    <w:ind w:firstLine="420"/>
                    <w:rPr>
                      <w:bCs/>
                      <w:sz w:val="21"/>
                      <w:szCs w:val="21"/>
                    </w:rPr>
                  </w:pPr>
                  <w:r>
                    <w:rPr>
                      <w:rFonts w:hint="eastAsia" w:cs="Times New Roman"/>
                      <w:sz w:val="21"/>
                      <w:szCs w:val="21"/>
                    </w:rPr>
                    <w:t>电子锯</w:t>
                  </w:r>
                </w:p>
              </w:tc>
              <w:tc>
                <w:tcPr>
                  <w:tcW w:w="1377" w:type="dxa"/>
                </w:tcPr>
                <w:p w14:paraId="1484C444">
                  <w:pPr>
                    <w:adjustRightInd w:val="0"/>
                    <w:snapToGrid w:val="0"/>
                    <w:ind w:firstLine="420"/>
                    <w:rPr>
                      <w:bCs/>
                      <w:sz w:val="21"/>
                      <w:szCs w:val="21"/>
                    </w:rPr>
                  </w:pPr>
                  <w:r>
                    <w:rPr>
                      <w:rFonts w:hint="eastAsia"/>
                      <w:bCs/>
                      <w:sz w:val="21"/>
                      <w:szCs w:val="21"/>
                    </w:rPr>
                    <w:t>2台</w:t>
                  </w:r>
                </w:p>
              </w:tc>
              <w:tc>
                <w:tcPr>
                  <w:tcW w:w="1559" w:type="dxa"/>
                </w:tcPr>
                <w:p w14:paraId="446A3028">
                  <w:pPr>
                    <w:adjustRightInd w:val="0"/>
                    <w:snapToGrid w:val="0"/>
                    <w:ind w:firstLine="0" w:firstLineChars="0"/>
                    <w:rPr>
                      <w:bCs/>
                      <w:sz w:val="21"/>
                      <w:szCs w:val="21"/>
                    </w:rPr>
                  </w:pPr>
                  <w:r>
                    <w:rPr>
                      <w:rFonts w:hint="eastAsia"/>
                      <w:bCs/>
                      <w:sz w:val="21"/>
                      <w:szCs w:val="21"/>
                    </w:rPr>
                    <w:t>/</w:t>
                  </w:r>
                </w:p>
              </w:tc>
              <w:tc>
                <w:tcPr>
                  <w:tcW w:w="1417" w:type="dxa"/>
                </w:tcPr>
                <w:p w14:paraId="38C64500">
                  <w:pPr>
                    <w:adjustRightInd w:val="0"/>
                    <w:snapToGrid w:val="0"/>
                    <w:ind w:firstLine="0" w:firstLineChars="0"/>
                    <w:jc w:val="center"/>
                    <w:rPr>
                      <w:bCs/>
                      <w:sz w:val="21"/>
                      <w:szCs w:val="21"/>
                    </w:rPr>
                  </w:pPr>
                  <w:r>
                    <w:rPr>
                      <w:rFonts w:hint="eastAsia"/>
                      <w:bCs/>
                      <w:sz w:val="21"/>
                      <w:szCs w:val="21"/>
                    </w:rPr>
                    <w:t>已建</w:t>
                  </w:r>
                </w:p>
              </w:tc>
            </w:tr>
            <w:tr w14:paraId="51810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731" w:type="dxa"/>
                </w:tcPr>
                <w:p w14:paraId="4471E562">
                  <w:pPr>
                    <w:adjustRightInd w:val="0"/>
                    <w:snapToGrid w:val="0"/>
                    <w:ind w:firstLine="0" w:firstLineChars="0"/>
                    <w:rPr>
                      <w:bCs/>
                      <w:sz w:val="21"/>
                      <w:szCs w:val="21"/>
                    </w:rPr>
                  </w:pPr>
                  <w:r>
                    <w:rPr>
                      <w:rFonts w:hint="eastAsia"/>
                      <w:bCs/>
                      <w:sz w:val="21"/>
                      <w:szCs w:val="21"/>
                    </w:rPr>
                    <w:t>4</w:t>
                  </w:r>
                </w:p>
              </w:tc>
              <w:tc>
                <w:tcPr>
                  <w:tcW w:w="1276" w:type="dxa"/>
                  <w:vMerge w:val="continue"/>
                  <w:vAlign w:val="center"/>
                </w:tcPr>
                <w:p w14:paraId="6079C454">
                  <w:pPr>
                    <w:adjustRightInd w:val="0"/>
                    <w:snapToGrid w:val="0"/>
                    <w:ind w:firstLine="0" w:firstLineChars="0"/>
                    <w:rPr>
                      <w:bCs/>
                      <w:sz w:val="21"/>
                      <w:szCs w:val="21"/>
                    </w:rPr>
                  </w:pPr>
                </w:p>
              </w:tc>
              <w:tc>
                <w:tcPr>
                  <w:tcW w:w="2246" w:type="dxa"/>
                </w:tcPr>
                <w:p w14:paraId="3A6DC1A7">
                  <w:pPr>
                    <w:adjustRightInd w:val="0"/>
                    <w:snapToGrid w:val="0"/>
                    <w:ind w:firstLine="420"/>
                    <w:rPr>
                      <w:bCs/>
                      <w:sz w:val="21"/>
                      <w:szCs w:val="21"/>
                    </w:rPr>
                  </w:pPr>
                  <w:r>
                    <w:rPr>
                      <w:rFonts w:hint="eastAsia" w:cs="Times New Roman"/>
                      <w:sz w:val="21"/>
                      <w:szCs w:val="21"/>
                    </w:rPr>
                    <w:t>手推锯</w:t>
                  </w:r>
                </w:p>
              </w:tc>
              <w:tc>
                <w:tcPr>
                  <w:tcW w:w="1377" w:type="dxa"/>
                </w:tcPr>
                <w:p w14:paraId="1FAAF62B">
                  <w:pPr>
                    <w:adjustRightInd w:val="0"/>
                    <w:snapToGrid w:val="0"/>
                    <w:ind w:firstLine="420"/>
                    <w:rPr>
                      <w:bCs/>
                      <w:sz w:val="21"/>
                      <w:szCs w:val="21"/>
                    </w:rPr>
                  </w:pPr>
                  <w:r>
                    <w:rPr>
                      <w:rFonts w:hint="eastAsia"/>
                      <w:bCs/>
                      <w:sz w:val="21"/>
                      <w:szCs w:val="21"/>
                    </w:rPr>
                    <w:t>1台</w:t>
                  </w:r>
                </w:p>
              </w:tc>
              <w:tc>
                <w:tcPr>
                  <w:tcW w:w="1559" w:type="dxa"/>
                </w:tcPr>
                <w:p w14:paraId="7CB28292">
                  <w:pPr>
                    <w:adjustRightInd w:val="0"/>
                    <w:snapToGrid w:val="0"/>
                    <w:ind w:firstLine="0" w:firstLineChars="0"/>
                    <w:rPr>
                      <w:bCs/>
                      <w:sz w:val="21"/>
                      <w:szCs w:val="21"/>
                    </w:rPr>
                  </w:pPr>
                  <w:r>
                    <w:rPr>
                      <w:rFonts w:hint="eastAsia"/>
                      <w:bCs/>
                      <w:sz w:val="21"/>
                      <w:szCs w:val="21"/>
                    </w:rPr>
                    <w:t>/</w:t>
                  </w:r>
                </w:p>
              </w:tc>
              <w:tc>
                <w:tcPr>
                  <w:tcW w:w="1417" w:type="dxa"/>
                </w:tcPr>
                <w:p w14:paraId="674808A8">
                  <w:pPr>
                    <w:adjustRightInd w:val="0"/>
                    <w:snapToGrid w:val="0"/>
                    <w:ind w:firstLine="0" w:firstLineChars="0"/>
                    <w:jc w:val="center"/>
                    <w:rPr>
                      <w:bCs/>
                      <w:sz w:val="21"/>
                      <w:szCs w:val="21"/>
                    </w:rPr>
                  </w:pPr>
                  <w:r>
                    <w:rPr>
                      <w:rFonts w:hint="eastAsia"/>
                      <w:bCs/>
                      <w:sz w:val="21"/>
                      <w:szCs w:val="21"/>
                    </w:rPr>
                    <w:t>已建</w:t>
                  </w:r>
                </w:p>
              </w:tc>
            </w:tr>
            <w:tr w14:paraId="64FF4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731" w:type="dxa"/>
                </w:tcPr>
                <w:p w14:paraId="5E9D018A">
                  <w:pPr>
                    <w:adjustRightInd w:val="0"/>
                    <w:snapToGrid w:val="0"/>
                    <w:ind w:firstLine="0" w:firstLineChars="0"/>
                    <w:rPr>
                      <w:bCs/>
                      <w:sz w:val="21"/>
                      <w:szCs w:val="21"/>
                    </w:rPr>
                  </w:pPr>
                  <w:r>
                    <w:rPr>
                      <w:rFonts w:hint="eastAsia"/>
                      <w:bCs/>
                      <w:sz w:val="21"/>
                      <w:szCs w:val="21"/>
                    </w:rPr>
                    <w:t>5</w:t>
                  </w:r>
                </w:p>
              </w:tc>
              <w:tc>
                <w:tcPr>
                  <w:tcW w:w="1276" w:type="dxa"/>
                  <w:vMerge w:val="continue"/>
                  <w:vAlign w:val="center"/>
                </w:tcPr>
                <w:p w14:paraId="4850EB6A">
                  <w:pPr>
                    <w:adjustRightInd w:val="0"/>
                    <w:snapToGrid w:val="0"/>
                    <w:ind w:firstLine="0" w:firstLineChars="0"/>
                    <w:rPr>
                      <w:bCs/>
                      <w:sz w:val="21"/>
                      <w:szCs w:val="21"/>
                    </w:rPr>
                  </w:pPr>
                </w:p>
              </w:tc>
              <w:tc>
                <w:tcPr>
                  <w:tcW w:w="2246" w:type="dxa"/>
                </w:tcPr>
                <w:p w14:paraId="63642B01">
                  <w:pPr>
                    <w:adjustRightInd w:val="0"/>
                    <w:snapToGrid w:val="0"/>
                    <w:ind w:firstLine="420"/>
                    <w:rPr>
                      <w:bCs/>
                      <w:sz w:val="21"/>
                      <w:szCs w:val="21"/>
                    </w:rPr>
                  </w:pPr>
                  <w:r>
                    <w:rPr>
                      <w:rFonts w:hint="eastAsia"/>
                      <w:bCs/>
                      <w:sz w:val="21"/>
                      <w:szCs w:val="21"/>
                    </w:rPr>
                    <w:t>叉车</w:t>
                  </w:r>
                </w:p>
              </w:tc>
              <w:tc>
                <w:tcPr>
                  <w:tcW w:w="1377" w:type="dxa"/>
                </w:tcPr>
                <w:p w14:paraId="14D2BBFA">
                  <w:pPr>
                    <w:adjustRightInd w:val="0"/>
                    <w:snapToGrid w:val="0"/>
                    <w:ind w:firstLine="420"/>
                    <w:rPr>
                      <w:bCs/>
                      <w:sz w:val="21"/>
                      <w:szCs w:val="21"/>
                    </w:rPr>
                  </w:pPr>
                  <w:r>
                    <w:rPr>
                      <w:rFonts w:hint="eastAsia"/>
                      <w:bCs/>
                      <w:sz w:val="21"/>
                      <w:szCs w:val="21"/>
                    </w:rPr>
                    <w:t>3台</w:t>
                  </w:r>
                </w:p>
              </w:tc>
              <w:tc>
                <w:tcPr>
                  <w:tcW w:w="1559" w:type="dxa"/>
                </w:tcPr>
                <w:p w14:paraId="73822DE6">
                  <w:pPr>
                    <w:adjustRightInd w:val="0"/>
                    <w:snapToGrid w:val="0"/>
                    <w:ind w:firstLine="0" w:firstLineChars="0"/>
                    <w:rPr>
                      <w:bCs/>
                      <w:sz w:val="21"/>
                      <w:szCs w:val="21"/>
                    </w:rPr>
                  </w:pPr>
                  <w:r>
                    <w:rPr>
                      <w:rFonts w:hint="eastAsia"/>
                      <w:bCs/>
                      <w:sz w:val="21"/>
                      <w:szCs w:val="21"/>
                    </w:rPr>
                    <w:t>/</w:t>
                  </w:r>
                </w:p>
              </w:tc>
              <w:tc>
                <w:tcPr>
                  <w:tcW w:w="1417" w:type="dxa"/>
                </w:tcPr>
                <w:p w14:paraId="6427C6B7">
                  <w:pPr>
                    <w:adjustRightInd w:val="0"/>
                    <w:snapToGrid w:val="0"/>
                    <w:ind w:firstLine="0" w:firstLineChars="0"/>
                    <w:jc w:val="center"/>
                    <w:rPr>
                      <w:bCs/>
                      <w:sz w:val="21"/>
                      <w:szCs w:val="21"/>
                    </w:rPr>
                  </w:pPr>
                  <w:r>
                    <w:rPr>
                      <w:rFonts w:hint="eastAsia"/>
                      <w:bCs/>
                      <w:sz w:val="21"/>
                      <w:szCs w:val="21"/>
                    </w:rPr>
                    <w:t>已建</w:t>
                  </w:r>
                </w:p>
              </w:tc>
            </w:tr>
            <w:tr w14:paraId="1F1A2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731" w:type="dxa"/>
                </w:tcPr>
                <w:p w14:paraId="301C21B8">
                  <w:pPr>
                    <w:adjustRightInd w:val="0"/>
                    <w:snapToGrid w:val="0"/>
                    <w:ind w:firstLine="0" w:firstLineChars="0"/>
                    <w:rPr>
                      <w:bCs/>
                      <w:sz w:val="21"/>
                      <w:szCs w:val="21"/>
                    </w:rPr>
                  </w:pPr>
                  <w:r>
                    <w:rPr>
                      <w:rFonts w:hint="eastAsia"/>
                      <w:bCs/>
                      <w:sz w:val="21"/>
                      <w:szCs w:val="21"/>
                    </w:rPr>
                    <w:t>6</w:t>
                  </w:r>
                </w:p>
              </w:tc>
              <w:tc>
                <w:tcPr>
                  <w:tcW w:w="1276" w:type="dxa"/>
                  <w:vMerge w:val="continue"/>
                  <w:vAlign w:val="center"/>
                </w:tcPr>
                <w:p w14:paraId="42464E1C">
                  <w:pPr>
                    <w:adjustRightInd w:val="0"/>
                    <w:snapToGrid w:val="0"/>
                    <w:ind w:firstLine="0" w:firstLineChars="0"/>
                    <w:rPr>
                      <w:bCs/>
                      <w:sz w:val="21"/>
                      <w:szCs w:val="21"/>
                    </w:rPr>
                  </w:pPr>
                </w:p>
              </w:tc>
              <w:tc>
                <w:tcPr>
                  <w:tcW w:w="2246" w:type="dxa"/>
                </w:tcPr>
                <w:p w14:paraId="1E2F5FD7">
                  <w:pPr>
                    <w:adjustRightInd w:val="0"/>
                    <w:snapToGrid w:val="0"/>
                    <w:ind w:firstLine="420"/>
                    <w:rPr>
                      <w:bCs/>
                      <w:sz w:val="21"/>
                      <w:szCs w:val="21"/>
                    </w:rPr>
                  </w:pPr>
                  <w:r>
                    <w:rPr>
                      <w:rFonts w:hint="eastAsia"/>
                      <w:bCs/>
                      <w:sz w:val="21"/>
                      <w:szCs w:val="21"/>
                    </w:rPr>
                    <w:t>中央除尘器</w:t>
                  </w:r>
                </w:p>
              </w:tc>
              <w:tc>
                <w:tcPr>
                  <w:tcW w:w="1377" w:type="dxa"/>
                </w:tcPr>
                <w:p w14:paraId="1A7C8284">
                  <w:pPr>
                    <w:adjustRightInd w:val="0"/>
                    <w:snapToGrid w:val="0"/>
                    <w:ind w:firstLine="420"/>
                    <w:rPr>
                      <w:bCs/>
                      <w:sz w:val="21"/>
                      <w:szCs w:val="21"/>
                    </w:rPr>
                  </w:pPr>
                  <w:r>
                    <w:rPr>
                      <w:rFonts w:hint="eastAsia"/>
                      <w:bCs/>
                      <w:sz w:val="21"/>
                      <w:szCs w:val="21"/>
                    </w:rPr>
                    <w:t>1套</w:t>
                  </w:r>
                </w:p>
              </w:tc>
              <w:tc>
                <w:tcPr>
                  <w:tcW w:w="1559" w:type="dxa"/>
                </w:tcPr>
                <w:p w14:paraId="35A7B967">
                  <w:pPr>
                    <w:adjustRightInd w:val="0"/>
                    <w:snapToGrid w:val="0"/>
                    <w:ind w:firstLine="0" w:firstLineChars="0"/>
                    <w:rPr>
                      <w:bCs/>
                      <w:sz w:val="21"/>
                      <w:szCs w:val="21"/>
                    </w:rPr>
                  </w:pPr>
                  <w:r>
                    <w:rPr>
                      <w:rFonts w:hint="eastAsia"/>
                      <w:bCs/>
                      <w:sz w:val="21"/>
                      <w:szCs w:val="21"/>
                    </w:rPr>
                    <w:t>/</w:t>
                  </w:r>
                </w:p>
              </w:tc>
              <w:tc>
                <w:tcPr>
                  <w:tcW w:w="1417" w:type="dxa"/>
                </w:tcPr>
                <w:p w14:paraId="7E8067C6">
                  <w:pPr>
                    <w:adjustRightInd w:val="0"/>
                    <w:snapToGrid w:val="0"/>
                    <w:ind w:firstLine="0" w:firstLineChars="0"/>
                    <w:jc w:val="center"/>
                    <w:rPr>
                      <w:bCs/>
                      <w:sz w:val="21"/>
                      <w:szCs w:val="21"/>
                    </w:rPr>
                  </w:pPr>
                  <w:r>
                    <w:rPr>
                      <w:rFonts w:hint="eastAsia"/>
                      <w:bCs/>
                      <w:sz w:val="21"/>
                      <w:szCs w:val="21"/>
                    </w:rPr>
                    <w:t>已建</w:t>
                  </w:r>
                </w:p>
              </w:tc>
            </w:tr>
            <w:tr w14:paraId="36EC6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731" w:type="dxa"/>
                </w:tcPr>
                <w:p w14:paraId="48A851A5">
                  <w:pPr>
                    <w:adjustRightInd w:val="0"/>
                    <w:snapToGrid w:val="0"/>
                    <w:ind w:firstLine="0" w:firstLineChars="0"/>
                    <w:rPr>
                      <w:bCs/>
                      <w:sz w:val="21"/>
                      <w:szCs w:val="21"/>
                    </w:rPr>
                  </w:pPr>
                  <w:r>
                    <w:rPr>
                      <w:rFonts w:hint="eastAsia"/>
                      <w:bCs/>
                      <w:sz w:val="21"/>
                      <w:szCs w:val="21"/>
                    </w:rPr>
                    <w:t>7</w:t>
                  </w:r>
                </w:p>
              </w:tc>
              <w:tc>
                <w:tcPr>
                  <w:tcW w:w="1276" w:type="dxa"/>
                  <w:vMerge w:val="restart"/>
                  <w:vAlign w:val="center"/>
                </w:tcPr>
                <w:p w14:paraId="7C5105CC">
                  <w:pPr>
                    <w:adjustRightInd w:val="0"/>
                    <w:snapToGrid w:val="0"/>
                    <w:ind w:firstLine="0" w:firstLineChars="0"/>
                    <w:rPr>
                      <w:bCs/>
                      <w:sz w:val="21"/>
                      <w:szCs w:val="21"/>
                    </w:rPr>
                  </w:pPr>
                  <w:r>
                    <w:rPr>
                      <w:rFonts w:hint="eastAsia"/>
                      <w:bCs/>
                      <w:sz w:val="21"/>
                      <w:szCs w:val="21"/>
                    </w:rPr>
                    <w:t>二车间（本次扩建项目）</w:t>
                  </w:r>
                </w:p>
              </w:tc>
              <w:tc>
                <w:tcPr>
                  <w:tcW w:w="2246" w:type="dxa"/>
                </w:tcPr>
                <w:p w14:paraId="4B5861AA">
                  <w:pPr>
                    <w:adjustRightInd w:val="0"/>
                    <w:snapToGrid w:val="0"/>
                    <w:ind w:firstLine="420"/>
                    <w:rPr>
                      <w:bCs/>
                      <w:sz w:val="21"/>
                      <w:szCs w:val="21"/>
                    </w:rPr>
                  </w:pPr>
                  <w:r>
                    <w:rPr>
                      <w:rFonts w:hint="eastAsia"/>
                      <w:bCs/>
                      <w:sz w:val="21"/>
                      <w:szCs w:val="21"/>
                    </w:rPr>
                    <w:t>自动压贴机</w:t>
                  </w:r>
                </w:p>
              </w:tc>
              <w:tc>
                <w:tcPr>
                  <w:tcW w:w="1377" w:type="dxa"/>
                </w:tcPr>
                <w:p w14:paraId="18A788A8">
                  <w:pPr>
                    <w:adjustRightInd w:val="0"/>
                    <w:snapToGrid w:val="0"/>
                    <w:ind w:firstLine="420"/>
                    <w:rPr>
                      <w:bCs/>
                      <w:sz w:val="21"/>
                      <w:szCs w:val="21"/>
                    </w:rPr>
                  </w:pPr>
                  <w:r>
                    <w:rPr>
                      <w:rFonts w:hint="eastAsia"/>
                      <w:bCs/>
                      <w:sz w:val="21"/>
                      <w:szCs w:val="21"/>
                    </w:rPr>
                    <w:t>2台</w:t>
                  </w:r>
                </w:p>
              </w:tc>
              <w:tc>
                <w:tcPr>
                  <w:tcW w:w="1559" w:type="dxa"/>
                </w:tcPr>
                <w:p w14:paraId="6E325CF6">
                  <w:pPr>
                    <w:adjustRightInd w:val="0"/>
                    <w:snapToGrid w:val="0"/>
                    <w:ind w:firstLine="420"/>
                    <w:rPr>
                      <w:bCs/>
                      <w:sz w:val="21"/>
                      <w:szCs w:val="21"/>
                    </w:rPr>
                  </w:pPr>
                  <w:r>
                    <w:rPr>
                      <w:rFonts w:hint="eastAsia"/>
                      <w:bCs/>
                      <w:sz w:val="21"/>
                      <w:szCs w:val="21"/>
                    </w:rPr>
                    <w:t>/</w:t>
                  </w:r>
                </w:p>
              </w:tc>
              <w:tc>
                <w:tcPr>
                  <w:tcW w:w="1417" w:type="dxa"/>
                </w:tcPr>
                <w:p w14:paraId="1D253198">
                  <w:pPr>
                    <w:adjustRightInd w:val="0"/>
                    <w:snapToGrid w:val="0"/>
                    <w:ind w:firstLine="420"/>
                    <w:rPr>
                      <w:bCs/>
                      <w:sz w:val="21"/>
                      <w:szCs w:val="21"/>
                    </w:rPr>
                  </w:pPr>
                  <w:r>
                    <w:rPr>
                      <w:rFonts w:hint="eastAsia"/>
                      <w:bCs/>
                      <w:sz w:val="21"/>
                      <w:szCs w:val="21"/>
                    </w:rPr>
                    <w:t>新增</w:t>
                  </w:r>
                </w:p>
              </w:tc>
            </w:tr>
            <w:tr w14:paraId="5143A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731" w:type="dxa"/>
                </w:tcPr>
                <w:p w14:paraId="25589D5E">
                  <w:pPr>
                    <w:adjustRightInd w:val="0"/>
                    <w:snapToGrid w:val="0"/>
                    <w:ind w:firstLine="0" w:firstLineChars="0"/>
                    <w:rPr>
                      <w:bCs/>
                      <w:sz w:val="21"/>
                      <w:szCs w:val="21"/>
                    </w:rPr>
                  </w:pPr>
                  <w:r>
                    <w:rPr>
                      <w:rFonts w:hint="eastAsia"/>
                      <w:bCs/>
                      <w:sz w:val="21"/>
                      <w:szCs w:val="21"/>
                    </w:rPr>
                    <w:t>8</w:t>
                  </w:r>
                </w:p>
              </w:tc>
              <w:tc>
                <w:tcPr>
                  <w:tcW w:w="1276" w:type="dxa"/>
                  <w:vMerge w:val="continue"/>
                </w:tcPr>
                <w:p w14:paraId="5399E475">
                  <w:pPr>
                    <w:adjustRightInd w:val="0"/>
                    <w:snapToGrid w:val="0"/>
                    <w:ind w:firstLine="0" w:firstLineChars="0"/>
                    <w:rPr>
                      <w:bCs/>
                      <w:sz w:val="21"/>
                      <w:szCs w:val="21"/>
                    </w:rPr>
                  </w:pPr>
                </w:p>
              </w:tc>
              <w:tc>
                <w:tcPr>
                  <w:tcW w:w="2246" w:type="dxa"/>
                </w:tcPr>
                <w:p w14:paraId="51DE3704">
                  <w:pPr>
                    <w:adjustRightInd w:val="0"/>
                    <w:snapToGrid w:val="0"/>
                    <w:ind w:firstLine="420"/>
                    <w:rPr>
                      <w:bCs/>
                      <w:sz w:val="21"/>
                      <w:szCs w:val="21"/>
                    </w:rPr>
                  </w:pPr>
                  <w:r>
                    <w:rPr>
                      <w:rFonts w:hint="eastAsia"/>
                      <w:bCs/>
                      <w:sz w:val="21"/>
                      <w:szCs w:val="21"/>
                    </w:rPr>
                    <w:t>自动凉板机</w:t>
                  </w:r>
                </w:p>
              </w:tc>
              <w:tc>
                <w:tcPr>
                  <w:tcW w:w="1377" w:type="dxa"/>
                </w:tcPr>
                <w:p w14:paraId="54F17E7A">
                  <w:pPr>
                    <w:adjustRightInd w:val="0"/>
                    <w:snapToGrid w:val="0"/>
                    <w:ind w:firstLine="420"/>
                    <w:rPr>
                      <w:bCs/>
                      <w:sz w:val="21"/>
                      <w:szCs w:val="21"/>
                    </w:rPr>
                  </w:pPr>
                  <w:r>
                    <w:rPr>
                      <w:rFonts w:hint="eastAsia"/>
                      <w:bCs/>
                      <w:sz w:val="21"/>
                      <w:szCs w:val="21"/>
                    </w:rPr>
                    <w:t>2台</w:t>
                  </w:r>
                </w:p>
              </w:tc>
              <w:tc>
                <w:tcPr>
                  <w:tcW w:w="1559" w:type="dxa"/>
                </w:tcPr>
                <w:p w14:paraId="4F8DE8FC">
                  <w:pPr>
                    <w:adjustRightInd w:val="0"/>
                    <w:snapToGrid w:val="0"/>
                    <w:ind w:firstLine="420"/>
                    <w:rPr>
                      <w:bCs/>
                      <w:sz w:val="21"/>
                      <w:szCs w:val="21"/>
                    </w:rPr>
                  </w:pPr>
                  <w:r>
                    <w:rPr>
                      <w:rFonts w:hint="eastAsia"/>
                      <w:bCs/>
                      <w:sz w:val="21"/>
                      <w:szCs w:val="21"/>
                    </w:rPr>
                    <w:t>/</w:t>
                  </w:r>
                </w:p>
              </w:tc>
              <w:tc>
                <w:tcPr>
                  <w:tcW w:w="1417" w:type="dxa"/>
                </w:tcPr>
                <w:p w14:paraId="122FDD26">
                  <w:pPr>
                    <w:adjustRightInd w:val="0"/>
                    <w:snapToGrid w:val="0"/>
                    <w:ind w:firstLine="420"/>
                    <w:rPr>
                      <w:bCs/>
                      <w:sz w:val="21"/>
                      <w:szCs w:val="21"/>
                    </w:rPr>
                  </w:pPr>
                  <w:r>
                    <w:rPr>
                      <w:rFonts w:hint="eastAsia"/>
                      <w:bCs/>
                      <w:sz w:val="21"/>
                      <w:szCs w:val="21"/>
                    </w:rPr>
                    <w:t>新增</w:t>
                  </w:r>
                </w:p>
              </w:tc>
            </w:tr>
            <w:tr w14:paraId="0C35D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731" w:type="dxa"/>
                </w:tcPr>
                <w:p w14:paraId="2B653EA2">
                  <w:pPr>
                    <w:adjustRightInd w:val="0"/>
                    <w:snapToGrid w:val="0"/>
                    <w:ind w:firstLine="0" w:firstLineChars="0"/>
                    <w:rPr>
                      <w:bCs/>
                      <w:sz w:val="21"/>
                      <w:szCs w:val="21"/>
                    </w:rPr>
                  </w:pPr>
                  <w:r>
                    <w:rPr>
                      <w:rFonts w:hint="eastAsia"/>
                      <w:bCs/>
                      <w:sz w:val="21"/>
                      <w:szCs w:val="21"/>
                    </w:rPr>
                    <w:t>9</w:t>
                  </w:r>
                </w:p>
              </w:tc>
              <w:tc>
                <w:tcPr>
                  <w:tcW w:w="1276" w:type="dxa"/>
                  <w:vMerge w:val="continue"/>
                </w:tcPr>
                <w:p w14:paraId="6620983A">
                  <w:pPr>
                    <w:adjustRightInd w:val="0"/>
                    <w:snapToGrid w:val="0"/>
                    <w:ind w:firstLine="0" w:firstLineChars="0"/>
                    <w:rPr>
                      <w:bCs/>
                      <w:sz w:val="21"/>
                      <w:szCs w:val="21"/>
                    </w:rPr>
                  </w:pPr>
                </w:p>
              </w:tc>
              <w:tc>
                <w:tcPr>
                  <w:tcW w:w="2246" w:type="dxa"/>
                </w:tcPr>
                <w:p w14:paraId="0B7CDEF0">
                  <w:pPr>
                    <w:adjustRightInd w:val="0"/>
                    <w:snapToGrid w:val="0"/>
                    <w:ind w:firstLine="420"/>
                    <w:rPr>
                      <w:bCs/>
                      <w:sz w:val="21"/>
                      <w:szCs w:val="21"/>
                    </w:rPr>
                  </w:pPr>
                  <w:r>
                    <w:rPr>
                      <w:rFonts w:hint="eastAsia"/>
                      <w:bCs/>
                      <w:sz w:val="21"/>
                      <w:szCs w:val="21"/>
                    </w:rPr>
                    <w:t>燃气模温机</w:t>
                  </w:r>
                </w:p>
              </w:tc>
              <w:tc>
                <w:tcPr>
                  <w:tcW w:w="1377" w:type="dxa"/>
                </w:tcPr>
                <w:p w14:paraId="508145F3">
                  <w:pPr>
                    <w:adjustRightInd w:val="0"/>
                    <w:snapToGrid w:val="0"/>
                    <w:ind w:firstLine="420"/>
                    <w:rPr>
                      <w:bCs/>
                      <w:sz w:val="21"/>
                      <w:szCs w:val="21"/>
                    </w:rPr>
                  </w:pPr>
                  <w:r>
                    <w:rPr>
                      <w:rFonts w:hint="eastAsia"/>
                      <w:bCs/>
                      <w:sz w:val="21"/>
                      <w:szCs w:val="21"/>
                    </w:rPr>
                    <w:t>2台</w:t>
                  </w:r>
                </w:p>
              </w:tc>
              <w:tc>
                <w:tcPr>
                  <w:tcW w:w="1559" w:type="dxa"/>
                </w:tcPr>
                <w:p w14:paraId="0A654DED">
                  <w:pPr>
                    <w:adjustRightInd w:val="0"/>
                    <w:snapToGrid w:val="0"/>
                    <w:ind w:firstLine="0" w:firstLineChars="0"/>
                    <w:jc w:val="center"/>
                    <w:rPr>
                      <w:bCs/>
                      <w:sz w:val="21"/>
                      <w:szCs w:val="21"/>
                    </w:rPr>
                  </w:pPr>
                  <w:r>
                    <w:rPr>
                      <w:bCs/>
                      <w:sz w:val="21"/>
                      <w:szCs w:val="21"/>
                    </w:rPr>
                    <w:t>YQW-98Q</w:t>
                  </w:r>
                </w:p>
              </w:tc>
              <w:tc>
                <w:tcPr>
                  <w:tcW w:w="1417" w:type="dxa"/>
                </w:tcPr>
                <w:p w14:paraId="6B6B3DFC">
                  <w:pPr>
                    <w:adjustRightInd w:val="0"/>
                    <w:snapToGrid w:val="0"/>
                    <w:ind w:firstLine="0" w:firstLineChars="0"/>
                    <w:jc w:val="center"/>
                    <w:rPr>
                      <w:bCs/>
                      <w:sz w:val="21"/>
                      <w:szCs w:val="21"/>
                    </w:rPr>
                  </w:pPr>
                  <w:r>
                    <w:rPr>
                      <w:rFonts w:hint="eastAsia"/>
                      <w:bCs/>
                      <w:sz w:val="21"/>
                      <w:szCs w:val="21"/>
                    </w:rPr>
                    <w:t>新增</w:t>
                  </w:r>
                </w:p>
              </w:tc>
            </w:tr>
            <w:tr w14:paraId="2194D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731" w:type="dxa"/>
                </w:tcPr>
                <w:p w14:paraId="07C341CD">
                  <w:pPr>
                    <w:adjustRightInd w:val="0"/>
                    <w:snapToGrid w:val="0"/>
                    <w:ind w:firstLine="0" w:firstLineChars="0"/>
                    <w:rPr>
                      <w:bCs/>
                      <w:sz w:val="21"/>
                      <w:szCs w:val="21"/>
                    </w:rPr>
                  </w:pPr>
                  <w:r>
                    <w:rPr>
                      <w:rFonts w:hint="eastAsia"/>
                      <w:bCs/>
                      <w:sz w:val="21"/>
                      <w:szCs w:val="21"/>
                    </w:rPr>
                    <w:t>10</w:t>
                  </w:r>
                </w:p>
              </w:tc>
              <w:tc>
                <w:tcPr>
                  <w:tcW w:w="1276" w:type="dxa"/>
                  <w:vMerge w:val="continue"/>
                </w:tcPr>
                <w:p w14:paraId="68BFFAA3">
                  <w:pPr>
                    <w:adjustRightInd w:val="0"/>
                    <w:snapToGrid w:val="0"/>
                    <w:ind w:firstLine="0" w:firstLineChars="0"/>
                    <w:rPr>
                      <w:bCs/>
                      <w:sz w:val="21"/>
                      <w:szCs w:val="21"/>
                    </w:rPr>
                  </w:pPr>
                </w:p>
              </w:tc>
              <w:tc>
                <w:tcPr>
                  <w:tcW w:w="2246" w:type="dxa"/>
                </w:tcPr>
                <w:p w14:paraId="27FF1CA7">
                  <w:pPr>
                    <w:adjustRightInd w:val="0"/>
                    <w:snapToGrid w:val="0"/>
                    <w:ind w:firstLine="420"/>
                    <w:rPr>
                      <w:bCs/>
                      <w:sz w:val="21"/>
                      <w:szCs w:val="21"/>
                    </w:rPr>
                  </w:pPr>
                  <w:r>
                    <w:rPr>
                      <w:rFonts w:hint="eastAsia"/>
                      <w:bCs/>
                      <w:sz w:val="21"/>
                      <w:szCs w:val="21"/>
                    </w:rPr>
                    <w:t>修边机</w:t>
                  </w:r>
                </w:p>
              </w:tc>
              <w:tc>
                <w:tcPr>
                  <w:tcW w:w="1377" w:type="dxa"/>
                </w:tcPr>
                <w:p w14:paraId="00FAF98E">
                  <w:pPr>
                    <w:adjustRightInd w:val="0"/>
                    <w:snapToGrid w:val="0"/>
                    <w:ind w:firstLine="420"/>
                    <w:rPr>
                      <w:bCs/>
                      <w:sz w:val="21"/>
                      <w:szCs w:val="21"/>
                    </w:rPr>
                  </w:pPr>
                  <w:r>
                    <w:rPr>
                      <w:rFonts w:hint="eastAsia"/>
                      <w:bCs/>
                      <w:sz w:val="21"/>
                      <w:szCs w:val="21"/>
                    </w:rPr>
                    <w:t>2台</w:t>
                  </w:r>
                </w:p>
              </w:tc>
              <w:tc>
                <w:tcPr>
                  <w:tcW w:w="1559" w:type="dxa"/>
                </w:tcPr>
                <w:p w14:paraId="3744699E">
                  <w:pPr>
                    <w:adjustRightInd w:val="0"/>
                    <w:snapToGrid w:val="0"/>
                    <w:ind w:firstLine="420"/>
                    <w:rPr>
                      <w:bCs/>
                      <w:sz w:val="21"/>
                      <w:szCs w:val="21"/>
                    </w:rPr>
                  </w:pPr>
                  <w:r>
                    <w:rPr>
                      <w:rFonts w:hint="eastAsia"/>
                      <w:bCs/>
                      <w:sz w:val="21"/>
                      <w:szCs w:val="21"/>
                    </w:rPr>
                    <w:t>/</w:t>
                  </w:r>
                </w:p>
              </w:tc>
              <w:tc>
                <w:tcPr>
                  <w:tcW w:w="1417" w:type="dxa"/>
                </w:tcPr>
                <w:p w14:paraId="5694B29B">
                  <w:pPr>
                    <w:adjustRightInd w:val="0"/>
                    <w:snapToGrid w:val="0"/>
                    <w:ind w:firstLine="420"/>
                    <w:rPr>
                      <w:bCs/>
                      <w:sz w:val="21"/>
                      <w:szCs w:val="21"/>
                    </w:rPr>
                  </w:pPr>
                  <w:r>
                    <w:rPr>
                      <w:rFonts w:hint="eastAsia"/>
                      <w:bCs/>
                      <w:sz w:val="21"/>
                      <w:szCs w:val="21"/>
                    </w:rPr>
                    <w:t>新增</w:t>
                  </w:r>
                </w:p>
              </w:tc>
            </w:tr>
            <w:tr w14:paraId="3F199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731" w:type="dxa"/>
                </w:tcPr>
                <w:p w14:paraId="6554C6B0">
                  <w:pPr>
                    <w:adjustRightInd w:val="0"/>
                    <w:snapToGrid w:val="0"/>
                    <w:ind w:firstLine="0" w:firstLineChars="0"/>
                    <w:rPr>
                      <w:bCs/>
                      <w:sz w:val="21"/>
                      <w:szCs w:val="21"/>
                    </w:rPr>
                  </w:pPr>
                  <w:r>
                    <w:rPr>
                      <w:rFonts w:hint="eastAsia"/>
                      <w:bCs/>
                      <w:sz w:val="21"/>
                      <w:szCs w:val="21"/>
                    </w:rPr>
                    <w:t>11</w:t>
                  </w:r>
                </w:p>
              </w:tc>
              <w:tc>
                <w:tcPr>
                  <w:tcW w:w="1276" w:type="dxa"/>
                  <w:vMerge w:val="continue"/>
                </w:tcPr>
                <w:p w14:paraId="00572B4D">
                  <w:pPr>
                    <w:adjustRightInd w:val="0"/>
                    <w:snapToGrid w:val="0"/>
                    <w:ind w:firstLine="0" w:firstLineChars="0"/>
                    <w:rPr>
                      <w:bCs/>
                      <w:sz w:val="21"/>
                      <w:szCs w:val="21"/>
                    </w:rPr>
                  </w:pPr>
                </w:p>
              </w:tc>
              <w:tc>
                <w:tcPr>
                  <w:tcW w:w="2246" w:type="dxa"/>
                </w:tcPr>
                <w:p w14:paraId="2B24E8E3">
                  <w:pPr>
                    <w:adjustRightInd w:val="0"/>
                    <w:snapToGrid w:val="0"/>
                    <w:ind w:firstLine="420"/>
                    <w:rPr>
                      <w:bCs/>
                      <w:sz w:val="21"/>
                      <w:szCs w:val="21"/>
                    </w:rPr>
                  </w:pPr>
                  <w:r>
                    <w:rPr>
                      <w:rFonts w:hint="eastAsia"/>
                      <w:bCs/>
                      <w:sz w:val="21"/>
                      <w:szCs w:val="21"/>
                    </w:rPr>
                    <w:t>叉车</w:t>
                  </w:r>
                </w:p>
              </w:tc>
              <w:tc>
                <w:tcPr>
                  <w:tcW w:w="1377" w:type="dxa"/>
                </w:tcPr>
                <w:p w14:paraId="420723FC">
                  <w:pPr>
                    <w:adjustRightInd w:val="0"/>
                    <w:snapToGrid w:val="0"/>
                    <w:ind w:firstLine="420"/>
                    <w:rPr>
                      <w:bCs/>
                      <w:sz w:val="21"/>
                      <w:szCs w:val="21"/>
                    </w:rPr>
                  </w:pPr>
                  <w:r>
                    <w:rPr>
                      <w:rFonts w:hint="eastAsia"/>
                      <w:bCs/>
                      <w:sz w:val="21"/>
                      <w:szCs w:val="21"/>
                    </w:rPr>
                    <w:t>2台</w:t>
                  </w:r>
                </w:p>
              </w:tc>
              <w:tc>
                <w:tcPr>
                  <w:tcW w:w="1559" w:type="dxa"/>
                </w:tcPr>
                <w:p w14:paraId="26FC4268">
                  <w:pPr>
                    <w:adjustRightInd w:val="0"/>
                    <w:snapToGrid w:val="0"/>
                    <w:ind w:firstLine="420"/>
                    <w:rPr>
                      <w:bCs/>
                      <w:sz w:val="21"/>
                      <w:szCs w:val="21"/>
                    </w:rPr>
                  </w:pPr>
                  <w:r>
                    <w:rPr>
                      <w:rFonts w:hint="eastAsia"/>
                      <w:bCs/>
                      <w:sz w:val="21"/>
                      <w:szCs w:val="21"/>
                    </w:rPr>
                    <w:t>/</w:t>
                  </w:r>
                </w:p>
              </w:tc>
              <w:tc>
                <w:tcPr>
                  <w:tcW w:w="1417" w:type="dxa"/>
                </w:tcPr>
                <w:p w14:paraId="368C4AAD">
                  <w:pPr>
                    <w:adjustRightInd w:val="0"/>
                    <w:snapToGrid w:val="0"/>
                    <w:ind w:firstLine="420"/>
                    <w:rPr>
                      <w:bCs/>
                      <w:sz w:val="21"/>
                      <w:szCs w:val="21"/>
                    </w:rPr>
                  </w:pPr>
                  <w:r>
                    <w:rPr>
                      <w:rFonts w:hint="eastAsia"/>
                      <w:bCs/>
                      <w:sz w:val="21"/>
                      <w:szCs w:val="21"/>
                    </w:rPr>
                    <w:t>新增</w:t>
                  </w:r>
                </w:p>
              </w:tc>
            </w:tr>
            <w:tr w14:paraId="60DF9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731" w:type="dxa"/>
                </w:tcPr>
                <w:p w14:paraId="551608DE">
                  <w:pPr>
                    <w:adjustRightInd w:val="0"/>
                    <w:snapToGrid w:val="0"/>
                    <w:ind w:firstLine="0" w:firstLineChars="0"/>
                    <w:rPr>
                      <w:bCs/>
                      <w:sz w:val="21"/>
                      <w:szCs w:val="21"/>
                    </w:rPr>
                  </w:pPr>
                  <w:r>
                    <w:rPr>
                      <w:rFonts w:hint="eastAsia"/>
                      <w:bCs/>
                      <w:sz w:val="21"/>
                      <w:szCs w:val="21"/>
                    </w:rPr>
                    <w:t>12</w:t>
                  </w:r>
                </w:p>
              </w:tc>
              <w:tc>
                <w:tcPr>
                  <w:tcW w:w="1276" w:type="dxa"/>
                  <w:vMerge w:val="continue"/>
                </w:tcPr>
                <w:p w14:paraId="495F1FF6">
                  <w:pPr>
                    <w:adjustRightInd w:val="0"/>
                    <w:snapToGrid w:val="0"/>
                    <w:ind w:firstLine="0" w:firstLineChars="0"/>
                    <w:rPr>
                      <w:bCs/>
                      <w:sz w:val="21"/>
                      <w:szCs w:val="21"/>
                    </w:rPr>
                  </w:pPr>
                </w:p>
              </w:tc>
              <w:tc>
                <w:tcPr>
                  <w:tcW w:w="2246" w:type="dxa"/>
                </w:tcPr>
                <w:p w14:paraId="615A0F1C">
                  <w:pPr>
                    <w:adjustRightInd w:val="0"/>
                    <w:snapToGrid w:val="0"/>
                    <w:ind w:firstLine="420"/>
                    <w:rPr>
                      <w:bCs/>
                      <w:sz w:val="21"/>
                      <w:szCs w:val="21"/>
                    </w:rPr>
                  </w:pPr>
                  <w:r>
                    <w:rPr>
                      <w:rFonts w:hint="eastAsia"/>
                      <w:bCs/>
                      <w:sz w:val="21"/>
                      <w:szCs w:val="21"/>
                    </w:rPr>
                    <w:t>活性炭环保设备</w:t>
                  </w:r>
                </w:p>
              </w:tc>
              <w:tc>
                <w:tcPr>
                  <w:tcW w:w="1377" w:type="dxa"/>
                </w:tcPr>
                <w:p w14:paraId="570290D8">
                  <w:pPr>
                    <w:adjustRightInd w:val="0"/>
                    <w:snapToGrid w:val="0"/>
                    <w:ind w:firstLine="420"/>
                    <w:rPr>
                      <w:bCs/>
                      <w:sz w:val="21"/>
                      <w:szCs w:val="21"/>
                    </w:rPr>
                  </w:pPr>
                  <w:r>
                    <w:rPr>
                      <w:rFonts w:hint="eastAsia"/>
                      <w:bCs/>
                      <w:sz w:val="21"/>
                      <w:szCs w:val="21"/>
                    </w:rPr>
                    <w:t>1套</w:t>
                  </w:r>
                </w:p>
              </w:tc>
              <w:tc>
                <w:tcPr>
                  <w:tcW w:w="1559" w:type="dxa"/>
                </w:tcPr>
                <w:p w14:paraId="187B88FC">
                  <w:pPr>
                    <w:adjustRightInd w:val="0"/>
                    <w:snapToGrid w:val="0"/>
                    <w:ind w:firstLine="420"/>
                    <w:rPr>
                      <w:bCs/>
                      <w:sz w:val="21"/>
                      <w:szCs w:val="21"/>
                    </w:rPr>
                  </w:pPr>
                  <w:r>
                    <w:rPr>
                      <w:rFonts w:hint="eastAsia"/>
                      <w:bCs/>
                      <w:sz w:val="21"/>
                      <w:szCs w:val="21"/>
                    </w:rPr>
                    <w:t>/</w:t>
                  </w:r>
                </w:p>
              </w:tc>
              <w:tc>
                <w:tcPr>
                  <w:tcW w:w="1417" w:type="dxa"/>
                </w:tcPr>
                <w:p w14:paraId="5642EF35">
                  <w:pPr>
                    <w:adjustRightInd w:val="0"/>
                    <w:snapToGrid w:val="0"/>
                    <w:ind w:firstLine="420"/>
                    <w:rPr>
                      <w:bCs/>
                      <w:sz w:val="21"/>
                      <w:szCs w:val="21"/>
                    </w:rPr>
                  </w:pPr>
                  <w:r>
                    <w:rPr>
                      <w:rFonts w:hint="eastAsia"/>
                      <w:bCs/>
                      <w:sz w:val="21"/>
                      <w:szCs w:val="21"/>
                    </w:rPr>
                    <w:t>新增</w:t>
                  </w:r>
                </w:p>
              </w:tc>
            </w:tr>
          </w:tbl>
          <w:p w14:paraId="7DE06EF7">
            <w:pPr>
              <w:pStyle w:val="3"/>
              <w:spacing w:before="163"/>
            </w:pPr>
            <w:r>
              <w:t>6、主要原辅材料及燃料</w:t>
            </w:r>
          </w:p>
          <w:p w14:paraId="260DF284">
            <w:pPr>
              <w:ind w:firstLine="482"/>
              <w:rPr>
                <w:rFonts w:cs="Times New Roman"/>
                <w:b/>
              </w:rPr>
            </w:pPr>
            <w:r>
              <w:rPr>
                <w:rFonts w:cs="Times New Roman"/>
                <w:b/>
              </w:rPr>
              <w:t>（1）主要原辅料及能源</w:t>
            </w:r>
          </w:p>
          <w:p w14:paraId="001D844E">
            <w:pPr>
              <w:ind w:firstLine="480"/>
              <w:rPr>
                <w:rFonts w:cs="Times New Roman"/>
              </w:rPr>
            </w:pPr>
            <w:r>
              <w:rPr>
                <w:rFonts w:cs="Times New Roman"/>
              </w:rPr>
              <w:t>本项目主要原辅料用料及能资源消耗情况见下表。</w:t>
            </w:r>
          </w:p>
          <w:p w14:paraId="0769495B">
            <w:pPr>
              <w:pStyle w:val="13"/>
              <w:keepNext/>
              <w:rPr>
                <w:rFonts w:cs="Times New Roman"/>
              </w:rPr>
            </w:pPr>
            <w:r>
              <w:rPr>
                <w:rFonts w:cs="Times New Roman"/>
              </w:rPr>
              <w:t xml:space="preserve">表 </w:t>
            </w:r>
            <w:r>
              <w:rPr>
                <w:rFonts w:cs="Times New Roman"/>
              </w:rPr>
              <w:fldChar w:fldCharType="begin"/>
            </w:r>
            <w:r>
              <w:rPr>
                <w:rFonts w:cs="Times New Roman"/>
              </w:rPr>
              <w:instrText xml:space="preserve"> SEQ seq \c </w:instrText>
            </w:r>
            <w:r>
              <w:rPr>
                <w:rFonts w:cs="Times New Roman"/>
              </w:rPr>
              <w:fldChar w:fldCharType="separate"/>
            </w:r>
            <w:r>
              <w:rPr>
                <w:rFonts w:cs="Times New Roman"/>
              </w:rPr>
              <w:t>2</w:t>
            </w:r>
            <w:r>
              <w:rPr>
                <w:rFonts w:cs="Times New Roman"/>
              </w:rPr>
              <w:fldChar w:fldCharType="end"/>
            </w:r>
            <w:r>
              <w:rPr>
                <w:rFonts w:cs="Times New Roman"/>
              </w:rPr>
              <w:noBreakHyphen/>
            </w:r>
            <w:r>
              <w:rPr>
                <w:rFonts w:hint="eastAsia" w:cs="Times New Roman"/>
              </w:rPr>
              <w:t xml:space="preserve">5 </w:t>
            </w:r>
            <w:r>
              <w:rPr>
                <w:rFonts w:cs="Times New Roman"/>
              </w:rPr>
              <w:t xml:space="preserve"> 主要原辅料及能源消耗表</w:t>
            </w:r>
          </w:p>
          <w:tbl>
            <w:tblPr>
              <w:tblStyle w:val="33"/>
              <w:tblW w:w="4957" w:type="pct"/>
              <w:jc w:val="right"/>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09"/>
              <w:gridCol w:w="483"/>
              <w:gridCol w:w="1425"/>
              <w:gridCol w:w="665"/>
              <w:gridCol w:w="1380"/>
              <w:gridCol w:w="1288"/>
              <w:gridCol w:w="2787"/>
            </w:tblGrid>
            <w:tr w14:paraId="1C4E015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right"/>
              </w:trPr>
              <w:tc>
                <w:tcPr>
                  <w:tcW w:w="457" w:type="pct"/>
                  <w:vAlign w:val="center"/>
                </w:tcPr>
                <w:p w14:paraId="6D2FD131">
                  <w:pPr>
                    <w:autoSpaceDE w:val="0"/>
                    <w:autoSpaceDN w:val="0"/>
                    <w:adjustRightInd w:val="0"/>
                    <w:snapToGrid w:val="0"/>
                    <w:spacing w:line="240" w:lineRule="auto"/>
                    <w:ind w:firstLine="0" w:firstLineChars="0"/>
                    <w:jc w:val="center"/>
                    <w:textAlignment w:val="baseline"/>
                    <w:rPr>
                      <w:sz w:val="21"/>
                      <w:szCs w:val="21"/>
                    </w:rPr>
                  </w:pPr>
                  <w:r>
                    <w:rPr>
                      <w:sz w:val="21"/>
                      <w:szCs w:val="21"/>
                    </w:rPr>
                    <w:t>项目</w:t>
                  </w:r>
                </w:p>
              </w:tc>
              <w:tc>
                <w:tcPr>
                  <w:tcW w:w="273" w:type="pct"/>
                  <w:vAlign w:val="center"/>
                </w:tcPr>
                <w:p w14:paraId="5E7948AA">
                  <w:pPr>
                    <w:autoSpaceDE w:val="0"/>
                    <w:autoSpaceDN w:val="0"/>
                    <w:adjustRightInd w:val="0"/>
                    <w:snapToGrid w:val="0"/>
                    <w:spacing w:line="240" w:lineRule="auto"/>
                    <w:ind w:firstLine="0" w:firstLineChars="0"/>
                    <w:jc w:val="center"/>
                    <w:textAlignment w:val="baseline"/>
                    <w:rPr>
                      <w:sz w:val="21"/>
                      <w:szCs w:val="21"/>
                    </w:rPr>
                  </w:pPr>
                  <w:r>
                    <w:rPr>
                      <w:sz w:val="21"/>
                      <w:szCs w:val="21"/>
                    </w:rPr>
                    <w:t>序号</w:t>
                  </w:r>
                </w:p>
              </w:tc>
              <w:tc>
                <w:tcPr>
                  <w:tcW w:w="806" w:type="pct"/>
                  <w:vAlign w:val="center"/>
                </w:tcPr>
                <w:p w14:paraId="6DE586D5">
                  <w:pPr>
                    <w:autoSpaceDE w:val="0"/>
                    <w:autoSpaceDN w:val="0"/>
                    <w:adjustRightInd w:val="0"/>
                    <w:snapToGrid w:val="0"/>
                    <w:spacing w:line="240" w:lineRule="auto"/>
                    <w:ind w:firstLine="0" w:firstLineChars="0"/>
                    <w:jc w:val="center"/>
                    <w:textAlignment w:val="baseline"/>
                    <w:rPr>
                      <w:sz w:val="21"/>
                      <w:szCs w:val="21"/>
                    </w:rPr>
                  </w:pPr>
                  <w:r>
                    <w:rPr>
                      <w:sz w:val="21"/>
                      <w:szCs w:val="21"/>
                    </w:rPr>
                    <w:t>名称</w:t>
                  </w:r>
                </w:p>
              </w:tc>
              <w:tc>
                <w:tcPr>
                  <w:tcW w:w="376" w:type="pct"/>
                  <w:vAlign w:val="center"/>
                </w:tcPr>
                <w:p w14:paraId="19729ADC">
                  <w:pPr>
                    <w:autoSpaceDE w:val="0"/>
                    <w:autoSpaceDN w:val="0"/>
                    <w:adjustRightInd w:val="0"/>
                    <w:snapToGrid w:val="0"/>
                    <w:spacing w:line="240" w:lineRule="auto"/>
                    <w:ind w:firstLine="0" w:firstLineChars="0"/>
                    <w:jc w:val="center"/>
                    <w:textAlignment w:val="baseline"/>
                    <w:rPr>
                      <w:sz w:val="21"/>
                      <w:szCs w:val="21"/>
                    </w:rPr>
                  </w:pPr>
                  <w:r>
                    <w:rPr>
                      <w:sz w:val="21"/>
                      <w:szCs w:val="21"/>
                    </w:rPr>
                    <w:t>单位</w:t>
                  </w:r>
                </w:p>
              </w:tc>
              <w:tc>
                <w:tcPr>
                  <w:tcW w:w="781" w:type="pct"/>
                  <w:vAlign w:val="center"/>
                </w:tcPr>
                <w:p w14:paraId="5CAB989A">
                  <w:pPr>
                    <w:autoSpaceDE w:val="0"/>
                    <w:autoSpaceDN w:val="0"/>
                    <w:adjustRightInd w:val="0"/>
                    <w:snapToGrid w:val="0"/>
                    <w:spacing w:line="240" w:lineRule="auto"/>
                    <w:ind w:firstLine="0" w:firstLineChars="0"/>
                    <w:jc w:val="center"/>
                    <w:textAlignment w:val="baseline"/>
                    <w:rPr>
                      <w:sz w:val="21"/>
                      <w:szCs w:val="21"/>
                    </w:rPr>
                  </w:pPr>
                  <w:r>
                    <w:rPr>
                      <w:sz w:val="21"/>
                      <w:szCs w:val="21"/>
                    </w:rPr>
                    <w:t>年用量</w:t>
                  </w:r>
                </w:p>
              </w:tc>
              <w:tc>
                <w:tcPr>
                  <w:tcW w:w="729" w:type="pct"/>
                  <w:vAlign w:val="center"/>
                </w:tcPr>
                <w:p w14:paraId="3E0A2C01">
                  <w:pPr>
                    <w:autoSpaceDE w:val="0"/>
                    <w:autoSpaceDN w:val="0"/>
                    <w:adjustRightInd w:val="0"/>
                    <w:snapToGrid w:val="0"/>
                    <w:spacing w:line="240" w:lineRule="auto"/>
                    <w:ind w:firstLine="0" w:firstLineChars="0"/>
                    <w:jc w:val="center"/>
                    <w:textAlignment w:val="baseline"/>
                    <w:rPr>
                      <w:sz w:val="21"/>
                      <w:szCs w:val="21"/>
                    </w:rPr>
                  </w:pPr>
                  <w:r>
                    <w:rPr>
                      <w:sz w:val="21"/>
                      <w:szCs w:val="21"/>
                    </w:rPr>
                    <w:t>储存</w:t>
                  </w:r>
                </w:p>
                <w:p w14:paraId="2746F6F6">
                  <w:pPr>
                    <w:autoSpaceDE w:val="0"/>
                    <w:autoSpaceDN w:val="0"/>
                    <w:adjustRightInd w:val="0"/>
                    <w:snapToGrid w:val="0"/>
                    <w:spacing w:line="240" w:lineRule="auto"/>
                    <w:ind w:firstLine="0" w:firstLineChars="0"/>
                    <w:jc w:val="center"/>
                    <w:textAlignment w:val="baseline"/>
                    <w:rPr>
                      <w:sz w:val="21"/>
                      <w:szCs w:val="21"/>
                    </w:rPr>
                  </w:pPr>
                  <w:r>
                    <w:rPr>
                      <w:sz w:val="21"/>
                      <w:szCs w:val="21"/>
                    </w:rPr>
                    <w:t>方式</w:t>
                  </w:r>
                </w:p>
              </w:tc>
              <w:tc>
                <w:tcPr>
                  <w:tcW w:w="1576" w:type="pct"/>
                  <w:vAlign w:val="center"/>
                </w:tcPr>
                <w:p w14:paraId="687CF19D">
                  <w:pPr>
                    <w:autoSpaceDE w:val="0"/>
                    <w:autoSpaceDN w:val="0"/>
                    <w:adjustRightInd w:val="0"/>
                    <w:snapToGrid w:val="0"/>
                    <w:spacing w:line="240" w:lineRule="auto"/>
                    <w:ind w:firstLine="0" w:firstLineChars="0"/>
                    <w:jc w:val="center"/>
                    <w:textAlignment w:val="baseline"/>
                    <w:rPr>
                      <w:sz w:val="21"/>
                      <w:szCs w:val="21"/>
                    </w:rPr>
                  </w:pPr>
                  <w:r>
                    <w:rPr>
                      <w:sz w:val="21"/>
                      <w:szCs w:val="21"/>
                    </w:rPr>
                    <w:t>备注</w:t>
                  </w:r>
                </w:p>
              </w:tc>
            </w:tr>
            <w:tr w14:paraId="5C02DC0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right"/>
              </w:trPr>
              <w:tc>
                <w:tcPr>
                  <w:tcW w:w="457" w:type="pct"/>
                  <w:vMerge w:val="restart"/>
                  <w:vAlign w:val="center"/>
                </w:tcPr>
                <w:p w14:paraId="7796DA6B">
                  <w:pPr>
                    <w:autoSpaceDE w:val="0"/>
                    <w:autoSpaceDN w:val="0"/>
                    <w:adjustRightInd w:val="0"/>
                    <w:snapToGrid w:val="0"/>
                    <w:spacing w:line="240" w:lineRule="auto"/>
                    <w:ind w:firstLine="0" w:firstLineChars="0"/>
                    <w:jc w:val="center"/>
                    <w:textAlignment w:val="baseline"/>
                    <w:rPr>
                      <w:sz w:val="21"/>
                      <w:szCs w:val="21"/>
                    </w:rPr>
                  </w:pPr>
                  <w:r>
                    <w:rPr>
                      <w:rFonts w:hint="eastAsia"/>
                      <w:sz w:val="21"/>
                      <w:szCs w:val="21"/>
                    </w:rPr>
                    <w:t>一车间</w:t>
                  </w:r>
                  <w:r>
                    <w:rPr>
                      <w:rFonts w:hint="eastAsia"/>
                      <w:bCs/>
                      <w:sz w:val="21"/>
                      <w:szCs w:val="21"/>
                    </w:rPr>
                    <w:t>（原项目）</w:t>
                  </w:r>
                  <w:r>
                    <w:rPr>
                      <w:sz w:val="21"/>
                      <w:szCs w:val="21"/>
                    </w:rPr>
                    <w:t>原辅材料</w:t>
                  </w:r>
                </w:p>
              </w:tc>
              <w:tc>
                <w:tcPr>
                  <w:tcW w:w="273" w:type="pct"/>
                  <w:vAlign w:val="center"/>
                </w:tcPr>
                <w:p w14:paraId="71463D52">
                  <w:pPr>
                    <w:autoSpaceDE w:val="0"/>
                    <w:autoSpaceDN w:val="0"/>
                    <w:adjustRightInd w:val="0"/>
                    <w:snapToGrid w:val="0"/>
                    <w:spacing w:line="240" w:lineRule="auto"/>
                    <w:ind w:firstLine="0" w:firstLineChars="0"/>
                    <w:jc w:val="center"/>
                    <w:textAlignment w:val="baseline"/>
                    <w:rPr>
                      <w:sz w:val="21"/>
                      <w:szCs w:val="21"/>
                    </w:rPr>
                  </w:pPr>
                  <w:r>
                    <w:rPr>
                      <w:rFonts w:hint="eastAsia"/>
                      <w:sz w:val="21"/>
                      <w:szCs w:val="21"/>
                    </w:rPr>
                    <w:t>1</w:t>
                  </w:r>
                </w:p>
              </w:tc>
              <w:tc>
                <w:tcPr>
                  <w:tcW w:w="806" w:type="pct"/>
                  <w:vAlign w:val="center"/>
                </w:tcPr>
                <w:p w14:paraId="2EAB55C5">
                  <w:pPr>
                    <w:adjustRightInd w:val="0"/>
                    <w:snapToGrid w:val="0"/>
                    <w:spacing w:line="240" w:lineRule="auto"/>
                    <w:ind w:firstLine="0" w:firstLineChars="0"/>
                    <w:jc w:val="center"/>
                    <w:rPr>
                      <w:sz w:val="21"/>
                      <w:szCs w:val="21"/>
                    </w:rPr>
                  </w:pPr>
                  <w:r>
                    <w:rPr>
                      <w:rFonts w:hint="eastAsia"/>
                      <w:sz w:val="21"/>
                      <w:szCs w:val="21"/>
                    </w:rPr>
                    <w:t>板材</w:t>
                  </w:r>
                </w:p>
              </w:tc>
              <w:tc>
                <w:tcPr>
                  <w:tcW w:w="376" w:type="pct"/>
                  <w:vAlign w:val="center"/>
                </w:tcPr>
                <w:p w14:paraId="7E063E74">
                  <w:pPr>
                    <w:autoSpaceDE w:val="0"/>
                    <w:autoSpaceDN w:val="0"/>
                    <w:adjustRightInd w:val="0"/>
                    <w:snapToGrid w:val="0"/>
                    <w:spacing w:line="240" w:lineRule="auto"/>
                    <w:ind w:firstLine="0" w:firstLineChars="0"/>
                    <w:jc w:val="center"/>
                    <w:textAlignment w:val="baseline"/>
                    <w:rPr>
                      <w:sz w:val="21"/>
                      <w:szCs w:val="21"/>
                    </w:rPr>
                  </w:pPr>
                  <w:r>
                    <w:rPr>
                      <w:sz w:val="21"/>
                      <w:szCs w:val="21"/>
                    </w:rPr>
                    <w:t>t</w:t>
                  </w:r>
                </w:p>
              </w:tc>
              <w:tc>
                <w:tcPr>
                  <w:tcW w:w="781" w:type="pct"/>
                  <w:vAlign w:val="center"/>
                </w:tcPr>
                <w:p w14:paraId="5096EAD1">
                  <w:pPr>
                    <w:adjustRightInd w:val="0"/>
                    <w:snapToGrid w:val="0"/>
                    <w:spacing w:line="240" w:lineRule="auto"/>
                    <w:ind w:firstLine="0" w:firstLineChars="0"/>
                    <w:jc w:val="center"/>
                    <w:rPr>
                      <w:sz w:val="21"/>
                      <w:szCs w:val="21"/>
                    </w:rPr>
                  </w:pPr>
                  <w:r>
                    <w:rPr>
                      <w:rFonts w:hint="eastAsia"/>
                      <w:sz w:val="21"/>
                      <w:szCs w:val="21"/>
                    </w:rPr>
                    <w:t>1万</w:t>
                  </w:r>
                  <w:r>
                    <w:rPr>
                      <w:sz w:val="21"/>
                      <w:szCs w:val="21"/>
                    </w:rPr>
                    <w:t>张/a</w:t>
                  </w:r>
                  <w:r>
                    <w:rPr>
                      <w:rFonts w:hint="eastAsia"/>
                      <w:sz w:val="21"/>
                      <w:szCs w:val="21"/>
                    </w:rPr>
                    <w:t>（约</w:t>
                  </w:r>
                  <w:r>
                    <w:rPr>
                      <w:rFonts w:hint="eastAsia"/>
                    </w:rPr>
                    <w:t>833</w:t>
                  </w:r>
                  <w:r>
                    <w:rPr>
                      <w:rFonts w:eastAsia="Times New Roman"/>
                    </w:rPr>
                    <w:t>m</w:t>
                  </w:r>
                  <w:r>
                    <w:rPr>
                      <w:rFonts w:hint="eastAsia"/>
                      <w:vertAlign w:val="superscript"/>
                    </w:rPr>
                    <w:t>3</w:t>
                  </w:r>
                  <w:r>
                    <w:rPr>
                      <w:sz w:val="21"/>
                      <w:szCs w:val="21"/>
                    </w:rPr>
                    <w:t>/a</w:t>
                  </w:r>
                  <w:r>
                    <w:rPr>
                      <w:rFonts w:hint="eastAsia"/>
                      <w:sz w:val="21"/>
                      <w:szCs w:val="21"/>
                    </w:rPr>
                    <w:t>）</w:t>
                  </w:r>
                </w:p>
              </w:tc>
              <w:tc>
                <w:tcPr>
                  <w:tcW w:w="729" w:type="pct"/>
                  <w:vAlign w:val="center"/>
                </w:tcPr>
                <w:p w14:paraId="48BB255F">
                  <w:pPr>
                    <w:autoSpaceDE w:val="0"/>
                    <w:autoSpaceDN w:val="0"/>
                    <w:adjustRightInd w:val="0"/>
                    <w:snapToGrid w:val="0"/>
                    <w:spacing w:line="240" w:lineRule="auto"/>
                    <w:ind w:firstLine="0" w:firstLineChars="0"/>
                    <w:jc w:val="center"/>
                    <w:textAlignment w:val="baseline"/>
                    <w:rPr>
                      <w:sz w:val="21"/>
                      <w:szCs w:val="21"/>
                    </w:rPr>
                  </w:pPr>
                  <w:r>
                    <w:rPr>
                      <w:sz w:val="21"/>
                      <w:szCs w:val="21"/>
                    </w:rPr>
                    <w:t>原料区、堆放</w:t>
                  </w:r>
                </w:p>
              </w:tc>
              <w:tc>
                <w:tcPr>
                  <w:tcW w:w="1576" w:type="pct"/>
                  <w:vAlign w:val="center"/>
                </w:tcPr>
                <w:p w14:paraId="4E95985C">
                  <w:pPr>
                    <w:autoSpaceDE w:val="0"/>
                    <w:autoSpaceDN w:val="0"/>
                    <w:adjustRightInd w:val="0"/>
                    <w:snapToGrid w:val="0"/>
                    <w:spacing w:line="240" w:lineRule="auto"/>
                    <w:ind w:firstLine="0" w:firstLineChars="0"/>
                    <w:textAlignment w:val="baseline"/>
                    <w:rPr>
                      <w:sz w:val="21"/>
                      <w:szCs w:val="21"/>
                    </w:rPr>
                  </w:pPr>
                </w:p>
              </w:tc>
            </w:tr>
            <w:tr w14:paraId="3672B83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right"/>
              </w:trPr>
              <w:tc>
                <w:tcPr>
                  <w:tcW w:w="457" w:type="pct"/>
                  <w:vMerge w:val="continue"/>
                  <w:vAlign w:val="center"/>
                </w:tcPr>
                <w:p w14:paraId="74BF29B7">
                  <w:pPr>
                    <w:autoSpaceDE w:val="0"/>
                    <w:autoSpaceDN w:val="0"/>
                    <w:adjustRightInd w:val="0"/>
                    <w:snapToGrid w:val="0"/>
                    <w:spacing w:line="240" w:lineRule="auto"/>
                    <w:ind w:firstLine="0" w:firstLineChars="0"/>
                    <w:jc w:val="center"/>
                    <w:textAlignment w:val="baseline"/>
                    <w:rPr>
                      <w:sz w:val="21"/>
                      <w:szCs w:val="21"/>
                    </w:rPr>
                  </w:pPr>
                </w:p>
              </w:tc>
              <w:tc>
                <w:tcPr>
                  <w:tcW w:w="273" w:type="pct"/>
                  <w:vAlign w:val="center"/>
                </w:tcPr>
                <w:p w14:paraId="64B04E62">
                  <w:pPr>
                    <w:autoSpaceDE w:val="0"/>
                    <w:autoSpaceDN w:val="0"/>
                    <w:adjustRightInd w:val="0"/>
                    <w:snapToGrid w:val="0"/>
                    <w:spacing w:line="240" w:lineRule="auto"/>
                    <w:ind w:firstLine="0" w:firstLineChars="0"/>
                    <w:jc w:val="center"/>
                    <w:textAlignment w:val="baseline"/>
                    <w:rPr>
                      <w:sz w:val="21"/>
                      <w:szCs w:val="21"/>
                    </w:rPr>
                  </w:pPr>
                  <w:r>
                    <w:rPr>
                      <w:rFonts w:hint="eastAsia"/>
                      <w:sz w:val="21"/>
                      <w:szCs w:val="21"/>
                    </w:rPr>
                    <w:t>2</w:t>
                  </w:r>
                </w:p>
              </w:tc>
              <w:tc>
                <w:tcPr>
                  <w:tcW w:w="806" w:type="pct"/>
                  <w:vAlign w:val="center"/>
                </w:tcPr>
                <w:p w14:paraId="5ABBFE03">
                  <w:pPr>
                    <w:adjustRightInd w:val="0"/>
                    <w:snapToGrid w:val="0"/>
                    <w:spacing w:line="240" w:lineRule="auto"/>
                    <w:ind w:firstLine="0" w:firstLineChars="0"/>
                    <w:jc w:val="center"/>
                    <w:rPr>
                      <w:sz w:val="21"/>
                      <w:szCs w:val="21"/>
                    </w:rPr>
                  </w:pPr>
                  <w:r>
                    <w:rPr>
                      <w:rFonts w:hint="eastAsia"/>
                      <w:sz w:val="21"/>
                      <w:szCs w:val="21"/>
                    </w:rPr>
                    <w:t>封边胶</w:t>
                  </w:r>
                </w:p>
              </w:tc>
              <w:tc>
                <w:tcPr>
                  <w:tcW w:w="376" w:type="pct"/>
                  <w:vAlign w:val="center"/>
                </w:tcPr>
                <w:p w14:paraId="790C8EF4">
                  <w:pPr>
                    <w:autoSpaceDE w:val="0"/>
                    <w:autoSpaceDN w:val="0"/>
                    <w:adjustRightInd w:val="0"/>
                    <w:snapToGrid w:val="0"/>
                    <w:spacing w:line="240" w:lineRule="auto"/>
                    <w:ind w:firstLine="0" w:firstLineChars="0"/>
                    <w:jc w:val="center"/>
                    <w:textAlignment w:val="baseline"/>
                    <w:rPr>
                      <w:sz w:val="21"/>
                      <w:szCs w:val="21"/>
                    </w:rPr>
                  </w:pPr>
                  <w:r>
                    <w:rPr>
                      <w:sz w:val="21"/>
                      <w:szCs w:val="21"/>
                    </w:rPr>
                    <w:t>t</w:t>
                  </w:r>
                </w:p>
              </w:tc>
              <w:tc>
                <w:tcPr>
                  <w:tcW w:w="781" w:type="pct"/>
                  <w:vAlign w:val="center"/>
                </w:tcPr>
                <w:p w14:paraId="71D52CFC">
                  <w:pPr>
                    <w:adjustRightInd w:val="0"/>
                    <w:snapToGrid w:val="0"/>
                    <w:spacing w:line="240" w:lineRule="auto"/>
                    <w:ind w:firstLine="0" w:firstLineChars="0"/>
                    <w:jc w:val="center"/>
                    <w:rPr>
                      <w:sz w:val="21"/>
                      <w:szCs w:val="21"/>
                    </w:rPr>
                  </w:pPr>
                  <w:r>
                    <w:rPr>
                      <w:rFonts w:hint="eastAsia"/>
                      <w:sz w:val="21"/>
                      <w:szCs w:val="21"/>
                    </w:rPr>
                    <w:t>1</w:t>
                  </w:r>
                </w:p>
              </w:tc>
              <w:tc>
                <w:tcPr>
                  <w:tcW w:w="729" w:type="pct"/>
                  <w:vAlign w:val="center"/>
                </w:tcPr>
                <w:p w14:paraId="1A2BB39D">
                  <w:pPr>
                    <w:autoSpaceDE w:val="0"/>
                    <w:autoSpaceDN w:val="0"/>
                    <w:adjustRightInd w:val="0"/>
                    <w:snapToGrid w:val="0"/>
                    <w:spacing w:line="240" w:lineRule="auto"/>
                    <w:ind w:firstLine="0" w:firstLineChars="0"/>
                    <w:jc w:val="center"/>
                    <w:textAlignment w:val="baseline"/>
                    <w:rPr>
                      <w:sz w:val="21"/>
                      <w:szCs w:val="21"/>
                    </w:rPr>
                  </w:pPr>
                  <w:r>
                    <w:rPr>
                      <w:rFonts w:hint="eastAsia"/>
                      <w:sz w:val="21"/>
                      <w:szCs w:val="21"/>
                    </w:rPr>
                    <w:t>包装桶</w:t>
                  </w:r>
                </w:p>
              </w:tc>
              <w:tc>
                <w:tcPr>
                  <w:tcW w:w="1576" w:type="pct"/>
                  <w:vAlign w:val="center"/>
                </w:tcPr>
                <w:p w14:paraId="19964F73">
                  <w:pPr>
                    <w:autoSpaceDE w:val="0"/>
                    <w:autoSpaceDN w:val="0"/>
                    <w:adjustRightInd w:val="0"/>
                    <w:snapToGrid w:val="0"/>
                    <w:spacing w:line="240" w:lineRule="auto"/>
                    <w:ind w:firstLine="0" w:firstLineChars="0"/>
                    <w:textAlignment w:val="baseline"/>
                    <w:rPr>
                      <w:sz w:val="21"/>
                      <w:szCs w:val="21"/>
                    </w:rPr>
                  </w:pPr>
                </w:p>
              </w:tc>
            </w:tr>
            <w:tr w14:paraId="4D66A68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right"/>
              </w:trPr>
              <w:tc>
                <w:tcPr>
                  <w:tcW w:w="457" w:type="pct"/>
                  <w:vMerge w:val="continue"/>
                  <w:vAlign w:val="center"/>
                </w:tcPr>
                <w:p w14:paraId="6A11A364">
                  <w:pPr>
                    <w:autoSpaceDE w:val="0"/>
                    <w:autoSpaceDN w:val="0"/>
                    <w:adjustRightInd w:val="0"/>
                    <w:snapToGrid w:val="0"/>
                    <w:spacing w:line="240" w:lineRule="auto"/>
                    <w:ind w:firstLine="0" w:firstLineChars="0"/>
                    <w:jc w:val="center"/>
                    <w:textAlignment w:val="baseline"/>
                    <w:rPr>
                      <w:sz w:val="21"/>
                      <w:szCs w:val="21"/>
                    </w:rPr>
                  </w:pPr>
                </w:p>
              </w:tc>
              <w:tc>
                <w:tcPr>
                  <w:tcW w:w="273" w:type="pct"/>
                  <w:vAlign w:val="center"/>
                </w:tcPr>
                <w:p w14:paraId="41B620E0">
                  <w:pPr>
                    <w:autoSpaceDE w:val="0"/>
                    <w:autoSpaceDN w:val="0"/>
                    <w:adjustRightInd w:val="0"/>
                    <w:snapToGrid w:val="0"/>
                    <w:spacing w:line="240" w:lineRule="auto"/>
                    <w:ind w:firstLine="0" w:firstLineChars="0"/>
                    <w:jc w:val="center"/>
                    <w:textAlignment w:val="baseline"/>
                    <w:rPr>
                      <w:sz w:val="21"/>
                      <w:szCs w:val="21"/>
                    </w:rPr>
                  </w:pPr>
                  <w:r>
                    <w:rPr>
                      <w:rFonts w:hint="eastAsia"/>
                      <w:sz w:val="21"/>
                      <w:szCs w:val="21"/>
                    </w:rPr>
                    <w:t>3</w:t>
                  </w:r>
                </w:p>
              </w:tc>
              <w:tc>
                <w:tcPr>
                  <w:tcW w:w="806" w:type="pct"/>
                  <w:vAlign w:val="center"/>
                </w:tcPr>
                <w:p w14:paraId="0317FA49">
                  <w:pPr>
                    <w:adjustRightInd w:val="0"/>
                    <w:snapToGrid w:val="0"/>
                    <w:spacing w:line="240" w:lineRule="auto"/>
                    <w:ind w:firstLine="0" w:firstLineChars="0"/>
                    <w:jc w:val="center"/>
                    <w:rPr>
                      <w:sz w:val="21"/>
                      <w:szCs w:val="21"/>
                    </w:rPr>
                  </w:pPr>
                  <w:r>
                    <w:rPr>
                      <w:rFonts w:hint="eastAsia"/>
                      <w:sz w:val="21"/>
                      <w:szCs w:val="21"/>
                    </w:rPr>
                    <w:t>五金</w:t>
                  </w:r>
                </w:p>
              </w:tc>
              <w:tc>
                <w:tcPr>
                  <w:tcW w:w="376" w:type="pct"/>
                  <w:vAlign w:val="center"/>
                </w:tcPr>
                <w:p w14:paraId="49E96BE1">
                  <w:pPr>
                    <w:autoSpaceDE w:val="0"/>
                    <w:autoSpaceDN w:val="0"/>
                    <w:adjustRightInd w:val="0"/>
                    <w:snapToGrid w:val="0"/>
                    <w:spacing w:line="240" w:lineRule="auto"/>
                    <w:ind w:firstLine="0" w:firstLineChars="0"/>
                    <w:jc w:val="center"/>
                    <w:textAlignment w:val="baseline"/>
                    <w:rPr>
                      <w:sz w:val="21"/>
                      <w:szCs w:val="21"/>
                    </w:rPr>
                  </w:pPr>
                  <w:r>
                    <w:rPr>
                      <w:rFonts w:hint="eastAsia"/>
                      <w:sz w:val="21"/>
                      <w:szCs w:val="21"/>
                    </w:rPr>
                    <w:t>/</w:t>
                  </w:r>
                </w:p>
              </w:tc>
              <w:tc>
                <w:tcPr>
                  <w:tcW w:w="781" w:type="pct"/>
                  <w:vAlign w:val="center"/>
                </w:tcPr>
                <w:p w14:paraId="1ADC7AC6">
                  <w:pPr>
                    <w:adjustRightInd w:val="0"/>
                    <w:snapToGrid w:val="0"/>
                    <w:spacing w:line="240" w:lineRule="auto"/>
                    <w:ind w:firstLine="0" w:firstLineChars="0"/>
                    <w:jc w:val="center"/>
                    <w:rPr>
                      <w:sz w:val="21"/>
                      <w:szCs w:val="21"/>
                    </w:rPr>
                  </w:pPr>
                  <w:r>
                    <w:rPr>
                      <w:rFonts w:hint="eastAsia"/>
                      <w:sz w:val="21"/>
                      <w:szCs w:val="21"/>
                    </w:rPr>
                    <w:t>若干</w:t>
                  </w:r>
                </w:p>
              </w:tc>
              <w:tc>
                <w:tcPr>
                  <w:tcW w:w="729" w:type="pct"/>
                  <w:vAlign w:val="center"/>
                </w:tcPr>
                <w:p w14:paraId="175EB4DB">
                  <w:pPr>
                    <w:autoSpaceDE w:val="0"/>
                    <w:autoSpaceDN w:val="0"/>
                    <w:adjustRightInd w:val="0"/>
                    <w:snapToGrid w:val="0"/>
                    <w:spacing w:line="240" w:lineRule="auto"/>
                    <w:ind w:firstLine="0" w:firstLineChars="0"/>
                    <w:jc w:val="center"/>
                    <w:textAlignment w:val="baseline"/>
                    <w:rPr>
                      <w:sz w:val="21"/>
                      <w:szCs w:val="21"/>
                    </w:rPr>
                  </w:pPr>
                  <w:r>
                    <w:rPr>
                      <w:sz w:val="21"/>
                      <w:szCs w:val="21"/>
                    </w:rPr>
                    <w:t>原料区、</w:t>
                  </w:r>
                  <w:r>
                    <w:rPr>
                      <w:rFonts w:hint="eastAsia"/>
                      <w:sz w:val="21"/>
                      <w:szCs w:val="21"/>
                    </w:rPr>
                    <w:t>包装盒</w:t>
                  </w:r>
                </w:p>
              </w:tc>
              <w:tc>
                <w:tcPr>
                  <w:tcW w:w="1576" w:type="pct"/>
                  <w:vAlign w:val="center"/>
                </w:tcPr>
                <w:p w14:paraId="274CEE82">
                  <w:pPr>
                    <w:autoSpaceDE w:val="0"/>
                    <w:autoSpaceDN w:val="0"/>
                    <w:adjustRightInd w:val="0"/>
                    <w:snapToGrid w:val="0"/>
                    <w:spacing w:line="240" w:lineRule="auto"/>
                    <w:ind w:firstLine="0" w:firstLineChars="0"/>
                    <w:textAlignment w:val="baseline"/>
                    <w:rPr>
                      <w:sz w:val="21"/>
                      <w:szCs w:val="21"/>
                    </w:rPr>
                  </w:pPr>
                </w:p>
              </w:tc>
            </w:tr>
            <w:tr w14:paraId="564007A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right"/>
              </w:trPr>
              <w:tc>
                <w:tcPr>
                  <w:tcW w:w="457" w:type="pct"/>
                  <w:vMerge w:val="restart"/>
                  <w:vAlign w:val="center"/>
                </w:tcPr>
                <w:p w14:paraId="760E5BF5">
                  <w:pPr>
                    <w:autoSpaceDE w:val="0"/>
                    <w:autoSpaceDN w:val="0"/>
                    <w:adjustRightInd w:val="0"/>
                    <w:snapToGrid w:val="0"/>
                    <w:spacing w:line="240" w:lineRule="auto"/>
                    <w:ind w:firstLine="0" w:firstLineChars="0"/>
                    <w:textAlignment w:val="baseline"/>
                    <w:rPr>
                      <w:sz w:val="21"/>
                      <w:szCs w:val="21"/>
                    </w:rPr>
                  </w:pPr>
                  <w:r>
                    <w:rPr>
                      <w:rFonts w:hint="eastAsia"/>
                      <w:sz w:val="21"/>
                      <w:szCs w:val="21"/>
                    </w:rPr>
                    <w:t>二车间</w:t>
                  </w:r>
                  <w:r>
                    <w:rPr>
                      <w:rFonts w:hint="eastAsia"/>
                      <w:bCs/>
                      <w:sz w:val="21"/>
                      <w:szCs w:val="21"/>
                    </w:rPr>
                    <w:t>（本次扩建项目）</w:t>
                  </w:r>
                  <w:r>
                    <w:rPr>
                      <w:sz w:val="21"/>
                      <w:szCs w:val="21"/>
                    </w:rPr>
                    <w:t>原辅材料</w:t>
                  </w:r>
                </w:p>
              </w:tc>
              <w:tc>
                <w:tcPr>
                  <w:tcW w:w="273" w:type="pct"/>
                  <w:vAlign w:val="center"/>
                </w:tcPr>
                <w:p w14:paraId="1FEAAF95">
                  <w:pPr>
                    <w:autoSpaceDE w:val="0"/>
                    <w:autoSpaceDN w:val="0"/>
                    <w:adjustRightInd w:val="0"/>
                    <w:snapToGrid w:val="0"/>
                    <w:spacing w:line="240" w:lineRule="auto"/>
                    <w:ind w:firstLine="0" w:firstLineChars="0"/>
                    <w:jc w:val="center"/>
                    <w:textAlignment w:val="baseline"/>
                    <w:rPr>
                      <w:sz w:val="21"/>
                      <w:szCs w:val="21"/>
                    </w:rPr>
                  </w:pPr>
                  <w:r>
                    <w:rPr>
                      <w:sz w:val="21"/>
                      <w:szCs w:val="21"/>
                    </w:rPr>
                    <w:t>1</w:t>
                  </w:r>
                </w:p>
              </w:tc>
              <w:tc>
                <w:tcPr>
                  <w:tcW w:w="806" w:type="pct"/>
                  <w:vAlign w:val="center"/>
                </w:tcPr>
                <w:p w14:paraId="095E9810">
                  <w:pPr>
                    <w:adjustRightInd w:val="0"/>
                    <w:snapToGrid w:val="0"/>
                    <w:spacing w:line="240" w:lineRule="auto"/>
                    <w:ind w:firstLine="0" w:firstLineChars="0"/>
                    <w:jc w:val="center"/>
                    <w:rPr>
                      <w:sz w:val="21"/>
                      <w:szCs w:val="21"/>
                    </w:rPr>
                  </w:pPr>
                  <w:r>
                    <w:rPr>
                      <w:sz w:val="21"/>
                      <w:szCs w:val="21"/>
                    </w:rPr>
                    <w:t>多层实木板</w:t>
                  </w:r>
                </w:p>
              </w:tc>
              <w:tc>
                <w:tcPr>
                  <w:tcW w:w="376" w:type="pct"/>
                  <w:vAlign w:val="center"/>
                </w:tcPr>
                <w:p w14:paraId="0CFC4262">
                  <w:pPr>
                    <w:autoSpaceDE w:val="0"/>
                    <w:autoSpaceDN w:val="0"/>
                    <w:adjustRightInd w:val="0"/>
                    <w:snapToGrid w:val="0"/>
                    <w:spacing w:line="240" w:lineRule="auto"/>
                    <w:ind w:firstLine="0" w:firstLineChars="0"/>
                    <w:jc w:val="center"/>
                    <w:textAlignment w:val="baseline"/>
                    <w:rPr>
                      <w:sz w:val="21"/>
                      <w:szCs w:val="21"/>
                    </w:rPr>
                  </w:pPr>
                  <w:r>
                    <w:rPr>
                      <w:sz w:val="21"/>
                      <w:szCs w:val="21"/>
                    </w:rPr>
                    <w:t>张</w:t>
                  </w:r>
                </w:p>
              </w:tc>
              <w:tc>
                <w:tcPr>
                  <w:tcW w:w="781" w:type="pct"/>
                  <w:vAlign w:val="center"/>
                </w:tcPr>
                <w:p w14:paraId="448B4F4A">
                  <w:pPr>
                    <w:adjustRightInd w:val="0"/>
                    <w:snapToGrid w:val="0"/>
                    <w:spacing w:line="240" w:lineRule="auto"/>
                    <w:ind w:firstLine="0" w:firstLineChars="0"/>
                    <w:jc w:val="center"/>
                    <w:rPr>
                      <w:sz w:val="21"/>
                      <w:szCs w:val="21"/>
                    </w:rPr>
                  </w:pPr>
                  <w:r>
                    <w:rPr>
                      <w:rFonts w:hint="eastAsia"/>
                      <w:sz w:val="21"/>
                      <w:szCs w:val="21"/>
                    </w:rPr>
                    <w:t>5</w:t>
                  </w:r>
                  <w:r>
                    <w:rPr>
                      <w:sz w:val="21"/>
                      <w:szCs w:val="21"/>
                    </w:rPr>
                    <w:t>000张/a</w:t>
                  </w:r>
                </w:p>
              </w:tc>
              <w:tc>
                <w:tcPr>
                  <w:tcW w:w="729" w:type="pct"/>
                  <w:vAlign w:val="center"/>
                </w:tcPr>
                <w:p w14:paraId="2F6DB1BC">
                  <w:pPr>
                    <w:autoSpaceDE w:val="0"/>
                    <w:autoSpaceDN w:val="0"/>
                    <w:adjustRightInd w:val="0"/>
                    <w:snapToGrid w:val="0"/>
                    <w:spacing w:line="240" w:lineRule="auto"/>
                    <w:ind w:firstLine="0" w:firstLineChars="0"/>
                    <w:jc w:val="center"/>
                    <w:textAlignment w:val="baseline"/>
                    <w:rPr>
                      <w:sz w:val="21"/>
                      <w:szCs w:val="21"/>
                    </w:rPr>
                  </w:pPr>
                  <w:r>
                    <w:rPr>
                      <w:sz w:val="21"/>
                      <w:szCs w:val="21"/>
                    </w:rPr>
                    <w:t>原料区、堆放</w:t>
                  </w:r>
                </w:p>
              </w:tc>
              <w:tc>
                <w:tcPr>
                  <w:tcW w:w="1576" w:type="pct"/>
                  <w:vAlign w:val="center"/>
                </w:tcPr>
                <w:p w14:paraId="1E4849B3">
                  <w:pPr>
                    <w:autoSpaceDE w:val="0"/>
                    <w:autoSpaceDN w:val="0"/>
                    <w:adjustRightInd w:val="0"/>
                    <w:snapToGrid w:val="0"/>
                    <w:spacing w:line="240" w:lineRule="auto"/>
                    <w:ind w:firstLine="0" w:firstLineChars="0"/>
                    <w:textAlignment w:val="baseline"/>
                    <w:rPr>
                      <w:sz w:val="21"/>
                      <w:szCs w:val="21"/>
                    </w:rPr>
                  </w:pPr>
                  <w:r>
                    <w:rPr>
                      <w:sz w:val="21"/>
                      <w:szCs w:val="21"/>
                    </w:rPr>
                    <w:t>2440mm*1220mm*</w:t>
                  </w:r>
                  <w:r>
                    <w:rPr>
                      <w:rFonts w:hint="eastAsia"/>
                      <w:sz w:val="21"/>
                      <w:szCs w:val="21"/>
                    </w:rPr>
                    <w:t>18</w:t>
                  </w:r>
                  <w:r>
                    <w:rPr>
                      <w:sz w:val="21"/>
                      <w:szCs w:val="21"/>
                    </w:rPr>
                    <w:t>mm</w:t>
                  </w:r>
                </w:p>
              </w:tc>
            </w:tr>
            <w:tr w14:paraId="1517BE4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right"/>
              </w:trPr>
              <w:tc>
                <w:tcPr>
                  <w:tcW w:w="457" w:type="pct"/>
                  <w:vMerge w:val="continue"/>
                  <w:vAlign w:val="center"/>
                </w:tcPr>
                <w:p w14:paraId="71738C21">
                  <w:pPr>
                    <w:autoSpaceDE w:val="0"/>
                    <w:autoSpaceDN w:val="0"/>
                    <w:adjustRightInd w:val="0"/>
                    <w:snapToGrid w:val="0"/>
                    <w:spacing w:line="240" w:lineRule="auto"/>
                    <w:ind w:firstLine="0" w:firstLineChars="0"/>
                    <w:jc w:val="center"/>
                    <w:textAlignment w:val="baseline"/>
                    <w:rPr>
                      <w:sz w:val="21"/>
                      <w:szCs w:val="21"/>
                    </w:rPr>
                  </w:pPr>
                </w:p>
              </w:tc>
              <w:tc>
                <w:tcPr>
                  <w:tcW w:w="273" w:type="pct"/>
                  <w:vAlign w:val="center"/>
                </w:tcPr>
                <w:p w14:paraId="78D3B9BB">
                  <w:pPr>
                    <w:autoSpaceDE w:val="0"/>
                    <w:autoSpaceDN w:val="0"/>
                    <w:adjustRightInd w:val="0"/>
                    <w:snapToGrid w:val="0"/>
                    <w:spacing w:line="240" w:lineRule="auto"/>
                    <w:ind w:firstLine="0" w:firstLineChars="0"/>
                    <w:jc w:val="center"/>
                    <w:textAlignment w:val="baseline"/>
                    <w:rPr>
                      <w:sz w:val="21"/>
                      <w:szCs w:val="21"/>
                    </w:rPr>
                  </w:pPr>
                  <w:r>
                    <w:rPr>
                      <w:sz w:val="21"/>
                      <w:szCs w:val="21"/>
                    </w:rPr>
                    <w:t>2</w:t>
                  </w:r>
                </w:p>
              </w:tc>
              <w:tc>
                <w:tcPr>
                  <w:tcW w:w="806" w:type="pct"/>
                  <w:vAlign w:val="center"/>
                </w:tcPr>
                <w:p w14:paraId="6D8942ED">
                  <w:pPr>
                    <w:adjustRightInd w:val="0"/>
                    <w:snapToGrid w:val="0"/>
                    <w:spacing w:line="240" w:lineRule="auto"/>
                    <w:ind w:firstLine="0" w:firstLineChars="0"/>
                    <w:jc w:val="center"/>
                    <w:rPr>
                      <w:sz w:val="21"/>
                      <w:szCs w:val="21"/>
                    </w:rPr>
                  </w:pPr>
                  <w:r>
                    <w:rPr>
                      <w:sz w:val="21"/>
                      <w:szCs w:val="21"/>
                    </w:rPr>
                    <w:t>胶合板</w:t>
                  </w:r>
                </w:p>
              </w:tc>
              <w:tc>
                <w:tcPr>
                  <w:tcW w:w="376" w:type="pct"/>
                  <w:vAlign w:val="center"/>
                </w:tcPr>
                <w:p w14:paraId="45D97203">
                  <w:pPr>
                    <w:autoSpaceDE w:val="0"/>
                    <w:autoSpaceDN w:val="0"/>
                    <w:adjustRightInd w:val="0"/>
                    <w:snapToGrid w:val="0"/>
                    <w:spacing w:line="240" w:lineRule="auto"/>
                    <w:ind w:firstLine="0" w:firstLineChars="0"/>
                    <w:jc w:val="center"/>
                    <w:textAlignment w:val="baseline"/>
                    <w:rPr>
                      <w:sz w:val="21"/>
                      <w:szCs w:val="21"/>
                    </w:rPr>
                  </w:pPr>
                  <w:r>
                    <w:rPr>
                      <w:sz w:val="21"/>
                      <w:szCs w:val="21"/>
                    </w:rPr>
                    <w:t>张</w:t>
                  </w:r>
                </w:p>
              </w:tc>
              <w:tc>
                <w:tcPr>
                  <w:tcW w:w="781" w:type="pct"/>
                  <w:vAlign w:val="center"/>
                </w:tcPr>
                <w:p w14:paraId="41F7B6EE">
                  <w:pPr>
                    <w:adjustRightInd w:val="0"/>
                    <w:snapToGrid w:val="0"/>
                    <w:spacing w:line="240" w:lineRule="auto"/>
                    <w:ind w:firstLine="0" w:firstLineChars="0"/>
                    <w:jc w:val="center"/>
                    <w:rPr>
                      <w:sz w:val="21"/>
                      <w:szCs w:val="21"/>
                    </w:rPr>
                  </w:pPr>
                  <w:r>
                    <w:rPr>
                      <w:rFonts w:hint="eastAsia"/>
                      <w:sz w:val="21"/>
                      <w:szCs w:val="21"/>
                    </w:rPr>
                    <w:t>3</w:t>
                  </w:r>
                  <w:r>
                    <w:rPr>
                      <w:sz w:val="21"/>
                      <w:szCs w:val="21"/>
                    </w:rPr>
                    <w:t>000张/a</w:t>
                  </w:r>
                </w:p>
              </w:tc>
              <w:tc>
                <w:tcPr>
                  <w:tcW w:w="729" w:type="pct"/>
                  <w:vAlign w:val="center"/>
                </w:tcPr>
                <w:p w14:paraId="57319A22">
                  <w:pPr>
                    <w:autoSpaceDE w:val="0"/>
                    <w:autoSpaceDN w:val="0"/>
                    <w:adjustRightInd w:val="0"/>
                    <w:snapToGrid w:val="0"/>
                    <w:spacing w:line="240" w:lineRule="auto"/>
                    <w:ind w:firstLine="0" w:firstLineChars="0"/>
                    <w:jc w:val="center"/>
                    <w:textAlignment w:val="baseline"/>
                    <w:rPr>
                      <w:sz w:val="21"/>
                      <w:szCs w:val="21"/>
                    </w:rPr>
                  </w:pPr>
                  <w:r>
                    <w:rPr>
                      <w:sz w:val="21"/>
                      <w:szCs w:val="21"/>
                    </w:rPr>
                    <w:t>原料区、堆放</w:t>
                  </w:r>
                </w:p>
              </w:tc>
              <w:tc>
                <w:tcPr>
                  <w:tcW w:w="1576" w:type="pct"/>
                  <w:vAlign w:val="center"/>
                </w:tcPr>
                <w:p w14:paraId="24F2E3BE">
                  <w:pPr>
                    <w:autoSpaceDE w:val="0"/>
                    <w:autoSpaceDN w:val="0"/>
                    <w:adjustRightInd w:val="0"/>
                    <w:snapToGrid w:val="0"/>
                    <w:spacing w:line="240" w:lineRule="auto"/>
                    <w:ind w:firstLine="0" w:firstLineChars="0"/>
                    <w:textAlignment w:val="baseline"/>
                    <w:rPr>
                      <w:sz w:val="21"/>
                      <w:szCs w:val="21"/>
                    </w:rPr>
                  </w:pPr>
                  <w:r>
                    <w:rPr>
                      <w:sz w:val="21"/>
                      <w:szCs w:val="21"/>
                    </w:rPr>
                    <w:t>2440mm *1220 mm *</w:t>
                  </w:r>
                  <w:r>
                    <w:rPr>
                      <w:rFonts w:hint="eastAsia"/>
                      <w:sz w:val="21"/>
                      <w:szCs w:val="21"/>
                    </w:rPr>
                    <w:t>18</w:t>
                  </w:r>
                  <w:r>
                    <w:rPr>
                      <w:sz w:val="21"/>
                      <w:szCs w:val="21"/>
                    </w:rPr>
                    <w:t>mm</w:t>
                  </w:r>
                </w:p>
              </w:tc>
            </w:tr>
            <w:tr w14:paraId="74E90DB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right"/>
              </w:trPr>
              <w:tc>
                <w:tcPr>
                  <w:tcW w:w="457" w:type="pct"/>
                  <w:vMerge w:val="continue"/>
                  <w:vAlign w:val="center"/>
                </w:tcPr>
                <w:p w14:paraId="4AEA6901">
                  <w:pPr>
                    <w:autoSpaceDE w:val="0"/>
                    <w:autoSpaceDN w:val="0"/>
                    <w:adjustRightInd w:val="0"/>
                    <w:snapToGrid w:val="0"/>
                    <w:spacing w:line="240" w:lineRule="auto"/>
                    <w:ind w:firstLine="0" w:firstLineChars="0"/>
                    <w:jc w:val="center"/>
                    <w:textAlignment w:val="baseline"/>
                    <w:rPr>
                      <w:sz w:val="21"/>
                      <w:szCs w:val="21"/>
                    </w:rPr>
                  </w:pPr>
                </w:p>
              </w:tc>
              <w:tc>
                <w:tcPr>
                  <w:tcW w:w="273" w:type="pct"/>
                  <w:vAlign w:val="center"/>
                </w:tcPr>
                <w:p w14:paraId="1DCB1758">
                  <w:pPr>
                    <w:autoSpaceDE w:val="0"/>
                    <w:autoSpaceDN w:val="0"/>
                    <w:adjustRightInd w:val="0"/>
                    <w:snapToGrid w:val="0"/>
                    <w:spacing w:line="240" w:lineRule="auto"/>
                    <w:ind w:firstLine="0" w:firstLineChars="0"/>
                    <w:jc w:val="center"/>
                    <w:textAlignment w:val="baseline"/>
                    <w:rPr>
                      <w:sz w:val="21"/>
                      <w:szCs w:val="21"/>
                    </w:rPr>
                  </w:pPr>
                  <w:r>
                    <w:rPr>
                      <w:sz w:val="21"/>
                      <w:szCs w:val="21"/>
                    </w:rPr>
                    <w:t>3</w:t>
                  </w:r>
                </w:p>
              </w:tc>
              <w:tc>
                <w:tcPr>
                  <w:tcW w:w="806" w:type="pct"/>
                  <w:vAlign w:val="center"/>
                </w:tcPr>
                <w:p w14:paraId="134B457E">
                  <w:pPr>
                    <w:adjustRightInd w:val="0"/>
                    <w:snapToGrid w:val="0"/>
                    <w:spacing w:line="240" w:lineRule="auto"/>
                    <w:ind w:firstLine="0" w:firstLineChars="0"/>
                    <w:jc w:val="center"/>
                    <w:rPr>
                      <w:sz w:val="21"/>
                      <w:szCs w:val="21"/>
                    </w:rPr>
                  </w:pPr>
                  <w:r>
                    <w:rPr>
                      <w:sz w:val="21"/>
                      <w:szCs w:val="21"/>
                    </w:rPr>
                    <w:t>单板</w:t>
                  </w:r>
                </w:p>
              </w:tc>
              <w:tc>
                <w:tcPr>
                  <w:tcW w:w="376" w:type="pct"/>
                  <w:vAlign w:val="center"/>
                </w:tcPr>
                <w:p w14:paraId="49B5A0EE">
                  <w:pPr>
                    <w:autoSpaceDE w:val="0"/>
                    <w:autoSpaceDN w:val="0"/>
                    <w:adjustRightInd w:val="0"/>
                    <w:snapToGrid w:val="0"/>
                    <w:spacing w:line="240" w:lineRule="auto"/>
                    <w:ind w:firstLine="0" w:firstLineChars="0"/>
                    <w:jc w:val="center"/>
                    <w:textAlignment w:val="baseline"/>
                    <w:rPr>
                      <w:sz w:val="21"/>
                      <w:szCs w:val="21"/>
                    </w:rPr>
                  </w:pPr>
                  <w:r>
                    <w:rPr>
                      <w:sz w:val="21"/>
                      <w:szCs w:val="21"/>
                    </w:rPr>
                    <w:t>张</w:t>
                  </w:r>
                </w:p>
              </w:tc>
              <w:tc>
                <w:tcPr>
                  <w:tcW w:w="781" w:type="pct"/>
                  <w:vAlign w:val="center"/>
                </w:tcPr>
                <w:p w14:paraId="57EBA01A">
                  <w:pPr>
                    <w:adjustRightInd w:val="0"/>
                    <w:snapToGrid w:val="0"/>
                    <w:spacing w:line="240" w:lineRule="auto"/>
                    <w:ind w:firstLine="0" w:firstLineChars="0"/>
                    <w:jc w:val="center"/>
                    <w:rPr>
                      <w:sz w:val="21"/>
                      <w:szCs w:val="21"/>
                    </w:rPr>
                  </w:pPr>
                  <w:r>
                    <w:rPr>
                      <w:rFonts w:hint="eastAsia"/>
                      <w:sz w:val="21"/>
                      <w:szCs w:val="21"/>
                    </w:rPr>
                    <w:t>2</w:t>
                  </w:r>
                  <w:r>
                    <w:rPr>
                      <w:sz w:val="21"/>
                      <w:szCs w:val="21"/>
                    </w:rPr>
                    <w:t>000张</w:t>
                  </w:r>
                </w:p>
              </w:tc>
              <w:tc>
                <w:tcPr>
                  <w:tcW w:w="729" w:type="pct"/>
                  <w:vAlign w:val="center"/>
                </w:tcPr>
                <w:p w14:paraId="0569F6E4">
                  <w:pPr>
                    <w:autoSpaceDE w:val="0"/>
                    <w:autoSpaceDN w:val="0"/>
                    <w:adjustRightInd w:val="0"/>
                    <w:snapToGrid w:val="0"/>
                    <w:spacing w:line="240" w:lineRule="auto"/>
                    <w:ind w:firstLine="0" w:firstLineChars="0"/>
                    <w:jc w:val="center"/>
                    <w:textAlignment w:val="baseline"/>
                    <w:rPr>
                      <w:sz w:val="21"/>
                      <w:szCs w:val="21"/>
                    </w:rPr>
                  </w:pPr>
                  <w:r>
                    <w:rPr>
                      <w:sz w:val="21"/>
                      <w:szCs w:val="21"/>
                    </w:rPr>
                    <w:t>原料区、堆放</w:t>
                  </w:r>
                </w:p>
              </w:tc>
              <w:tc>
                <w:tcPr>
                  <w:tcW w:w="1576" w:type="pct"/>
                  <w:vAlign w:val="center"/>
                </w:tcPr>
                <w:p w14:paraId="4D313C74">
                  <w:pPr>
                    <w:autoSpaceDE w:val="0"/>
                    <w:autoSpaceDN w:val="0"/>
                    <w:adjustRightInd w:val="0"/>
                    <w:snapToGrid w:val="0"/>
                    <w:spacing w:line="240" w:lineRule="auto"/>
                    <w:ind w:firstLine="0" w:firstLineChars="0"/>
                    <w:textAlignment w:val="baseline"/>
                    <w:rPr>
                      <w:sz w:val="21"/>
                      <w:szCs w:val="21"/>
                    </w:rPr>
                  </w:pPr>
                  <w:r>
                    <w:rPr>
                      <w:sz w:val="21"/>
                      <w:szCs w:val="21"/>
                    </w:rPr>
                    <w:t>2440 mm *1220 mm *</w:t>
                  </w:r>
                  <w:r>
                    <w:rPr>
                      <w:rFonts w:hint="eastAsia"/>
                      <w:sz w:val="21"/>
                      <w:szCs w:val="21"/>
                    </w:rPr>
                    <w:t>18</w:t>
                  </w:r>
                  <w:r>
                    <w:rPr>
                      <w:sz w:val="21"/>
                      <w:szCs w:val="21"/>
                    </w:rPr>
                    <w:t>mm</w:t>
                  </w:r>
                </w:p>
              </w:tc>
            </w:tr>
            <w:tr w14:paraId="4C0E6C4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right"/>
              </w:trPr>
              <w:tc>
                <w:tcPr>
                  <w:tcW w:w="457" w:type="pct"/>
                  <w:vMerge w:val="continue"/>
                  <w:vAlign w:val="center"/>
                </w:tcPr>
                <w:p w14:paraId="2BC14FE6">
                  <w:pPr>
                    <w:autoSpaceDE w:val="0"/>
                    <w:autoSpaceDN w:val="0"/>
                    <w:adjustRightInd w:val="0"/>
                    <w:snapToGrid w:val="0"/>
                    <w:spacing w:line="240" w:lineRule="auto"/>
                    <w:ind w:firstLine="0" w:firstLineChars="0"/>
                    <w:jc w:val="center"/>
                    <w:textAlignment w:val="baseline"/>
                    <w:rPr>
                      <w:sz w:val="21"/>
                      <w:szCs w:val="21"/>
                    </w:rPr>
                  </w:pPr>
                </w:p>
              </w:tc>
              <w:tc>
                <w:tcPr>
                  <w:tcW w:w="273" w:type="pct"/>
                  <w:vAlign w:val="center"/>
                </w:tcPr>
                <w:p w14:paraId="3222F99B">
                  <w:pPr>
                    <w:autoSpaceDE w:val="0"/>
                    <w:autoSpaceDN w:val="0"/>
                    <w:adjustRightInd w:val="0"/>
                    <w:snapToGrid w:val="0"/>
                    <w:spacing w:line="240" w:lineRule="auto"/>
                    <w:ind w:firstLine="0" w:firstLineChars="0"/>
                    <w:jc w:val="center"/>
                    <w:textAlignment w:val="baseline"/>
                    <w:rPr>
                      <w:sz w:val="21"/>
                      <w:szCs w:val="21"/>
                    </w:rPr>
                  </w:pPr>
                  <w:r>
                    <w:rPr>
                      <w:sz w:val="21"/>
                      <w:szCs w:val="21"/>
                    </w:rPr>
                    <w:t>4</w:t>
                  </w:r>
                </w:p>
              </w:tc>
              <w:tc>
                <w:tcPr>
                  <w:tcW w:w="806" w:type="pct"/>
                  <w:vAlign w:val="center"/>
                </w:tcPr>
                <w:p w14:paraId="02CE7AFD">
                  <w:pPr>
                    <w:adjustRightInd w:val="0"/>
                    <w:snapToGrid w:val="0"/>
                    <w:spacing w:line="240" w:lineRule="auto"/>
                    <w:ind w:firstLine="0" w:firstLineChars="0"/>
                    <w:jc w:val="center"/>
                    <w:rPr>
                      <w:sz w:val="21"/>
                      <w:szCs w:val="21"/>
                    </w:rPr>
                  </w:pPr>
                  <w:r>
                    <w:rPr>
                      <w:rFonts w:hint="eastAsia"/>
                      <w:sz w:val="21"/>
                      <w:szCs w:val="21"/>
                    </w:rPr>
                    <w:t>三聚氰胺浸渍纸</w:t>
                  </w:r>
                </w:p>
              </w:tc>
              <w:tc>
                <w:tcPr>
                  <w:tcW w:w="376" w:type="pct"/>
                  <w:vAlign w:val="center"/>
                </w:tcPr>
                <w:p w14:paraId="465100EB">
                  <w:pPr>
                    <w:autoSpaceDE w:val="0"/>
                    <w:autoSpaceDN w:val="0"/>
                    <w:adjustRightInd w:val="0"/>
                    <w:snapToGrid w:val="0"/>
                    <w:spacing w:line="240" w:lineRule="auto"/>
                    <w:ind w:firstLine="0" w:firstLineChars="0"/>
                    <w:jc w:val="center"/>
                    <w:textAlignment w:val="baseline"/>
                    <w:rPr>
                      <w:sz w:val="21"/>
                      <w:szCs w:val="21"/>
                    </w:rPr>
                  </w:pPr>
                  <w:r>
                    <w:rPr>
                      <w:rFonts w:hint="eastAsia"/>
                      <w:sz w:val="21"/>
                      <w:szCs w:val="21"/>
                    </w:rPr>
                    <w:t>张</w:t>
                  </w:r>
                </w:p>
              </w:tc>
              <w:tc>
                <w:tcPr>
                  <w:tcW w:w="781" w:type="pct"/>
                  <w:vAlign w:val="center"/>
                </w:tcPr>
                <w:p w14:paraId="2C9D1C61">
                  <w:pPr>
                    <w:adjustRightInd w:val="0"/>
                    <w:snapToGrid w:val="0"/>
                    <w:spacing w:line="240" w:lineRule="auto"/>
                    <w:ind w:firstLine="0" w:firstLineChars="0"/>
                    <w:jc w:val="center"/>
                    <w:rPr>
                      <w:sz w:val="21"/>
                      <w:szCs w:val="21"/>
                    </w:rPr>
                  </w:pPr>
                  <w:r>
                    <w:rPr>
                      <w:rFonts w:hint="eastAsia"/>
                      <w:sz w:val="21"/>
                      <w:szCs w:val="21"/>
                    </w:rPr>
                    <w:t>2万</w:t>
                  </w:r>
                </w:p>
              </w:tc>
              <w:tc>
                <w:tcPr>
                  <w:tcW w:w="729" w:type="pct"/>
                  <w:vAlign w:val="center"/>
                </w:tcPr>
                <w:p w14:paraId="22567A06">
                  <w:pPr>
                    <w:autoSpaceDE w:val="0"/>
                    <w:autoSpaceDN w:val="0"/>
                    <w:adjustRightInd w:val="0"/>
                    <w:snapToGrid w:val="0"/>
                    <w:spacing w:line="240" w:lineRule="auto"/>
                    <w:ind w:firstLine="0" w:firstLineChars="0"/>
                    <w:jc w:val="center"/>
                    <w:textAlignment w:val="baseline"/>
                    <w:rPr>
                      <w:sz w:val="21"/>
                      <w:szCs w:val="21"/>
                    </w:rPr>
                  </w:pPr>
                  <w:r>
                    <w:rPr>
                      <w:sz w:val="21"/>
                      <w:szCs w:val="21"/>
                    </w:rPr>
                    <w:t>原料区、堆放</w:t>
                  </w:r>
                </w:p>
              </w:tc>
              <w:tc>
                <w:tcPr>
                  <w:tcW w:w="1576" w:type="pct"/>
                  <w:vAlign w:val="center"/>
                </w:tcPr>
                <w:p w14:paraId="6A940847">
                  <w:pPr>
                    <w:autoSpaceDE w:val="0"/>
                    <w:autoSpaceDN w:val="0"/>
                    <w:adjustRightInd w:val="0"/>
                    <w:snapToGrid w:val="0"/>
                    <w:spacing w:line="240" w:lineRule="auto"/>
                    <w:ind w:firstLine="0" w:firstLineChars="0"/>
                    <w:jc w:val="center"/>
                    <w:textAlignment w:val="baseline"/>
                    <w:rPr>
                      <w:sz w:val="21"/>
                      <w:szCs w:val="21"/>
                    </w:rPr>
                  </w:pPr>
                  <w:r>
                    <w:rPr>
                      <w:rFonts w:hint="eastAsia"/>
                      <w:sz w:val="21"/>
                      <w:szCs w:val="21"/>
                    </w:rPr>
                    <w:t>1.33m*2.66m（4尺*8尺），厚度1mm</w:t>
                  </w:r>
                </w:p>
              </w:tc>
            </w:tr>
            <w:tr w14:paraId="48FB719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right"/>
              </w:trPr>
              <w:tc>
                <w:tcPr>
                  <w:tcW w:w="457" w:type="pct"/>
                  <w:vMerge w:val="restart"/>
                  <w:vAlign w:val="center"/>
                </w:tcPr>
                <w:p w14:paraId="605D9E03">
                  <w:pPr>
                    <w:autoSpaceDE w:val="0"/>
                    <w:autoSpaceDN w:val="0"/>
                    <w:adjustRightInd w:val="0"/>
                    <w:snapToGrid w:val="0"/>
                    <w:spacing w:line="240" w:lineRule="auto"/>
                    <w:ind w:firstLine="0" w:firstLineChars="0"/>
                    <w:jc w:val="center"/>
                    <w:textAlignment w:val="baseline"/>
                    <w:rPr>
                      <w:sz w:val="21"/>
                      <w:szCs w:val="21"/>
                    </w:rPr>
                  </w:pPr>
                  <w:r>
                    <w:rPr>
                      <w:sz w:val="21"/>
                      <w:szCs w:val="21"/>
                    </w:rPr>
                    <w:t>能源</w:t>
                  </w:r>
                </w:p>
              </w:tc>
              <w:tc>
                <w:tcPr>
                  <w:tcW w:w="273" w:type="pct"/>
                  <w:vAlign w:val="center"/>
                </w:tcPr>
                <w:p w14:paraId="0283C358">
                  <w:pPr>
                    <w:autoSpaceDE w:val="0"/>
                    <w:autoSpaceDN w:val="0"/>
                    <w:adjustRightInd w:val="0"/>
                    <w:snapToGrid w:val="0"/>
                    <w:spacing w:line="240" w:lineRule="auto"/>
                    <w:ind w:firstLine="0" w:firstLineChars="0"/>
                    <w:jc w:val="center"/>
                    <w:textAlignment w:val="baseline"/>
                    <w:rPr>
                      <w:sz w:val="21"/>
                      <w:szCs w:val="21"/>
                    </w:rPr>
                  </w:pPr>
                  <w:r>
                    <w:rPr>
                      <w:sz w:val="21"/>
                      <w:szCs w:val="21"/>
                    </w:rPr>
                    <w:t>1</w:t>
                  </w:r>
                </w:p>
              </w:tc>
              <w:tc>
                <w:tcPr>
                  <w:tcW w:w="806" w:type="pct"/>
                  <w:vAlign w:val="center"/>
                </w:tcPr>
                <w:p w14:paraId="13E9A9D0">
                  <w:pPr>
                    <w:autoSpaceDE w:val="0"/>
                    <w:autoSpaceDN w:val="0"/>
                    <w:adjustRightInd w:val="0"/>
                    <w:snapToGrid w:val="0"/>
                    <w:spacing w:line="240" w:lineRule="auto"/>
                    <w:ind w:firstLine="0" w:firstLineChars="0"/>
                    <w:jc w:val="center"/>
                    <w:textAlignment w:val="baseline"/>
                    <w:rPr>
                      <w:sz w:val="21"/>
                      <w:szCs w:val="21"/>
                    </w:rPr>
                  </w:pPr>
                  <w:r>
                    <w:rPr>
                      <w:rFonts w:hint="eastAsia"/>
                      <w:sz w:val="21"/>
                      <w:szCs w:val="21"/>
                    </w:rPr>
                    <w:t>水</w:t>
                  </w:r>
                </w:p>
              </w:tc>
              <w:tc>
                <w:tcPr>
                  <w:tcW w:w="376" w:type="pct"/>
                  <w:vAlign w:val="center"/>
                </w:tcPr>
                <w:p w14:paraId="062455CD">
                  <w:pPr>
                    <w:autoSpaceDE w:val="0"/>
                    <w:autoSpaceDN w:val="0"/>
                    <w:adjustRightInd w:val="0"/>
                    <w:snapToGrid w:val="0"/>
                    <w:spacing w:line="240" w:lineRule="auto"/>
                    <w:ind w:firstLine="0" w:firstLineChars="0"/>
                    <w:jc w:val="center"/>
                    <w:textAlignment w:val="baseline"/>
                    <w:rPr>
                      <w:sz w:val="21"/>
                      <w:szCs w:val="21"/>
                    </w:rPr>
                  </w:pPr>
                  <w:r>
                    <w:rPr>
                      <w:iCs/>
                      <w:sz w:val="21"/>
                      <w:szCs w:val="21"/>
                    </w:rPr>
                    <w:t>m</w:t>
                  </w:r>
                  <w:r>
                    <w:rPr>
                      <w:iCs/>
                      <w:sz w:val="21"/>
                      <w:szCs w:val="21"/>
                      <w:vertAlign w:val="superscript"/>
                    </w:rPr>
                    <w:t>3</w:t>
                  </w:r>
                </w:p>
              </w:tc>
              <w:tc>
                <w:tcPr>
                  <w:tcW w:w="781" w:type="pct"/>
                  <w:vAlign w:val="center"/>
                </w:tcPr>
                <w:p w14:paraId="3AFC5DA8">
                  <w:pPr>
                    <w:adjustRightInd w:val="0"/>
                    <w:snapToGrid w:val="0"/>
                    <w:spacing w:line="240" w:lineRule="auto"/>
                    <w:ind w:firstLine="0" w:firstLineChars="0"/>
                    <w:jc w:val="center"/>
                    <w:rPr>
                      <w:sz w:val="21"/>
                      <w:szCs w:val="21"/>
                    </w:rPr>
                  </w:pPr>
                  <w:r>
                    <w:rPr>
                      <w:rFonts w:hint="eastAsia"/>
                      <w:sz w:val="21"/>
                      <w:szCs w:val="21"/>
                    </w:rPr>
                    <w:t>1200</w:t>
                  </w:r>
                </w:p>
              </w:tc>
              <w:tc>
                <w:tcPr>
                  <w:tcW w:w="729" w:type="pct"/>
                  <w:vAlign w:val="center"/>
                </w:tcPr>
                <w:p w14:paraId="7EA1DB1B">
                  <w:pPr>
                    <w:autoSpaceDE w:val="0"/>
                    <w:autoSpaceDN w:val="0"/>
                    <w:adjustRightInd w:val="0"/>
                    <w:snapToGrid w:val="0"/>
                    <w:spacing w:line="240" w:lineRule="auto"/>
                    <w:ind w:firstLine="0" w:firstLineChars="0"/>
                    <w:jc w:val="center"/>
                    <w:textAlignment w:val="baseline"/>
                    <w:rPr>
                      <w:sz w:val="21"/>
                      <w:szCs w:val="21"/>
                    </w:rPr>
                  </w:pPr>
                </w:p>
              </w:tc>
              <w:tc>
                <w:tcPr>
                  <w:tcW w:w="1576" w:type="pct"/>
                  <w:vAlign w:val="center"/>
                </w:tcPr>
                <w:p w14:paraId="225F9C49">
                  <w:pPr>
                    <w:autoSpaceDE w:val="0"/>
                    <w:autoSpaceDN w:val="0"/>
                    <w:adjustRightInd w:val="0"/>
                    <w:snapToGrid w:val="0"/>
                    <w:spacing w:line="240" w:lineRule="auto"/>
                    <w:ind w:firstLine="0" w:firstLineChars="0"/>
                    <w:jc w:val="center"/>
                    <w:textAlignment w:val="baseline"/>
                    <w:rPr>
                      <w:sz w:val="21"/>
                      <w:szCs w:val="21"/>
                    </w:rPr>
                  </w:pPr>
                  <w:r>
                    <w:rPr>
                      <w:rFonts w:hint="eastAsia"/>
                      <w:sz w:val="21"/>
                      <w:szCs w:val="21"/>
                    </w:rPr>
                    <w:t>市政</w:t>
                  </w:r>
                </w:p>
              </w:tc>
            </w:tr>
            <w:tr w14:paraId="7B36A42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right"/>
              </w:trPr>
              <w:tc>
                <w:tcPr>
                  <w:tcW w:w="457" w:type="pct"/>
                  <w:vMerge w:val="continue"/>
                  <w:vAlign w:val="center"/>
                </w:tcPr>
                <w:p w14:paraId="7140815E">
                  <w:pPr>
                    <w:autoSpaceDE w:val="0"/>
                    <w:autoSpaceDN w:val="0"/>
                    <w:adjustRightInd w:val="0"/>
                    <w:snapToGrid w:val="0"/>
                    <w:spacing w:line="240" w:lineRule="auto"/>
                    <w:ind w:firstLine="0" w:firstLineChars="0"/>
                    <w:jc w:val="center"/>
                    <w:textAlignment w:val="baseline"/>
                    <w:rPr>
                      <w:sz w:val="21"/>
                      <w:szCs w:val="21"/>
                    </w:rPr>
                  </w:pPr>
                </w:p>
              </w:tc>
              <w:tc>
                <w:tcPr>
                  <w:tcW w:w="273" w:type="pct"/>
                  <w:vAlign w:val="center"/>
                </w:tcPr>
                <w:p w14:paraId="52AFEE1B">
                  <w:pPr>
                    <w:autoSpaceDE w:val="0"/>
                    <w:autoSpaceDN w:val="0"/>
                    <w:adjustRightInd w:val="0"/>
                    <w:snapToGrid w:val="0"/>
                    <w:spacing w:line="240" w:lineRule="auto"/>
                    <w:ind w:firstLine="0" w:firstLineChars="0"/>
                    <w:jc w:val="center"/>
                    <w:textAlignment w:val="baseline"/>
                    <w:rPr>
                      <w:sz w:val="21"/>
                      <w:szCs w:val="21"/>
                    </w:rPr>
                  </w:pPr>
                  <w:r>
                    <w:rPr>
                      <w:sz w:val="21"/>
                      <w:szCs w:val="21"/>
                    </w:rPr>
                    <w:t>2</w:t>
                  </w:r>
                </w:p>
              </w:tc>
              <w:tc>
                <w:tcPr>
                  <w:tcW w:w="806" w:type="pct"/>
                  <w:vAlign w:val="center"/>
                </w:tcPr>
                <w:p w14:paraId="424E5E7F">
                  <w:pPr>
                    <w:autoSpaceDE w:val="0"/>
                    <w:autoSpaceDN w:val="0"/>
                    <w:adjustRightInd w:val="0"/>
                    <w:snapToGrid w:val="0"/>
                    <w:spacing w:line="240" w:lineRule="auto"/>
                    <w:ind w:firstLine="0" w:firstLineChars="0"/>
                    <w:jc w:val="center"/>
                    <w:textAlignment w:val="baseline"/>
                    <w:rPr>
                      <w:sz w:val="21"/>
                      <w:szCs w:val="21"/>
                    </w:rPr>
                  </w:pPr>
                  <w:r>
                    <w:rPr>
                      <w:sz w:val="21"/>
                      <w:szCs w:val="21"/>
                    </w:rPr>
                    <w:t>电</w:t>
                  </w:r>
                </w:p>
              </w:tc>
              <w:tc>
                <w:tcPr>
                  <w:tcW w:w="376" w:type="pct"/>
                  <w:vAlign w:val="center"/>
                </w:tcPr>
                <w:p w14:paraId="538BFC10">
                  <w:pPr>
                    <w:autoSpaceDE w:val="0"/>
                    <w:autoSpaceDN w:val="0"/>
                    <w:adjustRightInd w:val="0"/>
                    <w:snapToGrid w:val="0"/>
                    <w:spacing w:line="240" w:lineRule="auto"/>
                    <w:ind w:firstLine="0" w:firstLineChars="0"/>
                    <w:jc w:val="center"/>
                    <w:textAlignment w:val="baseline"/>
                    <w:rPr>
                      <w:sz w:val="21"/>
                      <w:szCs w:val="21"/>
                    </w:rPr>
                  </w:pPr>
                  <w:r>
                    <w:rPr>
                      <w:sz w:val="21"/>
                      <w:szCs w:val="21"/>
                    </w:rPr>
                    <w:t>万kwh</w:t>
                  </w:r>
                </w:p>
              </w:tc>
              <w:tc>
                <w:tcPr>
                  <w:tcW w:w="781" w:type="pct"/>
                  <w:vAlign w:val="center"/>
                </w:tcPr>
                <w:p w14:paraId="3C51C80E">
                  <w:pPr>
                    <w:autoSpaceDE w:val="0"/>
                    <w:autoSpaceDN w:val="0"/>
                    <w:adjustRightInd w:val="0"/>
                    <w:snapToGrid w:val="0"/>
                    <w:spacing w:line="240" w:lineRule="auto"/>
                    <w:ind w:firstLine="0" w:firstLineChars="0"/>
                    <w:jc w:val="center"/>
                    <w:textAlignment w:val="baseline"/>
                    <w:rPr>
                      <w:sz w:val="21"/>
                      <w:szCs w:val="21"/>
                    </w:rPr>
                  </w:pPr>
                  <w:r>
                    <w:rPr>
                      <w:rFonts w:hint="eastAsia"/>
                      <w:sz w:val="21"/>
                      <w:szCs w:val="21"/>
                    </w:rPr>
                    <w:t>8</w:t>
                  </w:r>
                </w:p>
              </w:tc>
              <w:tc>
                <w:tcPr>
                  <w:tcW w:w="729" w:type="pct"/>
                  <w:vAlign w:val="center"/>
                </w:tcPr>
                <w:p w14:paraId="28749D8D">
                  <w:pPr>
                    <w:autoSpaceDE w:val="0"/>
                    <w:autoSpaceDN w:val="0"/>
                    <w:adjustRightInd w:val="0"/>
                    <w:snapToGrid w:val="0"/>
                    <w:spacing w:line="240" w:lineRule="auto"/>
                    <w:ind w:firstLine="0" w:firstLineChars="0"/>
                    <w:jc w:val="center"/>
                    <w:textAlignment w:val="baseline"/>
                    <w:rPr>
                      <w:sz w:val="21"/>
                      <w:szCs w:val="21"/>
                    </w:rPr>
                  </w:pPr>
                  <w:r>
                    <w:rPr>
                      <w:sz w:val="21"/>
                      <w:szCs w:val="21"/>
                    </w:rPr>
                    <w:t>/</w:t>
                  </w:r>
                </w:p>
              </w:tc>
              <w:tc>
                <w:tcPr>
                  <w:tcW w:w="1576" w:type="pct"/>
                  <w:vAlign w:val="center"/>
                </w:tcPr>
                <w:p w14:paraId="1CCCE33F">
                  <w:pPr>
                    <w:autoSpaceDE w:val="0"/>
                    <w:autoSpaceDN w:val="0"/>
                    <w:adjustRightInd w:val="0"/>
                    <w:snapToGrid w:val="0"/>
                    <w:spacing w:line="240" w:lineRule="auto"/>
                    <w:ind w:firstLine="0" w:firstLineChars="0"/>
                    <w:jc w:val="center"/>
                    <w:textAlignment w:val="baseline"/>
                    <w:rPr>
                      <w:sz w:val="21"/>
                      <w:szCs w:val="21"/>
                    </w:rPr>
                  </w:pPr>
                  <w:r>
                    <w:rPr>
                      <w:rFonts w:hint="eastAsia"/>
                      <w:sz w:val="21"/>
                      <w:szCs w:val="21"/>
                    </w:rPr>
                    <w:t>市政</w:t>
                  </w:r>
                </w:p>
              </w:tc>
            </w:tr>
            <w:tr w14:paraId="1904653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right"/>
              </w:trPr>
              <w:tc>
                <w:tcPr>
                  <w:tcW w:w="457" w:type="pct"/>
                  <w:vMerge w:val="continue"/>
                  <w:vAlign w:val="center"/>
                </w:tcPr>
                <w:p w14:paraId="7A436153">
                  <w:pPr>
                    <w:autoSpaceDE w:val="0"/>
                    <w:autoSpaceDN w:val="0"/>
                    <w:adjustRightInd w:val="0"/>
                    <w:snapToGrid w:val="0"/>
                    <w:spacing w:line="240" w:lineRule="auto"/>
                    <w:ind w:firstLine="0" w:firstLineChars="0"/>
                    <w:jc w:val="center"/>
                    <w:textAlignment w:val="baseline"/>
                    <w:rPr>
                      <w:sz w:val="21"/>
                      <w:szCs w:val="21"/>
                    </w:rPr>
                  </w:pPr>
                </w:p>
              </w:tc>
              <w:tc>
                <w:tcPr>
                  <w:tcW w:w="273" w:type="pct"/>
                  <w:vAlign w:val="center"/>
                </w:tcPr>
                <w:p w14:paraId="05F9972E">
                  <w:pPr>
                    <w:autoSpaceDE w:val="0"/>
                    <w:autoSpaceDN w:val="0"/>
                    <w:adjustRightInd w:val="0"/>
                    <w:snapToGrid w:val="0"/>
                    <w:spacing w:line="240" w:lineRule="auto"/>
                    <w:ind w:firstLine="0" w:firstLineChars="0"/>
                    <w:jc w:val="center"/>
                    <w:textAlignment w:val="baseline"/>
                    <w:rPr>
                      <w:sz w:val="21"/>
                      <w:szCs w:val="21"/>
                    </w:rPr>
                  </w:pPr>
                  <w:r>
                    <w:rPr>
                      <w:sz w:val="21"/>
                      <w:szCs w:val="21"/>
                    </w:rPr>
                    <w:t>3</w:t>
                  </w:r>
                </w:p>
              </w:tc>
              <w:tc>
                <w:tcPr>
                  <w:tcW w:w="806" w:type="pct"/>
                  <w:vAlign w:val="center"/>
                </w:tcPr>
                <w:p w14:paraId="53297416">
                  <w:pPr>
                    <w:autoSpaceDE w:val="0"/>
                    <w:autoSpaceDN w:val="0"/>
                    <w:adjustRightInd w:val="0"/>
                    <w:snapToGrid w:val="0"/>
                    <w:spacing w:line="240" w:lineRule="auto"/>
                    <w:ind w:firstLine="0" w:firstLineChars="0"/>
                    <w:jc w:val="center"/>
                    <w:textAlignment w:val="baseline"/>
                    <w:rPr>
                      <w:sz w:val="21"/>
                      <w:szCs w:val="21"/>
                    </w:rPr>
                  </w:pPr>
                  <w:r>
                    <w:rPr>
                      <w:sz w:val="21"/>
                      <w:szCs w:val="21"/>
                    </w:rPr>
                    <w:t>天然气</w:t>
                  </w:r>
                </w:p>
              </w:tc>
              <w:tc>
                <w:tcPr>
                  <w:tcW w:w="376" w:type="pct"/>
                  <w:vAlign w:val="center"/>
                </w:tcPr>
                <w:p w14:paraId="7857488E">
                  <w:pPr>
                    <w:autoSpaceDE w:val="0"/>
                    <w:autoSpaceDN w:val="0"/>
                    <w:adjustRightInd w:val="0"/>
                    <w:snapToGrid w:val="0"/>
                    <w:spacing w:line="240" w:lineRule="auto"/>
                    <w:ind w:firstLine="0" w:firstLineChars="0"/>
                    <w:jc w:val="center"/>
                    <w:textAlignment w:val="baseline"/>
                    <w:rPr>
                      <w:sz w:val="21"/>
                      <w:szCs w:val="21"/>
                    </w:rPr>
                  </w:pPr>
                  <w:r>
                    <w:rPr>
                      <w:iCs/>
                      <w:sz w:val="21"/>
                      <w:szCs w:val="21"/>
                    </w:rPr>
                    <w:t>万Nm</w:t>
                  </w:r>
                  <w:r>
                    <w:rPr>
                      <w:iCs/>
                      <w:sz w:val="21"/>
                      <w:szCs w:val="21"/>
                      <w:vertAlign w:val="superscript"/>
                    </w:rPr>
                    <w:t>3</w:t>
                  </w:r>
                </w:p>
              </w:tc>
              <w:tc>
                <w:tcPr>
                  <w:tcW w:w="781" w:type="pct"/>
                  <w:vAlign w:val="center"/>
                </w:tcPr>
                <w:p w14:paraId="47876440">
                  <w:pPr>
                    <w:autoSpaceDE w:val="0"/>
                    <w:autoSpaceDN w:val="0"/>
                    <w:adjustRightInd w:val="0"/>
                    <w:snapToGrid w:val="0"/>
                    <w:spacing w:line="240" w:lineRule="auto"/>
                    <w:ind w:firstLine="0" w:firstLineChars="0"/>
                    <w:jc w:val="center"/>
                    <w:textAlignment w:val="baseline"/>
                    <w:rPr>
                      <w:sz w:val="21"/>
                      <w:szCs w:val="21"/>
                    </w:rPr>
                  </w:pPr>
                  <w:r>
                    <w:rPr>
                      <w:bCs/>
                      <w:sz w:val="21"/>
                      <w:szCs w:val="21"/>
                    </w:rPr>
                    <w:t>3</w:t>
                  </w:r>
                  <w:r>
                    <w:rPr>
                      <w:rFonts w:hint="eastAsia"/>
                      <w:bCs/>
                      <w:sz w:val="21"/>
                      <w:szCs w:val="21"/>
                    </w:rPr>
                    <w:t>.12</w:t>
                  </w:r>
                </w:p>
              </w:tc>
              <w:tc>
                <w:tcPr>
                  <w:tcW w:w="729" w:type="pct"/>
                  <w:vAlign w:val="center"/>
                </w:tcPr>
                <w:p w14:paraId="301DBE0C">
                  <w:pPr>
                    <w:autoSpaceDE w:val="0"/>
                    <w:autoSpaceDN w:val="0"/>
                    <w:adjustRightInd w:val="0"/>
                    <w:snapToGrid w:val="0"/>
                    <w:spacing w:line="240" w:lineRule="auto"/>
                    <w:ind w:firstLine="0" w:firstLineChars="0"/>
                    <w:jc w:val="center"/>
                    <w:textAlignment w:val="baseline"/>
                    <w:rPr>
                      <w:sz w:val="21"/>
                      <w:szCs w:val="21"/>
                    </w:rPr>
                  </w:pPr>
                  <w:r>
                    <w:rPr>
                      <w:sz w:val="21"/>
                      <w:szCs w:val="21"/>
                    </w:rPr>
                    <w:t>/</w:t>
                  </w:r>
                </w:p>
              </w:tc>
              <w:tc>
                <w:tcPr>
                  <w:tcW w:w="1576" w:type="pct"/>
                  <w:vAlign w:val="center"/>
                </w:tcPr>
                <w:p w14:paraId="0010A130">
                  <w:pPr>
                    <w:autoSpaceDE w:val="0"/>
                    <w:autoSpaceDN w:val="0"/>
                    <w:adjustRightInd w:val="0"/>
                    <w:snapToGrid w:val="0"/>
                    <w:spacing w:line="240" w:lineRule="auto"/>
                    <w:ind w:firstLine="0" w:firstLineChars="0"/>
                    <w:jc w:val="center"/>
                    <w:textAlignment w:val="baseline"/>
                    <w:rPr>
                      <w:sz w:val="21"/>
                      <w:szCs w:val="21"/>
                    </w:rPr>
                  </w:pPr>
                  <w:r>
                    <w:rPr>
                      <w:rFonts w:hint="eastAsia"/>
                      <w:sz w:val="21"/>
                      <w:szCs w:val="21"/>
                    </w:rPr>
                    <w:t>市政</w:t>
                  </w:r>
                </w:p>
              </w:tc>
            </w:tr>
          </w:tbl>
          <w:p w14:paraId="40B31795">
            <w:pPr>
              <w:ind w:firstLine="480"/>
              <w:rPr>
                <w:rFonts w:cs="Times New Roman"/>
              </w:rPr>
            </w:pPr>
            <w:r>
              <w:rPr>
                <w:rFonts w:cs="Times New Roman"/>
              </w:rPr>
              <w:t>三聚氰胺浸渍纸：也称“蜜胺”纸，是一种素色原纸或印刷装饰纸经浸渍氨基树脂（三聚氰胺甲醛树脂和脲醛树脂）并干燥到一定程度、具有一定树脂含量和挥发物含量的胶纸，经热压可相互胶合或与人造板基材胶合。本项目板材主要进行双面贴面，根据</w:t>
            </w:r>
            <w:r>
              <w:rPr>
                <w:rFonts w:hint="eastAsia" w:cs="Times New Roman"/>
              </w:rPr>
              <w:t>《四川鲁丽木业有限公司年产50万立方米三聚氰胺饰面板项目环境影响报告书》的</w:t>
            </w:r>
            <w:r>
              <w:rPr>
                <w:rFonts w:cs="Times New Roman"/>
              </w:rPr>
              <w:t>检测报告，三聚氰胺浸渍纸检测结果如下：</w:t>
            </w:r>
          </w:p>
          <w:p w14:paraId="13F76BAD">
            <w:pPr>
              <w:pStyle w:val="3"/>
              <w:spacing w:before="0" w:beforeLines="0"/>
              <w:jc w:val="center"/>
            </w:pPr>
            <w:r>
              <w:t xml:space="preserve">表 </w:t>
            </w:r>
            <w:r>
              <w:rPr>
                <w:rFonts w:hint="eastAsia"/>
                <w:bCs/>
              </w:rPr>
              <w:t xml:space="preserve">2-6 </w:t>
            </w:r>
            <w:r>
              <w:t>三聚氰胺浸渍纸检测结果</w:t>
            </w:r>
          </w:p>
          <w:tbl>
            <w:tblPr>
              <w:tblStyle w:val="33"/>
              <w:tblW w:w="0" w:type="auto"/>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820"/>
              <w:gridCol w:w="2820"/>
              <w:gridCol w:w="2835"/>
            </w:tblGrid>
            <w:tr w14:paraId="19BF34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2820" w:type="dxa"/>
                  <w:tcBorders>
                    <w:top w:val="single" w:color="auto" w:sz="4" w:space="0"/>
                    <w:left w:val="single" w:color="auto" w:sz="4" w:space="0"/>
                    <w:bottom w:val="single" w:color="auto" w:sz="4" w:space="0"/>
                    <w:right w:val="single" w:color="auto" w:sz="4" w:space="0"/>
                  </w:tcBorders>
                  <w:vAlign w:val="center"/>
                </w:tcPr>
                <w:p w14:paraId="15EA86E5">
                  <w:pPr>
                    <w:pStyle w:val="3"/>
                    <w:spacing w:before="163" w:line="240" w:lineRule="auto"/>
                    <w:jc w:val="center"/>
                    <w:rPr>
                      <w:b w:val="0"/>
                      <w:bCs/>
                    </w:rPr>
                  </w:pPr>
                  <w:r>
                    <w:rPr>
                      <w:b w:val="0"/>
                      <w:bCs/>
                    </w:rPr>
                    <w:t>检测内容</w:t>
                  </w:r>
                </w:p>
              </w:tc>
              <w:tc>
                <w:tcPr>
                  <w:tcW w:w="2820" w:type="dxa"/>
                  <w:tcBorders>
                    <w:top w:val="single" w:color="auto" w:sz="4" w:space="0"/>
                    <w:left w:val="single" w:color="auto" w:sz="4" w:space="0"/>
                    <w:bottom w:val="single" w:color="auto" w:sz="4" w:space="0"/>
                    <w:right w:val="single" w:color="auto" w:sz="4" w:space="0"/>
                  </w:tcBorders>
                  <w:vAlign w:val="center"/>
                </w:tcPr>
                <w:p w14:paraId="6145B7C3">
                  <w:pPr>
                    <w:pStyle w:val="3"/>
                    <w:spacing w:before="163" w:line="240" w:lineRule="auto"/>
                    <w:jc w:val="center"/>
                    <w:rPr>
                      <w:b w:val="0"/>
                      <w:bCs/>
                    </w:rPr>
                  </w:pPr>
                  <w:r>
                    <w:rPr>
                      <w:b w:val="0"/>
                      <w:bCs/>
                    </w:rPr>
                    <w:t>检测结果</w:t>
                  </w:r>
                </w:p>
              </w:tc>
              <w:tc>
                <w:tcPr>
                  <w:tcW w:w="2835" w:type="dxa"/>
                  <w:tcBorders>
                    <w:top w:val="single" w:color="auto" w:sz="4" w:space="0"/>
                    <w:left w:val="single" w:color="auto" w:sz="4" w:space="0"/>
                    <w:bottom w:val="single" w:color="auto" w:sz="4" w:space="0"/>
                    <w:right w:val="single" w:color="auto" w:sz="4" w:space="0"/>
                  </w:tcBorders>
                  <w:vAlign w:val="center"/>
                </w:tcPr>
                <w:p w14:paraId="4AA79300">
                  <w:pPr>
                    <w:pStyle w:val="3"/>
                    <w:spacing w:before="163" w:line="240" w:lineRule="auto"/>
                    <w:jc w:val="center"/>
                    <w:rPr>
                      <w:b w:val="0"/>
                      <w:bCs/>
                    </w:rPr>
                  </w:pPr>
                  <w:r>
                    <w:rPr>
                      <w:b w:val="0"/>
                      <w:bCs/>
                    </w:rPr>
                    <w:t>符合性</w:t>
                  </w:r>
                </w:p>
              </w:tc>
            </w:tr>
            <w:tr w14:paraId="152675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2820" w:type="dxa"/>
                  <w:tcBorders>
                    <w:top w:val="single" w:color="auto" w:sz="4" w:space="0"/>
                    <w:left w:val="single" w:color="auto" w:sz="4" w:space="0"/>
                    <w:bottom w:val="single" w:color="auto" w:sz="4" w:space="0"/>
                    <w:right w:val="single" w:color="auto" w:sz="4" w:space="0"/>
                  </w:tcBorders>
                  <w:vAlign w:val="center"/>
                </w:tcPr>
                <w:p w14:paraId="57559EBA">
                  <w:pPr>
                    <w:pStyle w:val="3"/>
                    <w:spacing w:before="163" w:line="240" w:lineRule="auto"/>
                    <w:jc w:val="center"/>
                    <w:rPr>
                      <w:b w:val="0"/>
                      <w:bCs/>
                    </w:rPr>
                  </w:pPr>
                  <w:r>
                    <w:rPr>
                      <w:b w:val="0"/>
                      <w:bCs/>
                    </w:rPr>
                    <w:t>挥发物含量</w:t>
                  </w:r>
                </w:p>
              </w:tc>
              <w:tc>
                <w:tcPr>
                  <w:tcW w:w="2820" w:type="dxa"/>
                  <w:tcBorders>
                    <w:top w:val="single" w:color="auto" w:sz="4" w:space="0"/>
                    <w:left w:val="single" w:color="auto" w:sz="4" w:space="0"/>
                    <w:bottom w:val="single" w:color="auto" w:sz="4" w:space="0"/>
                    <w:right w:val="single" w:color="auto" w:sz="4" w:space="0"/>
                  </w:tcBorders>
                  <w:vAlign w:val="center"/>
                </w:tcPr>
                <w:p w14:paraId="0AB72E66">
                  <w:pPr>
                    <w:pStyle w:val="3"/>
                    <w:spacing w:before="163" w:line="240" w:lineRule="auto"/>
                    <w:jc w:val="center"/>
                    <w:rPr>
                      <w:b w:val="0"/>
                      <w:bCs/>
                    </w:rPr>
                  </w:pPr>
                  <w:r>
                    <w:rPr>
                      <w:b w:val="0"/>
                      <w:bCs/>
                    </w:rPr>
                    <w:t>2.01%</w:t>
                  </w:r>
                </w:p>
              </w:tc>
              <w:tc>
                <w:tcPr>
                  <w:tcW w:w="2835" w:type="dxa"/>
                  <w:tcBorders>
                    <w:top w:val="single" w:color="auto" w:sz="4" w:space="0"/>
                    <w:left w:val="single" w:color="auto" w:sz="4" w:space="0"/>
                    <w:bottom w:val="single" w:color="auto" w:sz="4" w:space="0"/>
                    <w:right w:val="single" w:color="auto" w:sz="4" w:space="0"/>
                  </w:tcBorders>
                  <w:vAlign w:val="center"/>
                </w:tcPr>
                <w:p w14:paraId="307BB6F4">
                  <w:pPr>
                    <w:pStyle w:val="3"/>
                    <w:spacing w:before="163" w:line="240" w:lineRule="auto"/>
                    <w:jc w:val="center"/>
                    <w:rPr>
                      <w:b w:val="0"/>
                      <w:bCs/>
                    </w:rPr>
                  </w:pPr>
                  <w:r>
                    <w:rPr>
                      <w:b w:val="0"/>
                      <w:bCs/>
                    </w:rPr>
                    <w:t>符合</w:t>
                  </w:r>
                </w:p>
              </w:tc>
            </w:tr>
            <w:tr w14:paraId="270068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2820" w:type="dxa"/>
                  <w:tcBorders>
                    <w:top w:val="single" w:color="auto" w:sz="4" w:space="0"/>
                    <w:left w:val="single" w:color="auto" w:sz="4" w:space="0"/>
                    <w:bottom w:val="single" w:color="auto" w:sz="4" w:space="0"/>
                    <w:right w:val="single" w:color="auto" w:sz="4" w:space="0"/>
                  </w:tcBorders>
                  <w:vAlign w:val="center"/>
                </w:tcPr>
                <w:p w14:paraId="7F748933">
                  <w:pPr>
                    <w:pStyle w:val="3"/>
                    <w:spacing w:before="163" w:line="240" w:lineRule="auto"/>
                    <w:jc w:val="center"/>
                    <w:rPr>
                      <w:b w:val="0"/>
                      <w:bCs/>
                    </w:rPr>
                  </w:pPr>
                  <w:r>
                    <w:rPr>
                      <w:b w:val="0"/>
                      <w:bCs/>
                    </w:rPr>
                    <w:t>甲醛</w:t>
                  </w:r>
                </w:p>
              </w:tc>
              <w:tc>
                <w:tcPr>
                  <w:tcW w:w="2820" w:type="dxa"/>
                  <w:tcBorders>
                    <w:top w:val="single" w:color="auto" w:sz="4" w:space="0"/>
                    <w:left w:val="single" w:color="auto" w:sz="4" w:space="0"/>
                    <w:bottom w:val="single" w:color="auto" w:sz="4" w:space="0"/>
                    <w:right w:val="single" w:color="auto" w:sz="4" w:space="0"/>
                  </w:tcBorders>
                  <w:vAlign w:val="center"/>
                </w:tcPr>
                <w:p w14:paraId="34C07438">
                  <w:pPr>
                    <w:pStyle w:val="3"/>
                    <w:spacing w:before="163" w:line="240" w:lineRule="auto"/>
                    <w:jc w:val="center"/>
                    <w:rPr>
                      <w:b w:val="0"/>
                      <w:bCs/>
                    </w:rPr>
                  </w:pPr>
                  <w:r>
                    <w:rPr>
                      <w:b w:val="0"/>
                      <w:bCs/>
                    </w:rPr>
                    <w:t>1.4mg/L</w:t>
                  </w:r>
                </w:p>
              </w:tc>
              <w:tc>
                <w:tcPr>
                  <w:tcW w:w="2835" w:type="dxa"/>
                  <w:tcBorders>
                    <w:top w:val="single" w:color="auto" w:sz="4" w:space="0"/>
                    <w:left w:val="single" w:color="auto" w:sz="4" w:space="0"/>
                    <w:bottom w:val="single" w:color="auto" w:sz="4" w:space="0"/>
                    <w:right w:val="single" w:color="auto" w:sz="4" w:space="0"/>
                  </w:tcBorders>
                  <w:vAlign w:val="center"/>
                </w:tcPr>
                <w:p w14:paraId="56376A93">
                  <w:pPr>
                    <w:pStyle w:val="3"/>
                    <w:spacing w:before="163" w:line="240" w:lineRule="auto"/>
                    <w:jc w:val="center"/>
                    <w:rPr>
                      <w:b w:val="0"/>
                      <w:bCs/>
                    </w:rPr>
                  </w:pPr>
                  <w:r>
                    <w:rPr>
                      <w:b w:val="0"/>
                      <w:bCs/>
                    </w:rPr>
                    <w:t>符合</w:t>
                  </w:r>
                </w:p>
              </w:tc>
            </w:tr>
          </w:tbl>
          <w:p w14:paraId="32955A39">
            <w:pPr>
              <w:pStyle w:val="3"/>
              <w:spacing w:before="163"/>
              <w:ind w:firstLine="480" w:firstLineChars="200"/>
              <w:rPr>
                <w:b w:val="0"/>
                <w:bCs/>
              </w:rPr>
            </w:pPr>
            <w:r>
              <w:rPr>
                <w:b w:val="0"/>
                <w:bCs/>
              </w:rPr>
              <w:t>根据上述检测结果，本项目所使用三聚氰胺浸渍纸挥发物含量及甲醛含量满足《人造板饰面专用纸》（GB/T 28995-2022）要求限值。</w:t>
            </w:r>
          </w:p>
          <w:p w14:paraId="6C7DCFF6">
            <w:pPr>
              <w:ind w:firstLine="480"/>
            </w:pPr>
            <w:r>
              <w:rPr>
                <w:rFonts w:hint="eastAsia"/>
              </w:rPr>
              <w:t>（2）导热油：导热油，是GB/T4016-1983《石油产品名词术语》中“热载体油”的曾用名，英文名称为Heattransferoil，用于间接传递热量的一类热稳定性较好的专用油品。由于其具有加热均匀，调温控制准确，能在低蒸汽压下产生高温，传热效果好，节能，输送和操作方便等特点，近年来被广泛用于各种场合，而且其用途和用量越来越多。</w:t>
            </w:r>
            <w:r>
              <w:rPr>
                <w:rFonts w:hint="eastAsia"/>
                <w:b/>
                <w:bCs/>
              </w:rPr>
              <w:t>导热油在模温机内密闭循环运行，无挥发产生。</w:t>
            </w:r>
          </w:p>
          <w:p w14:paraId="58AB99FD">
            <w:pPr>
              <w:pStyle w:val="3"/>
              <w:spacing w:before="163"/>
            </w:pPr>
            <w:r>
              <w:t>7、公用工程及辅助设施</w:t>
            </w:r>
          </w:p>
          <w:p w14:paraId="4A3F7072">
            <w:pPr>
              <w:ind w:firstLine="482"/>
              <w:rPr>
                <w:rFonts w:cs="Times New Roman"/>
                <w:b/>
              </w:rPr>
            </w:pPr>
            <w:r>
              <w:rPr>
                <w:rFonts w:cs="Times New Roman"/>
                <w:b/>
              </w:rPr>
              <w:t>（1）供电</w:t>
            </w:r>
          </w:p>
          <w:p w14:paraId="7EC99E80">
            <w:pPr>
              <w:ind w:firstLine="480"/>
              <w:rPr>
                <w:rFonts w:cs="Times New Roman"/>
              </w:rPr>
            </w:pPr>
            <w:r>
              <w:rPr>
                <w:rFonts w:cs="Times New Roman"/>
              </w:rPr>
              <w:t>本项目由市政电网供电，厂房所在厂区公用变电站，车间内仅设置低压配电柜。</w:t>
            </w:r>
          </w:p>
          <w:p w14:paraId="17D29395">
            <w:pPr>
              <w:ind w:firstLine="482"/>
              <w:rPr>
                <w:rFonts w:cs="Times New Roman"/>
                <w:b/>
              </w:rPr>
            </w:pPr>
            <w:r>
              <w:rPr>
                <w:rFonts w:cs="Times New Roman"/>
                <w:b/>
              </w:rPr>
              <w:t>（2）供水</w:t>
            </w:r>
          </w:p>
          <w:p w14:paraId="04747102">
            <w:pPr>
              <w:ind w:firstLine="480"/>
              <w:rPr>
                <w:rFonts w:cs="Times New Roman"/>
              </w:rPr>
            </w:pPr>
            <w:r>
              <w:rPr>
                <w:rFonts w:cs="Times New Roman"/>
              </w:rPr>
              <w:t>本项目由市政自来水管网供水，用水均为自来水。项目厂房地面不冲洗，定期使用扫把</w:t>
            </w:r>
            <w:r>
              <w:rPr>
                <w:rFonts w:hint="eastAsia" w:cs="Times New Roman"/>
              </w:rPr>
              <w:t>打</w:t>
            </w:r>
            <w:r>
              <w:rPr>
                <w:rFonts w:cs="Times New Roman"/>
              </w:rPr>
              <w:t>扫。项目</w:t>
            </w:r>
            <w:r>
              <w:rPr>
                <w:rFonts w:hint="eastAsia" w:cs="Times New Roman"/>
              </w:rPr>
              <w:t>生产不使用水，</w:t>
            </w:r>
            <w:r>
              <w:rPr>
                <w:rFonts w:cs="Times New Roman"/>
              </w:rPr>
              <w:t>用水主要为员工生活用水。</w:t>
            </w:r>
          </w:p>
          <w:p w14:paraId="021FFDD9">
            <w:pPr>
              <w:ind w:firstLine="480"/>
              <w:rPr>
                <w:rFonts w:cs="Times New Roman"/>
              </w:rPr>
            </w:pPr>
            <w:r>
              <w:rPr>
                <w:rFonts w:cs="Times New Roman"/>
              </w:rPr>
              <w:t>1）生活用水</w:t>
            </w:r>
          </w:p>
          <w:p w14:paraId="205A1014">
            <w:pPr>
              <w:ind w:firstLine="480"/>
              <w:rPr>
                <w:rFonts w:cs="Times New Roman"/>
                <w:szCs w:val="21"/>
              </w:rPr>
            </w:pPr>
            <w:r>
              <w:rPr>
                <w:rFonts w:hint="eastAsia" w:cs="Times New Roman"/>
              </w:rPr>
              <w:t>厂区内原有项目</w:t>
            </w:r>
            <w:r>
              <w:rPr>
                <w:rFonts w:cs="Times New Roman"/>
              </w:rPr>
              <w:t>劳动定员</w:t>
            </w:r>
            <w:r>
              <w:rPr>
                <w:rFonts w:hint="eastAsia" w:cs="Times New Roman"/>
              </w:rPr>
              <w:t>40</w:t>
            </w:r>
            <w:r>
              <w:rPr>
                <w:rFonts w:cs="Times New Roman"/>
              </w:rPr>
              <w:t>人，</w:t>
            </w:r>
            <w:r>
              <w:rPr>
                <w:rFonts w:cs="Times New Roman"/>
                <w:szCs w:val="21"/>
              </w:rPr>
              <w:t>厂区内不设</w:t>
            </w:r>
            <w:r>
              <w:rPr>
                <w:rFonts w:hint="eastAsia" w:cs="Times New Roman"/>
                <w:szCs w:val="21"/>
              </w:rPr>
              <w:t>住宿</w:t>
            </w:r>
            <w:r>
              <w:rPr>
                <w:rFonts w:cs="Times New Roman"/>
                <w:szCs w:val="21"/>
              </w:rPr>
              <w:t>，</w:t>
            </w:r>
            <w:r>
              <w:rPr>
                <w:rFonts w:hint="eastAsia" w:cs="Times New Roman"/>
                <w:szCs w:val="21"/>
              </w:rPr>
              <w:t>不提供餐食，</w:t>
            </w:r>
            <w:r>
              <w:t>本</w:t>
            </w:r>
            <w:r>
              <w:rPr>
                <w:rFonts w:hint="eastAsia"/>
              </w:rPr>
              <w:t>次扩建</w:t>
            </w:r>
            <w:r>
              <w:t>项目不新增人员，</w:t>
            </w:r>
            <w:r>
              <w:rPr>
                <w:rFonts w:hint="eastAsia" w:cs="Times New Roman"/>
              </w:rPr>
              <w:t>从原有项目生产线进行调配，本项目不新增用水，</w:t>
            </w:r>
            <w:r>
              <w:t>不产生生活污水</w:t>
            </w:r>
            <w:r>
              <w:rPr>
                <w:rFonts w:hint="eastAsia"/>
              </w:rPr>
              <w:t>。</w:t>
            </w:r>
          </w:p>
          <w:p w14:paraId="3A27831E">
            <w:pPr>
              <w:ind w:firstLine="480"/>
              <w:rPr>
                <w:rFonts w:cs="Times New Roman"/>
              </w:rPr>
            </w:pPr>
            <w:r>
              <w:rPr>
                <w:rFonts w:cs="Times New Roman"/>
                <w:szCs w:val="21"/>
              </w:rPr>
              <w:t>生活用水量参照</w:t>
            </w:r>
            <w:r>
              <w:t>《建筑给水排水</w:t>
            </w:r>
            <w:r>
              <w:rPr>
                <w:rFonts w:hint="eastAsia"/>
              </w:rPr>
              <w:t>设计</w:t>
            </w:r>
            <w:r>
              <w:t>标准》（G</w:t>
            </w:r>
            <w:r>
              <w:rPr>
                <w:rFonts w:hint="eastAsia"/>
              </w:rPr>
              <w:t>B5</w:t>
            </w:r>
            <w:r>
              <w:t>0015-2019）</w:t>
            </w:r>
            <w:r>
              <w:rPr>
                <w:rFonts w:cs="Times New Roman"/>
                <w:szCs w:val="21"/>
              </w:rPr>
              <w:t>，用水定额为100L/人·天，</w:t>
            </w:r>
            <w:bookmarkStart w:id="46" w:name="OLE_LINK59"/>
            <w:r>
              <w:rPr>
                <w:rFonts w:cs="Times New Roman"/>
                <w:szCs w:val="21"/>
              </w:rPr>
              <w:t>年工作300天，则用水量共计4m</w:t>
            </w:r>
            <w:r>
              <w:rPr>
                <w:rFonts w:cs="Times New Roman"/>
                <w:szCs w:val="21"/>
                <w:vertAlign w:val="superscript"/>
              </w:rPr>
              <w:t>3</w:t>
            </w:r>
            <w:r>
              <w:rPr>
                <w:rFonts w:cs="Times New Roman"/>
                <w:szCs w:val="21"/>
              </w:rPr>
              <w:t>/d（1200m</w:t>
            </w:r>
            <w:r>
              <w:rPr>
                <w:rFonts w:cs="Times New Roman"/>
                <w:szCs w:val="21"/>
                <w:vertAlign w:val="superscript"/>
              </w:rPr>
              <w:t>3</w:t>
            </w:r>
            <w:r>
              <w:rPr>
                <w:rFonts w:cs="Times New Roman"/>
                <w:szCs w:val="21"/>
              </w:rPr>
              <w:t>/a）</w:t>
            </w:r>
            <w:bookmarkEnd w:id="46"/>
            <w:r>
              <w:rPr>
                <w:rFonts w:cs="Times New Roman"/>
                <w:kern w:val="0"/>
                <w:szCs w:val="21"/>
              </w:rPr>
              <w:t>。</w:t>
            </w:r>
          </w:p>
          <w:p w14:paraId="18DDFB0E">
            <w:pPr>
              <w:ind w:firstLine="482"/>
              <w:rPr>
                <w:rFonts w:cs="Times New Roman"/>
                <w:b/>
              </w:rPr>
            </w:pPr>
            <w:r>
              <w:rPr>
                <w:rFonts w:cs="Times New Roman"/>
                <w:b/>
              </w:rPr>
              <w:t>（3）排水</w:t>
            </w:r>
          </w:p>
          <w:p w14:paraId="16F503CE">
            <w:pPr>
              <w:ind w:firstLine="480"/>
              <w:rPr>
                <w:rFonts w:cs="Times New Roman"/>
              </w:rPr>
            </w:pPr>
            <w:r>
              <w:rPr>
                <w:rFonts w:cs="Times New Roman"/>
              </w:rPr>
              <w:t>厂区雨污分流。</w:t>
            </w:r>
          </w:p>
          <w:p w14:paraId="509FC6C2">
            <w:pPr>
              <w:ind w:firstLine="480"/>
              <w:rPr>
                <w:rFonts w:cs="Times New Roman"/>
              </w:rPr>
            </w:pPr>
            <w:r>
              <w:rPr>
                <w:rFonts w:cs="Times New Roman"/>
              </w:rPr>
              <w:t>1）雨水</w:t>
            </w:r>
          </w:p>
          <w:p w14:paraId="1C98E0E9">
            <w:pPr>
              <w:ind w:firstLine="480"/>
              <w:rPr>
                <w:rFonts w:cs="Times New Roman"/>
                <w:kern w:val="0"/>
                <w:szCs w:val="24"/>
              </w:rPr>
            </w:pPr>
            <w:r>
              <w:rPr>
                <w:rFonts w:cs="Times New Roman"/>
                <w:kern w:val="0"/>
                <w:szCs w:val="24"/>
              </w:rPr>
              <w:t>雨水通过厂房设置的雨水管网排至市政雨水管网，最终汇入阳台河。</w:t>
            </w:r>
          </w:p>
          <w:p w14:paraId="2FF91BB8">
            <w:pPr>
              <w:ind w:firstLine="480"/>
              <w:rPr>
                <w:rFonts w:cs="Times New Roman"/>
              </w:rPr>
            </w:pPr>
            <w:r>
              <w:rPr>
                <w:rFonts w:cs="Times New Roman"/>
              </w:rPr>
              <w:t>2）污水</w:t>
            </w:r>
          </w:p>
          <w:p w14:paraId="02A929DB">
            <w:pPr>
              <w:ind w:firstLine="480"/>
              <w:rPr>
                <w:rFonts w:cs="Times New Roman"/>
                <w:kern w:val="0"/>
                <w:szCs w:val="24"/>
              </w:rPr>
            </w:pPr>
            <w:r>
              <w:rPr>
                <w:rFonts w:cs="Times New Roman"/>
                <w:kern w:val="0"/>
                <w:szCs w:val="24"/>
              </w:rPr>
              <w:t>本项目</w:t>
            </w:r>
            <w:r>
              <w:rPr>
                <w:rFonts w:hint="eastAsia" w:cs="Times New Roman"/>
                <w:kern w:val="0"/>
                <w:szCs w:val="24"/>
              </w:rPr>
              <w:t>无生产废水外排，</w:t>
            </w:r>
            <w:r>
              <w:rPr>
                <w:rFonts w:cs="Times New Roman"/>
                <w:kern w:val="0"/>
                <w:szCs w:val="24"/>
              </w:rPr>
              <w:t>外排废水</w:t>
            </w:r>
            <w:r>
              <w:rPr>
                <w:rFonts w:hint="eastAsia" w:cs="Times New Roman"/>
                <w:kern w:val="0"/>
                <w:szCs w:val="24"/>
              </w:rPr>
              <w:t>仅为</w:t>
            </w:r>
            <w:r>
              <w:rPr>
                <w:rFonts w:cs="Times New Roman"/>
                <w:kern w:val="0"/>
                <w:szCs w:val="24"/>
              </w:rPr>
              <w:t>生活污水</w:t>
            </w:r>
            <w:r>
              <w:rPr>
                <w:rFonts w:hint="eastAsia" w:cs="Times New Roman"/>
                <w:kern w:val="0"/>
                <w:szCs w:val="24"/>
              </w:rPr>
              <w:t>。生活污水</w:t>
            </w:r>
            <w:r>
              <w:rPr>
                <w:rFonts w:cs="Times New Roman"/>
                <w:kern w:val="0"/>
                <w:szCs w:val="24"/>
              </w:rPr>
              <w:t>排污系数按0.9计算，总量为3.6</w:t>
            </w:r>
            <w:bookmarkStart w:id="47" w:name="OLE_LINK63"/>
            <w:r>
              <w:rPr>
                <w:rFonts w:cs="Times New Roman"/>
                <w:kern w:val="0"/>
                <w:szCs w:val="24"/>
              </w:rPr>
              <w:t>m</w:t>
            </w:r>
            <w:r>
              <w:rPr>
                <w:rFonts w:cs="Times New Roman"/>
                <w:kern w:val="0"/>
                <w:szCs w:val="24"/>
                <w:vertAlign w:val="superscript"/>
              </w:rPr>
              <w:t>3</w:t>
            </w:r>
            <w:r>
              <w:rPr>
                <w:rFonts w:cs="Times New Roman"/>
                <w:kern w:val="0"/>
                <w:szCs w:val="24"/>
              </w:rPr>
              <w:t>/d</w:t>
            </w:r>
            <w:bookmarkEnd w:id="47"/>
            <w:r>
              <w:rPr>
                <w:rFonts w:cs="Times New Roman"/>
                <w:kern w:val="0"/>
                <w:szCs w:val="24"/>
              </w:rPr>
              <w:t>（1080 m</w:t>
            </w:r>
            <w:r>
              <w:rPr>
                <w:rFonts w:cs="Times New Roman"/>
                <w:kern w:val="0"/>
                <w:szCs w:val="24"/>
                <w:vertAlign w:val="superscript"/>
              </w:rPr>
              <w:t>3</w:t>
            </w:r>
            <w:r>
              <w:rPr>
                <w:rFonts w:cs="Times New Roman"/>
                <w:kern w:val="0"/>
                <w:szCs w:val="24"/>
              </w:rPr>
              <w:t>/a）。</w:t>
            </w:r>
          </w:p>
          <w:p w14:paraId="2EB75907">
            <w:pPr>
              <w:ind w:firstLine="480"/>
              <w:rPr>
                <w:rFonts w:cs="Times New Roman"/>
                <w:bCs/>
                <w:kern w:val="0"/>
                <w:szCs w:val="24"/>
              </w:rPr>
            </w:pPr>
            <w:r>
              <w:rPr>
                <w:rFonts w:hint="eastAsia" w:cs="Times New Roman"/>
                <w:bCs/>
                <w:kern w:val="0"/>
                <w:szCs w:val="24"/>
              </w:rPr>
              <w:t>生活污水经预处理池处理后</w:t>
            </w:r>
            <w:r>
              <w:rPr>
                <w:rFonts w:cs="Times New Roman"/>
                <w:bCs/>
                <w:kern w:val="0"/>
                <w:szCs w:val="24"/>
              </w:rPr>
              <w:t>排入经开区</w:t>
            </w:r>
            <w:r>
              <w:rPr>
                <w:rFonts w:hint="eastAsia" w:cs="Times New Roman"/>
                <w:bCs/>
                <w:kern w:val="0"/>
                <w:szCs w:val="24"/>
              </w:rPr>
              <w:t>污水管网，送至</w:t>
            </w:r>
            <w:r>
              <w:rPr>
                <w:rFonts w:cs="Times New Roman"/>
                <w:bCs/>
                <w:kern w:val="0"/>
                <w:szCs w:val="24"/>
              </w:rPr>
              <w:t>巴中经开区污水处理厂</w:t>
            </w:r>
            <w:r>
              <w:rPr>
                <w:rFonts w:hint="eastAsia" w:cs="Times New Roman"/>
                <w:bCs/>
                <w:kern w:val="0"/>
                <w:szCs w:val="24"/>
              </w:rPr>
              <w:t>进一步</w:t>
            </w:r>
            <w:r>
              <w:rPr>
                <w:rFonts w:cs="Times New Roman"/>
                <w:bCs/>
                <w:kern w:val="0"/>
                <w:szCs w:val="24"/>
              </w:rPr>
              <w:t>处理。本项目废水排放口排放标准执行《污水综合排放标准》（GB8978-1996）中的三级排放标准以及巴中经开区污水处理厂设计进水水质要求</w:t>
            </w:r>
            <w:r>
              <w:rPr>
                <w:rFonts w:hint="eastAsia" w:cs="Times New Roman"/>
                <w:bCs/>
                <w:kern w:val="0"/>
                <w:szCs w:val="24"/>
              </w:rPr>
              <w:t>。根据</w:t>
            </w:r>
            <w:r>
              <w:rPr>
                <w:bCs/>
              </w:rPr>
              <w:t>《四川巴中经济开发区规划修编环境影响报告书》</w:t>
            </w:r>
            <w:r>
              <w:rPr>
                <w:rFonts w:hint="eastAsia"/>
                <w:bCs/>
              </w:rPr>
              <w:t>，巴中经开区污水处理厂进水水质执行</w:t>
            </w:r>
            <w:r>
              <w:rPr>
                <w:rFonts w:cs="Times New Roman"/>
                <w:bCs/>
                <w:kern w:val="0"/>
                <w:szCs w:val="24"/>
              </w:rPr>
              <w:t>《污水综合排放标准》（GB8978-1996）中的三级排放标准</w:t>
            </w:r>
            <w:r>
              <w:rPr>
                <w:rFonts w:hint="eastAsia" w:cs="Times New Roman"/>
                <w:bCs/>
                <w:kern w:val="0"/>
                <w:szCs w:val="24"/>
              </w:rPr>
              <w:t>要求，</w:t>
            </w:r>
            <w:r>
              <w:rPr>
                <w:rFonts w:cs="Times New Roman"/>
                <w:bCs/>
              </w:rPr>
              <w:t>氨氮、总磷参照</w:t>
            </w:r>
            <w:r>
              <w:rPr>
                <w:rFonts w:hint="eastAsia" w:cs="Times New Roman"/>
                <w:bCs/>
              </w:rPr>
              <w:t>执行</w:t>
            </w:r>
            <w:r>
              <w:rPr>
                <w:rFonts w:cs="Times New Roman"/>
                <w:bCs/>
              </w:rPr>
              <w:t>《污水排入城镇下水道水质标准》（GB/T31962-2015）B等级标准</w:t>
            </w:r>
            <w:r>
              <w:rPr>
                <w:rFonts w:hint="eastAsia" w:cs="Times New Roman"/>
                <w:bCs/>
                <w:kern w:val="0"/>
                <w:szCs w:val="24"/>
              </w:rPr>
              <w:t>）</w:t>
            </w:r>
            <w:r>
              <w:rPr>
                <w:rFonts w:cs="Times New Roman"/>
                <w:bCs/>
                <w:kern w:val="0"/>
                <w:szCs w:val="24"/>
              </w:rPr>
              <w:t>，经巴中经开区污水处理厂处理后达到</w:t>
            </w:r>
            <w:bookmarkStart w:id="48" w:name="OLE_LINK182"/>
            <w:bookmarkStart w:id="49" w:name="OLE_LINK183"/>
            <w:r>
              <w:rPr>
                <w:rFonts w:hint="eastAsia" w:cs="Times New Roman"/>
                <w:bCs/>
                <w:kern w:val="0"/>
                <w:szCs w:val="24"/>
              </w:rPr>
              <w:t>《城镇污水处理厂污染物排放标准》（</w:t>
            </w:r>
            <w:r>
              <w:rPr>
                <w:rFonts w:cs="Times New Roman"/>
                <w:bCs/>
                <w:kern w:val="0"/>
                <w:szCs w:val="24"/>
              </w:rPr>
              <w:t>GB18918-2002</w:t>
            </w:r>
            <w:r>
              <w:rPr>
                <w:rFonts w:hint="eastAsia" w:cs="Times New Roman"/>
                <w:bCs/>
                <w:kern w:val="0"/>
                <w:szCs w:val="24"/>
              </w:rPr>
              <w:t>）一级</w:t>
            </w:r>
            <w:r>
              <w:rPr>
                <w:rFonts w:cs="Times New Roman"/>
                <w:bCs/>
                <w:kern w:val="0"/>
                <w:szCs w:val="24"/>
              </w:rPr>
              <w:t>A</w:t>
            </w:r>
            <w:r>
              <w:rPr>
                <w:rFonts w:cs="Times New Roman"/>
                <w:bCs/>
              </w:rPr>
              <w:t>标准</w:t>
            </w:r>
            <w:r>
              <w:rPr>
                <w:rFonts w:cs="Times New Roman"/>
                <w:bCs/>
                <w:kern w:val="0"/>
                <w:szCs w:val="24"/>
              </w:rPr>
              <w:t>，最终排入巴河。</w:t>
            </w:r>
            <w:bookmarkEnd w:id="48"/>
            <w:bookmarkEnd w:id="49"/>
          </w:p>
          <w:p w14:paraId="4ADF2A4D">
            <w:pPr>
              <w:ind w:firstLine="480"/>
              <w:rPr>
                <w:rFonts w:cs="Times New Roman"/>
                <w:kern w:val="0"/>
                <w:szCs w:val="24"/>
              </w:rPr>
            </w:pPr>
            <w:r>
              <w:rPr>
                <w:rFonts w:cs="Times New Roman"/>
                <w:kern w:val="0"/>
                <w:szCs w:val="24"/>
              </w:rPr>
              <w:t>综上，本项目给排水情况如下表所示。</w:t>
            </w:r>
          </w:p>
          <w:p w14:paraId="6E66A4C3">
            <w:pPr>
              <w:widowControl/>
              <w:autoSpaceDE w:val="0"/>
              <w:autoSpaceDN w:val="0"/>
              <w:adjustRightInd w:val="0"/>
              <w:ind w:firstLine="482"/>
              <w:jc w:val="center"/>
              <w:textAlignment w:val="bottom"/>
              <w:rPr>
                <w:b/>
                <w:kern w:val="0"/>
                <w:szCs w:val="20"/>
              </w:rPr>
            </w:pPr>
            <w:r>
              <w:rPr>
                <w:b/>
                <w:kern w:val="0"/>
                <w:szCs w:val="20"/>
              </w:rPr>
              <w:t>表2-</w:t>
            </w:r>
            <w:r>
              <w:rPr>
                <w:rFonts w:hint="eastAsia"/>
                <w:b/>
                <w:kern w:val="0"/>
                <w:szCs w:val="20"/>
              </w:rPr>
              <w:t>7</w:t>
            </w:r>
            <w:r>
              <w:rPr>
                <w:b/>
                <w:kern w:val="0"/>
                <w:szCs w:val="20"/>
              </w:rPr>
              <w:t xml:space="preserve">  </w:t>
            </w:r>
            <w:r>
              <w:rPr>
                <w:rFonts w:hint="eastAsia"/>
                <w:b/>
                <w:kern w:val="0"/>
                <w:szCs w:val="20"/>
              </w:rPr>
              <w:t>原有</w:t>
            </w:r>
            <w:r>
              <w:rPr>
                <w:b/>
                <w:kern w:val="0"/>
                <w:szCs w:val="20"/>
              </w:rPr>
              <w:t>项目用水类型及用水量</w:t>
            </w:r>
          </w:p>
          <w:tbl>
            <w:tblPr>
              <w:tblStyle w:val="33"/>
              <w:tblW w:w="88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1"/>
              <w:gridCol w:w="1550"/>
              <w:gridCol w:w="1676"/>
              <w:gridCol w:w="1900"/>
              <w:gridCol w:w="2322"/>
            </w:tblGrid>
            <w:tr w14:paraId="07D1C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1381" w:type="dxa"/>
                  <w:tcBorders>
                    <w:top w:val="single" w:color="auto" w:sz="4" w:space="0"/>
                    <w:left w:val="single" w:color="auto" w:sz="4" w:space="0"/>
                  </w:tcBorders>
                  <w:shd w:val="clear" w:color="auto" w:fill="D9D9D9"/>
                  <w:vAlign w:val="center"/>
                </w:tcPr>
                <w:p w14:paraId="72CBB00B">
                  <w:pPr>
                    <w:spacing w:line="240" w:lineRule="auto"/>
                    <w:ind w:firstLine="0" w:firstLineChars="0"/>
                    <w:jc w:val="center"/>
                    <w:rPr>
                      <w:b/>
                      <w:sz w:val="21"/>
                      <w:szCs w:val="21"/>
                    </w:rPr>
                  </w:pPr>
                  <w:r>
                    <w:rPr>
                      <w:b/>
                      <w:sz w:val="21"/>
                      <w:szCs w:val="21"/>
                    </w:rPr>
                    <w:t>用水性质</w:t>
                  </w:r>
                </w:p>
              </w:tc>
              <w:tc>
                <w:tcPr>
                  <w:tcW w:w="1550" w:type="dxa"/>
                  <w:tcBorders>
                    <w:top w:val="single" w:color="auto" w:sz="4" w:space="0"/>
                  </w:tcBorders>
                  <w:shd w:val="clear" w:color="auto" w:fill="D9D9D9"/>
                  <w:vAlign w:val="center"/>
                </w:tcPr>
                <w:p w14:paraId="0B2D82B8">
                  <w:pPr>
                    <w:spacing w:line="240" w:lineRule="auto"/>
                    <w:ind w:firstLine="0" w:firstLineChars="0"/>
                    <w:jc w:val="center"/>
                    <w:rPr>
                      <w:b/>
                      <w:sz w:val="21"/>
                      <w:szCs w:val="21"/>
                    </w:rPr>
                  </w:pPr>
                  <w:r>
                    <w:rPr>
                      <w:b/>
                      <w:sz w:val="21"/>
                      <w:szCs w:val="21"/>
                    </w:rPr>
                    <w:t>原有项目数量</w:t>
                  </w:r>
                </w:p>
              </w:tc>
              <w:tc>
                <w:tcPr>
                  <w:tcW w:w="1676" w:type="dxa"/>
                  <w:tcBorders>
                    <w:top w:val="single" w:color="auto" w:sz="4" w:space="0"/>
                  </w:tcBorders>
                  <w:shd w:val="clear" w:color="auto" w:fill="D9D9D9"/>
                  <w:vAlign w:val="center"/>
                </w:tcPr>
                <w:p w14:paraId="6BFC95E5">
                  <w:pPr>
                    <w:spacing w:line="240" w:lineRule="auto"/>
                    <w:ind w:firstLine="0" w:firstLineChars="0"/>
                    <w:jc w:val="center"/>
                    <w:rPr>
                      <w:b/>
                      <w:sz w:val="21"/>
                      <w:szCs w:val="21"/>
                    </w:rPr>
                  </w:pPr>
                  <w:r>
                    <w:rPr>
                      <w:b/>
                      <w:sz w:val="21"/>
                      <w:szCs w:val="21"/>
                    </w:rPr>
                    <w:t>用水定额</w:t>
                  </w:r>
                </w:p>
              </w:tc>
              <w:tc>
                <w:tcPr>
                  <w:tcW w:w="1900" w:type="dxa"/>
                  <w:tcBorders>
                    <w:top w:val="single" w:color="auto" w:sz="4" w:space="0"/>
                    <w:right w:val="single" w:color="auto" w:sz="4" w:space="0"/>
                  </w:tcBorders>
                  <w:shd w:val="clear" w:color="auto" w:fill="D9D9D9"/>
                  <w:vAlign w:val="center"/>
                </w:tcPr>
                <w:p w14:paraId="540F7637">
                  <w:pPr>
                    <w:spacing w:line="240" w:lineRule="auto"/>
                    <w:ind w:firstLine="0" w:firstLineChars="0"/>
                    <w:jc w:val="center"/>
                    <w:rPr>
                      <w:b/>
                      <w:sz w:val="21"/>
                      <w:szCs w:val="21"/>
                    </w:rPr>
                  </w:pPr>
                  <w:r>
                    <w:rPr>
                      <w:b/>
                      <w:sz w:val="21"/>
                      <w:szCs w:val="21"/>
                    </w:rPr>
                    <w:t>原项目最大用水量（m</w:t>
                  </w:r>
                  <w:r>
                    <w:rPr>
                      <w:b/>
                      <w:sz w:val="21"/>
                      <w:szCs w:val="21"/>
                      <w:vertAlign w:val="superscript"/>
                    </w:rPr>
                    <w:t>3</w:t>
                  </w:r>
                  <w:r>
                    <w:rPr>
                      <w:b/>
                      <w:sz w:val="21"/>
                      <w:szCs w:val="21"/>
                    </w:rPr>
                    <w:t>/d）</w:t>
                  </w:r>
                </w:p>
              </w:tc>
              <w:tc>
                <w:tcPr>
                  <w:tcW w:w="2322" w:type="dxa"/>
                  <w:tcBorders>
                    <w:top w:val="single" w:color="auto" w:sz="4" w:space="0"/>
                    <w:right w:val="single" w:color="auto" w:sz="4" w:space="0"/>
                  </w:tcBorders>
                  <w:shd w:val="clear" w:color="auto" w:fill="D9D9D9"/>
                  <w:vAlign w:val="center"/>
                </w:tcPr>
                <w:p w14:paraId="7036F7EA">
                  <w:pPr>
                    <w:spacing w:line="240" w:lineRule="auto"/>
                    <w:ind w:firstLine="0" w:firstLineChars="0"/>
                    <w:jc w:val="center"/>
                    <w:rPr>
                      <w:b/>
                      <w:sz w:val="21"/>
                      <w:szCs w:val="21"/>
                    </w:rPr>
                  </w:pPr>
                  <w:r>
                    <w:rPr>
                      <w:b/>
                      <w:sz w:val="21"/>
                      <w:szCs w:val="21"/>
                    </w:rPr>
                    <w:t>原项目排水量（m</w:t>
                  </w:r>
                  <w:r>
                    <w:rPr>
                      <w:b/>
                      <w:sz w:val="21"/>
                      <w:szCs w:val="21"/>
                      <w:vertAlign w:val="superscript"/>
                    </w:rPr>
                    <w:t>3</w:t>
                  </w:r>
                  <w:r>
                    <w:rPr>
                      <w:b/>
                      <w:sz w:val="21"/>
                      <w:szCs w:val="21"/>
                    </w:rPr>
                    <w:t>/d）</w:t>
                  </w:r>
                </w:p>
              </w:tc>
            </w:tr>
            <w:tr w14:paraId="55D19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 w:hRule="atLeast"/>
                <w:jc w:val="center"/>
              </w:trPr>
              <w:tc>
                <w:tcPr>
                  <w:tcW w:w="1381" w:type="dxa"/>
                  <w:tcBorders>
                    <w:left w:val="single" w:color="auto" w:sz="4" w:space="0"/>
                  </w:tcBorders>
                  <w:vAlign w:val="center"/>
                </w:tcPr>
                <w:p w14:paraId="15D92DD9">
                  <w:pPr>
                    <w:spacing w:line="240" w:lineRule="auto"/>
                    <w:ind w:firstLine="0" w:firstLineChars="0"/>
                    <w:jc w:val="center"/>
                    <w:rPr>
                      <w:sz w:val="21"/>
                      <w:szCs w:val="21"/>
                    </w:rPr>
                  </w:pPr>
                  <w:r>
                    <w:rPr>
                      <w:sz w:val="21"/>
                      <w:szCs w:val="21"/>
                    </w:rPr>
                    <w:t>职工人员</w:t>
                  </w:r>
                </w:p>
              </w:tc>
              <w:tc>
                <w:tcPr>
                  <w:tcW w:w="1550" w:type="dxa"/>
                  <w:vAlign w:val="center"/>
                </w:tcPr>
                <w:p w14:paraId="47C09E1F">
                  <w:pPr>
                    <w:spacing w:line="240" w:lineRule="auto"/>
                    <w:ind w:firstLine="0" w:firstLineChars="0"/>
                    <w:jc w:val="center"/>
                    <w:rPr>
                      <w:sz w:val="21"/>
                      <w:szCs w:val="21"/>
                    </w:rPr>
                  </w:pPr>
                  <w:r>
                    <w:rPr>
                      <w:rFonts w:hint="eastAsia"/>
                      <w:sz w:val="21"/>
                      <w:szCs w:val="21"/>
                    </w:rPr>
                    <w:t>4</w:t>
                  </w:r>
                  <w:r>
                    <w:rPr>
                      <w:sz w:val="21"/>
                      <w:szCs w:val="21"/>
                    </w:rPr>
                    <w:t>0人</w:t>
                  </w:r>
                </w:p>
              </w:tc>
              <w:tc>
                <w:tcPr>
                  <w:tcW w:w="1676" w:type="dxa"/>
                  <w:vAlign w:val="center"/>
                </w:tcPr>
                <w:p w14:paraId="437EDF42">
                  <w:pPr>
                    <w:spacing w:line="240" w:lineRule="auto"/>
                    <w:ind w:firstLine="0" w:firstLineChars="0"/>
                    <w:rPr>
                      <w:kern w:val="0"/>
                      <w:sz w:val="21"/>
                      <w:szCs w:val="21"/>
                    </w:rPr>
                  </w:pPr>
                  <w:r>
                    <w:rPr>
                      <w:rFonts w:hint="eastAsia"/>
                      <w:sz w:val="21"/>
                      <w:szCs w:val="21"/>
                    </w:rPr>
                    <w:t>10</w:t>
                  </w:r>
                  <w:r>
                    <w:rPr>
                      <w:sz w:val="21"/>
                      <w:szCs w:val="21"/>
                    </w:rPr>
                    <w:t>0L/人·次</w:t>
                  </w:r>
                </w:p>
              </w:tc>
              <w:tc>
                <w:tcPr>
                  <w:tcW w:w="1900" w:type="dxa"/>
                  <w:tcBorders>
                    <w:right w:val="single" w:color="auto" w:sz="4" w:space="0"/>
                  </w:tcBorders>
                  <w:vAlign w:val="center"/>
                </w:tcPr>
                <w:p w14:paraId="7547B234">
                  <w:pPr>
                    <w:spacing w:line="240" w:lineRule="auto"/>
                    <w:ind w:firstLine="0" w:firstLineChars="0"/>
                    <w:jc w:val="center"/>
                    <w:rPr>
                      <w:sz w:val="21"/>
                      <w:szCs w:val="21"/>
                    </w:rPr>
                  </w:pPr>
                  <w:r>
                    <w:rPr>
                      <w:rFonts w:hint="eastAsia"/>
                      <w:sz w:val="21"/>
                      <w:szCs w:val="21"/>
                    </w:rPr>
                    <w:t>4.0</w:t>
                  </w:r>
                </w:p>
              </w:tc>
              <w:tc>
                <w:tcPr>
                  <w:tcW w:w="2322" w:type="dxa"/>
                  <w:tcBorders>
                    <w:right w:val="single" w:color="auto" w:sz="4" w:space="0"/>
                  </w:tcBorders>
                  <w:vAlign w:val="center"/>
                </w:tcPr>
                <w:p w14:paraId="5A8C5CD1">
                  <w:pPr>
                    <w:spacing w:line="240" w:lineRule="auto"/>
                    <w:ind w:firstLine="0" w:firstLineChars="0"/>
                    <w:jc w:val="center"/>
                    <w:rPr>
                      <w:sz w:val="21"/>
                      <w:szCs w:val="21"/>
                    </w:rPr>
                  </w:pPr>
                  <w:r>
                    <w:rPr>
                      <w:rFonts w:hint="eastAsia"/>
                      <w:sz w:val="21"/>
                      <w:szCs w:val="21"/>
                    </w:rPr>
                    <w:t>3.6</w:t>
                  </w:r>
                </w:p>
              </w:tc>
            </w:tr>
            <w:tr w14:paraId="6AE62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 w:hRule="atLeast"/>
                <w:jc w:val="center"/>
              </w:trPr>
              <w:tc>
                <w:tcPr>
                  <w:tcW w:w="4607" w:type="dxa"/>
                  <w:gridSpan w:val="3"/>
                  <w:tcBorders>
                    <w:left w:val="single" w:color="auto" w:sz="4" w:space="0"/>
                  </w:tcBorders>
                  <w:vAlign w:val="center"/>
                </w:tcPr>
                <w:p w14:paraId="645C1003">
                  <w:pPr>
                    <w:spacing w:line="240" w:lineRule="auto"/>
                    <w:ind w:firstLine="0" w:firstLineChars="0"/>
                    <w:jc w:val="center"/>
                    <w:rPr>
                      <w:sz w:val="21"/>
                      <w:szCs w:val="21"/>
                    </w:rPr>
                  </w:pPr>
                  <w:r>
                    <w:rPr>
                      <w:iCs/>
                      <w:sz w:val="21"/>
                      <w:szCs w:val="21"/>
                    </w:rPr>
                    <w:t>合计</w:t>
                  </w:r>
                </w:p>
              </w:tc>
              <w:tc>
                <w:tcPr>
                  <w:tcW w:w="1900" w:type="dxa"/>
                  <w:tcBorders>
                    <w:right w:val="single" w:color="auto" w:sz="4" w:space="0"/>
                  </w:tcBorders>
                  <w:vAlign w:val="center"/>
                </w:tcPr>
                <w:p w14:paraId="3ADF2D44">
                  <w:pPr>
                    <w:spacing w:line="240" w:lineRule="auto"/>
                    <w:ind w:firstLine="0" w:firstLineChars="0"/>
                    <w:jc w:val="center"/>
                    <w:rPr>
                      <w:sz w:val="21"/>
                      <w:szCs w:val="21"/>
                    </w:rPr>
                  </w:pPr>
                  <w:r>
                    <w:rPr>
                      <w:rFonts w:hint="eastAsia"/>
                      <w:sz w:val="21"/>
                      <w:szCs w:val="21"/>
                    </w:rPr>
                    <w:t>4.0</w:t>
                  </w:r>
                </w:p>
              </w:tc>
              <w:tc>
                <w:tcPr>
                  <w:tcW w:w="2322" w:type="dxa"/>
                  <w:tcBorders>
                    <w:right w:val="single" w:color="auto" w:sz="4" w:space="0"/>
                  </w:tcBorders>
                  <w:vAlign w:val="center"/>
                </w:tcPr>
                <w:p w14:paraId="1ED84BF1">
                  <w:pPr>
                    <w:spacing w:line="240" w:lineRule="auto"/>
                    <w:ind w:firstLine="0" w:firstLineChars="0"/>
                    <w:jc w:val="center"/>
                    <w:rPr>
                      <w:sz w:val="21"/>
                      <w:szCs w:val="21"/>
                    </w:rPr>
                  </w:pPr>
                  <w:r>
                    <w:rPr>
                      <w:rFonts w:hint="eastAsia"/>
                      <w:sz w:val="21"/>
                      <w:szCs w:val="21"/>
                    </w:rPr>
                    <w:t>3.6</w:t>
                  </w:r>
                </w:p>
              </w:tc>
            </w:tr>
          </w:tbl>
          <w:p w14:paraId="1A490874">
            <w:pPr>
              <w:pStyle w:val="3"/>
              <w:spacing w:before="0" w:beforeLines="0"/>
            </w:pPr>
            <w:r>
              <w:t>8、劳动定员及工作制度</w:t>
            </w:r>
          </w:p>
          <w:p w14:paraId="7ED61597">
            <w:pPr>
              <w:ind w:firstLine="480"/>
              <w:rPr>
                <w:rFonts w:cs="Times New Roman"/>
              </w:rPr>
            </w:pPr>
            <w:r>
              <w:rPr>
                <w:rFonts w:cs="Times New Roman"/>
              </w:rPr>
              <w:t>职工人数：</w:t>
            </w:r>
            <w:r>
              <w:rPr>
                <w:rFonts w:hint="eastAsia" w:cs="Times New Roman"/>
              </w:rPr>
              <w:t>厂区内总40</w:t>
            </w:r>
            <w:r>
              <w:rPr>
                <w:rFonts w:cs="Times New Roman"/>
              </w:rPr>
              <w:t>人</w:t>
            </w:r>
            <w:r>
              <w:rPr>
                <w:rFonts w:hint="eastAsia" w:cs="Times New Roman"/>
              </w:rPr>
              <w:t>，均为原有项目配置</w:t>
            </w:r>
            <w:r>
              <w:rPr>
                <w:rFonts w:cs="Times New Roman"/>
              </w:rPr>
              <w:t>。</w:t>
            </w:r>
            <w:r>
              <w:rPr>
                <w:rFonts w:hint="eastAsia" w:cs="Times New Roman"/>
              </w:rPr>
              <w:t>本次改扩建项目员工从原有项目生产线进行调配，不新增员工。</w:t>
            </w:r>
          </w:p>
          <w:p w14:paraId="76073EAF">
            <w:pPr>
              <w:ind w:firstLine="480"/>
              <w:rPr>
                <w:rFonts w:cs="Times New Roman"/>
              </w:rPr>
            </w:pPr>
            <w:r>
              <w:rPr>
                <w:rFonts w:cs="Times New Roman"/>
                <w:bCs/>
              </w:rPr>
              <w:t>工作制度：年工作300天，</w:t>
            </w:r>
            <w:r>
              <w:rPr>
                <w:rFonts w:hint="eastAsia" w:cs="Times New Roman"/>
                <w:bCs/>
              </w:rPr>
              <w:t>一</w:t>
            </w:r>
            <w:r>
              <w:rPr>
                <w:rFonts w:cs="Times New Roman"/>
                <w:bCs/>
              </w:rPr>
              <w:t>班制，每日工作8小时。</w:t>
            </w:r>
            <w:r>
              <w:rPr>
                <w:rFonts w:hint="eastAsia" w:cs="Times New Roman"/>
                <w:bCs/>
              </w:rPr>
              <w:t>工作日具体生产时间根据订单安排确定，昼间生产，夜间不生产。全年总生产时长2</w:t>
            </w:r>
            <w:r>
              <w:rPr>
                <w:rFonts w:cs="Times New Roman"/>
                <w:bCs/>
              </w:rPr>
              <w:t>400</w:t>
            </w:r>
            <w:r>
              <w:rPr>
                <w:rFonts w:hint="eastAsia" w:cs="Times New Roman"/>
                <w:bCs/>
              </w:rPr>
              <w:t>h。</w:t>
            </w:r>
            <w:r>
              <w:rPr>
                <w:rFonts w:cs="Times New Roman"/>
              </w:rPr>
              <w:t>厂区内</w:t>
            </w:r>
            <w:r>
              <w:rPr>
                <w:rFonts w:hint="eastAsia" w:cs="Times New Roman"/>
              </w:rPr>
              <w:t>不设置员工食堂，</w:t>
            </w:r>
            <w:r>
              <w:rPr>
                <w:rFonts w:cs="Times New Roman"/>
              </w:rPr>
              <w:t>不设</w:t>
            </w:r>
            <w:r>
              <w:rPr>
                <w:rFonts w:hint="eastAsia" w:cs="Times New Roman"/>
              </w:rPr>
              <w:t>员工</w:t>
            </w:r>
            <w:r>
              <w:rPr>
                <w:rFonts w:cs="Times New Roman"/>
              </w:rPr>
              <w:t>宿舍。</w:t>
            </w:r>
          </w:p>
          <w:p w14:paraId="0EFCB118">
            <w:pPr>
              <w:pStyle w:val="3"/>
              <w:spacing w:before="0" w:beforeLines="0"/>
            </w:pPr>
            <w:r>
              <w:t>9、厂区平面布置</w:t>
            </w:r>
          </w:p>
          <w:p w14:paraId="0F22A064">
            <w:pPr>
              <w:ind w:firstLine="480"/>
              <w:rPr>
                <w:rFonts w:cs="Times New Roman"/>
              </w:rPr>
            </w:pPr>
            <w:r>
              <w:rPr>
                <w:rFonts w:cs="Times New Roman"/>
              </w:rPr>
              <w:t>本项目</w:t>
            </w:r>
            <w:r>
              <w:rPr>
                <w:rFonts w:hint="eastAsia" w:cs="Times New Roman"/>
              </w:rPr>
              <w:t>利用原厂房已建二车间（原为仓库）新建</w:t>
            </w:r>
            <w:r>
              <w:rPr>
                <w:rFonts w:hint="eastAsia"/>
                <w:bCs/>
              </w:rPr>
              <w:t>颗粒板贴面生产线</w:t>
            </w:r>
            <w:r>
              <w:rPr>
                <w:rFonts w:hint="eastAsia" w:cs="Times New Roman"/>
              </w:rPr>
              <w:t>；整个厂区已建两个车间和一栋3层的办公大楼，一车间用于建设板式家具生产线</w:t>
            </w:r>
            <w:r>
              <w:rPr>
                <w:rFonts w:cs="Times New Roman"/>
                <w:szCs w:val="24"/>
                <w:lang w:bidi="ar"/>
              </w:rPr>
              <w:t>（详见附图：项目平面布置图）</w:t>
            </w:r>
            <w:r>
              <w:rPr>
                <w:rFonts w:hint="eastAsia" w:cs="Times New Roman"/>
              </w:rPr>
              <w:t>。</w:t>
            </w:r>
            <w:r>
              <w:rPr>
                <w:rFonts w:hint="eastAsia" w:cs="Times New Roman"/>
                <w:szCs w:val="24"/>
                <w:lang w:bidi="ar"/>
              </w:rPr>
              <w:t>二车间内</w:t>
            </w:r>
            <w:r>
              <w:rPr>
                <w:rFonts w:cs="Times New Roman"/>
                <w:szCs w:val="24"/>
                <w:lang w:bidi="ar"/>
              </w:rPr>
              <w:t>各设施按照工艺流程进行合理布设，物料输送便捷，满足物料流程的需要及物料快捷输送。</w:t>
            </w:r>
          </w:p>
          <w:p w14:paraId="3E6FD86C">
            <w:pPr>
              <w:ind w:firstLine="480"/>
              <w:rPr>
                <w:rFonts w:cs="Times New Roman"/>
              </w:rPr>
            </w:pPr>
            <w:r>
              <w:rPr>
                <w:rFonts w:cs="Times New Roman"/>
              </w:rPr>
              <w:t>本项目周边500m范围内主要环境保护目标为东北侧约</w:t>
            </w:r>
            <w:r>
              <w:rPr>
                <w:rFonts w:hint="eastAsia" w:cs="Times New Roman"/>
              </w:rPr>
              <w:t>27</w:t>
            </w:r>
            <w:r>
              <w:rPr>
                <w:rFonts w:cs="Times New Roman"/>
              </w:rPr>
              <w:t>0m处</w:t>
            </w:r>
            <w:r>
              <w:rPr>
                <w:rFonts w:hint="eastAsia" w:cs="Times New Roman"/>
              </w:rPr>
              <w:t>巴中市经开区消防救援大队</w:t>
            </w:r>
            <w:r>
              <w:rPr>
                <w:rFonts w:cs="Times New Roman"/>
              </w:rPr>
              <w:t>，</w:t>
            </w:r>
            <w:r>
              <w:rPr>
                <w:rFonts w:hint="eastAsia" w:cs="Times New Roman"/>
              </w:rPr>
              <w:t>中间间隔市政道路中山北路；</w:t>
            </w:r>
          </w:p>
          <w:p w14:paraId="63CE74A2">
            <w:pPr>
              <w:ind w:firstLine="480"/>
              <w:rPr>
                <w:rFonts w:cs="Times New Roman"/>
              </w:rPr>
            </w:pPr>
            <w:r>
              <w:rPr>
                <w:rFonts w:cs="Times New Roman"/>
                <w:szCs w:val="24"/>
                <w:lang w:bidi="ar"/>
              </w:rPr>
              <w:t>本项目将产生</w:t>
            </w:r>
            <w:r>
              <w:rPr>
                <w:rFonts w:hint="eastAsia" w:cs="Times New Roman"/>
                <w:szCs w:val="24"/>
                <w:lang w:bidi="ar"/>
              </w:rPr>
              <w:t>的有机</w:t>
            </w:r>
            <w:r>
              <w:rPr>
                <w:rFonts w:cs="Times New Roman"/>
                <w:szCs w:val="24"/>
                <w:lang w:bidi="ar"/>
              </w:rPr>
              <w:t>废气</w:t>
            </w:r>
            <w:r>
              <w:rPr>
                <w:rFonts w:hint="eastAsia" w:cs="Times New Roman"/>
                <w:szCs w:val="24"/>
                <w:lang w:bidi="ar"/>
              </w:rPr>
              <w:t>浓度低，</w:t>
            </w:r>
            <w:r>
              <w:rPr>
                <w:rFonts w:cs="Times New Roman"/>
                <w:szCs w:val="24"/>
                <w:lang w:bidi="ar"/>
              </w:rPr>
              <w:t>同时，</w:t>
            </w:r>
            <w:r>
              <w:rPr>
                <w:rFonts w:cs="Times New Roman"/>
              </w:rPr>
              <w:t>采取环评要求的环保措施后，各污染物均能达标排放，不会对周边环境造成明显影响。</w:t>
            </w:r>
          </w:p>
          <w:p w14:paraId="025D5D0C">
            <w:pPr>
              <w:ind w:firstLine="480"/>
              <w:rPr>
                <w:rFonts w:cs="Times New Roman"/>
                <w:szCs w:val="24"/>
                <w:lang w:bidi="ar"/>
              </w:rPr>
            </w:pPr>
            <w:r>
              <w:rPr>
                <w:rFonts w:cs="Times New Roman"/>
              </w:rPr>
              <w:t>项目生活污水</w:t>
            </w:r>
            <w:r>
              <w:rPr>
                <w:rFonts w:hint="eastAsia" w:cs="Times New Roman"/>
              </w:rPr>
              <w:t>排入预处理池</w:t>
            </w:r>
            <w:r>
              <w:rPr>
                <w:rFonts w:cs="Times New Roman"/>
              </w:rPr>
              <w:t>处理后排入园区污水管网，最终排放至巴中经开区污水处理厂进一步处理。</w:t>
            </w:r>
            <w:r>
              <w:rPr>
                <w:rFonts w:hint="eastAsia" w:cs="Times New Roman"/>
              </w:rPr>
              <w:t>厂区</w:t>
            </w:r>
            <w:r>
              <w:rPr>
                <w:rFonts w:cs="Times New Roman"/>
              </w:rPr>
              <w:t>废气共设置</w:t>
            </w:r>
            <w:r>
              <w:rPr>
                <w:rFonts w:hint="eastAsia" w:cs="Times New Roman"/>
              </w:rPr>
              <w:t>3</w:t>
            </w:r>
            <w:r>
              <w:rPr>
                <w:rFonts w:cs="Times New Roman"/>
              </w:rPr>
              <w:t>根排气筒，</w:t>
            </w:r>
            <w:r>
              <w:rPr>
                <w:rFonts w:hint="eastAsia" w:cs="Times New Roman"/>
              </w:rPr>
              <w:t>一车间粉尘废气DA001位于一车间外、二车间有机废气DA002、天然气燃烧废气DA003</w:t>
            </w:r>
            <w:r>
              <w:rPr>
                <w:rFonts w:cs="Times New Roman"/>
              </w:rPr>
              <w:t>位于</w:t>
            </w:r>
            <w:r>
              <w:rPr>
                <w:rFonts w:hint="eastAsia" w:cs="Times New Roman"/>
              </w:rPr>
              <w:t>二车间外</w:t>
            </w:r>
            <w:r>
              <w:rPr>
                <w:rFonts w:cs="Times New Roman"/>
              </w:rPr>
              <w:t>，设置合理。</w:t>
            </w:r>
            <w:r>
              <w:rPr>
                <w:rFonts w:hint="eastAsia" w:cs="Times New Roman"/>
              </w:rPr>
              <w:t>新建</w:t>
            </w:r>
            <w:r>
              <w:rPr>
                <w:rFonts w:cs="Times New Roman"/>
              </w:rPr>
              <w:t>危废暂存间</w:t>
            </w:r>
            <w:r>
              <w:rPr>
                <w:rFonts w:hint="eastAsia" w:cs="Times New Roman"/>
              </w:rPr>
              <w:t>在二车间内</w:t>
            </w:r>
            <w:r>
              <w:rPr>
                <w:rFonts w:cs="Times New Roman"/>
              </w:rPr>
              <w:t>设置1间独立房间，占地面积约</w:t>
            </w:r>
            <w:r>
              <w:rPr>
                <w:rFonts w:hint="eastAsia" w:cs="Times New Roman"/>
              </w:rPr>
              <w:t>5</w:t>
            </w:r>
            <w:r>
              <w:rPr>
                <w:rFonts w:cs="Times New Roman"/>
              </w:rPr>
              <w:t>m</w:t>
            </w:r>
            <w:r>
              <w:rPr>
                <w:rFonts w:cs="Times New Roman"/>
                <w:vertAlign w:val="superscript"/>
              </w:rPr>
              <w:t>2</w:t>
            </w:r>
            <w:r>
              <w:rPr>
                <w:rFonts w:cs="Times New Roman"/>
              </w:rPr>
              <w:t>，设置</w:t>
            </w:r>
            <w:r>
              <w:rPr>
                <w:rFonts w:cs="Times New Roman"/>
                <w:szCs w:val="24"/>
                <w:lang w:bidi="ar"/>
              </w:rPr>
              <w:t>相应的防雨防渗漏及防流失措施，并设置明显标志，其布局较合理。</w:t>
            </w:r>
          </w:p>
          <w:p w14:paraId="52C741F1">
            <w:pPr>
              <w:ind w:firstLine="480"/>
              <w:rPr>
                <w:rFonts w:cs="Times New Roman"/>
              </w:rPr>
            </w:pPr>
            <w:r>
              <w:rPr>
                <w:rFonts w:cs="Times New Roman"/>
              </w:rPr>
              <w:t>设备在车间内总体上按工艺顺序进行布置，减少物料运输距离，工艺流程顺畅。生产区对办公区影响较小。</w:t>
            </w:r>
          </w:p>
          <w:p w14:paraId="41399751">
            <w:pPr>
              <w:ind w:firstLine="480"/>
              <w:rPr>
                <w:rFonts w:cs="Times New Roman"/>
              </w:rPr>
            </w:pPr>
            <w:r>
              <w:rPr>
                <w:rFonts w:cs="Times New Roman"/>
                <w:lang w:bidi="ar"/>
              </w:rPr>
              <w:t>综上，本项目平面布置从方便生产、安全管理和保护环境等方面进行综合考虑，认真贯彻执行国家现行的防火、防爆、安全、卫生、环境保护等规范要求，在总图布置过程结合厂址场地具体条件，综合考虑了生产工艺流程顺畅，各生产环节连接紧凑，物料输送距离短，便于节能降耗，提高生产效率。综上所述，拟建项目总平面布置做到功能区明确、工艺管线短捷、物流顺畅、布局紧凑合理、节约用地，厂区总平面布置基本合理。</w:t>
            </w:r>
          </w:p>
        </w:tc>
      </w:tr>
      <w:tr w14:paraId="7FF301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13229" w:hRule="atLeast"/>
          <w:jc w:val="center"/>
        </w:trPr>
        <w:tc>
          <w:tcPr>
            <w:tcW w:w="359" w:type="pct"/>
            <w:tcMar>
              <w:top w:w="16" w:type="dxa"/>
              <w:left w:w="16" w:type="dxa"/>
              <w:right w:w="16" w:type="dxa"/>
            </w:tcMar>
            <w:vAlign w:val="center"/>
          </w:tcPr>
          <w:p w14:paraId="09607D6D">
            <w:pPr>
              <w:pStyle w:val="30"/>
              <w:rPr>
                <w:rFonts w:cs="Times New Roman"/>
              </w:rPr>
            </w:pPr>
            <w:r>
              <w:rPr>
                <w:rFonts w:cs="Times New Roman"/>
              </w:rPr>
              <w:t>工艺流程和产排污环节</w:t>
            </w:r>
          </w:p>
        </w:tc>
        <w:tc>
          <w:tcPr>
            <w:tcW w:w="4641" w:type="pct"/>
            <w:vAlign w:val="center"/>
          </w:tcPr>
          <w:p w14:paraId="55B875E5">
            <w:pPr>
              <w:pStyle w:val="3"/>
              <w:spacing w:before="163"/>
            </w:pPr>
            <w:r>
              <w:t>1、施工期工艺流程及产物环节分析</w:t>
            </w:r>
          </w:p>
          <w:p w14:paraId="208FADFB">
            <w:pPr>
              <w:ind w:firstLine="482"/>
              <w:rPr>
                <w:rFonts w:cs="Times New Roman"/>
                <w:b/>
              </w:rPr>
            </w:pPr>
            <w:r>
              <w:rPr>
                <w:rFonts w:cs="Times New Roman"/>
                <w:b/>
              </w:rPr>
              <w:t>（1）施工期工艺流程</w:t>
            </w:r>
          </w:p>
          <w:p w14:paraId="43123D37">
            <w:pPr>
              <w:ind w:firstLine="480"/>
            </w:pPr>
            <w:r>
              <w:rPr>
                <w:rFonts w:hint="eastAsia"/>
              </w:rPr>
              <w:t>本项目主体工程</w:t>
            </w:r>
            <w:r>
              <w:t>已于202</w:t>
            </w:r>
            <w:r>
              <w:rPr>
                <w:rFonts w:hint="eastAsia"/>
              </w:rPr>
              <w:t>6</w:t>
            </w:r>
            <w:r>
              <w:t>年</w:t>
            </w:r>
            <w:r>
              <w:rPr>
                <w:rFonts w:hint="eastAsia"/>
              </w:rPr>
              <w:t>1</w:t>
            </w:r>
            <w:r>
              <w:t>月建设完成，本项目施工期仅为设备安装及调试，无土建工程。施工阶段产生的污染物主要为</w:t>
            </w:r>
            <w:r>
              <w:rPr>
                <w:rFonts w:hint="eastAsia"/>
              </w:rPr>
              <w:t>施工粉尘、</w:t>
            </w:r>
            <w:r>
              <w:t>设备安装噪声</w:t>
            </w:r>
            <w:r>
              <w:rPr>
                <w:rFonts w:hint="eastAsia"/>
              </w:rPr>
              <w:t>以及废包装材料</w:t>
            </w:r>
            <w:r>
              <w:t>，</w:t>
            </w:r>
            <w:r>
              <w:rPr>
                <w:rFonts w:hint="eastAsia"/>
              </w:rPr>
              <w:t>厂房内施工期工艺流程及产污环节示意图见图2</w:t>
            </w:r>
            <w:r>
              <w:t>-7。</w:t>
            </w:r>
          </w:p>
          <w:p w14:paraId="2DC34850">
            <w:pPr>
              <w:ind w:firstLine="480"/>
              <w:jc w:val="center"/>
            </w:pPr>
            <w:r>
              <w:rPr>
                <w:rFonts w:hint="eastAsia"/>
              </w:rPr>
              <w:drawing>
                <wp:inline distT="0" distB="0" distL="0" distR="0">
                  <wp:extent cx="4796155" cy="2449195"/>
                  <wp:effectExtent l="0" t="0" r="4445" b="8255"/>
                  <wp:docPr id="64203849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038496" name="图片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0" y="0"/>
                            <a:ext cx="4821566" cy="2462225"/>
                          </a:xfrm>
                          <a:prstGeom prst="rect">
                            <a:avLst/>
                          </a:prstGeom>
                          <a:noFill/>
                          <a:ln>
                            <a:noFill/>
                          </a:ln>
                        </pic:spPr>
                      </pic:pic>
                    </a:graphicData>
                  </a:graphic>
                </wp:inline>
              </w:drawing>
            </w:r>
          </w:p>
          <w:p w14:paraId="37B9FD07">
            <w:pPr>
              <w:ind w:firstLine="482"/>
              <w:jc w:val="center"/>
              <w:rPr>
                <w:bCs/>
              </w:rPr>
            </w:pPr>
            <w:r>
              <w:rPr>
                <w:b/>
                <w:bCs/>
              </w:rPr>
              <w:t>图2-</w:t>
            </w:r>
            <w:r>
              <w:rPr>
                <w:rFonts w:hint="eastAsia"/>
                <w:b/>
                <w:bCs/>
              </w:rPr>
              <w:t>1</w:t>
            </w:r>
            <w:r>
              <w:rPr>
                <w:b/>
                <w:bCs/>
              </w:rPr>
              <w:t xml:space="preserve">  </w:t>
            </w:r>
            <w:r>
              <w:rPr>
                <w:rFonts w:hint="eastAsia"/>
                <w:b/>
                <w:bCs/>
              </w:rPr>
              <w:t>施工期</w:t>
            </w:r>
            <w:r>
              <w:rPr>
                <w:b/>
                <w:bCs/>
              </w:rPr>
              <w:t>期工艺流程及产污环节图</w:t>
            </w:r>
          </w:p>
          <w:p w14:paraId="752CD8D2">
            <w:pPr>
              <w:pStyle w:val="3"/>
              <w:spacing w:before="163"/>
            </w:pPr>
            <w:r>
              <w:t>2、营运期工艺流程</w:t>
            </w:r>
          </w:p>
          <w:p w14:paraId="5486E3FA">
            <w:pPr>
              <w:ind w:firstLine="480"/>
              <w:rPr>
                <w:rFonts w:cs="Times New Roman"/>
              </w:rPr>
            </w:pPr>
            <w:r>
              <w:rPr>
                <w:rFonts w:hint="eastAsia" w:cs="Times New Roman"/>
              </w:rPr>
              <w:t>本次改扩建项目生产线为单板板材贴面。</w:t>
            </w:r>
          </w:p>
          <w:p w14:paraId="55E4D90B">
            <w:pPr>
              <w:ind w:firstLine="480"/>
              <w:jc w:val="center"/>
            </w:pPr>
            <w:r>
              <w:rPr>
                <w:rFonts w:hint="eastAsia"/>
              </w:rPr>
              <w:object>
                <v:shape id="_x0000_i1025" o:spt="75" type="#_x0000_t75" style="height:244.65pt;width:316.65pt;" o:ole="t" filled="f" o:preferrelative="t" stroked="f" coordsize="21600,21600">
                  <v:path/>
                  <v:fill on="f" focussize="0,0"/>
                  <v:stroke on="f" joinstyle="miter"/>
                  <v:imagedata r:id="rId24" o:title=""/>
                  <o:lock v:ext="edit" aspectratio="t"/>
                  <w10:wrap type="none"/>
                  <w10:anchorlock/>
                </v:shape>
                <o:OLEObject Type="Embed" ProgID="Visio.Drawing.11" ShapeID="_x0000_i1025" DrawAspect="Content" ObjectID="_1468075725" r:id="rId23">
                  <o:LockedField>false</o:LockedField>
                </o:OLEObject>
              </w:object>
            </w:r>
          </w:p>
          <w:p w14:paraId="47675210">
            <w:pPr>
              <w:ind w:firstLine="482"/>
              <w:jc w:val="center"/>
              <w:rPr>
                <w:rFonts w:cs="Times New Roman"/>
                <w:b/>
                <w:bCs/>
              </w:rPr>
            </w:pPr>
            <w:r>
              <w:rPr>
                <w:rFonts w:hint="eastAsia"/>
                <w:b/>
                <w:bCs/>
              </w:rPr>
              <w:t>图2-2 运营期间工艺流程图</w:t>
            </w:r>
          </w:p>
          <w:p w14:paraId="61C40C33">
            <w:pPr>
              <w:ind w:firstLine="480"/>
              <w:rPr>
                <w:rFonts w:cs="Times New Roman"/>
              </w:rPr>
            </w:pPr>
            <w:r>
              <w:rPr>
                <w:rFonts w:cs="Times New Roman"/>
              </w:rPr>
              <w:t>具体生产工艺流程分别介绍如下。</w:t>
            </w:r>
          </w:p>
          <w:p w14:paraId="3914D8F2">
            <w:pPr>
              <w:pStyle w:val="70"/>
              <w:snapToGrid w:val="0"/>
              <w:spacing w:line="360" w:lineRule="auto"/>
              <w:ind w:left="0" w:right="0" w:firstLine="480" w:firstLineChars="200"/>
              <w:jc w:val="both"/>
              <w:rPr>
                <w:szCs w:val="24"/>
                <w:lang w:bidi="ar"/>
              </w:rPr>
            </w:pPr>
            <w:r>
              <w:rPr>
                <w:bCs/>
                <w:szCs w:val="24"/>
              </w:rPr>
              <w:fldChar w:fldCharType="begin"/>
            </w:r>
            <w:r>
              <w:rPr>
                <w:bCs/>
                <w:szCs w:val="24"/>
              </w:rPr>
              <w:instrText xml:space="preserve"> = 1 \* GB3 </w:instrText>
            </w:r>
            <w:r>
              <w:rPr>
                <w:bCs/>
                <w:szCs w:val="24"/>
              </w:rPr>
              <w:fldChar w:fldCharType="separate"/>
            </w:r>
            <w:r>
              <w:rPr>
                <w:rFonts w:hint="eastAsia" w:ascii="宋体" w:hAnsi="宋体" w:cs="宋体"/>
                <w:bCs/>
                <w:szCs w:val="24"/>
              </w:rPr>
              <w:t>①</w:t>
            </w:r>
            <w:r>
              <w:rPr>
                <w:bCs/>
                <w:szCs w:val="24"/>
              </w:rPr>
              <w:fldChar w:fldCharType="end"/>
            </w:r>
            <w:r>
              <w:rPr>
                <w:rFonts w:hint="eastAsia"/>
                <w:szCs w:val="24"/>
                <w:lang w:bidi="ar"/>
              </w:rPr>
              <w:t>外购单板、多层实木板、胶合板进入厂区，堆放在原辅材料堆放区。</w:t>
            </w:r>
          </w:p>
          <w:p w14:paraId="6FD37C46">
            <w:pPr>
              <w:autoSpaceDE w:val="0"/>
              <w:autoSpaceDN w:val="0"/>
              <w:adjustRightInd w:val="0"/>
              <w:ind w:firstLine="480"/>
              <w:rPr>
                <w:b/>
                <w:bCs/>
              </w:rPr>
            </w:pPr>
            <w:r>
              <w:rPr>
                <w:bCs/>
              </w:rPr>
              <w:fldChar w:fldCharType="begin"/>
            </w:r>
            <w:r>
              <w:rPr>
                <w:bCs/>
              </w:rPr>
              <w:instrText xml:space="preserve"> = 2 \* GB3 </w:instrText>
            </w:r>
            <w:r>
              <w:rPr>
                <w:bCs/>
              </w:rPr>
              <w:fldChar w:fldCharType="separate"/>
            </w:r>
            <w:r>
              <w:rPr>
                <w:rFonts w:hint="eastAsia" w:ascii="宋体" w:hAnsi="宋体" w:cs="宋体"/>
                <w:bCs/>
              </w:rPr>
              <w:t>②</w:t>
            </w:r>
            <w:r>
              <w:rPr>
                <w:bCs/>
              </w:rPr>
              <w:fldChar w:fldCharType="end"/>
            </w:r>
            <w:r>
              <w:rPr>
                <w:lang w:bidi="ar"/>
              </w:rPr>
              <w:t>贴面</w:t>
            </w:r>
            <w:r>
              <w:rPr>
                <w:rFonts w:hint="eastAsia"/>
                <w:lang w:bidi="ar"/>
              </w:rPr>
              <w:t>：模温机的燃料是天然气，通过加热介质导热油，发热导热油间接使压贴机的钢板升温至150℃，压贴机将三聚氰胺浸渍纸通过加热和压力贴在板材表面。</w:t>
            </w:r>
            <w:r>
              <w:rPr>
                <w:rFonts w:hint="eastAsia"/>
                <w:b/>
                <w:bCs/>
                <w:lang w:bidi="ar"/>
              </w:rPr>
              <w:t>此工序会产生甲醛、有机废气、天然气燃烧废气。</w:t>
            </w:r>
          </w:p>
          <w:p w14:paraId="1F538AC2">
            <w:pPr>
              <w:pStyle w:val="70"/>
              <w:snapToGrid w:val="0"/>
              <w:spacing w:line="360" w:lineRule="auto"/>
              <w:ind w:left="0" w:right="0" w:firstLine="480" w:firstLineChars="200"/>
              <w:jc w:val="both"/>
              <w:rPr>
                <w:bCs/>
                <w:szCs w:val="24"/>
              </w:rPr>
            </w:pPr>
            <w:r>
              <w:rPr>
                <w:bCs/>
                <w:szCs w:val="24"/>
              </w:rPr>
              <w:fldChar w:fldCharType="begin"/>
            </w:r>
            <w:r>
              <w:rPr>
                <w:bCs/>
                <w:szCs w:val="24"/>
              </w:rPr>
              <w:instrText xml:space="preserve"> = 3 \* GB3 </w:instrText>
            </w:r>
            <w:r>
              <w:rPr>
                <w:bCs/>
                <w:szCs w:val="24"/>
              </w:rPr>
              <w:fldChar w:fldCharType="separate"/>
            </w:r>
            <w:r>
              <w:rPr>
                <w:rFonts w:hint="eastAsia" w:ascii="宋体" w:hAnsi="宋体" w:cs="宋体"/>
                <w:bCs/>
                <w:szCs w:val="24"/>
              </w:rPr>
              <w:t>③</w:t>
            </w:r>
            <w:r>
              <w:rPr>
                <w:bCs/>
                <w:szCs w:val="24"/>
              </w:rPr>
              <w:fldChar w:fldCharType="end"/>
            </w:r>
            <w:r>
              <w:rPr>
                <w:rFonts w:hint="eastAsia"/>
                <w:bCs/>
                <w:szCs w:val="24"/>
              </w:rPr>
              <w:t>修边</w:t>
            </w:r>
            <w:r>
              <w:rPr>
                <w:bCs/>
                <w:szCs w:val="24"/>
              </w:rPr>
              <w:t>：把贴好</w:t>
            </w:r>
            <w:r>
              <w:rPr>
                <w:rFonts w:hint="eastAsia"/>
                <w:bCs/>
                <w:szCs w:val="24"/>
              </w:rPr>
              <w:t>三聚氰胺浸渍纸的板材自动流转至修边机，去处多余三聚氰胺浸渍纸。</w:t>
            </w:r>
            <w:r>
              <w:rPr>
                <w:b/>
                <w:bCs/>
                <w:szCs w:val="24"/>
                <w:u w:val="single"/>
                <w:lang w:bidi="ar"/>
              </w:rPr>
              <w:t>该工序有</w:t>
            </w:r>
            <w:r>
              <w:rPr>
                <w:rFonts w:hint="eastAsia"/>
                <w:b/>
                <w:bCs/>
                <w:szCs w:val="24"/>
                <w:u w:val="single"/>
                <w:lang w:bidi="ar"/>
              </w:rPr>
              <w:t>噪声、废边角料</w:t>
            </w:r>
            <w:r>
              <w:rPr>
                <w:b/>
                <w:bCs/>
                <w:szCs w:val="24"/>
                <w:u w:val="single"/>
                <w:lang w:bidi="ar"/>
              </w:rPr>
              <w:t>。</w:t>
            </w:r>
          </w:p>
          <w:p w14:paraId="62FEFBBB">
            <w:pPr>
              <w:autoSpaceDE w:val="0"/>
              <w:autoSpaceDN w:val="0"/>
              <w:adjustRightInd w:val="0"/>
              <w:ind w:firstLine="480"/>
              <w:rPr>
                <w:bCs/>
              </w:rPr>
            </w:pPr>
            <w:r>
              <w:rPr>
                <w:bCs/>
              </w:rPr>
              <w:fldChar w:fldCharType="begin"/>
            </w:r>
            <w:r>
              <w:rPr>
                <w:bCs/>
              </w:rPr>
              <w:instrText xml:space="preserve"> = 4 \* GB3 </w:instrText>
            </w:r>
            <w:r>
              <w:rPr>
                <w:bCs/>
              </w:rPr>
              <w:fldChar w:fldCharType="separate"/>
            </w:r>
            <w:r>
              <w:rPr>
                <w:rFonts w:hint="eastAsia" w:ascii="宋体" w:hAnsi="宋体" w:cs="宋体"/>
                <w:bCs/>
              </w:rPr>
              <w:t>④</w:t>
            </w:r>
            <w:r>
              <w:rPr>
                <w:bCs/>
              </w:rPr>
              <w:fldChar w:fldCharType="end"/>
            </w:r>
            <w:r>
              <w:rPr>
                <w:rFonts w:hint="eastAsia"/>
                <w:lang w:bidi="ar"/>
              </w:rPr>
              <w:t>降温</w:t>
            </w:r>
          </w:p>
          <w:p w14:paraId="6B0C2B2B">
            <w:pPr>
              <w:pStyle w:val="70"/>
              <w:snapToGrid w:val="0"/>
              <w:spacing w:line="360" w:lineRule="auto"/>
              <w:ind w:left="0" w:right="0" w:firstLine="480" w:firstLineChars="200"/>
              <w:jc w:val="both"/>
              <w:rPr>
                <w:b/>
                <w:bCs/>
                <w:szCs w:val="24"/>
                <w:lang w:bidi="ar"/>
              </w:rPr>
            </w:pPr>
            <w:r>
              <w:rPr>
                <w:rFonts w:hint="eastAsia"/>
                <w:szCs w:val="24"/>
                <w:lang w:bidi="ar"/>
              </w:rPr>
              <w:t>修边后的板材自动流转至凉板机，自然降温</w:t>
            </w:r>
            <w:r>
              <w:rPr>
                <w:szCs w:val="24"/>
                <w:lang w:bidi="ar"/>
              </w:rPr>
              <w:t>。</w:t>
            </w:r>
            <w:r>
              <w:rPr>
                <w:rFonts w:hint="eastAsia"/>
                <w:b/>
                <w:bCs/>
                <w:szCs w:val="24"/>
                <w:lang w:bidi="ar"/>
              </w:rPr>
              <w:t>此工序为物理过程。</w:t>
            </w:r>
          </w:p>
          <w:p w14:paraId="4CE10296">
            <w:pPr>
              <w:autoSpaceDE w:val="0"/>
              <w:autoSpaceDN w:val="0"/>
              <w:adjustRightInd w:val="0"/>
              <w:ind w:firstLine="480"/>
              <w:rPr>
                <w:bCs/>
              </w:rPr>
            </w:pPr>
            <w:r>
              <w:rPr>
                <w:bCs/>
                <w:kern w:val="0"/>
              </w:rPr>
              <w:fldChar w:fldCharType="begin"/>
            </w:r>
            <w:r>
              <w:rPr>
                <w:bCs/>
                <w:kern w:val="0"/>
              </w:rPr>
              <w:instrText xml:space="preserve"> = 5 \* GB3 </w:instrText>
            </w:r>
            <w:r>
              <w:rPr>
                <w:bCs/>
                <w:kern w:val="0"/>
              </w:rPr>
              <w:fldChar w:fldCharType="separate"/>
            </w:r>
            <w:r>
              <w:rPr>
                <w:rFonts w:hint="eastAsia" w:ascii="宋体" w:hAnsi="宋体" w:cs="宋体"/>
                <w:bCs/>
                <w:kern w:val="0"/>
              </w:rPr>
              <w:t>⑤</w:t>
            </w:r>
            <w:r>
              <w:rPr>
                <w:bCs/>
                <w:kern w:val="0"/>
              </w:rPr>
              <w:fldChar w:fldCharType="end"/>
            </w:r>
            <w:r>
              <w:rPr>
                <w:bCs/>
              </w:rPr>
              <w:t>包装入库</w:t>
            </w:r>
          </w:p>
          <w:p w14:paraId="6F2D18F8">
            <w:pPr>
              <w:autoSpaceDE w:val="0"/>
              <w:autoSpaceDN w:val="0"/>
              <w:adjustRightInd w:val="0"/>
              <w:ind w:firstLine="480"/>
            </w:pPr>
            <w:r>
              <w:rPr>
                <w:rFonts w:hint="eastAsia"/>
                <w:lang w:bidi="ar"/>
              </w:rPr>
              <w:t>人工</w:t>
            </w:r>
            <w:r>
              <w:rPr>
                <w:lang w:bidi="ar"/>
              </w:rPr>
              <w:t>对成品进行包装入库，以便运输销售。</w:t>
            </w:r>
            <w:r>
              <w:rPr>
                <w:b/>
                <w:bCs/>
              </w:rPr>
              <w:t>该工序产生的主要污染物为：废包装材料。</w:t>
            </w:r>
          </w:p>
          <w:p w14:paraId="3023D230">
            <w:pPr>
              <w:pStyle w:val="72"/>
              <w:ind w:firstLine="480"/>
            </w:pPr>
            <w:r>
              <w:t>根据以上分析，项目主要污染物产生情况如下：</w:t>
            </w:r>
          </w:p>
          <w:p w14:paraId="69434B16">
            <w:pPr>
              <w:autoSpaceDE w:val="0"/>
              <w:autoSpaceDN w:val="0"/>
              <w:adjustRightInd w:val="0"/>
              <w:ind w:firstLine="482"/>
              <w:jc w:val="center"/>
              <w:rPr>
                <w:b/>
              </w:rPr>
            </w:pPr>
            <w:r>
              <w:rPr>
                <w:b/>
              </w:rPr>
              <w:t>表2-</w:t>
            </w:r>
            <w:r>
              <w:rPr>
                <w:rFonts w:hint="eastAsia"/>
                <w:b/>
              </w:rPr>
              <w:t>8</w:t>
            </w:r>
            <w:r>
              <w:rPr>
                <w:b/>
              </w:rPr>
              <w:t xml:space="preserve">  本项目污染物产生环节一览表</w:t>
            </w:r>
          </w:p>
          <w:tbl>
            <w:tblPr>
              <w:tblStyle w:val="33"/>
              <w:tblW w:w="8822" w:type="dxa"/>
              <w:jc w:val="right"/>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94"/>
              <w:gridCol w:w="589"/>
              <w:gridCol w:w="993"/>
              <w:gridCol w:w="1054"/>
              <w:gridCol w:w="1228"/>
              <w:gridCol w:w="2731"/>
              <w:gridCol w:w="1433"/>
            </w:tblGrid>
            <w:tr w14:paraId="278CF72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21" w:hRule="atLeast"/>
                <w:jc w:val="right"/>
              </w:trPr>
              <w:tc>
                <w:tcPr>
                  <w:tcW w:w="794" w:type="dxa"/>
                  <w:tcBorders>
                    <w:bottom w:val="single" w:color="auto" w:sz="12" w:space="0"/>
                  </w:tcBorders>
                  <w:vAlign w:val="center"/>
                </w:tcPr>
                <w:p w14:paraId="55A4680D">
                  <w:pPr>
                    <w:adjustRightInd w:val="0"/>
                    <w:snapToGrid w:val="0"/>
                    <w:spacing w:line="240" w:lineRule="auto"/>
                    <w:ind w:firstLine="0" w:firstLineChars="0"/>
                    <w:jc w:val="center"/>
                    <w:rPr>
                      <w:b/>
                      <w:sz w:val="21"/>
                      <w:szCs w:val="21"/>
                    </w:rPr>
                  </w:pPr>
                  <w:r>
                    <w:rPr>
                      <w:b/>
                      <w:sz w:val="21"/>
                      <w:szCs w:val="21"/>
                    </w:rPr>
                    <w:t>时段</w:t>
                  </w:r>
                </w:p>
              </w:tc>
              <w:tc>
                <w:tcPr>
                  <w:tcW w:w="1582" w:type="dxa"/>
                  <w:gridSpan w:val="2"/>
                  <w:tcBorders>
                    <w:bottom w:val="single" w:color="auto" w:sz="12" w:space="0"/>
                  </w:tcBorders>
                  <w:vAlign w:val="center"/>
                </w:tcPr>
                <w:p w14:paraId="1F38AB7E">
                  <w:pPr>
                    <w:adjustRightInd w:val="0"/>
                    <w:snapToGrid w:val="0"/>
                    <w:spacing w:line="240" w:lineRule="auto"/>
                    <w:ind w:firstLine="0" w:firstLineChars="0"/>
                    <w:jc w:val="center"/>
                    <w:rPr>
                      <w:b/>
                      <w:sz w:val="21"/>
                      <w:szCs w:val="21"/>
                    </w:rPr>
                  </w:pPr>
                  <w:r>
                    <w:rPr>
                      <w:b/>
                      <w:sz w:val="21"/>
                      <w:szCs w:val="21"/>
                    </w:rPr>
                    <w:t>产污工序</w:t>
                  </w:r>
                </w:p>
              </w:tc>
              <w:tc>
                <w:tcPr>
                  <w:tcW w:w="1054" w:type="dxa"/>
                  <w:tcBorders>
                    <w:bottom w:val="single" w:color="auto" w:sz="12" w:space="0"/>
                  </w:tcBorders>
                  <w:vAlign w:val="center"/>
                </w:tcPr>
                <w:p w14:paraId="5C17C269">
                  <w:pPr>
                    <w:adjustRightInd w:val="0"/>
                    <w:snapToGrid w:val="0"/>
                    <w:spacing w:line="240" w:lineRule="auto"/>
                    <w:ind w:firstLine="0" w:firstLineChars="0"/>
                    <w:jc w:val="center"/>
                    <w:rPr>
                      <w:b/>
                      <w:sz w:val="21"/>
                      <w:szCs w:val="21"/>
                    </w:rPr>
                  </w:pPr>
                  <w:r>
                    <w:rPr>
                      <w:b/>
                      <w:sz w:val="21"/>
                      <w:szCs w:val="21"/>
                    </w:rPr>
                    <w:t>产污位置</w:t>
                  </w:r>
                </w:p>
              </w:tc>
              <w:tc>
                <w:tcPr>
                  <w:tcW w:w="1228" w:type="dxa"/>
                  <w:tcBorders>
                    <w:bottom w:val="single" w:color="auto" w:sz="12" w:space="0"/>
                  </w:tcBorders>
                  <w:vAlign w:val="center"/>
                </w:tcPr>
                <w:p w14:paraId="168A147B">
                  <w:pPr>
                    <w:adjustRightInd w:val="0"/>
                    <w:snapToGrid w:val="0"/>
                    <w:spacing w:line="240" w:lineRule="auto"/>
                    <w:ind w:firstLine="0" w:firstLineChars="0"/>
                    <w:jc w:val="center"/>
                    <w:rPr>
                      <w:b/>
                      <w:sz w:val="21"/>
                      <w:szCs w:val="21"/>
                    </w:rPr>
                  </w:pPr>
                  <w:r>
                    <w:rPr>
                      <w:b/>
                      <w:sz w:val="21"/>
                      <w:szCs w:val="21"/>
                    </w:rPr>
                    <w:t>主要污染物</w:t>
                  </w:r>
                </w:p>
              </w:tc>
              <w:tc>
                <w:tcPr>
                  <w:tcW w:w="4164" w:type="dxa"/>
                  <w:gridSpan w:val="2"/>
                  <w:tcBorders>
                    <w:bottom w:val="single" w:color="auto" w:sz="12" w:space="0"/>
                  </w:tcBorders>
                  <w:vAlign w:val="center"/>
                </w:tcPr>
                <w:p w14:paraId="4A408075">
                  <w:pPr>
                    <w:adjustRightInd w:val="0"/>
                    <w:snapToGrid w:val="0"/>
                    <w:spacing w:line="240" w:lineRule="auto"/>
                    <w:ind w:firstLine="0" w:firstLineChars="0"/>
                    <w:jc w:val="center"/>
                    <w:rPr>
                      <w:b/>
                      <w:sz w:val="21"/>
                      <w:szCs w:val="21"/>
                    </w:rPr>
                  </w:pPr>
                  <w:r>
                    <w:rPr>
                      <w:b/>
                      <w:sz w:val="21"/>
                      <w:szCs w:val="21"/>
                    </w:rPr>
                    <w:t>处理措施、去向</w:t>
                  </w:r>
                </w:p>
              </w:tc>
            </w:tr>
            <w:tr w14:paraId="00D7B2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9" w:hRule="atLeast"/>
                <w:jc w:val="right"/>
              </w:trPr>
              <w:tc>
                <w:tcPr>
                  <w:tcW w:w="794" w:type="dxa"/>
                  <w:vMerge w:val="restart"/>
                  <w:tcBorders>
                    <w:top w:val="single" w:color="auto" w:sz="12" w:space="0"/>
                  </w:tcBorders>
                  <w:vAlign w:val="center"/>
                </w:tcPr>
                <w:p w14:paraId="65F337B0">
                  <w:pPr>
                    <w:adjustRightInd w:val="0"/>
                    <w:snapToGrid w:val="0"/>
                    <w:spacing w:line="240" w:lineRule="auto"/>
                    <w:ind w:firstLine="0" w:firstLineChars="0"/>
                    <w:jc w:val="center"/>
                    <w:rPr>
                      <w:bCs/>
                      <w:sz w:val="21"/>
                      <w:szCs w:val="21"/>
                    </w:rPr>
                  </w:pPr>
                  <w:r>
                    <w:rPr>
                      <w:bCs/>
                      <w:sz w:val="21"/>
                      <w:szCs w:val="21"/>
                    </w:rPr>
                    <w:t>施工期</w:t>
                  </w:r>
                </w:p>
              </w:tc>
              <w:tc>
                <w:tcPr>
                  <w:tcW w:w="589" w:type="dxa"/>
                  <w:tcBorders>
                    <w:top w:val="single" w:color="auto" w:sz="12" w:space="0"/>
                    <w:bottom w:val="single" w:color="auto" w:sz="4" w:space="0"/>
                  </w:tcBorders>
                  <w:vAlign w:val="center"/>
                </w:tcPr>
                <w:p w14:paraId="3EAC3993">
                  <w:pPr>
                    <w:adjustRightInd w:val="0"/>
                    <w:snapToGrid w:val="0"/>
                    <w:spacing w:line="240" w:lineRule="auto"/>
                    <w:ind w:firstLine="0" w:firstLineChars="0"/>
                    <w:jc w:val="center"/>
                    <w:rPr>
                      <w:bCs/>
                      <w:sz w:val="21"/>
                      <w:szCs w:val="21"/>
                    </w:rPr>
                  </w:pPr>
                  <w:r>
                    <w:rPr>
                      <w:bCs/>
                      <w:sz w:val="21"/>
                      <w:szCs w:val="21"/>
                    </w:rPr>
                    <w:t>废水</w:t>
                  </w:r>
                </w:p>
              </w:tc>
              <w:tc>
                <w:tcPr>
                  <w:tcW w:w="993" w:type="dxa"/>
                  <w:tcBorders>
                    <w:top w:val="single" w:color="auto" w:sz="12" w:space="0"/>
                    <w:bottom w:val="single" w:color="auto" w:sz="4" w:space="0"/>
                  </w:tcBorders>
                  <w:vAlign w:val="center"/>
                </w:tcPr>
                <w:p w14:paraId="70297FAF">
                  <w:pPr>
                    <w:adjustRightInd w:val="0"/>
                    <w:snapToGrid w:val="0"/>
                    <w:spacing w:line="240" w:lineRule="auto"/>
                    <w:ind w:firstLine="0" w:firstLineChars="0"/>
                    <w:jc w:val="center"/>
                    <w:rPr>
                      <w:bCs/>
                      <w:sz w:val="21"/>
                      <w:szCs w:val="21"/>
                    </w:rPr>
                  </w:pPr>
                  <w:r>
                    <w:rPr>
                      <w:bCs/>
                      <w:sz w:val="21"/>
                      <w:szCs w:val="21"/>
                    </w:rPr>
                    <w:t>生活污水</w:t>
                  </w:r>
                </w:p>
              </w:tc>
              <w:tc>
                <w:tcPr>
                  <w:tcW w:w="1054" w:type="dxa"/>
                  <w:vMerge w:val="restart"/>
                  <w:tcBorders>
                    <w:top w:val="single" w:color="auto" w:sz="12" w:space="0"/>
                  </w:tcBorders>
                  <w:vAlign w:val="center"/>
                </w:tcPr>
                <w:p w14:paraId="03146120">
                  <w:pPr>
                    <w:adjustRightInd w:val="0"/>
                    <w:snapToGrid w:val="0"/>
                    <w:spacing w:line="240" w:lineRule="auto"/>
                    <w:ind w:firstLine="0" w:firstLineChars="0"/>
                    <w:jc w:val="center"/>
                    <w:rPr>
                      <w:sz w:val="21"/>
                      <w:szCs w:val="21"/>
                    </w:rPr>
                  </w:pPr>
                  <w:r>
                    <w:rPr>
                      <w:sz w:val="21"/>
                      <w:szCs w:val="21"/>
                    </w:rPr>
                    <w:t>施工场地</w:t>
                  </w:r>
                </w:p>
              </w:tc>
              <w:tc>
                <w:tcPr>
                  <w:tcW w:w="1228" w:type="dxa"/>
                  <w:tcBorders>
                    <w:top w:val="single" w:color="auto" w:sz="12" w:space="0"/>
                  </w:tcBorders>
                  <w:vAlign w:val="center"/>
                </w:tcPr>
                <w:p w14:paraId="3FDEC88A">
                  <w:pPr>
                    <w:adjustRightInd w:val="0"/>
                    <w:snapToGrid w:val="0"/>
                    <w:spacing w:line="240" w:lineRule="auto"/>
                    <w:ind w:firstLine="0" w:firstLineChars="0"/>
                    <w:jc w:val="center"/>
                    <w:rPr>
                      <w:sz w:val="21"/>
                      <w:szCs w:val="21"/>
                    </w:rPr>
                  </w:pPr>
                  <w:r>
                    <w:rPr>
                      <w:sz w:val="21"/>
                      <w:szCs w:val="21"/>
                    </w:rPr>
                    <w:t>COD、氨氮等</w:t>
                  </w:r>
                </w:p>
              </w:tc>
              <w:tc>
                <w:tcPr>
                  <w:tcW w:w="2731" w:type="dxa"/>
                  <w:tcBorders>
                    <w:top w:val="single" w:color="auto" w:sz="12" w:space="0"/>
                  </w:tcBorders>
                  <w:vAlign w:val="center"/>
                </w:tcPr>
                <w:p w14:paraId="60C02DA6">
                  <w:pPr>
                    <w:adjustRightInd w:val="0"/>
                    <w:snapToGrid w:val="0"/>
                    <w:spacing w:line="240" w:lineRule="auto"/>
                    <w:ind w:firstLine="0" w:firstLineChars="0"/>
                    <w:jc w:val="center"/>
                    <w:rPr>
                      <w:sz w:val="21"/>
                      <w:szCs w:val="21"/>
                    </w:rPr>
                  </w:pPr>
                  <w:r>
                    <w:rPr>
                      <w:rFonts w:hint="eastAsia"/>
                      <w:bCs/>
                      <w:sz w:val="21"/>
                      <w:szCs w:val="21"/>
                    </w:rPr>
                    <w:t>厂区预处理池处理后排入经开区污水管网，送至巴中经开区污水处理厂</w:t>
                  </w:r>
                </w:p>
              </w:tc>
              <w:tc>
                <w:tcPr>
                  <w:tcW w:w="1433" w:type="dxa"/>
                  <w:vMerge w:val="restart"/>
                  <w:tcBorders>
                    <w:top w:val="single" w:color="auto" w:sz="12" w:space="0"/>
                  </w:tcBorders>
                </w:tcPr>
                <w:p w14:paraId="47A43024">
                  <w:pPr>
                    <w:adjustRightInd w:val="0"/>
                    <w:snapToGrid w:val="0"/>
                    <w:spacing w:line="240" w:lineRule="auto"/>
                    <w:ind w:firstLine="0" w:firstLineChars="0"/>
                    <w:jc w:val="center"/>
                    <w:rPr>
                      <w:bCs/>
                      <w:sz w:val="21"/>
                      <w:szCs w:val="21"/>
                    </w:rPr>
                  </w:pPr>
                  <w:r>
                    <w:rPr>
                      <w:rFonts w:hint="eastAsia"/>
                      <w:bCs/>
                      <w:sz w:val="21"/>
                      <w:szCs w:val="21"/>
                    </w:rPr>
                    <w:t>施工期已经结束，采取的污染防治措施切实有效，未因项目施工对环境造成明显影响，未遗留任何环境问题。</w:t>
                  </w:r>
                </w:p>
              </w:tc>
            </w:tr>
            <w:tr w14:paraId="11C21B9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9" w:hRule="atLeast"/>
                <w:jc w:val="right"/>
              </w:trPr>
              <w:tc>
                <w:tcPr>
                  <w:tcW w:w="794" w:type="dxa"/>
                  <w:vMerge w:val="continue"/>
                  <w:tcBorders>
                    <w:top w:val="single" w:color="auto" w:sz="12" w:space="0"/>
                  </w:tcBorders>
                  <w:vAlign w:val="center"/>
                </w:tcPr>
                <w:p w14:paraId="6DD6F99C">
                  <w:pPr>
                    <w:adjustRightInd w:val="0"/>
                    <w:snapToGrid w:val="0"/>
                    <w:spacing w:line="240" w:lineRule="auto"/>
                    <w:ind w:firstLine="0" w:firstLineChars="0"/>
                    <w:jc w:val="center"/>
                    <w:rPr>
                      <w:bCs/>
                      <w:sz w:val="21"/>
                      <w:szCs w:val="21"/>
                    </w:rPr>
                  </w:pPr>
                </w:p>
              </w:tc>
              <w:tc>
                <w:tcPr>
                  <w:tcW w:w="589" w:type="dxa"/>
                  <w:tcBorders>
                    <w:top w:val="single" w:color="auto" w:sz="12" w:space="0"/>
                    <w:bottom w:val="single" w:color="auto" w:sz="4" w:space="0"/>
                  </w:tcBorders>
                  <w:vAlign w:val="center"/>
                </w:tcPr>
                <w:p w14:paraId="6B32C1CB">
                  <w:pPr>
                    <w:adjustRightInd w:val="0"/>
                    <w:snapToGrid w:val="0"/>
                    <w:spacing w:line="240" w:lineRule="auto"/>
                    <w:ind w:firstLine="0" w:firstLineChars="0"/>
                    <w:jc w:val="center"/>
                    <w:rPr>
                      <w:bCs/>
                      <w:sz w:val="21"/>
                      <w:szCs w:val="21"/>
                    </w:rPr>
                  </w:pPr>
                  <w:r>
                    <w:rPr>
                      <w:bCs/>
                      <w:sz w:val="21"/>
                      <w:szCs w:val="21"/>
                    </w:rPr>
                    <w:t>废气</w:t>
                  </w:r>
                </w:p>
              </w:tc>
              <w:tc>
                <w:tcPr>
                  <w:tcW w:w="993" w:type="dxa"/>
                  <w:tcBorders>
                    <w:top w:val="single" w:color="auto" w:sz="12" w:space="0"/>
                    <w:bottom w:val="single" w:color="auto" w:sz="4" w:space="0"/>
                  </w:tcBorders>
                  <w:vAlign w:val="center"/>
                </w:tcPr>
                <w:p w14:paraId="15417253">
                  <w:pPr>
                    <w:adjustRightInd w:val="0"/>
                    <w:snapToGrid w:val="0"/>
                    <w:spacing w:line="240" w:lineRule="auto"/>
                    <w:ind w:firstLine="0" w:firstLineChars="0"/>
                    <w:jc w:val="center"/>
                    <w:rPr>
                      <w:bCs/>
                      <w:sz w:val="21"/>
                      <w:szCs w:val="21"/>
                    </w:rPr>
                  </w:pPr>
                  <w:r>
                    <w:rPr>
                      <w:bCs/>
                      <w:sz w:val="21"/>
                      <w:szCs w:val="21"/>
                    </w:rPr>
                    <w:t>施工扬尘、装修废气</w:t>
                  </w:r>
                </w:p>
              </w:tc>
              <w:tc>
                <w:tcPr>
                  <w:tcW w:w="1054" w:type="dxa"/>
                  <w:vMerge w:val="continue"/>
                  <w:tcBorders>
                    <w:top w:val="single" w:color="auto" w:sz="12" w:space="0"/>
                  </w:tcBorders>
                  <w:vAlign w:val="center"/>
                </w:tcPr>
                <w:p w14:paraId="0ACB8B16">
                  <w:pPr>
                    <w:adjustRightInd w:val="0"/>
                    <w:snapToGrid w:val="0"/>
                    <w:spacing w:line="240" w:lineRule="auto"/>
                    <w:ind w:firstLine="0" w:firstLineChars="0"/>
                    <w:jc w:val="center"/>
                    <w:rPr>
                      <w:sz w:val="21"/>
                      <w:szCs w:val="21"/>
                    </w:rPr>
                  </w:pPr>
                </w:p>
              </w:tc>
              <w:tc>
                <w:tcPr>
                  <w:tcW w:w="1228" w:type="dxa"/>
                  <w:tcBorders>
                    <w:top w:val="single" w:color="auto" w:sz="12" w:space="0"/>
                  </w:tcBorders>
                  <w:vAlign w:val="center"/>
                </w:tcPr>
                <w:p w14:paraId="3DA36F8F">
                  <w:pPr>
                    <w:adjustRightInd w:val="0"/>
                    <w:snapToGrid w:val="0"/>
                    <w:spacing w:line="240" w:lineRule="auto"/>
                    <w:ind w:firstLine="0" w:firstLineChars="0"/>
                    <w:jc w:val="center"/>
                    <w:rPr>
                      <w:sz w:val="21"/>
                      <w:szCs w:val="21"/>
                    </w:rPr>
                  </w:pPr>
                  <w:r>
                    <w:rPr>
                      <w:sz w:val="21"/>
                      <w:szCs w:val="21"/>
                    </w:rPr>
                    <w:t>粉尘、有机废气</w:t>
                  </w:r>
                </w:p>
              </w:tc>
              <w:tc>
                <w:tcPr>
                  <w:tcW w:w="2731" w:type="dxa"/>
                  <w:tcBorders>
                    <w:top w:val="single" w:color="auto" w:sz="12" w:space="0"/>
                  </w:tcBorders>
                  <w:vAlign w:val="center"/>
                </w:tcPr>
                <w:p w14:paraId="41FB8D00">
                  <w:pPr>
                    <w:adjustRightInd w:val="0"/>
                    <w:snapToGrid w:val="0"/>
                    <w:spacing w:line="240" w:lineRule="auto"/>
                    <w:ind w:firstLine="0" w:firstLineChars="0"/>
                    <w:jc w:val="center"/>
                    <w:rPr>
                      <w:bCs/>
                      <w:sz w:val="21"/>
                      <w:szCs w:val="21"/>
                    </w:rPr>
                  </w:pPr>
                  <w:r>
                    <w:rPr>
                      <w:bCs/>
                      <w:sz w:val="21"/>
                      <w:szCs w:val="21"/>
                    </w:rPr>
                    <w:t>洒水降尘、环保材料</w:t>
                  </w:r>
                  <w:r>
                    <w:rPr>
                      <w:rFonts w:hint="eastAsia"/>
                      <w:bCs/>
                      <w:sz w:val="21"/>
                      <w:szCs w:val="21"/>
                    </w:rPr>
                    <w:t>、车间环境封闭施工</w:t>
                  </w:r>
                </w:p>
              </w:tc>
              <w:tc>
                <w:tcPr>
                  <w:tcW w:w="1433" w:type="dxa"/>
                  <w:vMerge w:val="continue"/>
                </w:tcPr>
                <w:p w14:paraId="6A5D20D9">
                  <w:pPr>
                    <w:adjustRightInd w:val="0"/>
                    <w:snapToGrid w:val="0"/>
                    <w:spacing w:line="240" w:lineRule="auto"/>
                    <w:ind w:firstLine="0" w:firstLineChars="0"/>
                    <w:jc w:val="center"/>
                    <w:rPr>
                      <w:bCs/>
                      <w:sz w:val="21"/>
                      <w:szCs w:val="21"/>
                    </w:rPr>
                  </w:pPr>
                </w:p>
              </w:tc>
            </w:tr>
            <w:tr w14:paraId="61CB8C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8" w:hRule="atLeast"/>
                <w:jc w:val="right"/>
              </w:trPr>
              <w:tc>
                <w:tcPr>
                  <w:tcW w:w="794" w:type="dxa"/>
                  <w:vMerge w:val="continue"/>
                  <w:vAlign w:val="center"/>
                </w:tcPr>
                <w:p w14:paraId="5EA96C3C">
                  <w:pPr>
                    <w:adjustRightInd w:val="0"/>
                    <w:snapToGrid w:val="0"/>
                    <w:spacing w:line="240" w:lineRule="auto"/>
                    <w:ind w:firstLine="0" w:firstLineChars="0"/>
                    <w:jc w:val="center"/>
                    <w:rPr>
                      <w:bCs/>
                      <w:sz w:val="21"/>
                      <w:szCs w:val="21"/>
                    </w:rPr>
                  </w:pPr>
                </w:p>
              </w:tc>
              <w:tc>
                <w:tcPr>
                  <w:tcW w:w="589" w:type="dxa"/>
                  <w:tcBorders>
                    <w:top w:val="single" w:color="auto" w:sz="4" w:space="0"/>
                  </w:tcBorders>
                  <w:vAlign w:val="center"/>
                </w:tcPr>
                <w:p w14:paraId="24AA27B8">
                  <w:pPr>
                    <w:adjustRightInd w:val="0"/>
                    <w:snapToGrid w:val="0"/>
                    <w:spacing w:line="240" w:lineRule="auto"/>
                    <w:ind w:firstLine="0" w:firstLineChars="0"/>
                    <w:jc w:val="center"/>
                    <w:rPr>
                      <w:bCs/>
                      <w:sz w:val="21"/>
                      <w:szCs w:val="21"/>
                    </w:rPr>
                  </w:pPr>
                  <w:r>
                    <w:rPr>
                      <w:bCs/>
                      <w:sz w:val="21"/>
                      <w:szCs w:val="21"/>
                    </w:rPr>
                    <w:t>噪声</w:t>
                  </w:r>
                </w:p>
              </w:tc>
              <w:tc>
                <w:tcPr>
                  <w:tcW w:w="993" w:type="dxa"/>
                  <w:tcBorders>
                    <w:top w:val="single" w:color="auto" w:sz="4" w:space="0"/>
                  </w:tcBorders>
                  <w:vAlign w:val="center"/>
                </w:tcPr>
                <w:p w14:paraId="2EC2833B">
                  <w:pPr>
                    <w:adjustRightInd w:val="0"/>
                    <w:snapToGrid w:val="0"/>
                    <w:spacing w:line="240" w:lineRule="auto"/>
                    <w:ind w:firstLine="0" w:firstLineChars="0"/>
                    <w:jc w:val="center"/>
                    <w:rPr>
                      <w:bCs/>
                      <w:sz w:val="21"/>
                      <w:szCs w:val="21"/>
                    </w:rPr>
                  </w:pPr>
                  <w:r>
                    <w:rPr>
                      <w:bCs/>
                      <w:sz w:val="21"/>
                      <w:szCs w:val="21"/>
                    </w:rPr>
                    <w:t>设备安装噪声</w:t>
                  </w:r>
                </w:p>
              </w:tc>
              <w:tc>
                <w:tcPr>
                  <w:tcW w:w="1054" w:type="dxa"/>
                  <w:vMerge w:val="continue"/>
                  <w:vAlign w:val="center"/>
                </w:tcPr>
                <w:p w14:paraId="7731298D">
                  <w:pPr>
                    <w:adjustRightInd w:val="0"/>
                    <w:snapToGrid w:val="0"/>
                    <w:spacing w:line="240" w:lineRule="auto"/>
                    <w:ind w:firstLine="0" w:firstLineChars="0"/>
                    <w:jc w:val="center"/>
                    <w:rPr>
                      <w:sz w:val="21"/>
                      <w:szCs w:val="21"/>
                    </w:rPr>
                  </w:pPr>
                </w:p>
              </w:tc>
              <w:tc>
                <w:tcPr>
                  <w:tcW w:w="1228" w:type="dxa"/>
                  <w:vAlign w:val="center"/>
                </w:tcPr>
                <w:p w14:paraId="3413EC20">
                  <w:pPr>
                    <w:adjustRightInd w:val="0"/>
                    <w:snapToGrid w:val="0"/>
                    <w:spacing w:line="240" w:lineRule="auto"/>
                    <w:ind w:firstLine="0" w:firstLineChars="0"/>
                    <w:jc w:val="center"/>
                    <w:rPr>
                      <w:sz w:val="21"/>
                      <w:szCs w:val="21"/>
                    </w:rPr>
                  </w:pPr>
                  <w:r>
                    <w:rPr>
                      <w:sz w:val="21"/>
                      <w:szCs w:val="21"/>
                    </w:rPr>
                    <w:t>噪声</w:t>
                  </w:r>
                </w:p>
              </w:tc>
              <w:tc>
                <w:tcPr>
                  <w:tcW w:w="2731" w:type="dxa"/>
                  <w:vAlign w:val="center"/>
                </w:tcPr>
                <w:p w14:paraId="7B5662A9">
                  <w:pPr>
                    <w:adjustRightInd w:val="0"/>
                    <w:snapToGrid w:val="0"/>
                    <w:spacing w:line="240" w:lineRule="auto"/>
                    <w:ind w:firstLine="0" w:firstLineChars="0"/>
                    <w:jc w:val="center"/>
                    <w:rPr>
                      <w:bCs/>
                      <w:sz w:val="21"/>
                      <w:szCs w:val="21"/>
                    </w:rPr>
                  </w:pPr>
                  <w:r>
                    <w:rPr>
                      <w:bCs/>
                      <w:sz w:val="21"/>
                      <w:szCs w:val="21"/>
                    </w:rPr>
                    <w:t>合理安排安装时间，</w:t>
                  </w:r>
                  <w:r>
                    <w:rPr>
                      <w:rFonts w:hint="eastAsia"/>
                      <w:sz w:val="21"/>
                      <w:szCs w:val="21"/>
                    </w:rPr>
                    <w:t>施工人员轻拿轻放，降低噪声值</w:t>
                  </w:r>
                  <w:r>
                    <w:rPr>
                      <w:bCs/>
                      <w:sz w:val="21"/>
                      <w:szCs w:val="21"/>
                    </w:rPr>
                    <w:t xml:space="preserve"> </w:t>
                  </w:r>
                </w:p>
              </w:tc>
              <w:tc>
                <w:tcPr>
                  <w:tcW w:w="1433" w:type="dxa"/>
                  <w:vMerge w:val="continue"/>
                </w:tcPr>
                <w:p w14:paraId="3C13E1D5">
                  <w:pPr>
                    <w:adjustRightInd w:val="0"/>
                    <w:snapToGrid w:val="0"/>
                    <w:spacing w:line="240" w:lineRule="auto"/>
                    <w:ind w:firstLine="0" w:firstLineChars="0"/>
                    <w:jc w:val="center"/>
                    <w:rPr>
                      <w:bCs/>
                      <w:sz w:val="21"/>
                      <w:szCs w:val="21"/>
                    </w:rPr>
                  </w:pPr>
                </w:p>
              </w:tc>
            </w:tr>
            <w:tr w14:paraId="0878E5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9" w:hRule="atLeast"/>
                <w:jc w:val="right"/>
              </w:trPr>
              <w:tc>
                <w:tcPr>
                  <w:tcW w:w="794" w:type="dxa"/>
                  <w:vMerge w:val="continue"/>
                  <w:vAlign w:val="center"/>
                </w:tcPr>
                <w:p w14:paraId="58E1DDE9">
                  <w:pPr>
                    <w:widowControl/>
                    <w:adjustRightInd w:val="0"/>
                    <w:snapToGrid w:val="0"/>
                    <w:spacing w:line="240" w:lineRule="auto"/>
                    <w:ind w:firstLine="0" w:firstLineChars="0"/>
                    <w:jc w:val="left"/>
                    <w:rPr>
                      <w:bCs/>
                      <w:sz w:val="21"/>
                      <w:szCs w:val="21"/>
                    </w:rPr>
                  </w:pPr>
                </w:p>
              </w:tc>
              <w:tc>
                <w:tcPr>
                  <w:tcW w:w="589" w:type="dxa"/>
                  <w:vAlign w:val="center"/>
                </w:tcPr>
                <w:p w14:paraId="6C0B0B88">
                  <w:pPr>
                    <w:pStyle w:val="77"/>
                    <w:rPr>
                      <w:szCs w:val="21"/>
                    </w:rPr>
                  </w:pPr>
                  <w:r>
                    <w:rPr>
                      <w:szCs w:val="21"/>
                    </w:rPr>
                    <w:t>固废</w:t>
                  </w:r>
                </w:p>
              </w:tc>
              <w:tc>
                <w:tcPr>
                  <w:tcW w:w="993" w:type="dxa"/>
                  <w:vAlign w:val="center"/>
                </w:tcPr>
                <w:p w14:paraId="7EC66314">
                  <w:pPr>
                    <w:pStyle w:val="77"/>
                    <w:rPr>
                      <w:szCs w:val="21"/>
                    </w:rPr>
                  </w:pPr>
                  <w:r>
                    <w:rPr>
                      <w:szCs w:val="21"/>
                    </w:rPr>
                    <w:t>建筑垃圾</w:t>
                  </w:r>
                </w:p>
              </w:tc>
              <w:tc>
                <w:tcPr>
                  <w:tcW w:w="1054" w:type="dxa"/>
                  <w:vMerge w:val="continue"/>
                  <w:vAlign w:val="center"/>
                </w:tcPr>
                <w:p w14:paraId="1BD3EE14">
                  <w:pPr>
                    <w:adjustRightInd w:val="0"/>
                    <w:snapToGrid w:val="0"/>
                    <w:spacing w:line="240" w:lineRule="auto"/>
                    <w:ind w:firstLine="0" w:firstLineChars="0"/>
                    <w:jc w:val="center"/>
                    <w:rPr>
                      <w:sz w:val="21"/>
                      <w:szCs w:val="21"/>
                    </w:rPr>
                  </w:pPr>
                </w:p>
              </w:tc>
              <w:tc>
                <w:tcPr>
                  <w:tcW w:w="1228" w:type="dxa"/>
                  <w:vAlign w:val="center"/>
                </w:tcPr>
                <w:p w14:paraId="2C6139D4">
                  <w:pPr>
                    <w:adjustRightInd w:val="0"/>
                    <w:snapToGrid w:val="0"/>
                    <w:spacing w:line="240" w:lineRule="auto"/>
                    <w:ind w:firstLine="0" w:firstLineChars="0"/>
                    <w:jc w:val="center"/>
                    <w:rPr>
                      <w:sz w:val="21"/>
                      <w:szCs w:val="21"/>
                    </w:rPr>
                  </w:pPr>
                  <w:r>
                    <w:rPr>
                      <w:sz w:val="21"/>
                      <w:szCs w:val="21"/>
                    </w:rPr>
                    <w:t>建筑垃圾</w:t>
                  </w:r>
                </w:p>
              </w:tc>
              <w:tc>
                <w:tcPr>
                  <w:tcW w:w="2731" w:type="dxa"/>
                  <w:vAlign w:val="center"/>
                </w:tcPr>
                <w:p w14:paraId="28F43536">
                  <w:pPr>
                    <w:pStyle w:val="74"/>
                    <w:wordWrap/>
                    <w:snapToGrid w:val="0"/>
                    <w:rPr>
                      <w:kern w:val="2"/>
                    </w:rPr>
                  </w:pPr>
                  <w:r>
                    <w:rPr>
                      <w:bCs/>
                    </w:rPr>
                    <w:t>收集后</w:t>
                  </w:r>
                  <w:r>
                    <w:rPr>
                      <w:rFonts w:hint="eastAsia"/>
                      <w:bCs/>
                    </w:rPr>
                    <w:t>运至建筑垃圾堆放场</w:t>
                  </w:r>
                </w:p>
              </w:tc>
              <w:tc>
                <w:tcPr>
                  <w:tcW w:w="1433" w:type="dxa"/>
                  <w:vMerge w:val="continue"/>
                </w:tcPr>
                <w:p w14:paraId="3BAA1F20">
                  <w:pPr>
                    <w:pStyle w:val="74"/>
                    <w:wordWrap/>
                    <w:snapToGrid w:val="0"/>
                    <w:rPr>
                      <w:bCs/>
                    </w:rPr>
                  </w:pPr>
                </w:p>
              </w:tc>
            </w:tr>
            <w:tr w14:paraId="4A715D2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8" w:hRule="atLeast"/>
                <w:jc w:val="right"/>
              </w:trPr>
              <w:tc>
                <w:tcPr>
                  <w:tcW w:w="794" w:type="dxa"/>
                  <w:vMerge w:val="restart"/>
                  <w:vAlign w:val="center"/>
                </w:tcPr>
                <w:p w14:paraId="210AD3F3">
                  <w:pPr>
                    <w:adjustRightInd w:val="0"/>
                    <w:snapToGrid w:val="0"/>
                    <w:spacing w:line="240" w:lineRule="auto"/>
                    <w:ind w:firstLine="0" w:firstLineChars="0"/>
                    <w:jc w:val="center"/>
                    <w:rPr>
                      <w:sz w:val="21"/>
                      <w:szCs w:val="21"/>
                    </w:rPr>
                  </w:pPr>
                  <w:r>
                    <w:rPr>
                      <w:sz w:val="21"/>
                      <w:szCs w:val="21"/>
                    </w:rPr>
                    <w:t>营运期</w:t>
                  </w:r>
                </w:p>
              </w:tc>
              <w:tc>
                <w:tcPr>
                  <w:tcW w:w="589" w:type="dxa"/>
                  <w:vAlign w:val="center"/>
                </w:tcPr>
                <w:p w14:paraId="3771CB93">
                  <w:pPr>
                    <w:pStyle w:val="76"/>
                    <w:adjustRightInd w:val="0"/>
                    <w:snapToGrid w:val="0"/>
                  </w:pPr>
                  <w:r>
                    <w:t>废水</w:t>
                  </w:r>
                </w:p>
              </w:tc>
              <w:tc>
                <w:tcPr>
                  <w:tcW w:w="993" w:type="dxa"/>
                  <w:vAlign w:val="center"/>
                </w:tcPr>
                <w:p w14:paraId="239B8605">
                  <w:pPr>
                    <w:pStyle w:val="76"/>
                    <w:adjustRightInd w:val="0"/>
                    <w:snapToGrid w:val="0"/>
                  </w:pPr>
                  <w:r>
                    <w:t>生活污水</w:t>
                  </w:r>
                </w:p>
              </w:tc>
              <w:tc>
                <w:tcPr>
                  <w:tcW w:w="1054" w:type="dxa"/>
                  <w:vAlign w:val="center"/>
                </w:tcPr>
                <w:p w14:paraId="20712976">
                  <w:pPr>
                    <w:widowControl/>
                    <w:adjustRightInd w:val="0"/>
                    <w:snapToGrid w:val="0"/>
                    <w:spacing w:line="240" w:lineRule="auto"/>
                    <w:ind w:firstLine="0" w:firstLineChars="0"/>
                    <w:jc w:val="center"/>
                    <w:rPr>
                      <w:sz w:val="21"/>
                      <w:szCs w:val="21"/>
                    </w:rPr>
                  </w:pPr>
                  <w:r>
                    <w:rPr>
                      <w:sz w:val="21"/>
                      <w:szCs w:val="21"/>
                    </w:rPr>
                    <w:t>职工办公室</w:t>
                  </w:r>
                </w:p>
              </w:tc>
              <w:tc>
                <w:tcPr>
                  <w:tcW w:w="1228" w:type="dxa"/>
                  <w:vAlign w:val="center"/>
                </w:tcPr>
                <w:p w14:paraId="30505DD3">
                  <w:pPr>
                    <w:adjustRightInd w:val="0"/>
                    <w:snapToGrid w:val="0"/>
                    <w:spacing w:line="240" w:lineRule="auto"/>
                    <w:ind w:firstLine="0" w:firstLineChars="0"/>
                    <w:jc w:val="center"/>
                    <w:rPr>
                      <w:sz w:val="21"/>
                      <w:szCs w:val="21"/>
                    </w:rPr>
                  </w:pPr>
                  <w:r>
                    <w:rPr>
                      <w:kern w:val="0"/>
                      <w:sz w:val="21"/>
                      <w:szCs w:val="21"/>
                      <w:lang w:bidi="ar"/>
                    </w:rPr>
                    <w:t>COD、BOD</w:t>
                  </w:r>
                  <w:r>
                    <w:rPr>
                      <w:kern w:val="0"/>
                      <w:sz w:val="21"/>
                      <w:szCs w:val="21"/>
                      <w:vertAlign w:val="subscript"/>
                      <w:lang w:bidi="ar"/>
                    </w:rPr>
                    <w:t>5</w:t>
                  </w:r>
                  <w:r>
                    <w:rPr>
                      <w:kern w:val="0"/>
                      <w:sz w:val="21"/>
                      <w:szCs w:val="21"/>
                      <w:lang w:bidi="ar"/>
                    </w:rPr>
                    <w:t>、氨氮、SS等</w:t>
                  </w:r>
                </w:p>
              </w:tc>
              <w:tc>
                <w:tcPr>
                  <w:tcW w:w="2731" w:type="dxa"/>
                  <w:vAlign w:val="center"/>
                </w:tcPr>
                <w:p w14:paraId="162C25D9">
                  <w:pPr>
                    <w:adjustRightInd w:val="0"/>
                    <w:snapToGrid w:val="0"/>
                    <w:spacing w:line="240" w:lineRule="auto"/>
                    <w:ind w:firstLine="0" w:firstLineChars="0"/>
                    <w:jc w:val="center"/>
                    <w:rPr>
                      <w:bCs/>
                      <w:sz w:val="21"/>
                      <w:szCs w:val="21"/>
                    </w:rPr>
                  </w:pPr>
                  <w:r>
                    <w:rPr>
                      <w:rFonts w:hint="eastAsia"/>
                      <w:bCs/>
                      <w:sz w:val="21"/>
                      <w:szCs w:val="21"/>
                    </w:rPr>
                    <w:t>生活污水经厂区管网排入预处理池处理，后排入园区污水管网，进入巴中经开区污水处理厂处理，达标后排入巴河</w:t>
                  </w:r>
                </w:p>
              </w:tc>
              <w:tc>
                <w:tcPr>
                  <w:tcW w:w="1433" w:type="dxa"/>
                  <w:vAlign w:val="center"/>
                </w:tcPr>
                <w:p w14:paraId="36B4A02B">
                  <w:pPr>
                    <w:adjustRightInd w:val="0"/>
                    <w:snapToGrid w:val="0"/>
                    <w:spacing w:line="240" w:lineRule="auto"/>
                    <w:ind w:firstLine="0" w:firstLineChars="0"/>
                    <w:jc w:val="center"/>
                    <w:rPr>
                      <w:bCs/>
                      <w:sz w:val="21"/>
                      <w:szCs w:val="21"/>
                    </w:rPr>
                  </w:pPr>
                  <w:r>
                    <w:rPr>
                      <w:rFonts w:hint="eastAsia"/>
                      <w:bCs/>
                      <w:sz w:val="21"/>
                      <w:szCs w:val="21"/>
                    </w:rPr>
                    <w:t>本项目改扩建生产线，员工由原厂房内部调剂，不新增员工，不新增生活污水排放量</w:t>
                  </w:r>
                </w:p>
              </w:tc>
            </w:tr>
            <w:tr w14:paraId="7B8DFC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8" w:hRule="atLeast"/>
                <w:jc w:val="right"/>
              </w:trPr>
              <w:tc>
                <w:tcPr>
                  <w:tcW w:w="794" w:type="dxa"/>
                  <w:vMerge w:val="continue"/>
                  <w:vAlign w:val="center"/>
                </w:tcPr>
                <w:p w14:paraId="7A0F583D">
                  <w:pPr>
                    <w:widowControl/>
                    <w:adjustRightInd w:val="0"/>
                    <w:snapToGrid w:val="0"/>
                    <w:spacing w:line="240" w:lineRule="auto"/>
                    <w:ind w:firstLine="0" w:firstLineChars="0"/>
                    <w:jc w:val="left"/>
                    <w:rPr>
                      <w:sz w:val="21"/>
                      <w:szCs w:val="21"/>
                    </w:rPr>
                  </w:pPr>
                </w:p>
              </w:tc>
              <w:tc>
                <w:tcPr>
                  <w:tcW w:w="589" w:type="dxa"/>
                  <w:vMerge w:val="restart"/>
                  <w:vAlign w:val="center"/>
                </w:tcPr>
                <w:p w14:paraId="39B90968">
                  <w:pPr>
                    <w:pStyle w:val="77"/>
                    <w:rPr>
                      <w:szCs w:val="21"/>
                    </w:rPr>
                  </w:pPr>
                  <w:r>
                    <w:rPr>
                      <w:szCs w:val="21"/>
                    </w:rPr>
                    <w:t>废气</w:t>
                  </w:r>
                </w:p>
              </w:tc>
              <w:tc>
                <w:tcPr>
                  <w:tcW w:w="993" w:type="dxa"/>
                  <w:vAlign w:val="center"/>
                </w:tcPr>
                <w:p w14:paraId="0AAAAE54">
                  <w:pPr>
                    <w:pStyle w:val="77"/>
                    <w:rPr>
                      <w:szCs w:val="21"/>
                    </w:rPr>
                  </w:pPr>
                  <w:r>
                    <w:rPr>
                      <w:rFonts w:hint="eastAsia"/>
                      <w:bCs/>
                    </w:rPr>
                    <w:t>粉尘废气</w:t>
                  </w:r>
                </w:p>
              </w:tc>
              <w:tc>
                <w:tcPr>
                  <w:tcW w:w="1054" w:type="dxa"/>
                  <w:vAlign w:val="center"/>
                </w:tcPr>
                <w:p w14:paraId="50EE944C">
                  <w:pPr>
                    <w:adjustRightInd w:val="0"/>
                    <w:snapToGrid w:val="0"/>
                    <w:spacing w:line="240" w:lineRule="auto"/>
                    <w:ind w:firstLine="0" w:firstLineChars="0"/>
                    <w:jc w:val="center"/>
                    <w:rPr>
                      <w:sz w:val="21"/>
                      <w:szCs w:val="21"/>
                    </w:rPr>
                  </w:pPr>
                  <w:r>
                    <w:rPr>
                      <w:rFonts w:hint="eastAsia" w:cs="Times New Roman"/>
                      <w:bCs/>
                    </w:rPr>
                    <w:t>一车间</w:t>
                  </w:r>
                </w:p>
              </w:tc>
              <w:tc>
                <w:tcPr>
                  <w:tcW w:w="1228" w:type="dxa"/>
                  <w:vAlign w:val="center"/>
                </w:tcPr>
                <w:p w14:paraId="6BBC01E5">
                  <w:pPr>
                    <w:adjustRightInd w:val="0"/>
                    <w:snapToGrid w:val="0"/>
                    <w:spacing w:line="240" w:lineRule="auto"/>
                    <w:ind w:firstLine="0" w:firstLineChars="0"/>
                    <w:jc w:val="center"/>
                    <w:rPr>
                      <w:sz w:val="21"/>
                      <w:szCs w:val="21"/>
                    </w:rPr>
                  </w:pPr>
                  <w:r>
                    <w:rPr>
                      <w:rFonts w:hint="eastAsia"/>
                      <w:sz w:val="21"/>
                      <w:szCs w:val="21"/>
                    </w:rPr>
                    <w:t>粉尘</w:t>
                  </w:r>
                </w:p>
              </w:tc>
              <w:tc>
                <w:tcPr>
                  <w:tcW w:w="2731" w:type="dxa"/>
                  <w:vAlign w:val="center"/>
                </w:tcPr>
                <w:p w14:paraId="26A1A9AD">
                  <w:pPr>
                    <w:adjustRightInd w:val="0"/>
                    <w:snapToGrid w:val="0"/>
                    <w:spacing w:line="240" w:lineRule="auto"/>
                    <w:ind w:firstLine="0" w:firstLineChars="0"/>
                    <w:jc w:val="center"/>
                    <w:rPr>
                      <w:bCs/>
                      <w:sz w:val="21"/>
                      <w:szCs w:val="21"/>
                    </w:rPr>
                  </w:pPr>
                  <w:r>
                    <w:rPr>
                      <w:rFonts w:hint="eastAsia"/>
                      <w:bCs/>
                      <w:sz w:val="21"/>
                      <w:szCs w:val="21"/>
                    </w:rPr>
                    <w:t>木材加工粉尘经经</w:t>
                  </w:r>
                  <w:r>
                    <w:rPr>
                      <w:bCs/>
                      <w:sz w:val="21"/>
                      <w:szCs w:val="21"/>
                    </w:rPr>
                    <w:t>负压收集</w:t>
                  </w:r>
                  <w:r>
                    <w:rPr>
                      <w:rFonts w:hint="eastAsia"/>
                      <w:bCs/>
                      <w:sz w:val="21"/>
                      <w:szCs w:val="21"/>
                    </w:rPr>
                    <w:t>，收集的废气经1套中央除尘器处理设施</w:t>
                  </w:r>
                  <w:r>
                    <w:rPr>
                      <w:bCs/>
                      <w:sz w:val="21"/>
                      <w:szCs w:val="21"/>
                    </w:rPr>
                    <w:t>，</w:t>
                  </w:r>
                  <w:r>
                    <w:rPr>
                      <w:rFonts w:hint="eastAsia"/>
                      <w:bCs/>
                      <w:sz w:val="21"/>
                      <w:szCs w:val="21"/>
                    </w:rPr>
                    <w:t>处理后的废气</w:t>
                  </w:r>
                  <w:r>
                    <w:rPr>
                      <w:bCs/>
                      <w:sz w:val="21"/>
                      <w:szCs w:val="21"/>
                    </w:rPr>
                    <w:t>经</w:t>
                  </w:r>
                  <w:r>
                    <w:rPr>
                      <w:rFonts w:hint="eastAsia"/>
                      <w:bCs/>
                      <w:sz w:val="21"/>
                      <w:szCs w:val="21"/>
                    </w:rPr>
                    <w:t>1</w:t>
                  </w:r>
                  <w:r>
                    <w:rPr>
                      <w:bCs/>
                      <w:sz w:val="21"/>
                      <w:szCs w:val="21"/>
                    </w:rPr>
                    <w:t>根15m高排气筒（</w:t>
                  </w:r>
                  <w:r>
                    <w:rPr>
                      <w:rFonts w:hint="eastAsia"/>
                      <w:bCs/>
                      <w:sz w:val="21"/>
                      <w:szCs w:val="21"/>
                    </w:rPr>
                    <w:t>DA001</w:t>
                  </w:r>
                  <w:r>
                    <w:rPr>
                      <w:bCs/>
                      <w:sz w:val="21"/>
                      <w:szCs w:val="21"/>
                    </w:rPr>
                    <w:t>）排放</w:t>
                  </w:r>
                </w:p>
              </w:tc>
              <w:tc>
                <w:tcPr>
                  <w:tcW w:w="1433" w:type="dxa"/>
                  <w:vAlign w:val="center"/>
                </w:tcPr>
                <w:p w14:paraId="22F71283">
                  <w:pPr>
                    <w:adjustRightInd w:val="0"/>
                    <w:snapToGrid w:val="0"/>
                    <w:spacing w:line="240" w:lineRule="auto"/>
                    <w:ind w:firstLine="0" w:firstLineChars="0"/>
                    <w:jc w:val="center"/>
                    <w:rPr>
                      <w:bCs/>
                      <w:sz w:val="21"/>
                      <w:szCs w:val="21"/>
                    </w:rPr>
                  </w:pPr>
                  <w:r>
                    <w:rPr>
                      <w:rFonts w:hint="eastAsia"/>
                      <w:bCs/>
                      <w:sz w:val="21"/>
                      <w:szCs w:val="21"/>
                    </w:rPr>
                    <w:t>原项目已建，本次不变</w:t>
                  </w:r>
                </w:p>
              </w:tc>
            </w:tr>
            <w:tr w14:paraId="470264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8" w:hRule="atLeast"/>
                <w:jc w:val="right"/>
              </w:trPr>
              <w:tc>
                <w:tcPr>
                  <w:tcW w:w="794" w:type="dxa"/>
                  <w:vMerge w:val="continue"/>
                  <w:vAlign w:val="center"/>
                </w:tcPr>
                <w:p w14:paraId="110BCECD">
                  <w:pPr>
                    <w:widowControl/>
                    <w:adjustRightInd w:val="0"/>
                    <w:snapToGrid w:val="0"/>
                    <w:spacing w:line="240" w:lineRule="auto"/>
                    <w:ind w:firstLine="0" w:firstLineChars="0"/>
                    <w:jc w:val="left"/>
                    <w:rPr>
                      <w:sz w:val="21"/>
                      <w:szCs w:val="21"/>
                    </w:rPr>
                  </w:pPr>
                </w:p>
              </w:tc>
              <w:tc>
                <w:tcPr>
                  <w:tcW w:w="589" w:type="dxa"/>
                  <w:vMerge w:val="continue"/>
                  <w:vAlign w:val="center"/>
                </w:tcPr>
                <w:p w14:paraId="0D0951FD">
                  <w:pPr>
                    <w:pStyle w:val="77"/>
                    <w:rPr>
                      <w:szCs w:val="21"/>
                    </w:rPr>
                  </w:pPr>
                </w:p>
              </w:tc>
              <w:tc>
                <w:tcPr>
                  <w:tcW w:w="993" w:type="dxa"/>
                  <w:vAlign w:val="center"/>
                </w:tcPr>
                <w:p w14:paraId="399AFD46">
                  <w:pPr>
                    <w:pStyle w:val="77"/>
                    <w:rPr>
                      <w:bCs/>
                    </w:rPr>
                  </w:pPr>
                  <w:r>
                    <w:rPr>
                      <w:rFonts w:hint="eastAsia"/>
                      <w:bCs/>
                    </w:rPr>
                    <w:t>天然气燃烧废气</w:t>
                  </w:r>
                </w:p>
              </w:tc>
              <w:tc>
                <w:tcPr>
                  <w:tcW w:w="1054" w:type="dxa"/>
                  <w:vAlign w:val="center"/>
                </w:tcPr>
                <w:p w14:paraId="09F34046">
                  <w:pPr>
                    <w:adjustRightInd w:val="0"/>
                    <w:snapToGrid w:val="0"/>
                    <w:spacing w:line="240" w:lineRule="auto"/>
                    <w:ind w:firstLine="0" w:firstLineChars="0"/>
                    <w:jc w:val="center"/>
                    <w:rPr>
                      <w:rFonts w:cs="Times New Roman"/>
                      <w:bCs/>
                    </w:rPr>
                  </w:pPr>
                  <w:r>
                    <w:rPr>
                      <w:rFonts w:hint="eastAsia" w:cs="Times New Roman"/>
                    </w:rPr>
                    <w:t>二车间</w:t>
                  </w:r>
                </w:p>
              </w:tc>
              <w:tc>
                <w:tcPr>
                  <w:tcW w:w="1228" w:type="dxa"/>
                  <w:vAlign w:val="center"/>
                </w:tcPr>
                <w:p w14:paraId="53F568BD">
                  <w:pPr>
                    <w:adjustRightInd w:val="0"/>
                    <w:snapToGrid w:val="0"/>
                    <w:spacing w:line="240" w:lineRule="auto"/>
                    <w:ind w:firstLine="0" w:firstLineChars="0"/>
                    <w:jc w:val="center"/>
                    <w:rPr>
                      <w:sz w:val="21"/>
                      <w:szCs w:val="21"/>
                    </w:rPr>
                  </w:pPr>
                  <w:r>
                    <w:rPr>
                      <w:rFonts w:hint="eastAsia"/>
                      <w:sz w:val="21"/>
                      <w:szCs w:val="21"/>
                    </w:rPr>
                    <w:t>颗粒物、二氧化硫、氮氧化物</w:t>
                  </w:r>
                </w:p>
              </w:tc>
              <w:tc>
                <w:tcPr>
                  <w:tcW w:w="4164" w:type="dxa"/>
                  <w:gridSpan w:val="2"/>
                  <w:vAlign w:val="center"/>
                </w:tcPr>
                <w:p w14:paraId="08BFF40E">
                  <w:pPr>
                    <w:adjustRightInd w:val="0"/>
                    <w:snapToGrid w:val="0"/>
                    <w:spacing w:line="240" w:lineRule="auto"/>
                    <w:ind w:firstLine="0" w:firstLineChars="0"/>
                    <w:jc w:val="center"/>
                    <w:rPr>
                      <w:bCs/>
                      <w:sz w:val="21"/>
                      <w:szCs w:val="21"/>
                    </w:rPr>
                  </w:pPr>
                  <w:r>
                    <w:rPr>
                      <w:rFonts w:hint="eastAsia"/>
                      <w:bCs/>
                      <w:sz w:val="21"/>
                      <w:szCs w:val="21"/>
                    </w:rPr>
                    <w:t>经12m排气筒</w:t>
                  </w:r>
                  <w:r>
                    <w:rPr>
                      <w:rFonts w:cs="Times New Roman"/>
                      <w:sz w:val="21"/>
                      <w:szCs w:val="21"/>
                    </w:rPr>
                    <w:t>（</w:t>
                  </w:r>
                  <w:r>
                    <w:rPr>
                      <w:rFonts w:hint="eastAsia" w:cs="Times New Roman"/>
                      <w:sz w:val="21"/>
                      <w:szCs w:val="21"/>
                    </w:rPr>
                    <w:t>DA003</w:t>
                  </w:r>
                  <w:r>
                    <w:rPr>
                      <w:rFonts w:cs="Times New Roman"/>
                      <w:sz w:val="21"/>
                      <w:szCs w:val="21"/>
                    </w:rPr>
                    <w:t>）</w:t>
                  </w:r>
                  <w:r>
                    <w:rPr>
                      <w:rFonts w:hint="eastAsia"/>
                      <w:bCs/>
                      <w:sz w:val="21"/>
                      <w:szCs w:val="21"/>
                    </w:rPr>
                    <w:t>排放</w:t>
                  </w:r>
                </w:p>
              </w:tc>
            </w:tr>
            <w:tr w14:paraId="536506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8" w:hRule="atLeast"/>
                <w:jc w:val="right"/>
              </w:trPr>
              <w:tc>
                <w:tcPr>
                  <w:tcW w:w="794" w:type="dxa"/>
                  <w:vMerge w:val="continue"/>
                  <w:vAlign w:val="center"/>
                </w:tcPr>
                <w:p w14:paraId="41E78A08">
                  <w:pPr>
                    <w:widowControl/>
                    <w:adjustRightInd w:val="0"/>
                    <w:snapToGrid w:val="0"/>
                    <w:spacing w:line="240" w:lineRule="auto"/>
                    <w:ind w:firstLine="0" w:firstLineChars="0"/>
                    <w:jc w:val="left"/>
                    <w:rPr>
                      <w:sz w:val="21"/>
                      <w:szCs w:val="21"/>
                    </w:rPr>
                  </w:pPr>
                </w:p>
              </w:tc>
              <w:tc>
                <w:tcPr>
                  <w:tcW w:w="589" w:type="dxa"/>
                  <w:vMerge w:val="continue"/>
                  <w:vAlign w:val="center"/>
                </w:tcPr>
                <w:p w14:paraId="6AA720E2">
                  <w:pPr>
                    <w:pStyle w:val="77"/>
                    <w:rPr>
                      <w:szCs w:val="21"/>
                    </w:rPr>
                  </w:pPr>
                </w:p>
              </w:tc>
              <w:tc>
                <w:tcPr>
                  <w:tcW w:w="993" w:type="dxa"/>
                  <w:vAlign w:val="center"/>
                </w:tcPr>
                <w:p w14:paraId="28A55EFC">
                  <w:pPr>
                    <w:pStyle w:val="77"/>
                    <w:rPr>
                      <w:bCs/>
                    </w:rPr>
                  </w:pPr>
                  <w:r>
                    <w:rPr>
                      <w:rFonts w:hint="eastAsia"/>
                    </w:rPr>
                    <w:t>有机</w:t>
                  </w:r>
                  <w:r>
                    <w:t>废气</w:t>
                  </w:r>
                </w:p>
              </w:tc>
              <w:tc>
                <w:tcPr>
                  <w:tcW w:w="1054" w:type="dxa"/>
                  <w:vAlign w:val="center"/>
                </w:tcPr>
                <w:p w14:paraId="6B39BE10">
                  <w:pPr>
                    <w:adjustRightInd w:val="0"/>
                    <w:snapToGrid w:val="0"/>
                    <w:spacing w:line="240" w:lineRule="auto"/>
                    <w:ind w:firstLine="0" w:firstLineChars="0"/>
                    <w:jc w:val="center"/>
                    <w:rPr>
                      <w:rFonts w:cs="Times New Roman"/>
                      <w:bCs/>
                    </w:rPr>
                  </w:pPr>
                  <w:r>
                    <w:rPr>
                      <w:rFonts w:hint="eastAsia" w:cs="Times New Roman"/>
                    </w:rPr>
                    <w:t>二车间</w:t>
                  </w:r>
                </w:p>
              </w:tc>
              <w:tc>
                <w:tcPr>
                  <w:tcW w:w="1228" w:type="dxa"/>
                  <w:vAlign w:val="center"/>
                </w:tcPr>
                <w:p w14:paraId="213D67D2">
                  <w:pPr>
                    <w:adjustRightInd w:val="0"/>
                    <w:snapToGrid w:val="0"/>
                    <w:spacing w:line="240" w:lineRule="auto"/>
                    <w:ind w:firstLine="0" w:firstLineChars="0"/>
                    <w:jc w:val="center"/>
                    <w:rPr>
                      <w:sz w:val="21"/>
                      <w:szCs w:val="21"/>
                    </w:rPr>
                  </w:pPr>
                  <w:r>
                    <w:rPr>
                      <w:rFonts w:hint="eastAsia"/>
                      <w:sz w:val="21"/>
                      <w:szCs w:val="21"/>
                    </w:rPr>
                    <w:t>有机废气，甲醛</w:t>
                  </w:r>
                </w:p>
              </w:tc>
              <w:tc>
                <w:tcPr>
                  <w:tcW w:w="4164" w:type="dxa"/>
                  <w:gridSpan w:val="2"/>
                  <w:vAlign w:val="center"/>
                </w:tcPr>
                <w:p w14:paraId="4BC4AE71">
                  <w:pPr>
                    <w:adjustRightInd w:val="0"/>
                    <w:snapToGrid w:val="0"/>
                    <w:spacing w:line="240" w:lineRule="auto"/>
                    <w:ind w:firstLine="0" w:firstLineChars="0"/>
                    <w:jc w:val="center"/>
                    <w:rPr>
                      <w:bCs/>
                      <w:sz w:val="21"/>
                      <w:szCs w:val="21"/>
                    </w:rPr>
                  </w:pPr>
                  <w:r>
                    <w:rPr>
                      <w:rFonts w:hint="eastAsia" w:cs="Times New Roman"/>
                      <w:sz w:val="21"/>
                      <w:szCs w:val="21"/>
                    </w:rPr>
                    <w:t>贴面废气经</w:t>
                  </w:r>
                  <w:r>
                    <w:rPr>
                      <w:rFonts w:cs="Times New Roman"/>
                      <w:sz w:val="21"/>
                      <w:szCs w:val="21"/>
                    </w:rPr>
                    <w:t>负压收集</w:t>
                  </w:r>
                  <w:r>
                    <w:rPr>
                      <w:rFonts w:hint="eastAsia" w:cs="Times New Roman"/>
                      <w:sz w:val="21"/>
                      <w:szCs w:val="21"/>
                    </w:rPr>
                    <w:t>，收集的废气经1套活性炭处理设施</w:t>
                  </w:r>
                  <w:r>
                    <w:rPr>
                      <w:rFonts w:cs="Times New Roman"/>
                      <w:sz w:val="21"/>
                      <w:szCs w:val="21"/>
                    </w:rPr>
                    <w:t>，</w:t>
                  </w:r>
                  <w:r>
                    <w:rPr>
                      <w:rFonts w:hint="eastAsia" w:cs="Times New Roman"/>
                      <w:sz w:val="21"/>
                      <w:szCs w:val="21"/>
                    </w:rPr>
                    <w:t>处理后的废气</w:t>
                  </w:r>
                  <w:r>
                    <w:rPr>
                      <w:rFonts w:cs="Times New Roman"/>
                      <w:sz w:val="21"/>
                      <w:szCs w:val="21"/>
                    </w:rPr>
                    <w:t>经</w:t>
                  </w:r>
                  <w:r>
                    <w:rPr>
                      <w:rFonts w:hint="eastAsia" w:cs="Times New Roman"/>
                      <w:sz w:val="21"/>
                      <w:szCs w:val="21"/>
                    </w:rPr>
                    <w:t>1</w:t>
                  </w:r>
                  <w:r>
                    <w:rPr>
                      <w:rFonts w:cs="Times New Roman"/>
                      <w:sz w:val="21"/>
                      <w:szCs w:val="21"/>
                    </w:rPr>
                    <w:t>根15m高排气筒（</w:t>
                  </w:r>
                  <w:r>
                    <w:rPr>
                      <w:rFonts w:hint="eastAsia" w:cs="Times New Roman"/>
                      <w:sz w:val="21"/>
                      <w:szCs w:val="21"/>
                    </w:rPr>
                    <w:t>DA002</w:t>
                  </w:r>
                  <w:r>
                    <w:rPr>
                      <w:rFonts w:cs="Times New Roman"/>
                      <w:sz w:val="21"/>
                      <w:szCs w:val="21"/>
                    </w:rPr>
                    <w:t>）排放。</w:t>
                  </w:r>
                </w:p>
              </w:tc>
            </w:tr>
            <w:tr w14:paraId="3004AD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8" w:hRule="atLeast"/>
                <w:jc w:val="right"/>
              </w:trPr>
              <w:tc>
                <w:tcPr>
                  <w:tcW w:w="794" w:type="dxa"/>
                  <w:vMerge w:val="continue"/>
                  <w:vAlign w:val="center"/>
                </w:tcPr>
                <w:p w14:paraId="65A45636">
                  <w:pPr>
                    <w:widowControl/>
                    <w:adjustRightInd w:val="0"/>
                    <w:snapToGrid w:val="0"/>
                    <w:spacing w:line="240" w:lineRule="auto"/>
                    <w:ind w:firstLine="0" w:firstLineChars="0"/>
                    <w:jc w:val="left"/>
                    <w:rPr>
                      <w:sz w:val="21"/>
                      <w:szCs w:val="21"/>
                    </w:rPr>
                  </w:pPr>
                </w:p>
              </w:tc>
              <w:tc>
                <w:tcPr>
                  <w:tcW w:w="589" w:type="dxa"/>
                  <w:vAlign w:val="center"/>
                </w:tcPr>
                <w:p w14:paraId="6C8C4D80">
                  <w:pPr>
                    <w:pStyle w:val="76"/>
                    <w:adjustRightInd w:val="0"/>
                    <w:snapToGrid w:val="0"/>
                  </w:pPr>
                  <w:r>
                    <w:t>噪声</w:t>
                  </w:r>
                </w:p>
              </w:tc>
              <w:tc>
                <w:tcPr>
                  <w:tcW w:w="993" w:type="dxa"/>
                  <w:vAlign w:val="center"/>
                </w:tcPr>
                <w:p w14:paraId="5D861951">
                  <w:pPr>
                    <w:pStyle w:val="76"/>
                    <w:adjustRightInd w:val="0"/>
                    <w:snapToGrid w:val="0"/>
                  </w:pPr>
                  <w:r>
                    <w:t>设备风机噪声</w:t>
                  </w:r>
                </w:p>
              </w:tc>
              <w:tc>
                <w:tcPr>
                  <w:tcW w:w="1054" w:type="dxa"/>
                  <w:vAlign w:val="center"/>
                </w:tcPr>
                <w:p w14:paraId="7C860EF7">
                  <w:pPr>
                    <w:adjustRightInd w:val="0"/>
                    <w:snapToGrid w:val="0"/>
                    <w:spacing w:line="240" w:lineRule="auto"/>
                    <w:ind w:firstLine="0" w:firstLineChars="0"/>
                    <w:jc w:val="center"/>
                    <w:rPr>
                      <w:sz w:val="21"/>
                      <w:szCs w:val="21"/>
                    </w:rPr>
                  </w:pPr>
                  <w:r>
                    <w:rPr>
                      <w:sz w:val="21"/>
                      <w:szCs w:val="21"/>
                    </w:rPr>
                    <w:t>风机、</w:t>
                  </w:r>
                  <w:r>
                    <w:rPr>
                      <w:rFonts w:hint="eastAsia"/>
                      <w:sz w:val="21"/>
                      <w:szCs w:val="21"/>
                    </w:rPr>
                    <w:t>生产</w:t>
                  </w:r>
                  <w:r>
                    <w:rPr>
                      <w:sz w:val="21"/>
                      <w:szCs w:val="21"/>
                    </w:rPr>
                    <w:t>设备</w:t>
                  </w:r>
                </w:p>
              </w:tc>
              <w:tc>
                <w:tcPr>
                  <w:tcW w:w="1228" w:type="dxa"/>
                  <w:vAlign w:val="center"/>
                </w:tcPr>
                <w:p w14:paraId="3DF91211">
                  <w:pPr>
                    <w:adjustRightInd w:val="0"/>
                    <w:snapToGrid w:val="0"/>
                    <w:spacing w:line="240" w:lineRule="auto"/>
                    <w:ind w:firstLine="0" w:firstLineChars="0"/>
                    <w:jc w:val="center"/>
                    <w:rPr>
                      <w:sz w:val="21"/>
                      <w:szCs w:val="21"/>
                    </w:rPr>
                  </w:pPr>
                  <w:r>
                    <w:rPr>
                      <w:sz w:val="21"/>
                      <w:szCs w:val="21"/>
                    </w:rPr>
                    <w:t>噪声</w:t>
                  </w:r>
                </w:p>
              </w:tc>
              <w:tc>
                <w:tcPr>
                  <w:tcW w:w="4164" w:type="dxa"/>
                  <w:gridSpan w:val="2"/>
                  <w:vAlign w:val="center"/>
                </w:tcPr>
                <w:p w14:paraId="1736E53A">
                  <w:pPr>
                    <w:adjustRightInd w:val="0"/>
                    <w:snapToGrid w:val="0"/>
                    <w:spacing w:line="240" w:lineRule="auto"/>
                    <w:ind w:firstLine="0" w:firstLineChars="0"/>
                    <w:jc w:val="center"/>
                    <w:rPr>
                      <w:bCs/>
                      <w:sz w:val="21"/>
                      <w:szCs w:val="21"/>
                    </w:rPr>
                  </w:pPr>
                  <w:r>
                    <w:rPr>
                      <w:bCs/>
                      <w:sz w:val="21"/>
                      <w:szCs w:val="21"/>
                    </w:rPr>
                    <w:t>隔声封闭、基础减震，定期维护</w:t>
                  </w:r>
                </w:p>
              </w:tc>
            </w:tr>
            <w:tr w14:paraId="1B3DD4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9" w:hRule="atLeast"/>
                <w:jc w:val="right"/>
              </w:trPr>
              <w:tc>
                <w:tcPr>
                  <w:tcW w:w="794" w:type="dxa"/>
                  <w:vMerge w:val="continue"/>
                  <w:vAlign w:val="center"/>
                </w:tcPr>
                <w:p w14:paraId="3E8A63C2">
                  <w:pPr>
                    <w:widowControl/>
                    <w:adjustRightInd w:val="0"/>
                    <w:snapToGrid w:val="0"/>
                    <w:spacing w:line="240" w:lineRule="auto"/>
                    <w:ind w:firstLine="0" w:firstLineChars="0"/>
                    <w:jc w:val="left"/>
                    <w:rPr>
                      <w:sz w:val="21"/>
                      <w:szCs w:val="21"/>
                    </w:rPr>
                  </w:pPr>
                </w:p>
              </w:tc>
              <w:tc>
                <w:tcPr>
                  <w:tcW w:w="589" w:type="dxa"/>
                  <w:vMerge w:val="restart"/>
                  <w:vAlign w:val="center"/>
                </w:tcPr>
                <w:p w14:paraId="5E21EE7A">
                  <w:pPr>
                    <w:pStyle w:val="76"/>
                    <w:adjustRightInd w:val="0"/>
                    <w:snapToGrid w:val="0"/>
                  </w:pPr>
                  <w:r>
                    <w:t>固废</w:t>
                  </w:r>
                </w:p>
              </w:tc>
              <w:tc>
                <w:tcPr>
                  <w:tcW w:w="993" w:type="dxa"/>
                  <w:vAlign w:val="center"/>
                </w:tcPr>
                <w:p w14:paraId="56C6B8D4">
                  <w:pPr>
                    <w:pStyle w:val="76"/>
                    <w:adjustRightInd w:val="0"/>
                    <w:snapToGrid w:val="0"/>
                  </w:pPr>
                  <w:r>
                    <w:t>生活垃圾</w:t>
                  </w:r>
                </w:p>
              </w:tc>
              <w:tc>
                <w:tcPr>
                  <w:tcW w:w="1054" w:type="dxa"/>
                  <w:vAlign w:val="center"/>
                </w:tcPr>
                <w:p w14:paraId="20AD762F">
                  <w:pPr>
                    <w:adjustRightInd w:val="0"/>
                    <w:snapToGrid w:val="0"/>
                    <w:spacing w:line="240" w:lineRule="auto"/>
                    <w:ind w:firstLine="0" w:firstLineChars="0"/>
                    <w:jc w:val="center"/>
                    <w:rPr>
                      <w:sz w:val="21"/>
                      <w:szCs w:val="21"/>
                    </w:rPr>
                  </w:pPr>
                  <w:r>
                    <w:rPr>
                      <w:sz w:val="21"/>
                      <w:szCs w:val="21"/>
                    </w:rPr>
                    <w:t>生活区内</w:t>
                  </w:r>
                </w:p>
              </w:tc>
              <w:tc>
                <w:tcPr>
                  <w:tcW w:w="1228" w:type="dxa"/>
                  <w:vAlign w:val="center"/>
                </w:tcPr>
                <w:p w14:paraId="399BA265">
                  <w:pPr>
                    <w:adjustRightInd w:val="0"/>
                    <w:snapToGrid w:val="0"/>
                    <w:spacing w:line="240" w:lineRule="auto"/>
                    <w:ind w:firstLine="0" w:firstLineChars="0"/>
                    <w:jc w:val="center"/>
                    <w:rPr>
                      <w:sz w:val="21"/>
                      <w:szCs w:val="21"/>
                    </w:rPr>
                  </w:pPr>
                  <w:r>
                    <w:rPr>
                      <w:sz w:val="21"/>
                      <w:szCs w:val="21"/>
                    </w:rPr>
                    <w:t>生活垃圾</w:t>
                  </w:r>
                </w:p>
              </w:tc>
              <w:tc>
                <w:tcPr>
                  <w:tcW w:w="4164" w:type="dxa"/>
                  <w:gridSpan w:val="2"/>
                  <w:vAlign w:val="center"/>
                </w:tcPr>
                <w:p w14:paraId="22B1D4CF">
                  <w:pPr>
                    <w:adjustRightInd w:val="0"/>
                    <w:snapToGrid w:val="0"/>
                    <w:spacing w:line="240" w:lineRule="auto"/>
                    <w:ind w:firstLine="0" w:firstLineChars="0"/>
                    <w:jc w:val="center"/>
                    <w:rPr>
                      <w:bCs/>
                      <w:sz w:val="21"/>
                      <w:szCs w:val="21"/>
                    </w:rPr>
                  </w:pPr>
                  <w:r>
                    <w:rPr>
                      <w:bCs/>
                      <w:sz w:val="21"/>
                      <w:szCs w:val="21"/>
                    </w:rPr>
                    <w:t>由环卫部门收集处置</w:t>
                  </w:r>
                </w:p>
              </w:tc>
            </w:tr>
            <w:tr w14:paraId="29DA8A5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9" w:hRule="atLeast"/>
                <w:jc w:val="right"/>
              </w:trPr>
              <w:tc>
                <w:tcPr>
                  <w:tcW w:w="794" w:type="dxa"/>
                  <w:vMerge w:val="continue"/>
                  <w:vAlign w:val="center"/>
                </w:tcPr>
                <w:p w14:paraId="2DFCE22C">
                  <w:pPr>
                    <w:widowControl/>
                    <w:adjustRightInd w:val="0"/>
                    <w:snapToGrid w:val="0"/>
                    <w:spacing w:line="240" w:lineRule="auto"/>
                    <w:ind w:firstLine="0" w:firstLineChars="0"/>
                    <w:jc w:val="left"/>
                    <w:rPr>
                      <w:sz w:val="21"/>
                      <w:szCs w:val="21"/>
                    </w:rPr>
                  </w:pPr>
                </w:p>
              </w:tc>
              <w:tc>
                <w:tcPr>
                  <w:tcW w:w="589" w:type="dxa"/>
                  <w:vMerge w:val="continue"/>
                  <w:vAlign w:val="center"/>
                </w:tcPr>
                <w:p w14:paraId="597D7797">
                  <w:pPr>
                    <w:pStyle w:val="76"/>
                    <w:adjustRightInd w:val="0"/>
                    <w:snapToGrid w:val="0"/>
                  </w:pPr>
                </w:p>
              </w:tc>
              <w:tc>
                <w:tcPr>
                  <w:tcW w:w="993" w:type="dxa"/>
                  <w:vAlign w:val="center"/>
                </w:tcPr>
                <w:p w14:paraId="3D61D23E">
                  <w:pPr>
                    <w:pStyle w:val="76"/>
                    <w:adjustRightInd w:val="0"/>
                    <w:snapToGrid w:val="0"/>
                  </w:pPr>
                  <w:r>
                    <w:t>废活性炭</w:t>
                  </w:r>
                </w:p>
              </w:tc>
              <w:tc>
                <w:tcPr>
                  <w:tcW w:w="1054" w:type="dxa"/>
                  <w:vAlign w:val="center"/>
                </w:tcPr>
                <w:p w14:paraId="6CCB6E0F">
                  <w:pPr>
                    <w:adjustRightInd w:val="0"/>
                    <w:snapToGrid w:val="0"/>
                    <w:spacing w:line="240" w:lineRule="auto"/>
                    <w:ind w:firstLine="0" w:firstLineChars="0"/>
                    <w:jc w:val="center"/>
                    <w:rPr>
                      <w:sz w:val="21"/>
                      <w:szCs w:val="21"/>
                    </w:rPr>
                  </w:pPr>
                  <w:r>
                    <w:rPr>
                      <w:rFonts w:hint="eastAsia"/>
                      <w:sz w:val="21"/>
                      <w:szCs w:val="21"/>
                    </w:rPr>
                    <w:t>废气处理</w:t>
                  </w:r>
                  <w:r>
                    <w:rPr>
                      <w:sz w:val="21"/>
                      <w:szCs w:val="21"/>
                    </w:rPr>
                    <w:t>设施</w:t>
                  </w:r>
                </w:p>
              </w:tc>
              <w:tc>
                <w:tcPr>
                  <w:tcW w:w="1228" w:type="dxa"/>
                  <w:vAlign w:val="center"/>
                </w:tcPr>
                <w:p w14:paraId="534A37F9">
                  <w:pPr>
                    <w:adjustRightInd w:val="0"/>
                    <w:snapToGrid w:val="0"/>
                    <w:spacing w:line="240" w:lineRule="auto"/>
                    <w:ind w:firstLine="0" w:firstLineChars="0"/>
                    <w:jc w:val="center"/>
                    <w:rPr>
                      <w:sz w:val="21"/>
                      <w:szCs w:val="21"/>
                    </w:rPr>
                  </w:pPr>
                  <w:r>
                    <w:rPr>
                      <w:rFonts w:hint="eastAsia"/>
                      <w:sz w:val="21"/>
                      <w:szCs w:val="21"/>
                    </w:rPr>
                    <w:t>危险废物</w:t>
                  </w:r>
                </w:p>
              </w:tc>
              <w:tc>
                <w:tcPr>
                  <w:tcW w:w="4164" w:type="dxa"/>
                  <w:gridSpan w:val="2"/>
                  <w:vAlign w:val="center"/>
                </w:tcPr>
                <w:p w14:paraId="6152357B">
                  <w:pPr>
                    <w:adjustRightInd w:val="0"/>
                    <w:snapToGrid w:val="0"/>
                    <w:spacing w:line="240" w:lineRule="auto"/>
                    <w:ind w:firstLine="0" w:firstLineChars="0"/>
                    <w:jc w:val="center"/>
                    <w:rPr>
                      <w:bCs/>
                      <w:sz w:val="21"/>
                      <w:szCs w:val="21"/>
                    </w:rPr>
                  </w:pPr>
                  <w:r>
                    <w:rPr>
                      <w:rFonts w:hint="eastAsia"/>
                      <w:bCs/>
                      <w:sz w:val="21"/>
                      <w:szCs w:val="21"/>
                    </w:rPr>
                    <w:t>危险废物分类收集暂存，并委托资质单位清运处置。</w:t>
                  </w:r>
                </w:p>
              </w:tc>
            </w:tr>
          </w:tbl>
          <w:p w14:paraId="2BD53018">
            <w:pPr>
              <w:ind w:firstLine="0" w:firstLineChars="0"/>
              <w:rPr>
                <w:rFonts w:cs="Times New Roman"/>
                <w:b/>
                <w:bCs/>
              </w:rPr>
            </w:pPr>
            <w:r>
              <w:rPr>
                <w:rFonts w:hint="eastAsia" w:cs="Times New Roman"/>
                <w:b/>
                <w:bCs/>
              </w:rPr>
              <w:t>3、项目甲醛、VOCs物料平衡</w:t>
            </w:r>
          </w:p>
          <w:p w14:paraId="3949AB14">
            <w:pPr>
              <w:ind w:firstLine="480"/>
              <w:rPr>
                <w:rFonts w:cs="Times New Roman"/>
              </w:rPr>
            </w:pPr>
            <w:r>
              <w:rPr>
                <w:rFonts w:hint="eastAsia" w:cs="Times New Roman"/>
              </w:rPr>
              <w:t>VOCs产生量：根据同行业三聚氰胺纸检测报告，挥发性有机物含量为2.01%，本项目浸渍纸（三聚氰胺浸渍纸）总计用量约为</w:t>
            </w:r>
            <w:r>
              <w:rPr>
                <w:rFonts w:hint="eastAsia"/>
                <w:bCs/>
                <w:szCs w:val="24"/>
              </w:rPr>
              <w:t>70756</w:t>
            </w:r>
            <w:r>
              <w:rPr>
                <w:rFonts w:hint="eastAsia" w:cs="Times New Roman"/>
              </w:rPr>
              <w:t>m</w:t>
            </w:r>
            <w:r>
              <w:rPr>
                <w:rFonts w:hint="eastAsia" w:cs="Times New Roman"/>
                <w:vertAlign w:val="superscript"/>
              </w:rPr>
              <w:t>2</w:t>
            </w:r>
            <w:r>
              <w:rPr>
                <w:rFonts w:hint="eastAsia" w:cs="Times New Roman"/>
              </w:rPr>
              <w:t>/年，每平方米浸渍纸重量约为70g，则本项目浸渍纸用量约为</w:t>
            </w:r>
            <w:r>
              <w:rPr>
                <w:rFonts w:hint="eastAsia"/>
                <w:bCs/>
                <w:szCs w:val="24"/>
              </w:rPr>
              <w:t>4.953</w:t>
            </w:r>
            <w:r>
              <w:rPr>
                <w:rFonts w:hint="eastAsia" w:cs="Times New Roman"/>
              </w:rPr>
              <w:t>t/a，则VOCs产生量约为</w:t>
            </w:r>
            <w:r>
              <w:rPr>
                <w:rFonts w:hint="eastAsia"/>
                <w:bCs/>
                <w:szCs w:val="24"/>
              </w:rPr>
              <w:t>0.1</w:t>
            </w:r>
            <w:r>
              <w:rPr>
                <w:rFonts w:hint="eastAsia" w:cs="Times New Roman"/>
              </w:rPr>
              <w:t>t/a。</w:t>
            </w:r>
          </w:p>
          <w:p w14:paraId="12709FC5">
            <w:pPr>
              <w:ind w:firstLine="480"/>
              <w:rPr>
                <w:rFonts w:cs="Times New Roman"/>
              </w:rPr>
            </w:pPr>
            <w:r>
              <w:rPr>
                <w:rFonts w:hint="eastAsia" w:cs="Times New Roman"/>
              </w:rPr>
              <w:t>甲醛产生量：根据业主提供成分检测报告，三聚氰胺浸渍纸中甲醛释放量为1.4mg/L。根据业主提供检验报告，显示甲醛检测方法依据《人造板饰面专用纸》（GB/T28995-2012）中推荐的《人造板及饰面人造板理化性能试验方法》（GB/T17657-1999）中“4.12甲醛释放量干燥器法测定”，根据检测方法可知：取10片（150mm×50mm）胶膜纸进行干燥，其内甲醛完全溶解至300mL蒸馏水中，再使用乙酰丙酮与乙酸铵溶液滴定，则本项目三聚氰胺浸渍纸中甲醛含量为5.6mg/m</w:t>
            </w:r>
            <w:r>
              <w:rPr>
                <w:rFonts w:hint="eastAsia" w:cs="Times New Roman"/>
                <w:vertAlign w:val="superscript"/>
              </w:rPr>
              <w:t>2</w:t>
            </w:r>
            <w:r>
              <w:rPr>
                <w:rFonts w:hint="eastAsia" w:cs="Times New Roman"/>
              </w:rPr>
              <w:t>。根据业主资料，本项目三聚氰胺浸渍纸总计用量约为</w:t>
            </w:r>
            <w:r>
              <w:rPr>
                <w:rFonts w:hint="eastAsia"/>
                <w:bCs/>
                <w:szCs w:val="24"/>
              </w:rPr>
              <w:t>70756m</w:t>
            </w:r>
            <w:r>
              <w:rPr>
                <w:rFonts w:hint="eastAsia"/>
                <w:bCs/>
                <w:szCs w:val="24"/>
                <w:vertAlign w:val="superscript"/>
              </w:rPr>
              <w:t>2</w:t>
            </w:r>
            <w:r>
              <w:rPr>
                <w:rFonts w:hint="eastAsia"/>
                <w:bCs/>
                <w:szCs w:val="24"/>
              </w:rPr>
              <w:t>/年，则甲醛产生量总计约为0.396kg/a</w:t>
            </w:r>
            <w:r>
              <w:rPr>
                <w:rFonts w:hint="eastAsia" w:cs="Times New Roman"/>
              </w:rPr>
              <w:t>。</w:t>
            </w:r>
          </w:p>
          <w:p w14:paraId="7EED9D1B">
            <w:pPr>
              <w:ind w:firstLine="0" w:firstLineChars="0"/>
              <w:jc w:val="center"/>
              <w:rPr>
                <w:rFonts w:cs="Times New Roman"/>
              </w:rPr>
            </w:pPr>
            <w:r>
              <w:rPr>
                <w:rFonts w:cs="Times New Roman"/>
              </w:rPr>
              <w:t>表</w:t>
            </w:r>
            <w:r>
              <w:rPr>
                <w:rFonts w:hint="eastAsia" w:cs="Times New Roman"/>
                <w:b/>
                <w:bCs/>
              </w:rPr>
              <w:t xml:space="preserve">2-9  </w:t>
            </w:r>
            <w:r>
              <w:rPr>
                <w:rFonts w:cs="Times New Roman"/>
              </w:rPr>
              <w:t>项目甲醛、</w:t>
            </w:r>
            <w:r>
              <w:rPr>
                <w:rFonts w:cs="Times New Roman"/>
                <w:b/>
                <w:bCs/>
              </w:rPr>
              <w:t>VOCs</w:t>
            </w:r>
            <w:r>
              <w:rPr>
                <w:rFonts w:cs="Times New Roman"/>
              </w:rPr>
              <w:t>平衡</w:t>
            </w:r>
          </w:p>
          <w:tbl>
            <w:tblPr>
              <w:tblStyle w:val="33"/>
              <w:tblW w:w="884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902"/>
              <w:gridCol w:w="1560"/>
              <w:gridCol w:w="1489"/>
              <w:gridCol w:w="1005"/>
              <w:gridCol w:w="1191"/>
              <w:gridCol w:w="1418"/>
              <w:gridCol w:w="1277"/>
            </w:tblGrid>
            <w:tr w14:paraId="45D163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902" w:type="dxa"/>
                  <w:tcBorders>
                    <w:top w:val="single" w:color="auto" w:sz="4" w:space="0"/>
                    <w:left w:val="single" w:color="auto" w:sz="4" w:space="0"/>
                    <w:bottom w:val="single" w:color="auto" w:sz="4" w:space="0"/>
                    <w:right w:val="single" w:color="auto" w:sz="4" w:space="0"/>
                  </w:tcBorders>
                  <w:vAlign w:val="center"/>
                </w:tcPr>
                <w:p w14:paraId="419F7155">
                  <w:pPr>
                    <w:spacing w:line="240" w:lineRule="auto"/>
                    <w:ind w:firstLine="0" w:firstLineChars="0"/>
                    <w:rPr>
                      <w:rFonts w:cs="Times New Roman"/>
                      <w:sz w:val="21"/>
                      <w:szCs w:val="21"/>
                    </w:rPr>
                  </w:pPr>
                  <w:r>
                    <w:rPr>
                      <w:rFonts w:hint="eastAsia" w:cs="Times New Roman"/>
                      <w:sz w:val="21"/>
                      <w:szCs w:val="21"/>
                    </w:rPr>
                    <w:t>原料</w:t>
                  </w:r>
                </w:p>
              </w:tc>
              <w:tc>
                <w:tcPr>
                  <w:tcW w:w="3049" w:type="dxa"/>
                  <w:gridSpan w:val="2"/>
                  <w:tcBorders>
                    <w:top w:val="single" w:color="auto" w:sz="4" w:space="0"/>
                    <w:left w:val="single" w:color="auto" w:sz="4" w:space="0"/>
                    <w:bottom w:val="single" w:color="auto" w:sz="4" w:space="0"/>
                    <w:right w:val="single" w:color="auto" w:sz="4" w:space="0"/>
                  </w:tcBorders>
                  <w:vAlign w:val="center"/>
                </w:tcPr>
                <w:p w14:paraId="48E7B773">
                  <w:pPr>
                    <w:spacing w:line="240" w:lineRule="auto"/>
                    <w:ind w:firstLine="0" w:firstLineChars="0"/>
                    <w:rPr>
                      <w:rFonts w:cs="Times New Roman"/>
                      <w:sz w:val="21"/>
                      <w:szCs w:val="21"/>
                    </w:rPr>
                  </w:pPr>
                  <w:r>
                    <w:rPr>
                      <w:rFonts w:hint="eastAsia" w:cs="Times New Roman"/>
                      <w:sz w:val="21"/>
                      <w:szCs w:val="21"/>
                    </w:rPr>
                    <w:t>产生量（t/a）</w:t>
                  </w:r>
                </w:p>
              </w:tc>
              <w:tc>
                <w:tcPr>
                  <w:tcW w:w="1005" w:type="dxa"/>
                  <w:tcBorders>
                    <w:top w:val="single" w:color="auto" w:sz="4" w:space="0"/>
                    <w:left w:val="single" w:color="auto" w:sz="4" w:space="0"/>
                    <w:bottom w:val="single" w:color="auto" w:sz="4" w:space="0"/>
                    <w:right w:val="single" w:color="auto" w:sz="4" w:space="0"/>
                  </w:tcBorders>
                  <w:vAlign w:val="center"/>
                </w:tcPr>
                <w:p w14:paraId="7C7597F5">
                  <w:pPr>
                    <w:spacing w:line="240" w:lineRule="auto"/>
                    <w:ind w:firstLine="0" w:firstLineChars="0"/>
                    <w:rPr>
                      <w:rFonts w:cs="Times New Roman"/>
                      <w:sz w:val="21"/>
                      <w:szCs w:val="21"/>
                    </w:rPr>
                  </w:pPr>
                  <w:r>
                    <w:rPr>
                      <w:rFonts w:hint="eastAsia" w:cs="Times New Roman"/>
                      <w:sz w:val="21"/>
                      <w:szCs w:val="21"/>
                    </w:rPr>
                    <w:t>收集效率</w:t>
                  </w:r>
                </w:p>
              </w:tc>
              <w:tc>
                <w:tcPr>
                  <w:tcW w:w="1191" w:type="dxa"/>
                  <w:tcBorders>
                    <w:top w:val="single" w:color="auto" w:sz="4" w:space="0"/>
                    <w:left w:val="single" w:color="auto" w:sz="4" w:space="0"/>
                    <w:bottom w:val="single" w:color="auto" w:sz="4" w:space="0"/>
                    <w:right w:val="single" w:color="auto" w:sz="4" w:space="0"/>
                  </w:tcBorders>
                  <w:vAlign w:val="center"/>
                </w:tcPr>
                <w:p w14:paraId="46538265">
                  <w:pPr>
                    <w:spacing w:line="240" w:lineRule="auto"/>
                    <w:ind w:firstLine="0" w:firstLineChars="0"/>
                    <w:rPr>
                      <w:rFonts w:cs="Times New Roman"/>
                      <w:sz w:val="21"/>
                      <w:szCs w:val="21"/>
                    </w:rPr>
                  </w:pPr>
                  <w:r>
                    <w:rPr>
                      <w:rFonts w:hint="eastAsia" w:cs="Times New Roman"/>
                      <w:sz w:val="21"/>
                      <w:szCs w:val="21"/>
                    </w:rPr>
                    <w:t>处理效率</w:t>
                  </w:r>
                </w:p>
              </w:tc>
              <w:tc>
                <w:tcPr>
                  <w:tcW w:w="1418" w:type="dxa"/>
                  <w:tcBorders>
                    <w:top w:val="single" w:color="auto" w:sz="4" w:space="0"/>
                    <w:left w:val="single" w:color="auto" w:sz="4" w:space="0"/>
                    <w:bottom w:val="single" w:color="auto" w:sz="4" w:space="0"/>
                    <w:right w:val="single" w:color="auto" w:sz="4" w:space="0"/>
                  </w:tcBorders>
                  <w:vAlign w:val="center"/>
                </w:tcPr>
                <w:p w14:paraId="0CBE4838">
                  <w:pPr>
                    <w:spacing w:line="240" w:lineRule="auto"/>
                    <w:ind w:firstLine="0" w:firstLineChars="0"/>
                    <w:rPr>
                      <w:rFonts w:cs="Times New Roman"/>
                      <w:sz w:val="21"/>
                      <w:szCs w:val="21"/>
                    </w:rPr>
                  </w:pPr>
                  <w:r>
                    <w:rPr>
                      <w:rFonts w:hint="eastAsia" w:cs="Times New Roman"/>
                      <w:sz w:val="21"/>
                      <w:szCs w:val="21"/>
                    </w:rPr>
                    <w:t>有组织（t/a）</w:t>
                  </w:r>
                </w:p>
              </w:tc>
              <w:tc>
                <w:tcPr>
                  <w:tcW w:w="1277" w:type="dxa"/>
                  <w:tcBorders>
                    <w:top w:val="single" w:color="auto" w:sz="4" w:space="0"/>
                    <w:left w:val="single" w:color="auto" w:sz="4" w:space="0"/>
                    <w:bottom w:val="single" w:color="auto" w:sz="4" w:space="0"/>
                    <w:right w:val="single" w:color="auto" w:sz="4" w:space="0"/>
                  </w:tcBorders>
                  <w:vAlign w:val="center"/>
                </w:tcPr>
                <w:p w14:paraId="7AE5328E">
                  <w:pPr>
                    <w:spacing w:line="240" w:lineRule="auto"/>
                    <w:ind w:firstLine="0" w:firstLineChars="0"/>
                    <w:rPr>
                      <w:rFonts w:cs="Times New Roman"/>
                      <w:sz w:val="21"/>
                      <w:szCs w:val="21"/>
                    </w:rPr>
                  </w:pPr>
                  <w:r>
                    <w:rPr>
                      <w:rFonts w:hint="eastAsia" w:cs="Times New Roman"/>
                      <w:sz w:val="21"/>
                      <w:szCs w:val="21"/>
                    </w:rPr>
                    <w:t>无组织（t/a）</w:t>
                  </w:r>
                </w:p>
              </w:tc>
            </w:tr>
            <w:tr w14:paraId="192147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902" w:type="dxa"/>
                  <w:vMerge w:val="restart"/>
                  <w:tcBorders>
                    <w:top w:val="single" w:color="auto" w:sz="4" w:space="0"/>
                    <w:left w:val="single" w:color="auto" w:sz="4" w:space="0"/>
                    <w:right w:val="single" w:color="auto" w:sz="4" w:space="0"/>
                  </w:tcBorders>
                  <w:vAlign w:val="center"/>
                </w:tcPr>
                <w:p w14:paraId="6E6FBD5E">
                  <w:pPr>
                    <w:spacing w:line="240" w:lineRule="auto"/>
                    <w:ind w:firstLine="0" w:firstLineChars="0"/>
                    <w:rPr>
                      <w:rFonts w:cs="Times New Roman"/>
                      <w:sz w:val="21"/>
                      <w:szCs w:val="21"/>
                    </w:rPr>
                  </w:pPr>
                  <w:r>
                    <w:rPr>
                      <w:rFonts w:cs="Times New Roman"/>
                      <w:sz w:val="21"/>
                      <w:szCs w:val="21"/>
                    </w:rPr>
                    <w:t>三胺装饰纸</w:t>
                  </w:r>
                </w:p>
              </w:tc>
              <w:tc>
                <w:tcPr>
                  <w:tcW w:w="1560" w:type="dxa"/>
                  <w:tcBorders>
                    <w:top w:val="single" w:color="auto" w:sz="4" w:space="0"/>
                    <w:left w:val="single" w:color="auto" w:sz="4" w:space="0"/>
                    <w:bottom w:val="single" w:color="auto" w:sz="4" w:space="0"/>
                    <w:right w:val="single" w:color="auto" w:sz="4" w:space="0"/>
                  </w:tcBorders>
                  <w:vAlign w:val="center"/>
                </w:tcPr>
                <w:p w14:paraId="4FC0A161">
                  <w:pPr>
                    <w:spacing w:line="240" w:lineRule="auto"/>
                    <w:ind w:firstLine="0" w:firstLineChars="0"/>
                    <w:rPr>
                      <w:rFonts w:cs="Times New Roman"/>
                      <w:sz w:val="21"/>
                      <w:szCs w:val="21"/>
                    </w:rPr>
                  </w:pPr>
                  <w:r>
                    <w:rPr>
                      <w:rFonts w:cs="Times New Roman"/>
                      <w:sz w:val="21"/>
                      <w:szCs w:val="21"/>
                    </w:rPr>
                    <w:t>VOCs（含甲醛）</w:t>
                  </w:r>
                </w:p>
              </w:tc>
              <w:tc>
                <w:tcPr>
                  <w:tcW w:w="1489" w:type="dxa"/>
                  <w:tcBorders>
                    <w:top w:val="single" w:color="auto" w:sz="4" w:space="0"/>
                    <w:left w:val="single" w:color="auto" w:sz="4" w:space="0"/>
                    <w:bottom w:val="single" w:color="auto" w:sz="4" w:space="0"/>
                    <w:right w:val="single" w:color="auto" w:sz="4" w:space="0"/>
                  </w:tcBorders>
                  <w:vAlign w:val="center"/>
                </w:tcPr>
                <w:p w14:paraId="2BFBE52D">
                  <w:pPr>
                    <w:spacing w:line="240" w:lineRule="auto"/>
                    <w:ind w:firstLine="0" w:firstLineChars="0"/>
                    <w:jc w:val="center"/>
                    <w:rPr>
                      <w:rFonts w:cs="Times New Roman"/>
                      <w:sz w:val="21"/>
                      <w:szCs w:val="21"/>
                    </w:rPr>
                  </w:pPr>
                  <w:r>
                    <w:rPr>
                      <w:rFonts w:hint="eastAsia" w:cs="Times New Roman"/>
                      <w:sz w:val="21"/>
                      <w:szCs w:val="21"/>
                    </w:rPr>
                    <w:t>0.1</w:t>
                  </w:r>
                </w:p>
              </w:tc>
              <w:tc>
                <w:tcPr>
                  <w:tcW w:w="1005" w:type="dxa"/>
                  <w:tcBorders>
                    <w:top w:val="single" w:color="auto" w:sz="4" w:space="0"/>
                    <w:left w:val="single" w:color="auto" w:sz="4" w:space="0"/>
                    <w:bottom w:val="single" w:color="auto" w:sz="4" w:space="0"/>
                    <w:right w:val="single" w:color="auto" w:sz="4" w:space="0"/>
                  </w:tcBorders>
                  <w:vAlign w:val="center"/>
                </w:tcPr>
                <w:p w14:paraId="7993A824">
                  <w:pPr>
                    <w:spacing w:line="240" w:lineRule="auto"/>
                    <w:ind w:firstLine="0" w:firstLineChars="0"/>
                    <w:jc w:val="center"/>
                    <w:rPr>
                      <w:rFonts w:cs="Times New Roman"/>
                      <w:sz w:val="21"/>
                      <w:szCs w:val="21"/>
                    </w:rPr>
                  </w:pPr>
                  <w:r>
                    <w:rPr>
                      <w:rFonts w:cs="Times New Roman"/>
                      <w:sz w:val="21"/>
                      <w:szCs w:val="21"/>
                    </w:rPr>
                    <w:t>9</w:t>
                  </w:r>
                  <w:r>
                    <w:rPr>
                      <w:rFonts w:hint="eastAsia" w:cs="Times New Roman"/>
                      <w:sz w:val="21"/>
                      <w:szCs w:val="21"/>
                    </w:rPr>
                    <w:t>0</w:t>
                  </w:r>
                  <w:r>
                    <w:rPr>
                      <w:rFonts w:cs="Times New Roman"/>
                      <w:sz w:val="21"/>
                      <w:szCs w:val="21"/>
                    </w:rPr>
                    <w:t>%</w:t>
                  </w:r>
                </w:p>
              </w:tc>
              <w:tc>
                <w:tcPr>
                  <w:tcW w:w="1191" w:type="dxa"/>
                  <w:tcBorders>
                    <w:top w:val="single" w:color="auto" w:sz="4" w:space="0"/>
                    <w:left w:val="single" w:color="auto" w:sz="4" w:space="0"/>
                    <w:bottom w:val="single" w:color="auto" w:sz="4" w:space="0"/>
                    <w:right w:val="single" w:color="auto" w:sz="4" w:space="0"/>
                  </w:tcBorders>
                  <w:vAlign w:val="center"/>
                </w:tcPr>
                <w:p w14:paraId="30A66125">
                  <w:pPr>
                    <w:spacing w:line="240" w:lineRule="auto"/>
                    <w:ind w:firstLine="0" w:firstLineChars="0"/>
                    <w:jc w:val="center"/>
                    <w:rPr>
                      <w:rFonts w:cs="Times New Roman"/>
                      <w:sz w:val="21"/>
                      <w:szCs w:val="21"/>
                    </w:rPr>
                  </w:pPr>
                  <w:r>
                    <w:rPr>
                      <w:rFonts w:hint="eastAsia" w:cs="Times New Roman"/>
                      <w:sz w:val="21"/>
                      <w:szCs w:val="21"/>
                    </w:rPr>
                    <w:t>50</w:t>
                  </w:r>
                  <w:r>
                    <w:rPr>
                      <w:rFonts w:cs="Times New Roman"/>
                      <w:sz w:val="21"/>
                      <w:szCs w:val="21"/>
                    </w:rPr>
                    <w:t>%</w:t>
                  </w:r>
                </w:p>
              </w:tc>
              <w:tc>
                <w:tcPr>
                  <w:tcW w:w="1418" w:type="dxa"/>
                  <w:tcBorders>
                    <w:top w:val="single" w:color="auto" w:sz="4" w:space="0"/>
                    <w:left w:val="single" w:color="auto" w:sz="4" w:space="0"/>
                    <w:bottom w:val="single" w:color="auto" w:sz="4" w:space="0"/>
                    <w:right w:val="single" w:color="auto" w:sz="4" w:space="0"/>
                  </w:tcBorders>
                  <w:vAlign w:val="center"/>
                </w:tcPr>
                <w:p w14:paraId="79E989DA">
                  <w:pPr>
                    <w:spacing w:line="240" w:lineRule="auto"/>
                    <w:ind w:firstLine="0" w:firstLineChars="0"/>
                    <w:jc w:val="center"/>
                    <w:rPr>
                      <w:rFonts w:cs="Times New Roman"/>
                      <w:sz w:val="21"/>
                      <w:szCs w:val="21"/>
                    </w:rPr>
                  </w:pPr>
                  <w:r>
                    <w:rPr>
                      <w:rFonts w:hint="eastAsia" w:cs="Times New Roman"/>
                      <w:sz w:val="21"/>
                      <w:szCs w:val="21"/>
                    </w:rPr>
                    <w:t>0.045</w:t>
                  </w:r>
                </w:p>
              </w:tc>
              <w:tc>
                <w:tcPr>
                  <w:tcW w:w="1277" w:type="dxa"/>
                  <w:tcBorders>
                    <w:top w:val="single" w:color="auto" w:sz="4" w:space="0"/>
                    <w:left w:val="single" w:color="auto" w:sz="4" w:space="0"/>
                    <w:bottom w:val="single" w:color="auto" w:sz="4" w:space="0"/>
                    <w:right w:val="single" w:color="auto" w:sz="4" w:space="0"/>
                  </w:tcBorders>
                  <w:vAlign w:val="center"/>
                </w:tcPr>
                <w:p w14:paraId="0F5A5FFE">
                  <w:pPr>
                    <w:spacing w:line="240" w:lineRule="auto"/>
                    <w:ind w:firstLine="0" w:firstLineChars="0"/>
                    <w:jc w:val="center"/>
                    <w:rPr>
                      <w:rFonts w:cs="Times New Roman"/>
                      <w:sz w:val="21"/>
                      <w:szCs w:val="21"/>
                    </w:rPr>
                  </w:pPr>
                  <w:r>
                    <w:rPr>
                      <w:rFonts w:hint="eastAsia" w:cs="Times New Roman"/>
                      <w:sz w:val="21"/>
                      <w:szCs w:val="21"/>
                    </w:rPr>
                    <w:t>0.01</w:t>
                  </w:r>
                </w:p>
              </w:tc>
            </w:tr>
            <w:tr w14:paraId="65D122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902" w:type="dxa"/>
                  <w:vMerge w:val="continue"/>
                  <w:tcBorders>
                    <w:left w:val="single" w:color="auto" w:sz="4" w:space="0"/>
                    <w:bottom w:val="single" w:color="auto" w:sz="4" w:space="0"/>
                    <w:right w:val="single" w:color="auto" w:sz="4" w:space="0"/>
                  </w:tcBorders>
                  <w:vAlign w:val="center"/>
                </w:tcPr>
                <w:p w14:paraId="0CF07C30">
                  <w:pPr>
                    <w:spacing w:line="240" w:lineRule="auto"/>
                    <w:ind w:firstLine="0" w:firstLineChars="0"/>
                    <w:rPr>
                      <w:rFonts w:cs="Times New Roman"/>
                      <w:sz w:val="21"/>
                      <w:szCs w:val="21"/>
                    </w:rPr>
                  </w:pPr>
                </w:p>
              </w:tc>
              <w:tc>
                <w:tcPr>
                  <w:tcW w:w="1560" w:type="dxa"/>
                  <w:tcBorders>
                    <w:top w:val="single" w:color="auto" w:sz="4" w:space="0"/>
                    <w:left w:val="single" w:color="auto" w:sz="4" w:space="0"/>
                    <w:bottom w:val="single" w:color="auto" w:sz="4" w:space="0"/>
                    <w:right w:val="single" w:color="auto" w:sz="4" w:space="0"/>
                  </w:tcBorders>
                  <w:vAlign w:val="center"/>
                </w:tcPr>
                <w:p w14:paraId="00D8F6B0">
                  <w:pPr>
                    <w:spacing w:line="240" w:lineRule="auto"/>
                    <w:ind w:firstLine="0" w:firstLineChars="0"/>
                    <w:rPr>
                      <w:rFonts w:cs="Times New Roman"/>
                      <w:sz w:val="21"/>
                      <w:szCs w:val="21"/>
                    </w:rPr>
                  </w:pPr>
                  <w:r>
                    <w:rPr>
                      <w:rFonts w:cs="Times New Roman"/>
                      <w:sz w:val="21"/>
                      <w:szCs w:val="21"/>
                    </w:rPr>
                    <w:t>甲醛</w:t>
                  </w:r>
                </w:p>
              </w:tc>
              <w:tc>
                <w:tcPr>
                  <w:tcW w:w="1489" w:type="dxa"/>
                  <w:tcBorders>
                    <w:top w:val="single" w:color="auto" w:sz="4" w:space="0"/>
                    <w:left w:val="single" w:color="auto" w:sz="4" w:space="0"/>
                    <w:bottom w:val="single" w:color="auto" w:sz="4" w:space="0"/>
                    <w:right w:val="single" w:color="auto" w:sz="4" w:space="0"/>
                  </w:tcBorders>
                  <w:vAlign w:val="center"/>
                </w:tcPr>
                <w:p w14:paraId="1E7C68B9">
                  <w:pPr>
                    <w:spacing w:line="240" w:lineRule="auto"/>
                    <w:ind w:firstLine="0" w:firstLineChars="0"/>
                    <w:jc w:val="center"/>
                    <w:rPr>
                      <w:rFonts w:cs="Times New Roman"/>
                      <w:sz w:val="21"/>
                      <w:szCs w:val="21"/>
                    </w:rPr>
                  </w:pPr>
                  <w:r>
                    <w:rPr>
                      <w:rFonts w:hint="eastAsia"/>
                      <w:bCs/>
                      <w:sz w:val="21"/>
                      <w:szCs w:val="21"/>
                    </w:rPr>
                    <w:t>0.396</w:t>
                  </w:r>
                  <w:r>
                    <w:rPr>
                      <w:rFonts w:hint="eastAsia"/>
                      <w:spacing w:val="7"/>
                      <w:sz w:val="21"/>
                      <w:szCs w:val="21"/>
                    </w:rPr>
                    <w:t>*10</w:t>
                  </w:r>
                  <w:r>
                    <w:rPr>
                      <w:rFonts w:hint="eastAsia"/>
                      <w:spacing w:val="7"/>
                      <w:sz w:val="21"/>
                      <w:szCs w:val="21"/>
                      <w:vertAlign w:val="superscript"/>
                    </w:rPr>
                    <w:t>-3</w:t>
                  </w:r>
                </w:p>
              </w:tc>
              <w:tc>
                <w:tcPr>
                  <w:tcW w:w="1005" w:type="dxa"/>
                  <w:tcBorders>
                    <w:top w:val="single" w:color="auto" w:sz="4" w:space="0"/>
                    <w:left w:val="single" w:color="auto" w:sz="4" w:space="0"/>
                    <w:bottom w:val="single" w:color="auto" w:sz="4" w:space="0"/>
                    <w:right w:val="single" w:color="auto" w:sz="4" w:space="0"/>
                  </w:tcBorders>
                  <w:vAlign w:val="center"/>
                </w:tcPr>
                <w:p w14:paraId="25CA502F">
                  <w:pPr>
                    <w:spacing w:line="240" w:lineRule="auto"/>
                    <w:ind w:firstLine="0" w:firstLineChars="0"/>
                    <w:jc w:val="center"/>
                    <w:rPr>
                      <w:rFonts w:cs="Times New Roman"/>
                      <w:sz w:val="21"/>
                      <w:szCs w:val="21"/>
                    </w:rPr>
                  </w:pPr>
                  <w:r>
                    <w:rPr>
                      <w:rFonts w:cs="Times New Roman"/>
                      <w:sz w:val="21"/>
                      <w:szCs w:val="21"/>
                    </w:rPr>
                    <w:t>9</w:t>
                  </w:r>
                  <w:r>
                    <w:rPr>
                      <w:rFonts w:hint="eastAsia" w:cs="Times New Roman"/>
                      <w:sz w:val="21"/>
                      <w:szCs w:val="21"/>
                    </w:rPr>
                    <w:t>0</w:t>
                  </w:r>
                  <w:r>
                    <w:rPr>
                      <w:rFonts w:cs="Times New Roman"/>
                      <w:sz w:val="21"/>
                      <w:szCs w:val="21"/>
                    </w:rPr>
                    <w:t>%</w:t>
                  </w:r>
                </w:p>
              </w:tc>
              <w:tc>
                <w:tcPr>
                  <w:tcW w:w="1191" w:type="dxa"/>
                  <w:tcBorders>
                    <w:top w:val="single" w:color="auto" w:sz="4" w:space="0"/>
                    <w:left w:val="single" w:color="auto" w:sz="4" w:space="0"/>
                    <w:bottom w:val="single" w:color="auto" w:sz="4" w:space="0"/>
                    <w:right w:val="single" w:color="auto" w:sz="4" w:space="0"/>
                  </w:tcBorders>
                  <w:vAlign w:val="center"/>
                </w:tcPr>
                <w:p w14:paraId="5D72EB49">
                  <w:pPr>
                    <w:spacing w:line="240" w:lineRule="auto"/>
                    <w:ind w:firstLine="0" w:firstLineChars="0"/>
                    <w:jc w:val="center"/>
                    <w:rPr>
                      <w:rFonts w:cs="Times New Roman"/>
                      <w:sz w:val="21"/>
                      <w:szCs w:val="21"/>
                    </w:rPr>
                  </w:pPr>
                  <w:r>
                    <w:rPr>
                      <w:rFonts w:hint="eastAsia" w:cs="Times New Roman"/>
                      <w:sz w:val="21"/>
                      <w:szCs w:val="21"/>
                    </w:rPr>
                    <w:t>50</w:t>
                  </w:r>
                  <w:r>
                    <w:rPr>
                      <w:rFonts w:cs="Times New Roman"/>
                      <w:sz w:val="21"/>
                      <w:szCs w:val="21"/>
                    </w:rPr>
                    <w:t>%</w:t>
                  </w:r>
                </w:p>
              </w:tc>
              <w:tc>
                <w:tcPr>
                  <w:tcW w:w="1418" w:type="dxa"/>
                  <w:tcBorders>
                    <w:top w:val="single" w:color="auto" w:sz="4" w:space="0"/>
                    <w:left w:val="single" w:color="auto" w:sz="4" w:space="0"/>
                    <w:bottom w:val="single" w:color="auto" w:sz="4" w:space="0"/>
                    <w:right w:val="single" w:color="auto" w:sz="4" w:space="0"/>
                  </w:tcBorders>
                  <w:vAlign w:val="center"/>
                </w:tcPr>
                <w:p w14:paraId="1CB9274D">
                  <w:pPr>
                    <w:spacing w:line="240" w:lineRule="auto"/>
                    <w:ind w:firstLine="0" w:firstLineChars="0"/>
                    <w:jc w:val="center"/>
                    <w:rPr>
                      <w:rFonts w:cs="Times New Roman"/>
                      <w:sz w:val="21"/>
                      <w:szCs w:val="21"/>
                    </w:rPr>
                  </w:pPr>
                  <w:r>
                    <w:rPr>
                      <w:rFonts w:hint="eastAsia"/>
                      <w:bCs/>
                      <w:sz w:val="21"/>
                      <w:szCs w:val="21"/>
                    </w:rPr>
                    <w:t>0.178</w:t>
                  </w:r>
                  <w:r>
                    <w:rPr>
                      <w:rFonts w:hint="eastAsia"/>
                      <w:spacing w:val="7"/>
                      <w:sz w:val="21"/>
                      <w:szCs w:val="21"/>
                    </w:rPr>
                    <w:t>*10</w:t>
                  </w:r>
                  <w:r>
                    <w:rPr>
                      <w:rFonts w:hint="eastAsia"/>
                      <w:spacing w:val="7"/>
                      <w:sz w:val="21"/>
                      <w:szCs w:val="21"/>
                      <w:vertAlign w:val="superscript"/>
                    </w:rPr>
                    <w:t>-3</w:t>
                  </w:r>
                </w:p>
              </w:tc>
              <w:tc>
                <w:tcPr>
                  <w:tcW w:w="1277" w:type="dxa"/>
                  <w:vAlign w:val="center"/>
                </w:tcPr>
                <w:p w14:paraId="0625739E">
                  <w:pPr>
                    <w:spacing w:line="240" w:lineRule="auto"/>
                    <w:ind w:firstLine="0" w:firstLineChars="0"/>
                    <w:jc w:val="center"/>
                    <w:rPr>
                      <w:rFonts w:cs="Times New Roman"/>
                      <w:sz w:val="21"/>
                      <w:szCs w:val="21"/>
                    </w:rPr>
                  </w:pPr>
                  <w:r>
                    <w:rPr>
                      <w:rFonts w:hint="eastAsia"/>
                      <w:bCs/>
                      <w:sz w:val="21"/>
                      <w:szCs w:val="21"/>
                    </w:rPr>
                    <w:t>0.0396</w:t>
                  </w:r>
                  <w:r>
                    <w:rPr>
                      <w:rFonts w:hint="eastAsia"/>
                      <w:spacing w:val="7"/>
                      <w:sz w:val="21"/>
                      <w:szCs w:val="21"/>
                    </w:rPr>
                    <w:t>*10</w:t>
                  </w:r>
                  <w:r>
                    <w:rPr>
                      <w:rFonts w:hint="eastAsia"/>
                      <w:spacing w:val="7"/>
                      <w:sz w:val="21"/>
                      <w:szCs w:val="21"/>
                      <w:vertAlign w:val="superscript"/>
                    </w:rPr>
                    <w:t>-3</w:t>
                  </w:r>
                </w:p>
              </w:tc>
            </w:tr>
          </w:tbl>
          <w:p w14:paraId="3FFA49EE">
            <w:pPr>
              <w:ind w:firstLine="0" w:firstLineChars="0"/>
              <w:rPr>
                <w:rFonts w:cs="Times New Roman"/>
              </w:rPr>
            </w:pPr>
          </w:p>
        </w:tc>
      </w:tr>
      <w:tr w14:paraId="683DF2C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jc w:val="center"/>
        </w:trPr>
        <w:tc>
          <w:tcPr>
            <w:tcW w:w="359" w:type="pct"/>
            <w:tcMar>
              <w:top w:w="16" w:type="dxa"/>
              <w:left w:w="16" w:type="dxa"/>
              <w:right w:w="16" w:type="dxa"/>
            </w:tcMar>
            <w:vAlign w:val="center"/>
          </w:tcPr>
          <w:p w14:paraId="289C0D73">
            <w:pPr>
              <w:pStyle w:val="30"/>
              <w:rPr>
                <w:rFonts w:cs="Times New Roman"/>
              </w:rPr>
            </w:pPr>
            <w:r>
              <w:rPr>
                <w:rFonts w:cs="Times New Roman"/>
              </w:rPr>
              <w:t>与项目有关的原有环境污染问题</w:t>
            </w:r>
          </w:p>
        </w:tc>
        <w:tc>
          <w:tcPr>
            <w:tcW w:w="4641" w:type="pct"/>
            <w:vAlign w:val="center"/>
          </w:tcPr>
          <w:p w14:paraId="05BCC03C">
            <w:pPr>
              <w:pStyle w:val="79"/>
              <w:ind w:firstLine="0" w:firstLineChars="0"/>
              <w:rPr>
                <w:b/>
                <w:bCs/>
                <w:sz w:val="28"/>
                <w:szCs w:val="21"/>
              </w:rPr>
            </w:pPr>
            <w:r>
              <w:rPr>
                <w:b/>
                <w:bCs/>
                <w:sz w:val="28"/>
                <w:szCs w:val="21"/>
              </w:rPr>
              <w:t>一、项目现状情况</w:t>
            </w:r>
          </w:p>
          <w:p w14:paraId="35276DE7">
            <w:pPr>
              <w:pStyle w:val="79"/>
              <w:ind w:firstLine="480"/>
            </w:pPr>
            <w:r>
              <w:t>本项目为扩建项目，在</w:t>
            </w:r>
            <w:r>
              <w:rPr>
                <w:rFonts w:hint="eastAsia"/>
              </w:rPr>
              <w:t>原厂房二车间内新增设备</w:t>
            </w:r>
            <w:r>
              <w:t>进行建设</w:t>
            </w:r>
            <w:r>
              <w:rPr>
                <w:rFonts w:hint="eastAsia"/>
              </w:rPr>
              <w:t>生产线</w:t>
            </w:r>
            <w:r>
              <w:t>，不新增占地。</w:t>
            </w:r>
            <w:r>
              <w:rPr>
                <w:rFonts w:hint="eastAsia"/>
              </w:rPr>
              <w:t>且本次扩建项目已经建设完成，</w:t>
            </w:r>
            <w:r>
              <w:t>现状照片如下：</w:t>
            </w:r>
          </w:p>
          <w:tbl>
            <w:tblPr>
              <w:tblStyle w:val="33"/>
              <w:tblW w:w="8120" w:type="dxa"/>
              <w:jc w:val="center"/>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fixed"/>
              <w:tblCellMar>
                <w:top w:w="0" w:type="dxa"/>
                <w:left w:w="108" w:type="dxa"/>
                <w:bottom w:w="0" w:type="dxa"/>
                <w:right w:w="108" w:type="dxa"/>
              </w:tblCellMar>
            </w:tblPr>
            <w:tblGrid>
              <w:gridCol w:w="4060"/>
              <w:gridCol w:w="4060"/>
            </w:tblGrid>
            <w:tr w14:paraId="40B908D8">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2082" w:hRule="atLeast"/>
                <w:jc w:val="center"/>
              </w:trPr>
              <w:tc>
                <w:tcPr>
                  <w:tcW w:w="4060" w:type="dxa"/>
                  <w:vAlign w:val="center"/>
                </w:tcPr>
                <w:p w14:paraId="44B001EC">
                  <w:pPr>
                    <w:pStyle w:val="79"/>
                    <w:spacing w:line="240" w:lineRule="auto"/>
                    <w:ind w:firstLine="0" w:firstLineChars="0"/>
                    <w:jc w:val="center"/>
                  </w:pPr>
                  <w:r>
                    <w:drawing>
                      <wp:inline distT="0" distB="0" distL="0" distR="0">
                        <wp:extent cx="2433320" cy="1828800"/>
                        <wp:effectExtent l="0" t="0" r="5080" b="0"/>
                        <wp:docPr id="168604585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045853" name="图片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2433320" cy="1828800"/>
                                </a:xfrm>
                                <a:prstGeom prst="rect">
                                  <a:avLst/>
                                </a:prstGeom>
                                <a:noFill/>
                                <a:ln>
                                  <a:noFill/>
                                </a:ln>
                              </pic:spPr>
                            </pic:pic>
                          </a:graphicData>
                        </a:graphic>
                      </wp:inline>
                    </w:drawing>
                  </w:r>
                </w:p>
              </w:tc>
              <w:tc>
                <w:tcPr>
                  <w:tcW w:w="4060" w:type="dxa"/>
                  <w:vAlign w:val="center"/>
                </w:tcPr>
                <w:p w14:paraId="2F468DC2">
                  <w:pPr>
                    <w:pStyle w:val="79"/>
                    <w:spacing w:line="240" w:lineRule="auto"/>
                    <w:ind w:firstLine="0" w:firstLineChars="0"/>
                    <w:jc w:val="center"/>
                  </w:pPr>
                  <w:r>
                    <w:drawing>
                      <wp:inline distT="0" distB="0" distL="0" distR="0">
                        <wp:extent cx="2433320" cy="1828800"/>
                        <wp:effectExtent l="0" t="0" r="5080" b="0"/>
                        <wp:docPr id="63419528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195287" name="图片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2433320" cy="1828800"/>
                                </a:xfrm>
                                <a:prstGeom prst="rect">
                                  <a:avLst/>
                                </a:prstGeom>
                                <a:noFill/>
                                <a:ln>
                                  <a:noFill/>
                                </a:ln>
                              </pic:spPr>
                            </pic:pic>
                          </a:graphicData>
                        </a:graphic>
                      </wp:inline>
                    </w:drawing>
                  </w:r>
                </w:p>
              </w:tc>
            </w:tr>
            <w:tr w14:paraId="676E3121">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279" w:hRule="atLeast"/>
                <w:jc w:val="center"/>
              </w:trPr>
              <w:tc>
                <w:tcPr>
                  <w:tcW w:w="4060" w:type="dxa"/>
                  <w:vAlign w:val="center"/>
                </w:tcPr>
                <w:p w14:paraId="1595173F">
                  <w:pPr>
                    <w:pStyle w:val="79"/>
                    <w:spacing w:line="240" w:lineRule="auto"/>
                    <w:ind w:firstLine="0" w:firstLineChars="0"/>
                    <w:jc w:val="center"/>
                    <w:rPr>
                      <w:sz w:val="21"/>
                      <w:szCs w:val="16"/>
                    </w:rPr>
                  </w:pPr>
                  <w:r>
                    <w:rPr>
                      <w:rFonts w:hint="eastAsia"/>
                      <w:sz w:val="21"/>
                      <w:szCs w:val="16"/>
                    </w:rPr>
                    <w:t>二车间热压贴机现状</w:t>
                  </w:r>
                </w:p>
              </w:tc>
              <w:tc>
                <w:tcPr>
                  <w:tcW w:w="4060" w:type="dxa"/>
                  <w:vAlign w:val="center"/>
                </w:tcPr>
                <w:p w14:paraId="13A97806">
                  <w:pPr>
                    <w:pStyle w:val="79"/>
                    <w:spacing w:line="240" w:lineRule="auto"/>
                    <w:ind w:firstLine="0" w:firstLineChars="0"/>
                    <w:jc w:val="center"/>
                    <w:rPr>
                      <w:sz w:val="21"/>
                      <w:szCs w:val="16"/>
                    </w:rPr>
                  </w:pPr>
                  <w:r>
                    <w:rPr>
                      <w:rFonts w:hint="eastAsia"/>
                      <w:sz w:val="21"/>
                      <w:szCs w:val="16"/>
                    </w:rPr>
                    <w:t>二车间模温机现状</w:t>
                  </w:r>
                </w:p>
              </w:tc>
            </w:tr>
            <w:tr w14:paraId="28814277">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2082" w:hRule="atLeast"/>
                <w:jc w:val="center"/>
              </w:trPr>
              <w:tc>
                <w:tcPr>
                  <w:tcW w:w="4060" w:type="dxa"/>
                  <w:vAlign w:val="center"/>
                </w:tcPr>
                <w:p w14:paraId="095FAC9D">
                  <w:pPr>
                    <w:pStyle w:val="79"/>
                    <w:spacing w:line="240" w:lineRule="auto"/>
                    <w:ind w:firstLine="0" w:firstLineChars="0"/>
                    <w:jc w:val="center"/>
                    <w:rPr>
                      <w:sz w:val="21"/>
                      <w:szCs w:val="16"/>
                    </w:rPr>
                  </w:pPr>
                  <w:r>
                    <w:rPr>
                      <w:sz w:val="21"/>
                      <w:szCs w:val="16"/>
                    </w:rPr>
                    <w:drawing>
                      <wp:inline distT="0" distB="0" distL="0" distR="0">
                        <wp:extent cx="2945130" cy="1882140"/>
                        <wp:effectExtent l="0" t="0" r="11430" b="7620"/>
                        <wp:docPr id="36115261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152610" name="图片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945130" cy="1882140"/>
                                </a:xfrm>
                                <a:prstGeom prst="rect">
                                  <a:avLst/>
                                </a:prstGeom>
                                <a:noFill/>
                                <a:ln>
                                  <a:noFill/>
                                </a:ln>
                              </pic:spPr>
                            </pic:pic>
                          </a:graphicData>
                        </a:graphic>
                      </wp:inline>
                    </w:drawing>
                  </w:r>
                </w:p>
              </w:tc>
              <w:tc>
                <w:tcPr>
                  <w:tcW w:w="4060" w:type="dxa"/>
                  <w:vAlign w:val="center"/>
                </w:tcPr>
                <w:p w14:paraId="366DAC8C">
                  <w:pPr>
                    <w:pStyle w:val="79"/>
                    <w:spacing w:line="240" w:lineRule="auto"/>
                    <w:ind w:firstLine="0" w:firstLineChars="0"/>
                    <w:jc w:val="center"/>
                    <w:rPr>
                      <w:sz w:val="21"/>
                      <w:szCs w:val="16"/>
                    </w:rPr>
                  </w:pPr>
                  <w:r>
                    <w:rPr>
                      <w:sz w:val="21"/>
                      <w:szCs w:val="16"/>
                    </w:rPr>
                    <w:drawing>
                      <wp:inline distT="0" distB="0" distL="0" distR="0">
                        <wp:extent cx="2793365" cy="1877060"/>
                        <wp:effectExtent l="0" t="0" r="10795" b="12700"/>
                        <wp:docPr id="43036226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362260" name="图片 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2793365" cy="1877060"/>
                                </a:xfrm>
                                <a:prstGeom prst="rect">
                                  <a:avLst/>
                                </a:prstGeom>
                                <a:noFill/>
                                <a:ln>
                                  <a:noFill/>
                                </a:ln>
                              </pic:spPr>
                            </pic:pic>
                          </a:graphicData>
                        </a:graphic>
                      </wp:inline>
                    </w:drawing>
                  </w:r>
                </w:p>
              </w:tc>
            </w:tr>
            <w:tr w14:paraId="1CA52093">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289" w:hRule="atLeast"/>
                <w:jc w:val="center"/>
              </w:trPr>
              <w:tc>
                <w:tcPr>
                  <w:tcW w:w="4060" w:type="dxa"/>
                  <w:vAlign w:val="center"/>
                </w:tcPr>
                <w:p w14:paraId="01DF8D46">
                  <w:pPr>
                    <w:pStyle w:val="79"/>
                    <w:spacing w:line="240" w:lineRule="auto"/>
                    <w:ind w:firstLine="0" w:firstLineChars="0"/>
                    <w:jc w:val="center"/>
                    <w:rPr>
                      <w:szCs w:val="24"/>
                    </w:rPr>
                  </w:pPr>
                  <w:r>
                    <w:rPr>
                      <w:rFonts w:hint="eastAsia"/>
                      <w:szCs w:val="24"/>
                    </w:rPr>
                    <w:t>一车间打孔机现状（废气收集管道）</w:t>
                  </w:r>
                </w:p>
              </w:tc>
              <w:tc>
                <w:tcPr>
                  <w:tcW w:w="4060" w:type="dxa"/>
                  <w:vAlign w:val="center"/>
                </w:tcPr>
                <w:p w14:paraId="783B7930">
                  <w:pPr>
                    <w:pStyle w:val="79"/>
                    <w:spacing w:line="240" w:lineRule="auto"/>
                    <w:ind w:firstLine="0" w:firstLineChars="0"/>
                    <w:jc w:val="center"/>
                    <w:rPr>
                      <w:szCs w:val="24"/>
                    </w:rPr>
                  </w:pPr>
                  <w:r>
                    <w:rPr>
                      <w:rFonts w:hint="eastAsia"/>
                      <w:szCs w:val="24"/>
                    </w:rPr>
                    <w:t>一车间封边机现状（废气收集管道）</w:t>
                  </w:r>
                </w:p>
              </w:tc>
            </w:tr>
          </w:tbl>
          <w:p w14:paraId="05DF74CF">
            <w:pPr>
              <w:pStyle w:val="79"/>
              <w:ind w:firstLine="0" w:firstLineChars="0"/>
              <w:rPr>
                <w:b/>
                <w:bCs/>
                <w:sz w:val="28"/>
                <w:szCs w:val="21"/>
              </w:rPr>
            </w:pPr>
            <w:r>
              <w:rPr>
                <w:b/>
                <w:bCs/>
                <w:sz w:val="28"/>
                <w:szCs w:val="21"/>
              </w:rPr>
              <w:t>二、扩建前项目环保手续情况</w:t>
            </w:r>
          </w:p>
          <w:p w14:paraId="6890CEA9">
            <w:pPr>
              <w:pStyle w:val="79"/>
              <w:ind w:firstLine="480"/>
              <w:rPr>
                <w:szCs w:val="24"/>
              </w:rPr>
            </w:pPr>
            <w:r>
              <w:rPr>
                <w:rFonts w:hint="eastAsia"/>
              </w:rPr>
              <w:t>2025年11月，</w:t>
            </w:r>
            <w:r>
              <w:t>四川森港莱工贸有限公</w:t>
            </w:r>
            <w:r>
              <w:rPr>
                <w:rFonts w:hint="eastAsia"/>
              </w:rPr>
              <w:t>司委托四川中环立新环保工程咨询有限公司编制《龙港中高档家具生产项目环境影响评价报告表》，并由巴中市环境保护局经济开发区分局审核和批复，审批文号：巴环经审[2016]8号，审批时间：2016年2月2日。2016年“龙港中高档家具生产项目”开始整地开工，2018年2月建设完工并开始试生产，2018年4月委托四川紫荆环保科技服务有限公司承担了该项目竣工环境保护验收监测报告编制工作。并于2018年6月25日取得巴中市环境保护局出具的《关于龙港中高档家具生产主体工程(一车间)项目(噪声、固体废物)竣工环境保护验收的批复》（巴环函【2018】123号）。“龙港中高档家具生产项目”</w:t>
            </w:r>
            <w:r>
              <w:t>属于简化管理，</w:t>
            </w:r>
            <w:r>
              <w:rPr>
                <w:szCs w:val="24"/>
              </w:rPr>
              <w:t>202</w:t>
            </w:r>
            <w:r>
              <w:rPr>
                <w:rFonts w:hint="eastAsia"/>
                <w:szCs w:val="24"/>
              </w:rPr>
              <w:t>0</w:t>
            </w:r>
            <w:r>
              <w:rPr>
                <w:szCs w:val="24"/>
              </w:rPr>
              <w:t>年</w:t>
            </w:r>
            <w:r>
              <w:rPr>
                <w:rFonts w:hint="eastAsia"/>
                <w:szCs w:val="24"/>
              </w:rPr>
              <w:t>11</w:t>
            </w:r>
            <w:r>
              <w:rPr>
                <w:szCs w:val="24"/>
              </w:rPr>
              <w:t>月</w:t>
            </w:r>
            <w:r>
              <w:rPr>
                <w:rFonts w:hint="eastAsia"/>
                <w:szCs w:val="24"/>
              </w:rPr>
              <w:t>18</w:t>
            </w:r>
            <w:r>
              <w:rPr>
                <w:szCs w:val="24"/>
              </w:rPr>
              <w:t>日取得排污许可证，证书编号为915119003093269659001X。</w:t>
            </w:r>
          </w:p>
          <w:p w14:paraId="165522B5">
            <w:pPr>
              <w:pStyle w:val="79"/>
              <w:ind w:firstLine="482"/>
              <w:rPr>
                <w:szCs w:val="24"/>
              </w:rPr>
            </w:pPr>
            <w:r>
              <w:rPr>
                <w:b/>
                <w:kern w:val="21"/>
                <w:szCs w:val="21"/>
              </w:rPr>
              <w:t>原有项目于20</w:t>
            </w:r>
            <w:r>
              <w:rPr>
                <w:rFonts w:hint="eastAsia"/>
                <w:b/>
                <w:kern w:val="21"/>
                <w:szCs w:val="21"/>
              </w:rPr>
              <w:t>18</w:t>
            </w:r>
            <w:r>
              <w:rPr>
                <w:b/>
                <w:kern w:val="21"/>
                <w:szCs w:val="21"/>
              </w:rPr>
              <w:t>年环保验收后，环保设施稳定运行，项目运行至今未接到环保投诉，未受到环保处罚。</w:t>
            </w:r>
          </w:p>
          <w:p w14:paraId="5B213027">
            <w:pPr>
              <w:pStyle w:val="79"/>
              <w:ind w:firstLine="0" w:firstLineChars="0"/>
              <w:rPr>
                <w:b/>
                <w:bCs/>
                <w:sz w:val="28"/>
                <w:szCs w:val="28"/>
              </w:rPr>
            </w:pPr>
            <w:r>
              <w:rPr>
                <w:b/>
                <w:bCs/>
                <w:sz w:val="28"/>
                <w:szCs w:val="28"/>
              </w:rPr>
              <w:t>三、扩建前项目组成情况</w:t>
            </w:r>
          </w:p>
          <w:p w14:paraId="23411D10">
            <w:pPr>
              <w:ind w:firstLine="482"/>
              <w:rPr>
                <w:b/>
                <w:bCs/>
                <w:szCs w:val="21"/>
              </w:rPr>
            </w:pPr>
            <w:r>
              <w:rPr>
                <w:b/>
                <w:bCs/>
                <w:szCs w:val="21"/>
              </w:rPr>
              <w:t>1、原有项目主要建设内容</w:t>
            </w:r>
          </w:p>
          <w:p w14:paraId="1404C0F0">
            <w:pPr>
              <w:pStyle w:val="79"/>
              <w:ind w:firstLine="480"/>
              <w:rPr>
                <w:szCs w:val="24"/>
              </w:rPr>
            </w:pPr>
            <w:r>
              <w:rPr>
                <w:szCs w:val="24"/>
              </w:rPr>
              <w:t>根据查阅</w:t>
            </w:r>
            <w:r>
              <w:rPr>
                <w:rFonts w:hint="eastAsia"/>
              </w:rPr>
              <w:t>巴中市环境保护局经济开发区分局</w:t>
            </w:r>
            <w:r>
              <w:t>出具的《关于</w:t>
            </w:r>
            <w:r>
              <w:rPr>
                <w:rFonts w:hint="eastAsia"/>
              </w:rPr>
              <w:t>龙港中高档家具生产项目</w:t>
            </w:r>
            <w:r>
              <w:t>环境影响报告</w:t>
            </w:r>
            <w:r>
              <w:rPr>
                <w:rFonts w:hint="eastAsia"/>
              </w:rPr>
              <w:t>表</w:t>
            </w:r>
            <w:r>
              <w:t>的批复》、</w:t>
            </w:r>
            <w:r>
              <w:rPr>
                <w:rFonts w:hint="eastAsia"/>
              </w:rPr>
              <w:t>四川中环立新环保工程咨询有限公司</w:t>
            </w:r>
            <w:r>
              <w:t>编制的</w:t>
            </w:r>
            <w:r>
              <w:rPr>
                <w:rFonts w:hint="eastAsia"/>
              </w:rPr>
              <w:t>《龙港中高档家具生产项目环境影响评价报告表》</w:t>
            </w:r>
            <w:r>
              <w:rPr>
                <w:szCs w:val="24"/>
              </w:rPr>
              <w:t>、</w:t>
            </w:r>
            <w:r>
              <w:rPr>
                <w:rFonts w:hint="eastAsia"/>
              </w:rPr>
              <w:t>四川紫荆环保科技服务有限公司</w:t>
            </w:r>
            <w:r>
              <w:rPr>
                <w:szCs w:val="24"/>
              </w:rPr>
              <w:t>编制的《</w:t>
            </w:r>
            <w:r>
              <w:rPr>
                <w:rFonts w:hint="eastAsia"/>
              </w:rPr>
              <w:t>龙港中高档家具生产项目</w:t>
            </w:r>
            <w:r>
              <w:rPr>
                <w:szCs w:val="24"/>
              </w:rPr>
              <w:t>竣工环境保护验收</w:t>
            </w:r>
            <w:r>
              <w:rPr>
                <w:rFonts w:hint="eastAsia"/>
                <w:szCs w:val="24"/>
              </w:rPr>
              <w:t>监测</w:t>
            </w:r>
            <w:r>
              <w:rPr>
                <w:szCs w:val="24"/>
              </w:rPr>
              <w:t>报告》以及现场勘查，</w:t>
            </w:r>
            <w:r>
              <w:rPr>
                <w:rFonts w:hint="eastAsia"/>
                <w:szCs w:val="24"/>
              </w:rPr>
              <w:t>厂区原项目</w:t>
            </w:r>
            <w:r>
              <w:rPr>
                <w:szCs w:val="24"/>
              </w:rPr>
              <w:t>基本情况如下所述：</w:t>
            </w:r>
          </w:p>
          <w:p w14:paraId="156A6DAA">
            <w:pPr>
              <w:wordWrap w:val="0"/>
              <w:adjustRightInd w:val="0"/>
              <w:snapToGrid w:val="0"/>
              <w:ind w:firstLine="480"/>
              <w:jc w:val="left"/>
              <w:rPr>
                <w:szCs w:val="32"/>
              </w:rPr>
            </w:pPr>
            <w:r>
              <w:rPr>
                <w:szCs w:val="21"/>
              </w:rPr>
              <w:t>建设内容包括：</w:t>
            </w:r>
            <w:r>
              <w:rPr>
                <w:rFonts w:hint="eastAsia"/>
                <w:szCs w:val="32"/>
              </w:rPr>
              <w:t>新增</w:t>
            </w:r>
            <w:r>
              <w:rPr>
                <w:szCs w:val="32"/>
              </w:rPr>
              <w:t>占地约</w:t>
            </w:r>
            <w:r>
              <w:rPr>
                <w:rFonts w:hint="eastAsia"/>
              </w:rPr>
              <w:t>23334.69</w:t>
            </w:r>
            <w:r>
              <w:rPr>
                <w:szCs w:val="32"/>
              </w:rPr>
              <w:t>m</w:t>
            </w:r>
            <w:r>
              <w:rPr>
                <w:szCs w:val="32"/>
                <w:vertAlign w:val="superscript"/>
              </w:rPr>
              <w:t>2</w:t>
            </w:r>
            <w:r>
              <w:rPr>
                <w:szCs w:val="32"/>
              </w:rPr>
              <w:t>，</w:t>
            </w:r>
            <w:r>
              <w:rPr>
                <w:rFonts w:hint="eastAsia"/>
              </w:rPr>
              <w:t>总投资7000万元，建设2个生产车间、办公综合楼和附属设施，建筑面积3172.64平方米，</w:t>
            </w:r>
            <w:r>
              <w:rPr>
                <w:rFonts w:hint="eastAsia"/>
                <w:szCs w:val="32"/>
              </w:rPr>
              <w:t>原</w:t>
            </w:r>
            <w:r>
              <w:rPr>
                <w:szCs w:val="32"/>
              </w:rPr>
              <w:t>项目</w:t>
            </w:r>
            <w:r>
              <w:rPr>
                <w:rFonts w:hint="eastAsia"/>
              </w:rPr>
              <w:t>建设2条板式家具生产线，含衣柜、木床、门、茶几等板式家具，年生产5000套。</w:t>
            </w:r>
            <w:r>
              <w:rPr>
                <w:szCs w:val="32"/>
              </w:rPr>
              <w:t>原项目组成如下表所示：</w:t>
            </w:r>
          </w:p>
          <w:p w14:paraId="2EFDC842">
            <w:pPr>
              <w:ind w:firstLine="482"/>
              <w:jc w:val="center"/>
              <w:rPr>
                <w:b/>
                <w:bCs/>
                <w:szCs w:val="21"/>
              </w:rPr>
            </w:pPr>
            <w:r>
              <w:rPr>
                <w:b/>
                <w:bCs/>
                <w:szCs w:val="21"/>
              </w:rPr>
              <w:t>表2-</w:t>
            </w:r>
            <w:r>
              <w:rPr>
                <w:rFonts w:hint="eastAsia"/>
                <w:b/>
                <w:bCs/>
                <w:szCs w:val="21"/>
              </w:rPr>
              <w:t>10</w:t>
            </w:r>
            <w:r>
              <w:rPr>
                <w:b/>
                <w:bCs/>
                <w:szCs w:val="21"/>
              </w:rPr>
              <w:t xml:space="preserve">  原有项目组成表及主要环境问题</w:t>
            </w:r>
          </w:p>
          <w:tbl>
            <w:tblPr>
              <w:tblStyle w:val="54"/>
              <w:tblW w:w="91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3"/>
              <w:gridCol w:w="707"/>
              <w:gridCol w:w="5267"/>
              <w:gridCol w:w="1274"/>
              <w:gridCol w:w="1221"/>
            </w:tblGrid>
            <w:tr w14:paraId="3C086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88" w:hRule="atLeast"/>
                <w:jc w:val="center"/>
              </w:trPr>
              <w:tc>
                <w:tcPr>
                  <w:tcW w:w="388" w:type="pct"/>
                  <w:vAlign w:val="center"/>
                </w:tcPr>
                <w:p w14:paraId="58F859FA">
                  <w:pPr>
                    <w:pStyle w:val="53"/>
                    <w:rPr>
                      <w:rFonts w:cs="Times New Roman"/>
                    </w:rPr>
                  </w:pPr>
                  <w:r>
                    <w:rPr>
                      <w:rFonts w:cs="Times New Roman"/>
                    </w:rPr>
                    <w:t>工程分类</w:t>
                  </w:r>
                </w:p>
              </w:tc>
              <w:tc>
                <w:tcPr>
                  <w:tcW w:w="385" w:type="pct"/>
                  <w:vAlign w:val="center"/>
                </w:tcPr>
                <w:p w14:paraId="4AA0A908">
                  <w:pPr>
                    <w:pStyle w:val="53"/>
                    <w:rPr>
                      <w:rFonts w:cs="Times New Roman"/>
                    </w:rPr>
                  </w:pPr>
                  <w:r>
                    <w:rPr>
                      <w:rFonts w:cs="Times New Roman"/>
                    </w:rPr>
                    <w:t>名称</w:t>
                  </w:r>
                </w:p>
              </w:tc>
              <w:tc>
                <w:tcPr>
                  <w:tcW w:w="2868" w:type="pct"/>
                  <w:vAlign w:val="center"/>
                </w:tcPr>
                <w:p w14:paraId="10817040">
                  <w:pPr>
                    <w:pStyle w:val="53"/>
                    <w:rPr>
                      <w:rFonts w:cs="Times New Roman"/>
                    </w:rPr>
                  </w:pPr>
                  <w:r>
                    <w:rPr>
                      <w:rFonts w:cs="Times New Roman"/>
                    </w:rPr>
                    <w:t>建设内容及规模</w:t>
                  </w:r>
                </w:p>
              </w:tc>
              <w:tc>
                <w:tcPr>
                  <w:tcW w:w="694" w:type="pct"/>
                  <w:vAlign w:val="center"/>
                </w:tcPr>
                <w:p w14:paraId="50BC00A5">
                  <w:pPr>
                    <w:pStyle w:val="53"/>
                    <w:rPr>
                      <w:rFonts w:cs="Times New Roman"/>
                    </w:rPr>
                  </w:pPr>
                  <w:r>
                    <w:rPr>
                      <w:rFonts w:hint="eastAsia" w:cs="Times New Roman"/>
                    </w:rPr>
                    <w:t>备注</w:t>
                  </w:r>
                </w:p>
              </w:tc>
              <w:tc>
                <w:tcPr>
                  <w:tcW w:w="666" w:type="pct"/>
                  <w:vAlign w:val="center"/>
                </w:tcPr>
                <w:p w14:paraId="57719906">
                  <w:pPr>
                    <w:pStyle w:val="53"/>
                    <w:rPr>
                      <w:rFonts w:cs="Times New Roman"/>
                    </w:rPr>
                  </w:pPr>
                  <w:r>
                    <w:rPr>
                      <w:rFonts w:cs="Times New Roman"/>
                    </w:rPr>
                    <w:t>运营期主要环境问题</w:t>
                  </w:r>
                </w:p>
              </w:tc>
            </w:tr>
            <w:tr w14:paraId="03184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88" w:type="pct"/>
                  <w:vMerge w:val="restart"/>
                  <w:vAlign w:val="center"/>
                </w:tcPr>
                <w:p w14:paraId="29953141">
                  <w:pPr>
                    <w:pStyle w:val="14"/>
                    <w:rPr>
                      <w:rFonts w:cs="Times New Roman"/>
                    </w:rPr>
                  </w:pPr>
                  <w:r>
                    <w:rPr>
                      <w:rFonts w:cs="Times New Roman"/>
                    </w:rPr>
                    <w:t>主体工程</w:t>
                  </w:r>
                </w:p>
              </w:tc>
              <w:tc>
                <w:tcPr>
                  <w:tcW w:w="385" w:type="pct"/>
                  <w:vMerge w:val="restart"/>
                  <w:vAlign w:val="center"/>
                </w:tcPr>
                <w:p w14:paraId="5B8F4CB3">
                  <w:pPr>
                    <w:pStyle w:val="14"/>
                    <w:rPr>
                      <w:rFonts w:cs="Times New Roman"/>
                    </w:rPr>
                  </w:pPr>
                  <w:r>
                    <w:rPr>
                      <w:rFonts w:cs="Times New Roman"/>
                    </w:rPr>
                    <w:t>生产车间</w:t>
                  </w:r>
                </w:p>
              </w:tc>
              <w:tc>
                <w:tcPr>
                  <w:tcW w:w="2868" w:type="pct"/>
                  <w:vAlign w:val="center"/>
                </w:tcPr>
                <w:p w14:paraId="237E50D0">
                  <w:pPr>
                    <w:pStyle w:val="14"/>
                    <w:adjustRightInd w:val="0"/>
                    <w:jc w:val="both"/>
                    <w:rPr>
                      <w:rFonts w:cs="Times New Roman"/>
                    </w:rPr>
                  </w:pPr>
                  <w:r>
                    <w:rPr>
                      <w:rFonts w:hint="eastAsia" w:cs="Times New Roman"/>
                    </w:rPr>
                    <w:t>生产车间一，主体结构已建，</w:t>
                  </w:r>
                  <w:r>
                    <w:rPr>
                      <w:rFonts w:cs="Times New Roman"/>
                    </w:rPr>
                    <w:t>钢混结构厂房，1</w:t>
                  </w:r>
                  <w:r>
                    <w:rPr>
                      <w:rFonts w:hint="eastAsia" w:cs="Times New Roman"/>
                    </w:rPr>
                    <w:t>2946</w:t>
                  </w:r>
                  <w:r>
                    <w:rPr>
                      <w:rFonts w:cs="Times New Roman"/>
                    </w:rPr>
                    <w:t>m</w:t>
                  </w:r>
                  <w:r>
                    <w:rPr>
                      <w:rFonts w:cs="Times New Roman"/>
                      <w:vertAlign w:val="superscript"/>
                    </w:rPr>
                    <w:t>2</w:t>
                  </w:r>
                  <w:r>
                    <w:rPr>
                      <w:rFonts w:cs="Times New Roman"/>
                    </w:rPr>
                    <w:t>。</w:t>
                  </w:r>
                  <w:r>
                    <w:rPr>
                      <w:rFonts w:hint="eastAsia" w:cs="Times New Roman"/>
                    </w:rPr>
                    <w:t>一期项目建设内容，内置打孔机、封边机、电子锯、手推锯等生产设备，生产板式家具</w:t>
                  </w:r>
                </w:p>
              </w:tc>
              <w:tc>
                <w:tcPr>
                  <w:tcW w:w="694" w:type="pct"/>
                  <w:vAlign w:val="center"/>
                </w:tcPr>
                <w:p w14:paraId="3FEEF09D">
                  <w:pPr>
                    <w:pStyle w:val="14"/>
                    <w:rPr>
                      <w:rFonts w:cs="Times New Roman"/>
                    </w:rPr>
                  </w:pPr>
                  <w:r>
                    <w:rPr>
                      <w:rFonts w:hint="eastAsia" w:cs="Times New Roman"/>
                    </w:rPr>
                    <w:t>不变</w:t>
                  </w:r>
                </w:p>
              </w:tc>
              <w:tc>
                <w:tcPr>
                  <w:tcW w:w="666" w:type="pct"/>
                  <w:vMerge w:val="restart"/>
                  <w:vAlign w:val="center"/>
                </w:tcPr>
                <w:p w14:paraId="4C918197">
                  <w:pPr>
                    <w:pStyle w:val="14"/>
                    <w:rPr>
                      <w:rFonts w:cs="Times New Roman"/>
                    </w:rPr>
                  </w:pPr>
                  <w:r>
                    <w:rPr>
                      <w:rFonts w:cs="Times New Roman"/>
                    </w:rPr>
                    <w:t>废气、废</w:t>
                  </w:r>
                </w:p>
                <w:p w14:paraId="05254D6F">
                  <w:pPr>
                    <w:pStyle w:val="14"/>
                    <w:rPr>
                      <w:rFonts w:cs="Times New Roman"/>
                    </w:rPr>
                  </w:pPr>
                  <w:r>
                    <w:rPr>
                      <w:rFonts w:cs="Times New Roman"/>
                    </w:rPr>
                    <w:t>水、噪声、固废</w:t>
                  </w:r>
                </w:p>
              </w:tc>
            </w:tr>
            <w:tr w14:paraId="5E775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88" w:type="pct"/>
                  <w:vMerge w:val="continue"/>
                  <w:vAlign w:val="center"/>
                </w:tcPr>
                <w:p w14:paraId="5604269C">
                  <w:pPr>
                    <w:pStyle w:val="14"/>
                    <w:rPr>
                      <w:rFonts w:cs="Times New Roman"/>
                    </w:rPr>
                  </w:pPr>
                </w:p>
              </w:tc>
              <w:tc>
                <w:tcPr>
                  <w:tcW w:w="385" w:type="pct"/>
                  <w:vMerge w:val="continue"/>
                  <w:vAlign w:val="center"/>
                </w:tcPr>
                <w:p w14:paraId="784A164C">
                  <w:pPr>
                    <w:pStyle w:val="14"/>
                    <w:rPr>
                      <w:rFonts w:cs="Times New Roman"/>
                    </w:rPr>
                  </w:pPr>
                </w:p>
              </w:tc>
              <w:tc>
                <w:tcPr>
                  <w:tcW w:w="2868" w:type="pct"/>
                  <w:vAlign w:val="center"/>
                </w:tcPr>
                <w:p w14:paraId="4D465A78">
                  <w:pPr>
                    <w:pStyle w:val="14"/>
                    <w:adjustRightInd w:val="0"/>
                    <w:rPr>
                      <w:rFonts w:cs="Times New Roman"/>
                    </w:rPr>
                  </w:pPr>
                  <w:r>
                    <w:rPr>
                      <w:rFonts w:hint="eastAsia" w:cs="Times New Roman"/>
                    </w:rPr>
                    <w:t>生产车间二，用途作仓库，用于堆放原材料，产品。</w:t>
                  </w:r>
                </w:p>
              </w:tc>
              <w:tc>
                <w:tcPr>
                  <w:tcW w:w="694" w:type="pct"/>
                  <w:vAlign w:val="center"/>
                </w:tcPr>
                <w:p w14:paraId="1F0986FC">
                  <w:pPr>
                    <w:pStyle w:val="14"/>
                    <w:rPr>
                      <w:rFonts w:cs="Times New Roman"/>
                    </w:rPr>
                  </w:pPr>
                  <w:r>
                    <w:rPr>
                      <w:rFonts w:hint="eastAsia" w:cs="Times New Roman"/>
                    </w:rPr>
                    <w:t>用于本次扩建生产线</w:t>
                  </w:r>
                </w:p>
              </w:tc>
              <w:tc>
                <w:tcPr>
                  <w:tcW w:w="666" w:type="pct"/>
                  <w:vMerge w:val="continue"/>
                  <w:vAlign w:val="center"/>
                </w:tcPr>
                <w:p w14:paraId="4B8C3FC6">
                  <w:pPr>
                    <w:pStyle w:val="14"/>
                    <w:rPr>
                      <w:rFonts w:cs="Times New Roman"/>
                    </w:rPr>
                  </w:pPr>
                </w:p>
              </w:tc>
            </w:tr>
            <w:tr w14:paraId="71B83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88" w:type="pct"/>
                  <w:vMerge w:val="restart"/>
                  <w:vAlign w:val="center"/>
                </w:tcPr>
                <w:p w14:paraId="23DEB78E">
                  <w:pPr>
                    <w:pStyle w:val="14"/>
                    <w:rPr>
                      <w:rFonts w:cs="Times New Roman"/>
                    </w:rPr>
                  </w:pPr>
                  <w:r>
                    <w:rPr>
                      <w:rFonts w:cs="Times New Roman"/>
                    </w:rPr>
                    <w:t>辅助及公用工程</w:t>
                  </w:r>
                </w:p>
              </w:tc>
              <w:tc>
                <w:tcPr>
                  <w:tcW w:w="385" w:type="pct"/>
                  <w:vAlign w:val="center"/>
                </w:tcPr>
                <w:p w14:paraId="32347D1B">
                  <w:pPr>
                    <w:pStyle w:val="14"/>
                    <w:rPr>
                      <w:rFonts w:cs="Times New Roman"/>
                    </w:rPr>
                  </w:pPr>
                  <w:r>
                    <w:rPr>
                      <w:rFonts w:cs="Times New Roman"/>
                    </w:rPr>
                    <w:t>供电</w:t>
                  </w:r>
                </w:p>
              </w:tc>
              <w:tc>
                <w:tcPr>
                  <w:tcW w:w="2868" w:type="pct"/>
                  <w:vAlign w:val="center"/>
                </w:tcPr>
                <w:p w14:paraId="22B04954">
                  <w:pPr>
                    <w:pStyle w:val="14"/>
                    <w:rPr>
                      <w:rFonts w:cs="Times New Roman"/>
                    </w:rPr>
                  </w:pPr>
                  <w:r>
                    <w:rPr>
                      <w:rFonts w:cs="Times New Roman"/>
                    </w:rPr>
                    <w:t>市政电网供电。</w:t>
                  </w:r>
                </w:p>
              </w:tc>
              <w:tc>
                <w:tcPr>
                  <w:tcW w:w="694" w:type="pct"/>
                  <w:vAlign w:val="center"/>
                </w:tcPr>
                <w:p w14:paraId="5FF9F128">
                  <w:pPr>
                    <w:pStyle w:val="14"/>
                    <w:rPr>
                      <w:rFonts w:cs="Times New Roman"/>
                    </w:rPr>
                  </w:pPr>
                  <w:r>
                    <w:rPr>
                      <w:rFonts w:hint="eastAsia" w:cs="Times New Roman"/>
                    </w:rPr>
                    <w:t>不变</w:t>
                  </w:r>
                </w:p>
              </w:tc>
              <w:tc>
                <w:tcPr>
                  <w:tcW w:w="666" w:type="pct"/>
                  <w:vAlign w:val="center"/>
                </w:tcPr>
                <w:p w14:paraId="12A57CFA">
                  <w:pPr>
                    <w:pStyle w:val="14"/>
                    <w:rPr>
                      <w:rFonts w:cs="Times New Roman"/>
                    </w:rPr>
                  </w:pPr>
                  <w:r>
                    <w:rPr>
                      <w:rFonts w:cs="Times New Roman"/>
                    </w:rPr>
                    <w:t>/</w:t>
                  </w:r>
                </w:p>
              </w:tc>
            </w:tr>
            <w:tr w14:paraId="0B206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88" w:type="pct"/>
                  <w:vMerge w:val="continue"/>
                  <w:vAlign w:val="center"/>
                </w:tcPr>
                <w:p w14:paraId="430D9306">
                  <w:pPr>
                    <w:pStyle w:val="14"/>
                    <w:rPr>
                      <w:rFonts w:cs="Times New Roman"/>
                    </w:rPr>
                  </w:pPr>
                </w:p>
              </w:tc>
              <w:tc>
                <w:tcPr>
                  <w:tcW w:w="385" w:type="pct"/>
                  <w:vAlign w:val="center"/>
                </w:tcPr>
                <w:p w14:paraId="7ACE1E53">
                  <w:pPr>
                    <w:pStyle w:val="14"/>
                    <w:rPr>
                      <w:rFonts w:cs="Times New Roman"/>
                    </w:rPr>
                  </w:pPr>
                  <w:r>
                    <w:rPr>
                      <w:rFonts w:cs="Times New Roman"/>
                    </w:rPr>
                    <w:t>供水</w:t>
                  </w:r>
                </w:p>
              </w:tc>
              <w:tc>
                <w:tcPr>
                  <w:tcW w:w="2868" w:type="pct"/>
                  <w:vAlign w:val="center"/>
                </w:tcPr>
                <w:p w14:paraId="506E4B7D">
                  <w:pPr>
                    <w:pStyle w:val="14"/>
                    <w:rPr>
                      <w:rFonts w:cs="Times New Roman"/>
                    </w:rPr>
                  </w:pPr>
                  <w:r>
                    <w:rPr>
                      <w:rFonts w:cs="Times New Roman"/>
                    </w:rPr>
                    <w:t>市政自来水管网供水。</w:t>
                  </w:r>
                </w:p>
              </w:tc>
              <w:tc>
                <w:tcPr>
                  <w:tcW w:w="694" w:type="pct"/>
                  <w:vAlign w:val="center"/>
                </w:tcPr>
                <w:p w14:paraId="3252E5A2">
                  <w:pPr>
                    <w:pStyle w:val="14"/>
                    <w:rPr>
                      <w:rFonts w:cs="Times New Roman"/>
                    </w:rPr>
                  </w:pPr>
                  <w:r>
                    <w:rPr>
                      <w:rFonts w:hint="eastAsia" w:cs="Times New Roman"/>
                    </w:rPr>
                    <w:t>不变</w:t>
                  </w:r>
                </w:p>
              </w:tc>
              <w:tc>
                <w:tcPr>
                  <w:tcW w:w="666" w:type="pct"/>
                  <w:vAlign w:val="center"/>
                </w:tcPr>
                <w:p w14:paraId="31404EEB">
                  <w:pPr>
                    <w:pStyle w:val="14"/>
                    <w:rPr>
                      <w:rFonts w:cs="Times New Roman"/>
                    </w:rPr>
                  </w:pPr>
                  <w:r>
                    <w:rPr>
                      <w:rFonts w:cs="Times New Roman"/>
                    </w:rPr>
                    <w:t>/</w:t>
                  </w:r>
                </w:p>
              </w:tc>
            </w:tr>
            <w:tr w14:paraId="18F4D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88" w:type="pct"/>
                  <w:vMerge w:val="continue"/>
                  <w:vAlign w:val="center"/>
                </w:tcPr>
                <w:p w14:paraId="75860FE4">
                  <w:pPr>
                    <w:pStyle w:val="14"/>
                    <w:rPr>
                      <w:rFonts w:cs="Times New Roman"/>
                    </w:rPr>
                  </w:pPr>
                </w:p>
              </w:tc>
              <w:tc>
                <w:tcPr>
                  <w:tcW w:w="385" w:type="pct"/>
                  <w:vAlign w:val="center"/>
                </w:tcPr>
                <w:p w14:paraId="331C848E">
                  <w:pPr>
                    <w:pStyle w:val="14"/>
                    <w:rPr>
                      <w:rFonts w:cs="Times New Roman"/>
                    </w:rPr>
                  </w:pPr>
                  <w:r>
                    <w:rPr>
                      <w:rFonts w:cs="Times New Roman"/>
                    </w:rPr>
                    <w:t>排水</w:t>
                  </w:r>
                </w:p>
              </w:tc>
              <w:tc>
                <w:tcPr>
                  <w:tcW w:w="2868" w:type="pct"/>
                  <w:vAlign w:val="center"/>
                </w:tcPr>
                <w:p w14:paraId="6816169F">
                  <w:pPr>
                    <w:pStyle w:val="14"/>
                    <w:rPr>
                      <w:rFonts w:cs="Times New Roman"/>
                    </w:rPr>
                  </w:pPr>
                  <w:r>
                    <w:rPr>
                      <w:rFonts w:cs="Times New Roman"/>
                    </w:rPr>
                    <w:t>园区配套雨水、污水管网，雨污分流。</w:t>
                  </w:r>
                </w:p>
              </w:tc>
              <w:tc>
                <w:tcPr>
                  <w:tcW w:w="694" w:type="pct"/>
                  <w:vAlign w:val="center"/>
                </w:tcPr>
                <w:p w14:paraId="326EC634">
                  <w:pPr>
                    <w:pStyle w:val="14"/>
                    <w:rPr>
                      <w:rFonts w:cs="Times New Roman"/>
                    </w:rPr>
                  </w:pPr>
                  <w:r>
                    <w:rPr>
                      <w:rFonts w:hint="eastAsia" w:cs="Times New Roman"/>
                    </w:rPr>
                    <w:t>不变</w:t>
                  </w:r>
                </w:p>
              </w:tc>
              <w:tc>
                <w:tcPr>
                  <w:tcW w:w="666" w:type="pct"/>
                  <w:vAlign w:val="center"/>
                </w:tcPr>
                <w:p w14:paraId="5EB676B4">
                  <w:pPr>
                    <w:pStyle w:val="14"/>
                    <w:rPr>
                      <w:rFonts w:cs="Times New Roman"/>
                    </w:rPr>
                  </w:pPr>
                  <w:r>
                    <w:rPr>
                      <w:rFonts w:cs="Times New Roman"/>
                    </w:rPr>
                    <w:t>废水</w:t>
                  </w:r>
                </w:p>
              </w:tc>
            </w:tr>
            <w:tr w14:paraId="64BDD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88" w:type="pct"/>
                  <w:vAlign w:val="center"/>
                </w:tcPr>
                <w:p w14:paraId="03281D98">
                  <w:pPr>
                    <w:pStyle w:val="14"/>
                    <w:rPr>
                      <w:rFonts w:cs="Times New Roman"/>
                    </w:rPr>
                  </w:pPr>
                  <w:r>
                    <w:rPr>
                      <w:rFonts w:cs="Times New Roman"/>
                    </w:rPr>
                    <w:t>办公及生活设施</w:t>
                  </w:r>
                </w:p>
              </w:tc>
              <w:tc>
                <w:tcPr>
                  <w:tcW w:w="385" w:type="pct"/>
                  <w:vAlign w:val="center"/>
                </w:tcPr>
                <w:p w14:paraId="3504056B">
                  <w:pPr>
                    <w:pStyle w:val="14"/>
                    <w:rPr>
                      <w:rFonts w:cs="Times New Roman"/>
                    </w:rPr>
                  </w:pPr>
                  <w:r>
                    <w:rPr>
                      <w:rFonts w:cs="Times New Roman"/>
                    </w:rPr>
                    <w:t>办公区</w:t>
                  </w:r>
                </w:p>
              </w:tc>
              <w:tc>
                <w:tcPr>
                  <w:tcW w:w="2868" w:type="pct"/>
                  <w:vAlign w:val="center"/>
                </w:tcPr>
                <w:p w14:paraId="7650B25C">
                  <w:pPr>
                    <w:pStyle w:val="14"/>
                    <w:rPr>
                      <w:rFonts w:cs="Times New Roman"/>
                    </w:rPr>
                  </w:pPr>
                  <w:r>
                    <w:rPr>
                      <w:rFonts w:hint="eastAsia" w:cs="Times New Roman"/>
                    </w:rPr>
                    <w:t>1栋三层</w:t>
                  </w:r>
                  <w:r>
                    <w:rPr>
                      <w:rFonts w:cs="Times New Roman"/>
                    </w:rPr>
                    <w:t>，厂房内砖混结构构筑物，</w:t>
                  </w:r>
                </w:p>
                <w:p w14:paraId="10D77820">
                  <w:pPr>
                    <w:pStyle w:val="14"/>
                    <w:rPr>
                      <w:rFonts w:cs="Times New Roman"/>
                    </w:rPr>
                  </w:pPr>
                  <w:r>
                    <w:rPr>
                      <w:rFonts w:hint="eastAsia" w:cs="Times New Roman"/>
                    </w:rPr>
                    <w:t>1F：展示厅，厨房</w:t>
                  </w:r>
                </w:p>
                <w:p w14:paraId="35280B1D">
                  <w:pPr>
                    <w:pStyle w:val="14"/>
                    <w:rPr>
                      <w:rFonts w:cs="Times New Roman"/>
                    </w:rPr>
                  </w:pPr>
                  <w:r>
                    <w:rPr>
                      <w:rFonts w:hint="eastAsia" w:cs="Times New Roman"/>
                    </w:rPr>
                    <w:t>2F、3F：</w:t>
                  </w:r>
                  <w:r>
                    <w:rPr>
                      <w:rFonts w:cs="Times New Roman"/>
                    </w:rPr>
                    <w:t>设置多间办公室用于人员办公。</w:t>
                  </w:r>
                </w:p>
              </w:tc>
              <w:tc>
                <w:tcPr>
                  <w:tcW w:w="694" w:type="pct"/>
                  <w:vAlign w:val="center"/>
                </w:tcPr>
                <w:p w14:paraId="5C3F26CF">
                  <w:pPr>
                    <w:pStyle w:val="14"/>
                    <w:rPr>
                      <w:rFonts w:cs="Times New Roman"/>
                    </w:rPr>
                  </w:pPr>
                  <w:r>
                    <w:rPr>
                      <w:rFonts w:hint="eastAsia" w:cs="Times New Roman"/>
                    </w:rPr>
                    <w:t>不变</w:t>
                  </w:r>
                </w:p>
              </w:tc>
              <w:tc>
                <w:tcPr>
                  <w:tcW w:w="666" w:type="pct"/>
                  <w:vAlign w:val="center"/>
                </w:tcPr>
                <w:p w14:paraId="7DC0B3C7">
                  <w:pPr>
                    <w:pStyle w:val="14"/>
                    <w:rPr>
                      <w:rFonts w:cs="Times New Roman"/>
                    </w:rPr>
                  </w:pPr>
                  <w:r>
                    <w:rPr>
                      <w:rFonts w:cs="Times New Roman"/>
                    </w:rPr>
                    <w:t>生活污水、生活垃圾</w:t>
                  </w:r>
                </w:p>
              </w:tc>
            </w:tr>
            <w:tr w14:paraId="23B99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2" w:hRule="atLeast"/>
                <w:jc w:val="center"/>
              </w:trPr>
              <w:tc>
                <w:tcPr>
                  <w:tcW w:w="773" w:type="pct"/>
                  <w:gridSpan w:val="2"/>
                  <w:vAlign w:val="center"/>
                </w:tcPr>
                <w:p w14:paraId="631405E2">
                  <w:pPr>
                    <w:pStyle w:val="14"/>
                    <w:rPr>
                      <w:rFonts w:cs="Times New Roman"/>
                    </w:rPr>
                  </w:pPr>
                  <w:r>
                    <w:rPr>
                      <w:rFonts w:cs="Times New Roman"/>
                    </w:rPr>
                    <w:t>仓储及其他</w:t>
                  </w:r>
                </w:p>
              </w:tc>
              <w:tc>
                <w:tcPr>
                  <w:tcW w:w="2868" w:type="pct"/>
                  <w:vAlign w:val="center"/>
                </w:tcPr>
                <w:p w14:paraId="12329F0C">
                  <w:pPr>
                    <w:pStyle w:val="14"/>
                    <w:rPr>
                      <w:rFonts w:cs="Times New Roman"/>
                    </w:rPr>
                  </w:pPr>
                  <w:r>
                    <w:rPr>
                      <w:rFonts w:hint="eastAsia" w:cs="Times New Roman"/>
                    </w:rPr>
                    <w:t>原辅材料及成品堆放区，位于车间内。</w:t>
                  </w:r>
                </w:p>
              </w:tc>
              <w:tc>
                <w:tcPr>
                  <w:tcW w:w="694" w:type="pct"/>
                  <w:vAlign w:val="center"/>
                </w:tcPr>
                <w:p w14:paraId="3B0C5112">
                  <w:pPr>
                    <w:pStyle w:val="14"/>
                    <w:rPr>
                      <w:rFonts w:cs="Times New Roman"/>
                    </w:rPr>
                  </w:pPr>
                  <w:r>
                    <w:rPr>
                      <w:rFonts w:hint="eastAsia" w:cs="Times New Roman"/>
                    </w:rPr>
                    <w:t>不变</w:t>
                  </w:r>
                </w:p>
              </w:tc>
              <w:tc>
                <w:tcPr>
                  <w:tcW w:w="666" w:type="pct"/>
                  <w:vAlign w:val="center"/>
                </w:tcPr>
                <w:p w14:paraId="628F04D7">
                  <w:pPr>
                    <w:pStyle w:val="14"/>
                    <w:rPr>
                      <w:rFonts w:cs="Times New Roman"/>
                    </w:rPr>
                  </w:pPr>
                  <w:r>
                    <w:rPr>
                      <w:rFonts w:cs="Times New Roman"/>
                    </w:rPr>
                    <w:t>噪声</w:t>
                  </w:r>
                </w:p>
              </w:tc>
            </w:tr>
            <w:tr w14:paraId="247DE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88" w:type="pct"/>
                  <w:vMerge w:val="restart"/>
                  <w:vAlign w:val="center"/>
                </w:tcPr>
                <w:p w14:paraId="22A7404F">
                  <w:pPr>
                    <w:pStyle w:val="14"/>
                    <w:rPr>
                      <w:rFonts w:cs="Times New Roman"/>
                    </w:rPr>
                  </w:pPr>
                  <w:r>
                    <w:rPr>
                      <w:rFonts w:cs="Times New Roman"/>
                    </w:rPr>
                    <w:t>环保工程</w:t>
                  </w:r>
                </w:p>
              </w:tc>
              <w:tc>
                <w:tcPr>
                  <w:tcW w:w="385" w:type="pct"/>
                  <w:vAlign w:val="center"/>
                </w:tcPr>
                <w:p w14:paraId="055AD186">
                  <w:pPr>
                    <w:pStyle w:val="14"/>
                    <w:rPr>
                      <w:rFonts w:cs="Times New Roman"/>
                    </w:rPr>
                  </w:pPr>
                  <w:r>
                    <w:rPr>
                      <w:rFonts w:cs="Times New Roman"/>
                    </w:rPr>
                    <w:t>废气治理</w:t>
                  </w:r>
                </w:p>
              </w:tc>
              <w:tc>
                <w:tcPr>
                  <w:tcW w:w="2868" w:type="pct"/>
                  <w:vAlign w:val="center"/>
                </w:tcPr>
                <w:p w14:paraId="0824A559">
                  <w:pPr>
                    <w:pStyle w:val="14"/>
                    <w:rPr>
                      <w:rFonts w:cs="Times New Roman"/>
                    </w:rPr>
                  </w:pPr>
                  <w:r>
                    <w:rPr>
                      <w:rFonts w:hint="eastAsia" w:cs="Times New Roman"/>
                      <w:bCs/>
                    </w:rPr>
                    <w:t>一车间粉尘废气：木材加工粉尘经</w:t>
                  </w:r>
                  <w:r>
                    <w:rPr>
                      <w:rFonts w:hint="eastAsia" w:cs="Times New Roman"/>
                    </w:rPr>
                    <w:t>经</w:t>
                  </w:r>
                  <w:r>
                    <w:rPr>
                      <w:rFonts w:cs="Times New Roman"/>
                    </w:rPr>
                    <w:t>负压收集</w:t>
                  </w:r>
                  <w:r>
                    <w:rPr>
                      <w:rFonts w:hint="eastAsia" w:cs="Times New Roman"/>
                    </w:rPr>
                    <w:t>，收集的废气经1套中央除尘器处理设施</w:t>
                  </w:r>
                  <w:r>
                    <w:rPr>
                      <w:rFonts w:cs="Times New Roman"/>
                    </w:rPr>
                    <w:t>，</w:t>
                  </w:r>
                  <w:r>
                    <w:rPr>
                      <w:rFonts w:hint="eastAsia" w:cs="Times New Roman"/>
                    </w:rPr>
                    <w:t>处理后的废气</w:t>
                  </w:r>
                  <w:r>
                    <w:rPr>
                      <w:rFonts w:cs="Times New Roman"/>
                    </w:rPr>
                    <w:t>经</w:t>
                  </w:r>
                  <w:r>
                    <w:rPr>
                      <w:rFonts w:hint="eastAsia" w:cs="Times New Roman"/>
                    </w:rPr>
                    <w:t>1</w:t>
                  </w:r>
                  <w:r>
                    <w:rPr>
                      <w:rFonts w:cs="Times New Roman"/>
                    </w:rPr>
                    <w:t>根15m高排气筒（</w:t>
                  </w:r>
                  <w:r>
                    <w:rPr>
                      <w:rFonts w:hint="eastAsia" w:cs="Times New Roman"/>
                    </w:rPr>
                    <w:t>DA001</w:t>
                  </w:r>
                  <w:r>
                    <w:rPr>
                      <w:rFonts w:cs="Times New Roman"/>
                    </w:rPr>
                    <w:t>）排放。</w:t>
                  </w:r>
                </w:p>
              </w:tc>
              <w:tc>
                <w:tcPr>
                  <w:tcW w:w="694" w:type="pct"/>
                  <w:vAlign w:val="center"/>
                </w:tcPr>
                <w:p w14:paraId="00E80C7F">
                  <w:pPr>
                    <w:pStyle w:val="14"/>
                    <w:rPr>
                      <w:rFonts w:cs="Times New Roman"/>
                    </w:rPr>
                  </w:pPr>
                  <w:r>
                    <w:rPr>
                      <w:rFonts w:hint="eastAsia" w:cs="Times New Roman"/>
                    </w:rPr>
                    <w:t>不变</w:t>
                  </w:r>
                </w:p>
              </w:tc>
              <w:tc>
                <w:tcPr>
                  <w:tcW w:w="666" w:type="pct"/>
                  <w:vAlign w:val="center"/>
                </w:tcPr>
                <w:p w14:paraId="61340A59">
                  <w:pPr>
                    <w:pStyle w:val="14"/>
                    <w:rPr>
                      <w:rFonts w:cs="Times New Roman"/>
                    </w:rPr>
                  </w:pPr>
                  <w:r>
                    <w:rPr>
                      <w:rFonts w:cs="Times New Roman"/>
                    </w:rPr>
                    <w:t>废气、噪声、固废</w:t>
                  </w:r>
                </w:p>
              </w:tc>
            </w:tr>
            <w:tr w14:paraId="278D6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04" w:hRule="atLeast"/>
                <w:jc w:val="center"/>
              </w:trPr>
              <w:tc>
                <w:tcPr>
                  <w:tcW w:w="388" w:type="pct"/>
                  <w:vMerge w:val="continue"/>
                  <w:vAlign w:val="center"/>
                </w:tcPr>
                <w:p w14:paraId="0D9DD4F7">
                  <w:pPr>
                    <w:pStyle w:val="14"/>
                    <w:rPr>
                      <w:rFonts w:cs="Times New Roman"/>
                    </w:rPr>
                  </w:pPr>
                </w:p>
              </w:tc>
              <w:tc>
                <w:tcPr>
                  <w:tcW w:w="385" w:type="pct"/>
                  <w:vAlign w:val="center"/>
                </w:tcPr>
                <w:p w14:paraId="7AFFB1FD">
                  <w:pPr>
                    <w:pStyle w:val="14"/>
                    <w:rPr>
                      <w:rFonts w:cs="Times New Roman"/>
                    </w:rPr>
                  </w:pPr>
                  <w:r>
                    <w:rPr>
                      <w:rFonts w:cs="Times New Roman"/>
                    </w:rPr>
                    <w:t>废水治理</w:t>
                  </w:r>
                </w:p>
              </w:tc>
              <w:tc>
                <w:tcPr>
                  <w:tcW w:w="2868" w:type="pct"/>
                  <w:vAlign w:val="center"/>
                </w:tcPr>
                <w:p w14:paraId="3E5C21D5">
                  <w:pPr>
                    <w:pStyle w:val="14"/>
                    <w:rPr>
                      <w:rFonts w:cs="Times New Roman"/>
                    </w:rPr>
                  </w:pPr>
                  <w:r>
                    <w:rPr>
                      <w:rFonts w:cs="Times New Roman"/>
                    </w:rPr>
                    <w:t>生活污水</w:t>
                  </w:r>
                  <w:r>
                    <w:rPr>
                      <w:rFonts w:hint="eastAsia" w:cs="Times New Roman"/>
                    </w:rPr>
                    <w:t>经厂区管网排入预处理池处理，后</w:t>
                  </w:r>
                  <w:r>
                    <w:rPr>
                      <w:rFonts w:cs="Times New Roman"/>
                    </w:rPr>
                    <w:t>排入园区污水管网，进入巴中经开区污水处理厂处理，达标后排入巴河。</w:t>
                  </w:r>
                </w:p>
              </w:tc>
              <w:tc>
                <w:tcPr>
                  <w:tcW w:w="694" w:type="pct"/>
                  <w:vAlign w:val="center"/>
                </w:tcPr>
                <w:p w14:paraId="6F8ACA02">
                  <w:pPr>
                    <w:pStyle w:val="14"/>
                    <w:rPr>
                      <w:rFonts w:cs="Times New Roman"/>
                    </w:rPr>
                  </w:pPr>
                  <w:r>
                    <w:rPr>
                      <w:rFonts w:hint="eastAsia" w:cs="Times New Roman"/>
                    </w:rPr>
                    <w:t>不变</w:t>
                  </w:r>
                </w:p>
              </w:tc>
              <w:tc>
                <w:tcPr>
                  <w:tcW w:w="666" w:type="pct"/>
                  <w:vAlign w:val="center"/>
                </w:tcPr>
                <w:p w14:paraId="3A74A291">
                  <w:pPr>
                    <w:pStyle w:val="14"/>
                    <w:rPr>
                      <w:rFonts w:cs="Times New Roman"/>
                    </w:rPr>
                  </w:pPr>
                  <w:r>
                    <w:rPr>
                      <w:rFonts w:cs="Times New Roman"/>
                    </w:rPr>
                    <w:t>生活污水</w:t>
                  </w:r>
                </w:p>
              </w:tc>
            </w:tr>
            <w:tr w14:paraId="54D95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88" w:type="pct"/>
                  <w:vMerge w:val="continue"/>
                  <w:vAlign w:val="center"/>
                </w:tcPr>
                <w:p w14:paraId="76CD1B85">
                  <w:pPr>
                    <w:pStyle w:val="14"/>
                    <w:rPr>
                      <w:rFonts w:cs="Times New Roman"/>
                    </w:rPr>
                  </w:pPr>
                </w:p>
              </w:tc>
              <w:tc>
                <w:tcPr>
                  <w:tcW w:w="385" w:type="pct"/>
                  <w:vAlign w:val="center"/>
                </w:tcPr>
                <w:p w14:paraId="35A5B893">
                  <w:pPr>
                    <w:pStyle w:val="14"/>
                    <w:rPr>
                      <w:rFonts w:cs="Times New Roman"/>
                    </w:rPr>
                  </w:pPr>
                  <w:r>
                    <w:rPr>
                      <w:rFonts w:cs="Times New Roman"/>
                    </w:rPr>
                    <w:t>噪声治理</w:t>
                  </w:r>
                </w:p>
              </w:tc>
              <w:tc>
                <w:tcPr>
                  <w:tcW w:w="2868" w:type="pct"/>
                  <w:vAlign w:val="center"/>
                </w:tcPr>
                <w:p w14:paraId="31A6B19A">
                  <w:pPr>
                    <w:pStyle w:val="14"/>
                    <w:rPr>
                      <w:rFonts w:cs="Times New Roman"/>
                    </w:rPr>
                  </w:pPr>
                  <w:r>
                    <w:rPr>
                      <w:rFonts w:hint="eastAsia" w:cs="Times New Roman"/>
                    </w:rPr>
                    <w:t>一车间</w:t>
                  </w:r>
                  <w:r>
                    <w:rPr>
                      <w:rFonts w:cs="Times New Roman"/>
                    </w:rPr>
                    <w:t>生产设备均置于厂房内、选用低噪声设备、风机进出风口加装消声器、厂房隔声、设备基础减震等。</w:t>
                  </w:r>
                </w:p>
              </w:tc>
              <w:tc>
                <w:tcPr>
                  <w:tcW w:w="694" w:type="pct"/>
                  <w:vAlign w:val="center"/>
                </w:tcPr>
                <w:p w14:paraId="62F81E62">
                  <w:pPr>
                    <w:pStyle w:val="14"/>
                    <w:rPr>
                      <w:rFonts w:cs="Times New Roman"/>
                    </w:rPr>
                  </w:pPr>
                  <w:r>
                    <w:rPr>
                      <w:rFonts w:hint="eastAsia" w:cs="Times New Roman"/>
                    </w:rPr>
                    <w:t>不变</w:t>
                  </w:r>
                </w:p>
              </w:tc>
              <w:tc>
                <w:tcPr>
                  <w:tcW w:w="666" w:type="pct"/>
                  <w:vAlign w:val="center"/>
                </w:tcPr>
                <w:p w14:paraId="63B293B4">
                  <w:pPr>
                    <w:pStyle w:val="14"/>
                    <w:rPr>
                      <w:rFonts w:cs="Times New Roman"/>
                    </w:rPr>
                  </w:pPr>
                  <w:r>
                    <w:rPr>
                      <w:rFonts w:cs="Times New Roman"/>
                    </w:rPr>
                    <w:t>噪声</w:t>
                  </w:r>
                </w:p>
              </w:tc>
            </w:tr>
            <w:tr w14:paraId="2C35A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88" w:type="pct"/>
                  <w:vMerge w:val="continue"/>
                  <w:vAlign w:val="center"/>
                </w:tcPr>
                <w:p w14:paraId="30A3ACAE">
                  <w:pPr>
                    <w:pStyle w:val="14"/>
                    <w:rPr>
                      <w:rFonts w:cs="Times New Roman"/>
                    </w:rPr>
                  </w:pPr>
                </w:p>
              </w:tc>
              <w:tc>
                <w:tcPr>
                  <w:tcW w:w="385" w:type="pct"/>
                  <w:vAlign w:val="center"/>
                </w:tcPr>
                <w:p w14:paraId="122452F3">
                  <w:pPr>
                    <w:pStyle w:val="14"/>
                    <w:rPr>
                      <w:rFonts w:cs="Times New Roman"/>
                    </w:rPr>
                  </w:pPr>
                  <w:r>
                    <w:rPr>
                      <w:rFonts w:cs="Times New Roman"/>
                    </w:rPr>
                    <w:t>固废处置</w:t>
                  </w:r>
                </w:p>
              </w:tc>
              <w:tc>
                <w:tcPr>
                  <w:tcW w:w="2868" w:type="pct"/>
                  <w:vAlign w:val="center"/>
                </w:tcPr>
                <w:p w14:paraId="168EEF8C">
                  <w:pPr>
                    <w:pStyle w:val="14"/>
                    <w:rPr>
                      <w:rFonts w:cs="Times New Roman"/>
                    </w:rPr>
                  </w:pPr>
                  <w:r>
                    <w:rPr>
                      <w:rFonts w:hint="eastAsia" w:cs="Times New Roman"/>
                    </w:rPr>
                    <w:t>一般固废：废包装材料外售，中央除尘器粉尘</w:t>
                  </w:r>
                  <w:r>
                    <w:rPr>
                      <w:rFonts w:cs="Times New Roman"/>
                    </w:rPr>
                    <w:t>委托环卫部门清运处置。</w:t>
                  </w:r>
                </w:p>
                <w:p w14:paraId="04889B57">
                  <w:pPr>
                    <w:pStyle w:val="14"/>
                    <w:rPr>
                      <w:rFonts w:cs="Times New Roman"/>
                    </w:rPr>
                  </w:pPr>
                  <w:r>
                    <w:rPr>
                      <w:rFonts w:cs="Times New Roman"/>
                    </w:rPr>
                    <w:t>生活垃圾：垃圾桶集中收集，委托环卫部门清运处置。</w:t>
                  </w:r>
                </w:p>
              </w:tc>
              <w:tc>
                <w:tcPr>
                  <w:tcW w:w="694" w:type="pct"/>
                  <w:vAlign w:val="center"/>
                </w:tcPr>
                <w:p w14:paraId="07BC050B">
                  <w:pPr>
                    <w:pStyle w:val="14"/>
                    <w:rPr>
                      <w:rFonts w:cs="Times New Roman"/>
                    </w:rPr>
                  </w:pPr>
                  <w:r>
                    <w:rPr>
                      <w:rFonts w:hint="eastAsia" w:cs="Times New Roman"/>
                    </w:rPr>
                    <w:t>不变</w:t>
                  </w:r>
                </w:p>
              </w:tc>
              <w:tc>
                <w:tcPr>
                  <w:tcW w:w="666" w:type="pct"/>
                  <w:vAlign w:val="center"/>
                </w:tcPr>
                <w:p w14:paraId="531A1F75">
                  <w:pPr>
                    <w:pStyle w:val="14"/>
                    <w:rPr>
                      <w:rFonts w:cs="Times New Roman"/>
                    </w:rPr>
                  </w:pPr>
                  <w:r>
                    <w:rPr>
                      <w:rFonts w:cs="Times New Roman"/>
                    </w:rPr>
                    <w:t>固废</w:t>
                  </w:r>
                </w:p>
              </w:tc>
            </w:tr>
          </w:tbl>
          <w:p w14:paraId="21936CF4">
            <w:pPr>
              <w:ind w:firstLine="482"/>
              <w:rPr>
                <w:b/>
                <w:bCs/>
                <w:szCs w:val="21"/>
              </w:rPr>
            </w:pPr>
            <w:r>
              <w:rPr>
                <w:b/>
                <w:bCs/>
                <w:szCs w:val="21"/>
              </w:rPr>
              <w:t>2、原有项目生产工艺</w:t>
            </w:r>
          </w:p>
          <w:p w14:paraId="2FC78A28">
            <w:pPr>
              <w:ind w:firstLine="480"/>
            </w:pPr>
            <w:r>
              <w:rPr>
                <w:rFonts w:hint="eastAsia"/>
              </w:rPr>
              <w:t>原有项目做板式家具，年产5000套。一车间板式家具加工工艺流程如下：</w:t>
            </w:r>
          </w:p>
          <w:p w14:paraId="150BFF3E">
            <w:pPr>
              <w:ind w:firstLine="0" w:firstLineChars="0"/>
              <w:jc w:val="center"/>
            </w:pPr>
            <w:r>
              <w:rPr>
                <w:rFonts w:hint="eastAsia"/>
              </w:rPr>
              <w:object>
                <v:shape id="_x0000_i1026" o:spt="75" type="#_x0000_t75" style="height:129.35pt;width:439.35pt;" o:ole="t" filled="f" o:preferrelative="t" stroked="f" coordsize="21600,21600">
                  <v:path/>
                  <v:fill on="f" focussize="0,0"/>
                  <v:stroke on="f" joinstyle="miter"/>
                  <v:imagedata r:id="rId30" o:title=""/>
                  <o:lock v:ext="edit" aspectratio="t"/>
                  <w10:wrap type="none"/>
                  <w10:anchorlock/>
                </v:shape>
                <o:OLEObject Type="Embed" ProgID="Visio.Drawing.11" ShapeID="_x0000_i1026" DrawAspect="Content" ObjectID="_1468075726" r:id="rId29">
                  <o:LockedField>false</o:LockedField>
                </o:OLEObject>
              </w:object>
            </w:r>
          </w:p>
          <w:p w14:paraId="084BB7C8">
            <w:pPr>
              <w:ind w:firstLine="0" w:firstLineChars="0"/>
              <w:jc w:val="center"/>
              <w:rPr>
                <w:b/>
                <w:bCs/>
              </w:rPr>
            </w:pPr>
            <w:r>
              <w:rPr>
                <w:rFonts w:hint="eastAsia"/>
                <w:b/>
                <w:bCs/>
                <w:szCs w:val="21"/>
              </w:rPr>
              <w:t>图2-3 原</w:t>
            </w:r>
            <w:r>
              <w:rPr>
                <w:b/>
                <w:bCs/>
                <w:szCs w:val="21"/>
              </w:rPr>
              <w:t>项目</w:t>
            </w:r>
            <w:r>
              <w:rPr>
                <w:rFonts w:hint="eastAsia"/>
                <w:b/>
                <w:bCs/>
              </w:rPr>
              <w:t>板式家具</w:t>
            </w:r>
            <w:r>
              <w:rPr>
                <w:b/>
                <w:bCs/>
                <w:szCs w:val="21"/>
              </w:rPr>
              <w:t>生产工艺</w:t>
            </w:r>
          </w:p>
          <w:p w14:paraId="5BD6275B">
            <w:pPr>
              <w:ind w:firstLine="480"/>
              <w:rPr>
                <w:rFonts w:cs="Times New Roman"/>
              </w:rPr>
            </w:pPr>
            <w:r>
              <w:rPr>
                <w:rFonts w:cs="Times New Roman"/>
              </w:rPr>
              <w:t>（1）</w:t>
            </w:r>
            <w:r>
              <w:rPr>
                <w:rFonts w:cs="Times New Roman"/>
                <w:bCs/>
                <w:spacing w:val="4"/>
              </w:rPr>
              <w:t>开料裁板</w:t>
            </w:r>
          </w:p>
          <w:p w14:paraId="41B0B4A3">
            <w:pPr>
              <w:ind w:firstLine="480"/>
              <w:rPr>
                <w:rFonts w:cs="Times New Roman"/>
              </w:rPr>
            </w:pPr>
            <w:r>
              <w:rPr>
                <w:rFonts w:cs="Times New Roman"/>
              </w:rPr>
              <w:t>项目购进的</w:t>
            </w:r>
            <w:r>
              <w:rPr>
                <w:rFonts w:hint="eastAsia" w:cs="Times New Roman"/>
              </w:rPr>
              <w:t>饰面板</w:t>
            </w:r>
            <w:r>
              <w:rPr>
                <w:rFonts w:cs="Times New Roman"/>
              </w:rPr>
              <w:t>原料分区堆放在项目</w:t>
            </w:r>
            <w:r>
              <w:rPr>
                <w:rFonts w:hint="eastAsia" w:cs="Times New Roman"/>
              </w:rPr>
              <w:t>一车间</w:t>
            </w:r>
            <w:r>
              <w:rPr>
                <w:rFonts w:cs="Times New Roman"/>
              </w:rPr>
              <w:t>原料</w:t>
            </w:r>
            <w:r>
              <w:rPr>
                <w:rFonts w:hint="eastAsia" w:cs="Times New Roman"/>
              </w:rPr>
              <w:t>堆放区</w:t>
            </w:r>
            <w:r>
              <w:rPr>
                <w:rFonts w:cs="Times New Roman"/>
              </w:rPr>
              <w:t>，根据市场需求将板材裁剪成相应的规格后进入下一工序。</w:t>
            </w:r>
            <w:r>
              <w:rPr>
                <w:rFonts w:cs="Times New Roman"/>
                <w:bCs/>
                <w:spacing w:val="4"/>
              </w:rPr>
              <w:t>开料裁板</w:t>
            </w:r>
            <w:r>
              <w:rPr>
                <w:rFonts w:cs="Times New Roman"/>
              </w:rPr>
              <w:t>过程产生的锯末粉尘通过中央除尘系统收集处理后排放，产生的边角料经收集后外售用于制造人造板。</w:t>
            </w:r>
          </w:p>
          <w:p w14:paraId="330E9E3E">
            <w:pPr>
              <w:ind w:firstLine="480"/>
              <w:rPr>
                <w:rFonts w:cs="Times New Roman"/>
              </w:rPr>
            </w:pPr>
            <w:r>
              <w:rPr>
                <w:rFonts w:cs="Times New Roman"/>
              </w:rPr>
              <w:t>（2）</w:t>
            </w:r>
            <w:r>
              <w:rPr>
                <w:rFonts w:cs="Times New Roman"/>
                <w:bCs/>
              </w:rPr>
              <w:t>封边</w:t>
            </w:r>
          </w:p>
          <w:p w14:paraId="52D97FDF">
            <w:pPr>
              <w:ind w:firstLine="480"/>
              <w:rPr>
                <w:rFonts w:cs="Times New Roman"/>
                <w:bCs/>
              </w:rPr>
            </w:pPr>
            <w:r>
              <w:rPr>
                <w:rFonts w:cs="Times New Roman"/>
              </w:rPr>
              <w:t>利用PVC贴纸等材料对已成型部件四周的裸露部分进行包裹，避免木材因碰撞而损坏或因过量吸入水分而变形。本项目使用的家具封边热熔胶，主要污染物：噪声、废封边带、封边废气。</w:t>
            </w:r>
          </w:p>
          <w:p w14:paraId="7D0B758F">
            <w:pPr>
              <w:ind w:firstLine="480"/>
              <w:rPr>
                <w:rFonts w:cs="Times New Roman"/>
              </w:rPr>
            </w:pPr>
            <w:r>
              <w:rPr>
                <w:rFonts w:cs="Times New Roman"/>
              </w:rPr>
              <w:t>（3）打孔</w:t>
            </w:r>
          </w:p>
          <w:p w14:paraId="3BA9F033">
            <w:pPr>
              <w:tabs>
                <w:tab w:val="left" w:pos="1245"/>
                <w:tab w:val="center" w:pos="4422"/>
              </w:tabs>
              <w:snapToGrid w:val="0"/>
              <w:ind w:firstLine="480"/>
              <w:jc w:val="left"/>
              <w:rPr>
                <w:rFonts w:cs="Times New Roman"/>
              </w:rPr>
            </w:pPr>
            <w:r>
              <w:rPr>
                <w:rFonts w:cs="Times New Roman"/>
              </w:rPr>
              <w:t>对板材边角进行打孔为装配工序准备。利用打孔机打出中心孔，孔径尺寸根据具体的产品确定。打孔过程产生的锯末粉尘通过中央除尘系统处理后排放，产生的边角料经收集后外售用于制造人造板。</w:t>
            </w:r>
          </w:p>
          <w:p w14:paraId="0170BB1C">
            <w:pPr>
              <w:ind w:firstLine="480"/>
              <w:rPr>
                <w:rFonts w:cs="Times New Roman"/>
              </w:rPr>
            </w:pPr>
            <w:r>
              <w:rPr>
                <w:rFonts w:cs="Times New Roman"/>
              </w:rPr>
              <w:t>（4）</w:t>
            </w:r>
            <w:r>
              <w:rPr>
                <w:rFonts w:hint="eastAsia" w:cs="Times New Roman"/>
              </w:rPr>
              <w:t>人工精修</w:t>
            </w:r>
          </w:p>
          <w:p w14:paraId="5CC6C7D5">
            <w:pPr>
              <w:ind w:firstLine="480"/>
              <w:rPr>
                <w:rFonts w:cs="Times New Roman"/>
              </w:rPr>
            </w:pPr>
            <w:r>
              <w:rPr>
                <w:rFonts w:hint="eastAsia" w:cs="Times New Roman"/>
              </w:rPr>
              <w:t>人工检查精修产品</w:t>
            </w:r>
            <w:r>
              <w:rPr>
                <w:rFonts w:cs="Times New Roman"/>
              </w:rPr>
              <w:t>。</w:t>
            </w:r>
          </w:p>
          <w:p w14:paraId="50ED2C17">
            <w:pPr>
              <w:ind w:firstLine="480"/>
              <w:rPr>
                <w:rFonts w:cs="Times New Roman"/>
              </w:rPr>
            </w:pPr>
            <w:r>
              <w:rPr>
                <w:rFonts w:cs="Times New Roman"/>
              </w:rPr>
              <w:t>（5）包装入库</w:t>
            </w:r>
          </w:p>
          <w:p w14:paraId="35C1615F">
            <w:pPr>
              <w:ind w:firstLine="480"/>
              <w:rPr>
                <w:b/>
              </w:rPr>
            </w:pPr>
            <w:r>
              <w:rPr>
                <w:rFonts w:cs="Times New Roman"/>
              </w:rPr>
              <w:t>使用泡沫、成品包装纸箱等对已制作完成的成品部件进行包裹后，转入库房暂存或外卖。</w:t>
            </w:r>
          </w:p>
          <w:p w14:paraId="56C14C62">
            <w:pPr>
              <w:ind w:firstLine="482"/>
              <w:rPr>
                <w:b/>
              </w:rPr>
            </w:pPr>
            <w:r>
              <w:rPr>
                <w:b/>
              </w:rPr>
              <w:t>三、</w:t>
            </w:r>
            <w:r>
              <w:rPr>
                <w:rFonts w:hint="eastAsia"/>
                <w:b/>
              </w:rPr>
              <w:t>原有</w:t>
            </w:r>
            <w:r>
              <w:rPr>
                <w:b/>
              </w:rPr>
              <w:t>项目材料消耗及动力消耗情况</w:t>
            </w:r>
          </w:p>
          <w:p w14:paraId="509C2165">
            <w:pPr>
              <w:ind w:left="510" w:firstLine="480"/>
              <w:rPr>
                <w:bCs/>
              </w:rPr>
            </w:pPr>
            <w:r>
              <w:rPr>
                <w:rFonts w:hint="eastAsia"/>
                <w:bCs/>
              </w:rPr>
              <w:t>原有</w:t>
            </w:r>
            <w:r>
              <w:rPr>
                <w:bCs/>
              </w:rPr>
              <w:t>项目原辅材料、能源消耗一览表见表</w:t>
            </w:r>
            <w:r>
              <w:rPr>
                <w:rFonts w:hint="eastAsia"/>
                <w:bCs/>
              </w:rPr>
              <w:t>2-8</w:t>
            </w:r>
            <w:r>
              <w:rPr>
                <w:bCs/>
              </w:rPr>
              <w:t>。</w:t>
            </w:r>
          </w:p>
          <w:p w14:paraId="10B9F8B6">
            <w:pPr>
              <w:ind w:left="510" w:firstLine="482"/>
              <w:jc w:val="center"/>
              <w:rPr>
                <w:b/>
                <w:bCs/>
              </w:rPr>
            </w:pPr>
            <w:r>
              <w:rPr>
                <w:b/>
                <w:bCs/>
              </w:rPr>
              <w:t>表</w:t>
            </w:r>
            <w:r>
              <w:rPr>
                <w:rFonts w:hint="eastAsia"/>
                <w:b/>
                <w:bCs/>
              </w:rPr>
              <w:t>2-11  原有项目</w:t>
            </w:r>
            <w:r>
              <w:rPr>
                <w:b/>
                <w:bCs/>
              </w:rPr>
              <w:t>主要原辅材料及能耗情况表</w:t>
            </w:r>
          </w:p>
          <w:tbl>
            <w:tblPr>
              <w:tblStyle w:val="33"/>
              <w:tblW w:w="8922" w:type="dxa"/>
              <w:jc w:val="right"/>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48"/>
              <w:gridCol w:w="509"/>
              <w:gridCol w:w="1322"/>
              <w:gridCol w:w="874"/>
              <w:gridCol w:w="1451"/>
              <w:gridCol w:w="1356"/>
              <w:gridCol w:w="2562"/>
            </w:tblGrid>
            <w:tr w14:paraId="3E08F6C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right"/>
              </w:trPr>
              <w:tc>
                <w:tcPr>
                  <w:tcW w:w="475" w:type="pct"/>
                  <w:vAlign w:val="center"/>
                </w:tcPr>
                <w:p w14:paraId="49870980">
                  <w:pPr>
                    <w:autoSpaceDE w:val="0"/>
                    <w:autoSpaceDN w:val="0"/>
                    <w:adjustRightInd w:val="0"/>
                    <w:snapToGrid w:val="0"/>
                    <w:spacing w:line="240" w:lineRule="auto"/>
                    <w:ind w:firstLine="0" w:firstLineChars="0"/>
                    <w:jc w:val="center"/>
                    <w:textAlignment w:val="baseline"/>
                    <w:rPr>
                      <w:b/>
                      <w:bCs/>
                      <w:sz w:val="21"/>
                      <w:szCs w:val="21"/>
                    </w:rPr>
                  </w:pPr>
                  <w:r>
                    <w:rPr>
                      <w:b/>
                      <w:bCs/>
                      <w:sz w:val="21"/>
                      <w:szCs w:val="21"/>
                    </w:rPr>
                    <w:t>项目</w:t>
                  </w:r>
                </w:p>
              </w:tc>
              <w:tc>
                <w:tcPr>
                  <w:tcW w:w="285" w:type="pct"/>
                  <w:vAlign w:val="center"/>
                </w:tcPr>
                <w:p w14:paraId="5C8453DB">
                  <w:pPr>
                    <w:autoSpaceDE w:val="0"/>
                    <w:autoSpaceDN w:val="0"/>
                    <w:adjustRightInd w:val="0"/>
                    <w:snapToGrid w:val="0"/>
                    <w:spacing w:line="240" w:lineRule="auto"/>
                    <w:ind w:firstLine="0" w:firstLineChars="0"/>
                    <w:jc w:val="center"/>
                    <w:textAlignment w:val="baseline"/>
                    <w:rPr>
                      <w:b/>
                      <w:bCs/>
                      <w:sz w:val="21"/>
                      <w:szCs w:val="21"/>
                    </w:rPr>
                  </w:pPr>
                  <w:r>
                    <w:rPr>
                      <w:b/>
                      <w:bCs/>
                      <w:sz w:val="21"/>
                      <w:szCs w:val="21"/>
                    </w:rPr>
                    <w:t>序号</w:t>
                  </w:r>
                </w:p>
              </w:tc>
              <w:tc>
                <w:tcPr>
                  <w:tcW w:w="741" w:type="pct"/>
                  <w:vAlign w:val="center"/>
                </w:tcPr>
                <w:p w14:paraId="5B91E906">
                  <w:pPr>
                    <w:autoSpaceDE w:val="0"/>
                    <w:autoSpaceDN w:val="0"/>
                    <w:adjustRightInd w:val="0"/>
                    <w:snapToGrid w:val="0"/>
                    <w:spacing w:line="240" w:lineRule="auto"/>
                    <w:ind w:firstLine="0" w:firstLineChars="0"/>
                    <w:jc w:val="center"/>
                    <w:textAlignment w:val="baseline"/>
                    <w:rPr>
                      <w:b/>
                      <w:bCs/>
                      <w:sz w:val="21"/>
                      <w:szCs w:val="21"/>
                    </w:rPr>
                  </w:pPr>
                  <w:r>
                    <w:rPr>
                      <w:b/>
                      <w:bCs/>
                      <w:sz w:val="21"/>
                      <w:szCs w:val="21"/>
                    </w:rPr>
                    <w:t>名称</w:t>
                  </w:r>
                </w:p>
              </w:tc>
              <w:tc>
                <w:tcPr>
                  <w:tcW w:w="490" w:type="pct"/>
                  <w:vAlign w:val="center"/>
                </w:tcPr>
                <w:p w14:paraId="07A57DAD">
                  <w:pPr>
                    <w:autoSpaceDE w:val="0"/>
                    <w:autoSpaceDN w:val="0"/>
                    <w:adjustRightInd w:val="0"/>
                    <w:snapToGrid w:val="0"/>
                    <w:spacing w:line="240" w:lineRule="auto"/>
                    <w:ind w:firstLine="0" w:firstLineChars="0"/>
                    <w:jc w:val="center"/>
                    <w:textAlignment w:val="baseline"/>
                    <w:rPr>
                      <w:b/>
                      <w:bCs/>
                      <w:sz w:val="21"/>
                      <w:szCs w:val="21"/>
                    </w:rPr>
                  </w:pPr>
                  <w:r>
                    <w:rPr>
                      <w:b/>
                      <w:bCs/>
                      <w:sz w:val="21"/>
                      <w:szCs w:val="21"/>
                    </w:rPr>
                    <w:t>单位</w:t>
                  </w:r>
                </w:p>
              </w:tc>
              <w:tc>
                <w:tcPr>
                  <w:tcW w:w="813" w:type="pct"/>
                  <w:vAlign w:val="center"/>
                </w:tcPr>
                <w:p w14:paraId="72D2F7F0">
                  <w:pPr>
                    <w:autoSpaceDE w:val="0"/>
                    <w:autoSpaceDN w:val="0"/>
                    <w:adjustRightInd w:val="0"/>
                    <w:snapToGrid w:val="0"/>
                    <w:spacing w:line="240" w:lineRule="auto"/>
                    <w:ind w:firstLine="0" w:firstLineChars="0"/>
                    <w:jc w:val="center"/>
                    <w:textAlignment w:val="baseline"/>
                    <w:rPr>
                      <w:b/>
                      <w:bCs/>
                      <w:sz w:val="21"/>
                      <w:szCs w:val="21"/>
                    </w:rPr>
                  </w:pPr>
                  <w:r>
                    <w:rPr>
                      <w:b/>
                      <w:bCs/>
                      <w:sz w:val="21"/>
                      <w:szCs w:val="21"/>
                    </w:rPr>
                    <w:t>年用量</w:t>
                  </w:r>
                </w:p>
              </w:tc>
              <w:tc>
                <w:tcPr>
                  <w:tcW w:w="760" w:type="pct"/>
                  <w:vAlign w:val="center"/>
                </w:tcPr>
                <w:p w14:paraId="227EA4D4">
                  <w:pPr>
                    <w:autoSpaceDE w:val="0"/>
                    <w:autoSpaceDN w:val="0"/>
                    <w:adjustRightInd w:val="0"/>
                    <w:snapToGrid w:val="0"/>
                    <w:spacing w:line="240" w:lineRule="auto"/>
                    <w:ind w:firstLine="0" w:firstLineChars="0"/>
                    <w:jc w:val="center"/>
                    <w:textAlignment w:val="baseline"/>
                    <w:rPr>
                      <w:b/>
                      <w:bCs/>
                      <w:sz w:val="21"/>
                      <w:szCs w:val="21"/>
                    </w:rPr>
                  </w:pPr>
                  <w:r>
                    <w:rPr>
                      <w:b/>
                      <w:bCs/>
                      <w:sz w:val="21"/>
                      <w:szCs w:val="21"/>
                    </w:rPr>
                    <w:t>储存</w:t>
                  </w:r>
                </w:p>
                <w:p w14:paraId="6F862F8E">
                  <w:pPr>
                    <w:autoSpaceDE w:val="0"/>
                    <w:autoSpaceDN w:val="0"/>
                    <w:adjustRightInd w:val="0"/>
                    <w:snapToGrid w:val="0"/>
                    <w:spacing w:line="240" w:lineRule="auto"/>
                    <w:ind w:firstLine="0" w:firstLineChars="0"/>
                    <w:jc w:val="center"/>
                    <w:textAlignment w:val="baseline"/>
                    <w:rPr>
                      <w:b/>
                      <w:bCs/>
                      <w:sz w:val="21"/>
                      <w:szCs w:val="21"/>
                    </w:rPr>
                  </w:pPr>
                  <w:r>
                    <w:rPr>
                      <w:b/>
                      <w:bCs/>
                      <w:sz w:val="21"/>
                      <w:szCs w:val="21"/>
                    </w:rPr>
                    <w:t>方式</w:t>
                  </w:r>
                </w:p>
              </w:tc>
              <w:tc>
                <w:tcPr>
                  <w:tcW w:w="1436" w:type="pct"/>
                  <w:vAlign w:val="center"/>
                </w:tcPr>
                <w:p w14:paraId="09DB52ED">
                  <w:pPr>
                    <w:autoSpaceDE w:val="0"/>
                    <w:autoSpaceDN w:val="0"/>
                    <w:adjustRightInd w:val="0"/>
                    <w:snapToGrid w:val="0"/>
                    <w:spacing w:line="240" w:lineRule="auto"/>
                    <w:ind w:firstLine="0" w:firstLineChars="0"/>
                    <w:jc w:val="center"/>
                    <w:textAlignment w:val="baseline"/>
                    <w:rPr>
                      <w:b/>
                      <w:bCs/>
                      <w:sz w:val="21"/>
                      <w:szCs w:val="21"/>
                    </w:rPr>
                  </w:pPr>
                  <w:r>
                    <w:rPr>
                      <w:b/>
                      <w:bCs/>
                      <w:sz w:val="21"/>
                      <w:szCs w:val="21"/>
                    </w:rPr>
                    <w:t>备注</w:t>
                  </w:r>
                </w:p>
              </w:tc>
            </w:tr>
            <w:tr w14:paraId="668F4AC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right"/>
              </w:trPr>
              <w:tc>
                <w:tcPr>
                  <w:tcW w:w="475" w:type="pct"/>
                  <w:vMerge w:val="restart"/>
                  <w:vAlign w:val="center"/>
                </w:tcPr>
                <w:p w14:paraId="78F048B2">
                  <w:pPr>
                    <w:autoSpaceDE w:val="0"/>
                    <w:autoSpaceDN w:val="0"/>
                    <w:adjustRightInd w:val="0"/>
                    <w:snapToGrid w:val="0"/>
                    <w:spacing w:line="240" w:lineRule="auto"/>
                    <w:ind w:firstLine="0" w:firstLineChars="0"/>
                    <w:jc w:val="center"/>
                    <w:textAlignment w:val="baseline"/>
                    <w:rPr>
                      <w:sz w:val="21"/>
                      <w:szCs w:val="21"/>
                    </w:rPr>
                  </w:pPr>
                  <w:r>
                    <w:rPr>
                      <w:sz w:val="21"/>
                      <w:szCs w:val="21"/>
                    </w:rPr>
                    <w:t>原辅材料</w:t>
                  </w:r>
                </w:p>
              </w:tc>
              <w:tc>
                <w:tcPr>
                  <w:tcW w:w="285" w:type="pct"/>
                  <w:vAlign w:val="center"/>
                </w:tcPr>
                <w:p w14:paraId="3521C00A">
                  <w:pPr>
                    <w:autoSpaceDE w:val="0"/>
                    <w:autoSpaceDN w:val="0"/>
                    <w:adjustRightInd w:val="0"/>
                    <w:snapToGrid w:val="0"/>
                    <w:spacing w:line="240" w:lineRule="auto"/>
                    <w:ind w:firstLine="0" w:firstLineChars="0"/>
                    <w:jc w:val="center"/>
                    <w:textAlignment w:val="baseline"/>
                    <w:rPr>
                      <w:sz w:val="21"/>
                      <w:szCs w:val="21"/>
                    </w:rPr>
                  </w:pPr>
                  <w:r>
                    <w:rPr>
                      <w:sz w:val="21"/>
                      <w:szCs w:val="21"/>
                    </w:rPr>
                    <w:t>1</w:t>
                  </w:r>
                </w:p>
              </w:tc>
              <w:tc>
                <w:tcPr>
                  <w:tcW w:w="741" w:type="pct"/>
                  <w:vAlign w:val="center"/>
                </w:tcPr>
                <w:p w14:paraId="6AD0FE58">
                  <w:pPr>
                    <w:adjustRightInd w:val="0"/>
                    <w:spacing w:line="240" w:lineRule="auto"/>
                    <w:ind w:firstLine="0" w:firstLineChars="0"/>
                    <w:jc w:val="center"/>
                    <w:rPr>
                      <w:sz w:val="21"/>
                      <w:szCs w:val="21"/>
                    </w:rPr>
                  </w:pPr>
                  <w:r>
                    <w:rPr>
                      <w:rFonts w:hint="eastAsia"/>
                      <w:sz w:val="21"/>
                      <w:szCs w:val="21"/>
                    </w:rPr>
                    <w:t>板材</w:t>
                  </w:r>
                </w:p>
              </w:tc>
              <w:tc>
                <w:tcPr>
                  <w:tcW w:w="490" w:type="pct"/>
                  <w:vAlign w:val="center"/>
                </w:tcPr>
                <w:p w14:paraId="6EBA7771">
                  <w:pPr>
                    <w:autoSpaceDE w:val="0"/>
                    <w:autoSpaceDN w:val="0"/>
                    <w:adjustRightInd w:val="0"/>
                    <w:snapToGrid w:val="0"/>
                    <w:spacing w:line="240" w:lineRule="auto"/>
                    <w:ind w:firstLine="0" w:firstLineChars="0"/>
                    <w:jc w:val="center"/>
                    <w:textAlignment w:val="baseline"/>
                    <w:rPr>
                      <w:sz w:val="21"/>
                      <w:szCs w:val="21"/>
                    </w:rPr>
                  </w:pPr>
                  <w:r>
                    <w:rPr>
                      <w:sz w:val="21"/>
                      <w:szCs w:val="21"/>
                    </w:rPr>
                    <w:t>t</w:t>
                  </w:r>
                </w:p>
              </w:tc>
              <w:tc>
                <w:tcPr>
                  <w:tcW w:w="813" w:type="pct"/>
                  <w:vAlign w:val="center"/>
                </w:tcPr>
                <w:p w14:paraId="02852576">
                  <w:pPr>
                    <w:adjustRightInd w:val="0"/>
                    <w:spacing w:line="240" w:lineRule="auto"/>
                    <w:ind w:firstLine="0" w:firstLineChars="0"/>
                    <w:jc w:val="center"/>
                    <w:rPr>
                      <w:sz w:val="21"/>
                      <w:szCs w:val="21"/>
                    </w:rPr>
                  </w:pPr>
                  <w:r>
                    <w:rPr>
                      <w:rFonts w:hint="eastAsia"/>
                      <w:sz w:val="21"/>
                      <w:szCs w:val="21"/>
                    </w:rPr>
                    <w:t>1万</w:t>
                  </w:r>
                </w:p>
              </w:tc>
              <w:tc>
                <w:tcPr>
                  <w:tcW w:w="760" w:type="pct"/>
                  <w:vAlign w:val="center"/>
                </w:tcPr>
                <w:p w14:paraId="48FAD9A3">
                  <w:pPr>
                    <w:autoSpaceDE w:val="0"/>
                    <w:autoSpaceDN w:val="0"/>
                    <w:adjustRightInd w:val="0"/>
                    <w:snapToGrid w:val="0"/>
                    <w:spacing w:line="240" w:lineRule="auto"/>
                    <w:ind w:firstLine="0" w:firstLineChars="0"/>
                    <w:jc w:val="center"/>
                    <w:textAlignment w:val="baseline"/>
                    <w:rPr>
                      <w:sz w:val="21"/>
                      <w:szCs w:val="21"/>
                    </w:rPr>
                  </w:pPr>
                  <w:r>
                    <w:rPr>
                      <w:sz w:val="21"/>
                      <w:szCs w:val="21"/>
                    </w:rPr>
                    <w:t>原料区、堆放</w:t>
                  </w:r>
                </w:p>
              </w:tc>
              <w:tc>
                <w:tcPr>
                  <w:tcW w:w="1436" w:type="pct"/>
                  <w:vAlign w:val="center"/>
                </w:tcPr>
                <w:p w14:paraId="5A7C1DC7">
                  <w:pPr>
                    <w:autoSpaceDE w:val="0"/>
                    <w:autoSpaceDN w:val="0"/>
                    <w:adjustRightInd w:val="0"/>
                    <w:snapToGrid w:val="0"/>
                    <w:spacing w:line="240" w:lineRule="auto"/>
                    <w:ind w:firstLine="0" w:firstLineChars="0"/>
                    <w:textAlignment w:val="baseline"/>
                    <w:rPr>
                      <w:sz w:val="21"/>
                      <w:szCs w:val="21"/>
                    </w:rPr>
                  </w:pPr>
                  <w:r>
                    <w:rPr>
                      <w:sz w:val="21"/>
                      <w:szCs w:val="21"/>
                    </w:rPr>
                    <w:t>2440mm*1220mm*</w:t>
                  </w:r>
                  <w:r>
                    <w:rPr>
                      <w:rFonts w:hint="eastAsia"/>
                      <w:sz w:val="21"/>
                      <w:szCs w:val="21"/>
                    </w:rPr>
                    <w:t>18</w:t>
                  </w:r>
                  <w:r>
                    <w:rPr>
                      <w:sz w:val="21"/>
                      <w:szCs w:val="21"/>
                    </w:rPr>
                    <w:t>mm</w:t>
                  </w:r>
                </w:p>
              </w:tc>
            </w:tr>
            <w:tr w14:paraId="5AA70A1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right"/>
              </w:trPr>
              <w:tc>
                <w:tcPr>
                  <w:tcW w:w="475" w:type="pct"/>
                  <w:vMerge w:val="continue"/>
                  <w:vAlign w:val="center"/>
                </w:tcPr>
                <w:p w14:paraId="2234E5A6">
                  <w:pPr>
                    <w:autoSpaceDE w:val="0"/>
                    <w:autoSpaceDN w:val="0"/>
                    <w:adjustRightInd w:val="0"/>
                    <w:snapToGrid w:val="0"/>
                    <w:spacing w:line="240" w:lineRule="auto"/>
                    <w:ind w:firstLine="0" w:firstLineChars="0"/>
                    <w:jc w:val="center"/>
                    <w:textAlignment w:val="baseline"/>
                    <w:rPr>
                      <w:sz w:val="21"/>
                      <w:szCs w:val="21"/>
                    </w:rPr>
                  </w:pPr>
                </w:p>
              </w:tc>
              <w:tc>
                <w:tcPr>
                  <w:tcW w:w="285" w:type="pct"/>
                  <w:vAlign w:val="center"/>
                </w:tcPr>
                <w:p w14:paraId="625AE8F8">
                  <w:pPr>
                    <w:autoSpaceDE w:val="0"/>
                    <w:autoSpaceDN w:val="0"/>
                    <w:adjustRightInd w:val="0"/>
                    <w:snapToGrid w:val="0"/>
                    <w:spacing w:line="240" w:lineRule="auto"/>
                    <w:ind w:firstLine="0" w:firstLineChars="0"/>
                    <w:jc w:val="center"/>
                    <w:textAlignment w:val="baseline"/>
                    <w:rPr>
                      <w:sz w:val="21"/>
                      <w:szCs w:val="21"/>
                    </w:rPr>
                  </w:pPr>
                  <w:r>
                    <w:rPr>
                      <w:rFonts w:hint="eastAsia"/>
                      <w:sz w:val="21"/>
                      <w:szCs w:val="21"/>
                    </w:rPr>
                    <w:t>2</w:t>
                  </w:r>
                </w:p>
              </w:tc>
              <w:tc>
                <w:tcPr>
                  <w:tcW w:w="741" w:type="pct"/>
                  <w:vAlign w:val="center"/>
                </w:tcPr>
                <w:p w14:paraId="54A85FDD">
                  <w:pPr>
                    <w:adjustRightInd w:val="0"/>
                    <w:spacing w:line="240" w:lineRule="auto"/>
                    <w:ind w:firstLine="0" w:firstLineChars="0"/>
                    <w:jc w:val="center"/>
                    <w:rPr>
                      <w:sz w:val="21"/>
                      <w:szCs w:val="21"/>
                    </w:rPr>
                  </w:pPr>
                  <w:r>
                    <w:rPr>
                      <w:rFonts w:hint="eastAsia"/>
                      <w:sz w:val="21"/>
                      <w:szCs w:val="21"/>
                    </w:rPr>
                    <w:t>封边胶</w:t>
                  </w:r>
                </w:p>
              </w:tc>
              <w:tc>
                <w:tcPr>
                  <w:tcW w:w="490" w:type="pct"/>
                  <w:vAlign w:val="center"/>
                </w:tcPr>
                <w:p w14:paraId="5A727F18">
                  <w:pPr>
                    <w:autoSpaceDE w:val="0"/>
                    <w:autoSpaceDN w:val="0"/>
                    <w:adjustRightInd w:val="0"/>
                    <w:snapToGrid w:val="0"/>
                    <w:spacing w:line="240" w:lineRule="auto"/>
                    <w:ind w:firstLine="0" w:firstLineChars="0"/>
                    <w:jc w:val="center"/>
                    <w:textAlignment w:val="baseline"/>
                    <w:rPr>
                      <w:sz w:val="21"/>
                      <w:szCs w:val="21"/>
                    </w:rPr>
                  </w:pPr>
                  <w:r>
                    <w:rPr>
                      <w:sz w:val="21"/>
                      <w:szCs w:val="21"/>
                    </w:rPr>
                    <w:t>t</w:t>
                  </w:r>
                </w:p>
              </w:tc>
              <w:tc>
                <w:tcPr>
                  <w:tcW w:w="813" w:type="pct"/>
                  <w:vAlign w:val="center"/>
                </w:tcPr>
                <w:p w14:paraId="7582A571">
                  <w:pPr>
                    <w:adjustRightInd w:val="0"/>
                    <w:spacing w:line="240" w:lineRule="auto"/>
                    <w:ind w:firstLine="0" w:firstLineChars="0"/>
                    <w:jc w:val="center"/>
                    <w:rPr>
                      <w:sz w:val="21"/>
                      <w:szCs w:val="21"/>
                    </w:rPr>
                  </w:pPr>
                  <w:r>
                    <w:rPr>
                      <w:rFonts w:hint="eastAsia"/>
                      <w:sz w:val="21"/>
                      <w:szCs w:val="21"/>
                    </w:rPr>
                    <w:t>2</w:t>
                  </w:r>
                </w:p>
              </w:tc>
              <w:tc>
                <w:tcPr>
                  <w:tcW w:w="760" w:type="pct"/>
                  <w:vAlign w:val="center"/>
                </w:tcPr>
                <w:p w14:paraId="3011C535">
                  <w:pPr>
                    <w:autoSpaceDE w:val="0"/>
                    <w:autoSpaceDN w:val="0"/>
                    <w:adjustRightInd w:val="0"/>
                    <w:snapToGrid w:val="0"/>
                    <w:spacing w:line="240" w:lineRule="auto"/>
                    <w:ind w:firstLine="0" w:firstLineChars="0"/>
                    <w:jc w:val="center"/>
                    <w:textAlignment w:val="baseline"/>
                    <w:rPr>
                      <w:sz w:val="21"/>
                      <w:szCs w:val="21"/>
                    </w:rPr>
                  </w:pPr>
                  <w:r>
                    <w:rPr>
                      <w:rFonts w:hint="eastAsia"/>
                      <w:sz w:val="21"/>
                      <w:szCs w:val="21"/>
                    </w:rPr>
                    <w:t>包装桶</w:t>
                  </w:r>
                </w:p>
              </w:tc>
              <w:tc>
                <w:tcPr>
                  <w:tcW w:w="1436" w:type="pct"/>
                  <w:vAlign w:val="center"/>
                </w:tcPr>
                <w:p w14:paraId="34C73E1F">
                  <w:pPr>
                    <w:autoSpaceDE w:val="0"/>
                    <w:autoSpaceDN w:val="0"/>
                    <w:adjustRightInd w:val="0"/>
                    <w:snapToGrid w:val="0"/>
                    <w:spacing w:line="240" w:lineRule="auto"/>
                    <w:ind w:firstLine="0" w:firstLineChars="0"/>
                    <w:textAlignment w:val="baseline"/>
                    <w:rPr>
                      <w:sz w:val="21"/>
                      <w:szCs w:val="21"/>
                    </w:rPr>
                  </w:pPr>
                </w:p>
              </w:tc>
            </w:tr>
            <w:tr w14:paraId="3060C57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right"/>
              </w:trPr>
              <w:tc>
                <w:tcPr>
                  <w:tcW w:w="475" w:type="pct"/>
                  <w:vMerge w:val="continue"/>
                  <w:vAlign w:val="center"/>
                </w:tcPr>
                <w:p w14:paraId="553C1F74">
                  <w:pPr>
                    <w:autoSpaceDE w:val="0"/>
                    <w:autoSpaceDN w:val="0"/>
                    <w:adjustRightInd w:val="0"/>
                    <w:snapToGrid w:val="0"/>
                    <w:spacing w:line="240" w:lineRule="auto"/>
                    <w:ind w:firstLine="0" w:firstLineChars="0"/>
                    <w:jc w:val="center"/>
                    <w:textAlignment w:val="baseline"/>
                    <w:rPr>
                      <w:sz w:val="21"/>
                      <w:szCs w:val="21"/>
                    </w:rPr>
                  </w:pPr>
                </w:p>
              </w:tc>
              <w:tc>
                <w:tcPr>
                  <w:tcW w:w="285" w:type="pct"/>
                  <w:vAlign w:val="center"/>
                </w:tcPr>
                <w:p w14:paraId="7E8F76F5">
                  <w:pPr>
                    <w:autoSpaceDE w:val="0"/>
                    <w:autoSpaceDN w:val="0"/>
                    <w:adjustRightInd w:val="0"/>
                    <w:snapToGrid w:val="0"/>
                    <w:spacing w:line="240" w:lineRule="auto"/>
                    <w:ind w:firstLine="0" w:firstLineChars="0"/>
                    <w:jc w:val="center"/>
                    <w:textAlignment w:val="baseline"/>
                    <w:rPr>
                      <w:sz w:val="21"/>
                      <w:szCs w:val="21"/>
                    </w:rPr>
                  </w:pPr>
                  <w:r>
                    <w:rPr>
                      <w:rFonts w:hint="eastAsia"/>
                      <w:sz w:val="21"/>
                      <w:szCs w:val="21"/>
                    </w:rPr>
                    <w:t>3</w:t>
                  </w:r>
                </w:p>
              </w:tc>
              <w:tc>
                <w:tcPr>
                  <w:tcW w:w="741" w:type="pct"/>
                  <w:vAlign w:val="center"/>
                </w:tcPr>
                <w:p w14:paraId="60D3A2B1">
                  <w:pPr>
                    <w:adjustRightInd w:val="0"/>
                    <w:spacing w:line="240" w:lineRule="auto"/>
                    <w:ind w:firstLine="0" w:firstLineChars="0"/>
                    <w:jc w:val="center"/>
                    <w:rPr>
                      <w:sz w:val="21"/>
                      <w:szCs w:val="21"/>
                    </w:rPr>
                  </w:pPr>
                  <w:r>
                    <w:rPr>
                      <w:rFonts w:hint="eastAsia"/>
                      <w:sz w:val="21"/>
                      <w:szCs w:val="21"/>
                    </w:rPr>
                    <w:t>五金</w:t>
                  </w:r>
                </w:p>
              </w:tc>
              <w:tc>
                <w:tcPr>
                  <w:tcW w:w="490" w:type="pct"/>
                  <w:vAlign w:val="center"/>
                </w:tcPr>
                <w:p w14:paraId="32154CB9">
                  <w:pPr>
                    <w:autoSpaceDE w:val="0"/>
                    <w:autoSpaceDN w:val="0"/>
                    <w:adjustRightInd w:val="0"/>
                    <w:snapToGrid w:val="0"/>
                    <w:spacing w:line="240" w:lineRule="auto"/>
                    <w:ind w:firstLine="0" w:firstLineChars="0"/>
                    <w:jc w:val="center"/>
                    <w:textAlignment w:val="baseline"/>
                    <w:rPr>
                      <w:sz w:val="21"/>
                      <w:szCs w:val="21"/>
                    </w:rPr>
                  </w:pPr>
                  <w:r>
                    <w:rPr>
                      <w:rFonts w:hint="eastAsia"/>
                      <w:sz w:val="21"/>
                      <w:szCs w:val="21"/>
                    </w:rPr>
                    <w:t>/</w:t>
                  </w:r>
                </w:p>
              </w:tc>
              <w:tc>
                <w:tcPr>
                  <w:tcW w:w="813" w:type="pct"/>
                  <w:vAlign w:val="center"/>
                </w:tcPr>
                <w:p w14:paraId="762D28AD">
                  <w:pPr>
                    <w:adjustRightInd w:val="0"/>
                    <w:spacing w:line="240" w:lineRule="auto"/>
                    <w:ind w:firstLine="0" w:firstLineChars="0"/>
                    <w:jc w:val="center"/>
                    <w:rPr>
                      <w:sz w:val="21"/>
                      <w:szCs w:val="21"/>
                    </w:rPr>
                  </w:pPr>
                  <w:r>
                    <w:rPr>
                      <w:rFonts w:hint="eastAsia"/>
                      <w:sz w:val="21"/>
                      <w:szCs w:val="21"/>
                    </w:rPr>
                    <w:t>若干</w:t>
                  </w:r>
                </w:p>
              </w:tc>
              <w:tc>
                <w:tcPr>
                  <w:tcW w:w="760" w:type="pct"/>
                  <w:vAlign w:val="center"/>
                </w:tcPr>
                <w:p w14:paraId="3D7E5C06">
                  <w:pPr>
                    <w:autoSpaceDE w:val="0"/>
                    <w:autoSpaceDN w:val="0"/>
                    <w:adjustRightInd w:val="0"/>
                    <w:snapToGrid w:val="0"/>
                    <w:spacing w:line="240" w:lineRule="auto"/>
                    <w:ind w:firstLine="0" w:firstLineChars="0"/>
                    <w:jc w:val="center"/>
                    <w:textAlignment w:val="baseline"/>
                    <w:rPr>
                      <w:sz w:val="21"/>
                      <w:szCs w:val="21"/>
                    </w:rPr>
                  </w:pPr>
                  <w:r>
                    <w:rPr>
                      <w:sz w:val="21"/>
                      <w:szCs w:val="21"/>
                    </w:rPr>
                    <w:t>原料区、</w:t>
                  </w:r>
                  <w:r>
                    <w:rPr>
                      <w:rFonts w:hint="eastAsia"/>
                      <w:sz w:val="21"/>
                      <w:szCs w:val="21"/>
                    </w:rPr>
                    <w:t>包装盒</w:t>
                  </w:r>
                </w:p>
              </w:tc>
              <w:tc>
                <w:tcPr>
                  <w:tcW w:w="1436" w:type="pct"/>
                  <w:vAlign w:val="center"/>
                </w:tcPr>
                <w:p w14:paraId="339D30AA">
                  <w:pPr>
                    <w:autoSpaceDE w:val="0"/>
                    <w:autoSpaceDN w:val="0"/>
                    <w:adjustRightInd w:val="0"/>
                    <w:snapToGrid w:val="0"/>
                    <w:spacing w:line="240" w:lineRule="auto"/>
                    <w:ind w:firstLine="0" w:firstLineChars="0"/>
                    <w:textAlignment w:val="baseline"/>
                    <w:rPr>
                      <w:sz w:val="21"/>
                      <w:szCs w:val="21"/>
                    </w:rPr>
                  </w:pPr>
                  <w:r>
                    <w:rPr>
                      <w:sz w:val="21"/>
                      <w:szCs w:val="21"/>
                    </w:rPr>
                    <w:t>用于</w:t>
                  </w:r>
                  <w:r>
                    <w:rPr>
                      <w:rFonts w:hint="eastAsia"/>
                      <w:sz w:val="21"/>
                      <w:szCs w:val="21"/>
                    </w:rPr>
                    <w:t>木材封边</w:t>
                  </w:r>
                </w:p>
              </w:tc>
            </w:tr>
            <w:tr w14:paraId="6ED327F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right"/>
              </w:trPr>
              <w:tc>
                <w:tcPr>
                  <w:tcW w:w="475" w:type="pct"/>
                  <w:vMerge w:val="restart"/>
                  <w:vAlign w:val="center"/>
                </w:tcPr>
                <w:p w14:paraId="0B847306">
                  <w:pPr>
                    <w:autoSpaceDE w:val="0"/>
                    <w:autoSpaceDN w:val="0"/>
                    <w:adjustRightInd w:val="0"/>
                    <w:snapToGrid w:val="0"/>
                    <w:spacing w:line="240" w:lineRule="auto"/>
                    <w:ind w:firstLine="0" w:firstLineChars="0"/>
                    <w:jc w:val="center"/>
                    <w:textAlignment w:val="baseline"/>
                    <w:rPr>
                      <w:sz w:val="21"/>
                      <w:szCs w:val="21"/>
                    </w:rPr>
                  </w:pPr>
                  <w:r>
                    <w:rPr>
                      <w:sz w:val="21"/>
                      <w:szCs w:val="21"/>
                    </w:rPr>
                    <w:t>能源</w:t>
                  </w:r>
                </w:p>
              </w:tc>
              <w:tc>
                <w:tcPr>
                  <w:tcW w:w="285" w:type="pct"/>
                  <w:vAlign w:val="center"/>
                </w:tcPr>
                <w:p w14:paraId="733D6C44">
                  <w:pPr>
                    <w:autoSpaceDE w:val="0"/>
                    <w:autoSpaceDN w:val="0"/>
                    <w:adjustRightInd w:val="0"/>
                    <w:snapToGrid w:val="0"/>
                    <w:spacing w:line="240" w:lineRule="auto"/>
                    <w:ind w:firstLine="0" w:firstLineChars="0"/>
                    <w:jc w:val="center"/>
                    <w:textAlignment w:val="baseline"/>
                    <w:rPr>
                      <w:sz w:val="21"/>
                      <w:szCs w:val="21"/>
                    </w:rPr>
                  </w:pPr>
                  <w:r>
                    <w:rPr>
                      <w:sz w:val="21"/>
                      <w:szCs w:val="21"/>
                    </w:rPr>
                    <w:t>1</w:t>
                  </w:r>
                </w:p>
              </w:tc>
              <w:tc>
                <w:tcPr>
                  <w:tcW w:w="741" w:type="pct"/>
                  <w:vAlign w:val="center"/>
                </w:tcPr>
                <w:p w14:paraId="166F6AA9">
                  <w:pPr>
                    <w:autoSpaceDE w:val="0"/>
                    <w:autoSpaceDN w:val="0"/>
                    <w:adjustRightInd w:val="0"/>
                    <w:snapToGrid w:val="0"/>
                    <w:spacing w:line="240" w:lineRule="auto"/>
                    <w:ind w:firstLine="0" w:firstLineChars="0"/>
                    <w:jc w:val="center"/>
                    <w:textAlignment w:val="baseline"/>
                    <w:rPr>
                      <w:sz w:val="21"/>
                      <w:szCs w:val="21"/>
                    </w:rPr>
                  </w:pPr>
                  <w:r>
                    <w:rPr>
                      <w:rFonts w:hint="eastAsia"/>
                      <w:sz w:val="21"/>
                      <w:szCs w:val="21"/>
                    </w:rPr>
                    <w:t>水</w:t>
                  </w:r>
                </w:p>
              </w:tc>
              <w:tc>
                <w:tcPr>
                  <w:tcW w:w="490" w:type="pct"/>
                  <w:vAlign w:val="center"/>
                </w:tcPr>
                <w:p w14:paraId="4B5B95E8">
                  <w:pPr>
                    <w:autoSpaceDE w:val="0"/>
                    <w:autoSpaceDN w:val="0"/>
                    <w:adjustRightInd w:val="0"/>
                    <w:snapToGrid w:val="0"/>
                    <w:spacing w:line="240" w:lineRule="auto"/>
                    <w:ind w:firstLine="0" w:firstLineChars="0"/>
                    <w:jc w:val="center"/>
                    <w:textAlignment w:val="baseline"/>
                    <w:rPr>
                      <w:sz w:val="21"/>
                      <w:szCs w:val="21"/>
                    </w:rPr>
                  </w:pPr>
                  <w:r>
                    <w:rPr>
                      <w:iCs/>
                      <w:sz w:val="21"/>
                      <w:szCs w:val="21"/>
                    </w:rPr>
                    <w:t>m</w:t>
                  </w:r>
                  <w:r>
                    <w:rPr>
                      <w:iCs/>
                      <w:sz w:val="21"/>
                      <w:szCs w:val="21"/>
                      <w:vertAlign w:val="superscript"/>
                    </w:rPr>
                    <w:t>3</w:t>
                  </w:r>
                </w:p>
              </w:tc>
              <w:tc>
                <w:tcPr>
                  <w:tcW w:w="813" w:type="pct"/>
                  <w:vAlign w:val="center"/>
                </w:tcPr>
                <w:p w14:paraId="1392CE2F">
                  <w:pPr>
                    <w:adjustRightInd w:val="0"/>
                    <w:spacing w:line="240" w:lineRule="auto"/>
                    <w:ind w:firstLine="0" w:firstLineChars="0"/>
                    <w:jc w:val="center"/>
                    <w:rPr>
                      <w:sz w:val="21"/>
                      <w:szCs w:val="21"/>
                    </w:rPr>
                  </w:pPr>
                  <w:r>
                    <w:rPr>
                      <w:rFonts w:hint="eastAsia"/>
                      <w:sz w:val="21"/>
                      <w:szCs w:val="21"/>
                    </w:rPr>
                    <w:t>1200</w:t>
                  </w:r>
                </w:p>
              </w:tc>
              <w:tc>
                <w:tcPr>
                  <w:tcW w:w="760" w:type="pct"/>
                  <w:vAlign w:val="center"/>
                </w:tcPr>
                <w:p w14:paraId="01FC9FF1">
                  <w:pPr>
                    <w:autoSpaceDE w:val="0"/>
                    <w:autoSpaceDN w:val="0"/>
                    <w:adjustRightInd w:val="0"/>
                    <w:snapToGrid w:val="0"/>
                    <w:spacing w:line="240" w:lineRule="auto"/>
                    <w:ind w:firstLine="0" w:firstLineChars="0"/>
                    <w:jc w:val="center"/>
                    <w:textAlignment w:val="baseline"/>
                    <w:rPr>
                      <w:sz w:val="21"/>
                      <w:szCs w:val="21"/>
                    </w:rPr>
                  </w:pPr>
                </w:p>
              </w:tc>
              <w:tc>
                <w:tcPr>
                  <w:tcW w:w="1436" w:type="pct"/>
                  <w:vAlign w:val="center"/>
                </w:tcPr>
                <w:p w14:paraId="5390A33C">
                  <w:pPr>
                    <w:autoSpaceDE w:val="0"/>
                    <w:autoSpaceDN w:val="0"/>
                    <w:adjustRightInd w:val="0"/>
                    <w:snapToGrid w:val="0"/>
                    <w:spacing w:line="240" w:lineRule="auto"/>
                    <w:ind w:firstLine="0" w:firstLineChars="0"/>
                    <w:jc w:val="center"/>
                    <w:textAlignment w:val="baseline"/>
                    <w:rPr>
                      <w:sz w:val="21"/>
                      <w:szCs w:val="21"/>
                    </w:rPr>
                  </w:pPr>
                  <w:r>
                    <w:rPr>
                      <w:rFonts w:hint="eastAsia"/>
                      <w:sz w:val="21"/>
                      <w:szCs w:val="21"/>
                    </w:rPr>
                    <w:t>市政</w:t>
                  </w:r>
                </w:p>
              </w:tc>
            </w:tr>
            <w:tr w14:paraId="3254082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right"/>
              </w:trPr>
              <w:tc>
                <w:tcPr>
                  <w:tcW w:w="475" w:type="pct"/>
                  <w:vMerge w:val="continue"/>
                  <w:vAlign w:val="center"/>
                </w:tcPr>
                <w:p w14:paraId="35B1002E">
                  <w:pPr>
                    <w:autoSpaceDE w:val="0"/>
                    <w:autoSpaceDN w:val="0"/>
                    <w:adjustRightInd w:val="0"/>
                    <w:snapToGrid w:val="0"/>
                    <w:spacing w:line="240" w:lineRule="auto"/>
                    <w:ind w:firstLine="0" w:firstLineChars="0"/>
                    <w:jc w:val="center"/>
                    <w:textAlignment w:val="baseline"/>
                    <w:rPr>
                      <w:sz w:val="21"/>
                      <w:szCs w:val="21"/>
                    </w:rPr>
                  </w:pPr>
                </w:p>
              </w:tc>
              <w:tc>
                <w:tcPr>
                  <w:tcW w:w="285" w:type="pct"/>
                  <w:vAlign w:val="center"/>
                </w:tcPr>
                <w:p w14:paraId="6260A945">
                  <w:pPr>
                    <w:autoSpaceDE w:val="0"/>
                    <w:autoSpaceDN w:val="0"/>
                    <w:adjustRightInd w:val="0"/>
                    <w:snapToGrid w:val="0"/>
                    <w:spacing w:line="240" w:lineRule="auto"/>
                    <w:ind w:firstLine="0" w:firstLineChars="0"/>
                    <w:jc w:val="center"/>
                    <w:textAlignment w:val="baseline"/>
                    <w:rPr>
                      <w:sz w:val="21"/>
                      <w:szCs w:val="21"/>
                    </w:rPr>
                  </w:pPr>
                  <w:r>
                    <w:rPr>
                      <w:sz w:val="21"/>
                      <w:szCs w:val="21"/>
                    </w:rPr>
                    <w:t>2</w:t>
                  </w:r>
                </w:p>
              </w:tc>
              <w:tc>
                <w:tcPr>
                  <w:tcW w:w="741" w:type="pct"/>
                  <w:vAlign w:val="center"/>
                </w:tcPr>
                <w:p w14:paraId="314A9DA0">
                  <w:pPr>
                    <w:autoSpaceDE w:val="0"/>
                    <w:autoSpaceDN w:val="0"/>
                    <w:adjustRightInd w:val="0"/>
                    <w:snapToGrid w:val="0"/>
                    <w:spacing w:line="240" w:lineRule="auto"/>
                    <w:ind w:firstLine="0" w:firstLineChars="0"/>
                    <w:jc w:val="center"/>
                    <w:textAlignment w:val="baseline"/>
                    <w:rPr>
                      <w:sz w:val="21"/>
                      <w:szCs w:val="21"/>
                    </w:rPr>
                  </w:pPr>
                  <w:r>
                    <w:rPr>
                      <w:sz w:val="21"/>
                      <w:szCs w:val="21"/>
                    </w:rPr>
                    <w:t>电</w:t>
                  </w:r>
                </w:p>
              </w:tc>
              <w:tc>
                <w:tcPr>
                  <w:tcW w:w="490" w:type="pct"/>
                  <w:vAlign w:val="center"/>
                </w:tcPr>
                <w:p w14:paraId="168DC9A3">
                  <w:pPr>
                    <w:autoSpaceDE w:val="0"/>
                    <w:autoSpaceDN w:val="0"/>
                    <w:adjustRightInd w:val="0"/>
                    <w:snapToGrid w:val="0"/>
                    <w:spacing w:line="240" w:lineRule="auto"/>
                    <w:ind w:firstLine="0" w:firstLineChars="0"/>
                    <w:jc w:val="center"/>
                    <w:textAlignment w:val="baseline"/>
                    <w:rPr>
                      <w:sz w:val="21"/>
                      <w:szCs w:val="21"/>
                    </w:rPr>
                  </w:pPr>
                  <w:r>
                    <w:rPr>
                      <w:sz w:val="21"/>
                      <w:szCs w:val="21"/>
                    </w:rPr>
                    <w:t>万kwh</w:t>
                  </w:r>
                </w:p>
              </w:tc>
              <w:tc>
                <w:tcPr>
                  <w:tcW w:w="813" w:type="pct"/>
                  <w:vAlign w:val="center"/>
                </w:tcPr>
                <w:p w14:paraId="587D22C4">
                  <w:pPr>
                    <w:autoSpaceDE w:val="0"/>
                    <w:autoSpaceDN w:val="0"/>
                    <w:adjustRightInd w:val="0"/>
                    <w:snapToGrid w:val="0"/>
                    <w:spacing w:line="240" w:lineRule="auto"/>
                    <w:ind w:firstLine="0" w:firstLineChars="0"/>
                    <w:jc w:val="center"/>
                    <w:textAlignment w:val="baseline"/>
                    <w:rPr>
                      <w:sz w:val="21"/>
                      <w:szCs w:val="21"/>
                    </w:rPr>
                  </w:pPr>
                  <w:r>
                    <w:rPr>
                      <w:rFonts w:hint="eastAsia"/>
                      <w:sz w:val="21"/>
                      <w:szCs w:val="21"/>
                    </w:rPr>
                    <w:t>6</w:t>
                  </w:r>
                </w:p>
              </w:tc>
              <w:tc>
                <w:tcPr>
                  <w:tcW w:w="760" w:type="pct"/>
                  <w:vAlign w:val="center"/>
                </w:tcPr>
                <w:p w14:paraId="53ABAE04">
                  <w:pPr>
                    <w:autoSpaceDE w:val="0"/>
                    <w:autoSpaceDN w:val="0"/>
                    <w:adjustRightInd w:val="0"/>
                    <w:snapToGrid w:val="0"/>
                    <w:spacing w:line="240" w:lineRule="auto"/>
                    <w:ind w:firstLine="0" w:firstLineChars="0"/>
                    <w:jc w:val="center"/>
                    <w:textAlignment w:val="baseline"/>
                    <w:rPr>
                      <w:sz w:val="21"/>
                      <w:szCs w:val="21"/>
                    </w:rPr>
                  </w:pPr>
                  <w:r>
                    <w:rPr>
                      <w:sz w:val="21"/>
                      <w:szCs w:val="21"/>
                    </w:rPr>
                    <w:t>/</w:t>
                  </w:r>
                </w:p>
              </w:tc>
              <w:tc>
                <w:tcPr>
                  <w:tcW w:w="1436" w:type="pct"/>
                  <w:vAlign w:val="center"/>
                </w:tcPr>
                <w:p w14:paraId="7C3FB01B">
                  <w:pPr>
                    <w:autoSpaceDE w:val="0"/>
                    <w:autoSpaceDN w:val="0"/>
                    <w:adjustRightInd w:val="0"/>
                    <w:snapToGrid w:val="0"/>
                    <w:spacing w:line="240" w:lineRule="auto"/>
                    <w:ind w:firstLine="0" w:firstLineChars="0"/>
                    <w:jc w:val="center"/>
                    <w:textAlignment w:val="baseline"/>
                    <w:rPr>
                      <w:sz w:val="21"/>
                      <w:szCs w:val="21"/>
                    </w:rPr>
                  </w:pPr>
                  <w:r>
                    <w:rPr>
                      <w:rFonts w:hint="eastAsia"/>
                      <w:sz w:val="21"/>
                      <w:szCs w:val="21"/>
                    </w:rPr>
                    <w:t>市政</w:t>
                  </w:r>
                </w:p>
              </w:tc>
            </w:tr>
            <w:tr w14:paraId="238A3FB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right"/>
              </w:trPr>
              <w:tc>
                <w:tcPr>
                  <w:tcW w:w="475" w:type="pct"/>
                  <w:vMerge w:val="continue"/>
                  <w:vAlign w:val="center"/>
                </w:tcPr>
                <w:p w14:paraId="5CC97BE2">
                  <w:pPr>
                    <w:autoSpaceDE w:val="0"/>
                    <w:autoSpaceDN w:val="0"/>
                    <w:adjustRightInd w:val="0"/>
                    <w:snapToGrid w:val="0"/>
                    <w:spacing w:line="240" w:lineRule="auto"/>
                    <w:ind w:firstLine="0" w:firstLineChars="0"/>
                    <w:jc w:val="center"/>
                    <w:textAlignment w:val="baseline"/>
                    <w:rPr>
                      <w:sz w:val="21"/>
                      <w:szCs w:val="21"/>
                    </w:rPr>
                  </w:pPr>
                </w:p>
              </w:tc>
              <w:tc>
                <w:tcPr>
                  <w:tcW w:w="285" w:type="pct"/>
                  <w:vAlign w:val="center"/>
                </w:tcPr>
                <w:p w14:paraId="38A28463">
                  <w:pPr>
                    <w:autoSpaceDE w:val="0"/>
                    <w:autoSpaceDN w:val="0"/>
                    <w:adjustRightInd w:val="0"/>
                    <w:snapToGrid w:val="0"/>
                    <w:spacing w:line="240" w:lineRule="auto"/>
                    <w:ind w:firstLine="0" w:firstLineChars="0"/>
                    <w:jc w:val="center"/>
                    <w:textAlignment w:val="baseline"/>
                    <w:rPr>
                      <w:sz w:val="21"/>
                      <w:szCs w:val="21"/>
                    </w:rPr>
                  </w:pPr>
                  <w:r>
                    <w:rPr>
                      <w:sz w:val="21"/>
                      <w:szCs w:val="21"/>
                    </w:rPr>
                    <w:t>3</w:t>
                  </w:r>
                </w:p>
              </w:tc>
              <w:tc>
                <w:tcPr>
                  <w:tcW w:w="741" w:type="pct"/>
                  <w:vAlign w:val="center"/>
                </w:tcPr>
                <w:p w14:paraId="4DBDAA66">
                  <w:pPr>
                    <w:autoSpaceDE w:val="0"/>
                    <w:autoSpaceDN w:val="0"/>
                    <w:adjustRightInd w:val="0"/>
                    <w:snapToGrid w:val="0"/>
                    <w:spacing w:line="240" w:lineRule="auto"/>
                    <w:ind w:firstLine="0" w:firstLineChars="0"/>
                    <w:jc w:val="center"/>
                    <w:textAlignment w:val="baseline"/>
                    <w:rPr>
                      <w:sz w:val="21"/>
                      <w:szCs w:val="21"/>
                    </w:rPr>
                  </w:pPr>
                  <w:r>
                    <w:rPr>
                      <w:sz w:val="21"/>
                      <w:szCs w:val="21"/>
                    </w:rPr>
                    <w:t>天然气</w:t>
                  </w:r>
                </w:p>
              </w:tc>
              <w:tc>
                <w:tcPr>
                  <w:tcW w:w="490" w:type="pct"/>
                  <w:vAlign w:val="center"/>
                </w:tcPr>
                <w:p w14:paraId="003EDC22">
                  <w:pPr>
                    <w:autoSpaceDE w:val="0"/>
                    <w:autoSpaceDN w:val="0"/>
                    <w:adjustRightInd w:val="0"/>
                    <w:snapToGrid w:val="0"/>
                    <w:spacing w:line="240" w:lineRule="auto"/>
                    <w:ind w:firstLine="0" w:firstLineChars="0"/>
                    <w:jc w:val="center"/>
                    <w:textAlignment w:val="baseline"/>
                    <w:rPr>
                      <w:sz w:val="21"/>
                      <w:szCs w:val="21"/>
                    </w:rPr>
                  </w:pPr>
                  <w:r>
                    <w:rPr>
                      <w:iCs/>
                      <w:sz w:val="21"/>
                      <w:szCs w:val="21"/>
                    </w:rPr>
                    <w:t>万Nm</w:t>
                  </w:r>
                  <w:r>
                    <w:rPr>
                      <w:iCs/>
                      <w:sz w:val="21"/>
                      <w:szCs w:val="21"/>
                      <w:vertAlign w:val="superscript"/>
                    </w:rPr>
                    <w:t>3</w:t>
                  </w:r>
                </w:p>
              </w:tc>
              <w:tc>
                <w:tcPr>
                  <w:tcW w:w="813" w:type="pct"/>
                  <w:vAlign w:val="center"/>
                </w:tcPr>
                <w:p w14:paraId="068FA600">
                  <w:pPr>
                    <w:autoSpaceDE w:val="0"/>
                    <w:autoSpaceDN w:val="0"/>
                    <w:adjustRightInd w:val="0"/>
                    <w:snapToGrid w:val="0"/>
                    <w:spacing w:line="240" w:lineRule="auto"/>
                    <w:ind w:firstLine="0" w:firstLineChars="0"/>
                    <w:jc w:val="center"/>
                    <w:textAlignment w:val="baseline"/>
                    <w:rPr>
                      <w:rFonts w:hint="eastAsia"/>
                      <w:sz w:val="21"/>
                      <w:szCs w:val="21"/>
                    </w:rPr>
                  </w:pPr>
                  <w:r>
                    <w:rPr>
                      <w:rFonts w:hint="eastAsia"/>
                      <w:bCs/>
                      <w:sz w:val="21"/>
                      <w:szCs w:val="21"/>
                    </w:rPr>
                    <w:t>0</w:t>
                  </w:r>
                </w:p>
              </w:tc>
              <w:tc>
                <w:tcPr>
                  <w:tcW w:w="760" w:type="pct"/>
                  <w:vAlign w:val="center"/>
                </w:tcPr>
                <w:p w14:paraId="4FDFF078">
                  <w:pPr>
                    <w:autoSpaceDE w:val="0"/>
                    <w:autoSpaceDN w:val="0"/>
                    <w:adjustRightInd w:val="0"/>
                    <w:snapToGrid w:val="0"/>
                    <w:spacing w:line="240" w:lineRule="auto"/>
                    <w:ind w:firstLine="0" w:firstLineChars="0"/>
                    <w:jc w:val="center"/>
                    <w:textAlignment w:val="baseline"/>
                    <w:rPr>
                      <w:sz w:val="21"/>
                      <w:szCs w:val="21"/>
                    </w:rPr>
                  </w:pPr>
                  <w:r>
                    <w:rPr>
                      <w:sz w:val="21"/>
                      <w:szCs w:val="21"/>
                    </w:rPr>
                    <w:t>/</w:t>
                  </w:r>
                </w:p>
              </w:tc>
              <w:tc>
                <w:tcPr>
                  <w:tcW w:w="1436" w:type="pct"/>
                  <w:vAlign w:val="center"/>
                </w:tcPr>
                <w:p w14:paraId="5D1902B8">
                  <w:pPr>
                    <w:autoSpaceDE w:val="0"/>
                    <w:autoSpaceDN w:val="0"/>
                    <w:adjustRightInd w:val="0"/>
                    <w:snapToGrid w:val="0"/>
                    <w:spacing w:line="240" w:lineRule="auto"/>
                    <w:ind w:firstLine="0" w:firstLineChars="0"/>
                    <w:jc w:val="center"/>
                    <w:textAlignment w:val="baseline"/>
                    <w:rPr>
                      <w:sz w:val="21"/>
                      <w:szCs w:val="21"/>
                    </w:rPr>
                  </w:pPr>
                  <w:r>
                    <w:rPr>
                      <w:rFonts w:hint="eastAsia"/>
                      <w:sz w:val="21"/>
                      <w:szCs w:val="21"/>
                    </w:rPr>
                    <w:t>市政</w:t>
                  </w:r>
                </w:p>
              </w:tc>
            </w:tr>
          </w:tbl>
          <w:p w14:paraId="09BAEE0E">
            <w:pPr>
              <w:ind w:firstLine="241" w:firstLineChars="100"/>
              <w:rPr>
                <w:b/>
              </w:rPr>
            </w:pPr>
            <w:r>
              <w:rPr>
                <w:b/>
                <w:bCs/>
              </w:rPr>
              <w:t>四、</w:t>
            </w:r>
            <w:r>
              <w:rPr>
                <w:rFonts w:hint="eastAsia"/>
                <w:b/>
              </w:rPr>
              <w:t>原有</w:t>
            </w:r>
            <w:r>
              <w:rPr>
                <w:b/>
              </w:rPr>
              <w:t>项目</w:t>
            </w:r>
            <w:r>
              <w:rPr>
                <w:rFonts w:hint="eastAsia"/>
                <w:b/>
              </w:rPr>
              <w:t>污染物</w:t>
            </w:r>
            <w:r>
              <w:rPr>
                <w:b/>
              </w:rPr>
              <w:t>产生与</w:t>
            </w:r>
            <w:r>
              <w:rPr>
                <w:b/>
                <w:bCs/>
              </w:rPr>
              <w:t>治理措施</w:t>
            </w:r>
          </w:p>
          <w:p w14:paraId="634B46C1">
            <w:pPr>
              <w:ind w:firstLine="241" w:firstLineChars="100"/>
              <w:rPr>
                <w:b/>
                <w:bCs/>
              </w:rPr>
            </w:pPr>
            <w:r>
              <w:rPr>
                <w:b/>
                <w:bCs/>
              </w:rPr>
              <w:t>4.1废水产生及治理措施</w:t>
            </w:r>
          </w:p>
          <w:p w14:paraId="59E658BE">
            <w:pPr>
              <w:autoSpaceDE w:val="0"/>
              <w:autoSpaceDN w:val="0"/>
              <w:adjustRightInd w:val="0"/>
              <w:ind w:firstLine="480"/>
              <w:jc w:val="left"/>
              <w:rPr>
                <w:bCs/>
                <w:kern w:val="21"/>
              </w:rPr>
            </w:pPr>
            <w:r>
              <w:rPr>
                <w:rFonts w:hint="eastAsia"/>
              </w:rPr>
              <w:t>原有项目运营期间无生产废水产生，厂区内不设置员工住宿，不提供员工食宿。废水主要是员工</w:t>
            </w:r>
            <w:r>
              <w:t>办公、生活污水</w:t>
            </w:r>
            <w:r>
              <w:rPr>
                <w:rFonts w:hint="eastAsia"/>
              </w:rPr>
              <w:t>，</w:t>
            </w:r>
            <w:r>
              <w:t>来自</w:t>
            </w:r>
            <w:r>
              <w:rPr>
                <w:rFonts w:hint="eastAsia"/>
              </w:rPr>
              <w:t>办公区域</w:t>
            </w:r>
            <w:r>
              <w:t>的生活污水。这类污水含有一定浓度的有机物。</w:t>
            </w:r>
            <w:r>
              <w:rPr>
                <w:bCs/>
                <w:kern w:val="21"/>
              </w:rPr>
              <w:t>根据《排放源统计调查产排污核算方法和系数手册》（环境部公告2021年第24号）中《生活污染源产排污系数手册》及《水处理工程师手册》（化学工业出版社）中的方法进行估算，生活污水水质为COD：325mg/L、BOD</w:t>
            </w:r>
            <w:r>
              <w:rPr>
                <w:bCs/>
                <w:kern w:val="21"/>
                <w:vertAlign w:val="subscript"/>
              </w:rPr>
              <w:t>5</w:t>
            </w:r>
            <w:r>
              <w:rPr>
                <w:bCs/>
                <w:kern w:val="21"/>
              </w:rPr>
              <w:t>：150mg/L、SS：200mg/L、NH</w:t>
            </w:r>
            <w:r>
              <w:rPr>
                <w:bCs/>
                <w:kern w:val="21"/>
                <w:vertAlign w:val="subscript"/>
              </w:rPr>
              <w:t>3</w:t>
            </w:r>
            <w:r>
              <w:rPr>
                <w:bCs/>
                <w:kern w:val="21"/>
              </w:rPr>
              <w:t>-N：25mg/L、TP：4mg/L</w:t>
            </w:r>
            <w:r>
              <w:rPr>
                <w:rFonts w:hint="eastAsia"/>
                <w:bCs/>
                <w:kern w:val="21"/>
              </w:rPr>
              <w:t>、</w:t>
            </w:r>
            <w:r>
              <w:rPr>
                <w:bCs/>
                <w:kern w:val="21"/>
              </w:rPr>
              <w:t>T</w:t>
            </w:r>
            <w:r>
              <w:rPr>
                <w:rFonts w:hint="eastAsia"/>
                <w:bCs/>
                <w:kern w:val="21"/>
              </w:rPr>
              <w:t>N</w:t>
            </w:r>
            <w:r>
              <w:rPr>
                <w:bCs/>
                <w:kern w:val="21"/>
              </w:rPr>
              <w:t>：4</w:t>
            </w:r>
            <w:r>
              <w:rPr>
                <w:rFonts w:hint="eastAsia"/>
                <w:bCs/>
                <w:kern w:val="21"/>
              </w:rPr>
              <w:t>9</w:t>
            </w:r>
            <w:r>
              <w:rPr>
                <w:bCs/>
                <w:kern w:val="21"/>
              </w:rPr>
              <w:t>mg/L；</w:t>
            </w:r>
          </w:p>
          <w:p w14:paraId="74E749D0">
            <w:pPr>
              <w:adjustRightInd w:val="0"/>
              <w:snapToGrid w:val="0"/>
              <w:spacing w:line="480" w:lineRule="exact"/>
              <w:ind w:firstLine="480"/>
              <w:rPr>
                <w:rFonts w:cs="Times New Roman"/>
                <w:szCs w:val="21"/>
              </w:rPr>
            </w:pPr>
            <w:r>
              <w:rPr>
                <w:rFonts w:cs="Times New Roman"/>
                <w:szCs w:val="21"/>
              </w:rPr>
              <w:t>①生活用水</w:t>
            </w:r>
          </w:p>
          <w:p w14:paraId="680793C4">
            <w:pPr>
              <w:ind w:firstLine="480"/>
              <w:rPr>
                <w:bCs/>
              </w:rPr>
            </w:pPr>
            <w:r>
              <w:rPr>
                <w:rFonts w:cs="Times New Roman"/>
              </w:rPr>
              <w:t>项目劳动定员</w:t>
            </w:r>
            <w:r>
              <w:rPr>
                <w:rFonts w:hint="eastAsia" w:cs="Times New Roman"/>
              </w:rPr>
              <w:t>40</w:t>
            </w:r>
            <w:r>
              <w:rPr>
                <w:rFonts w:cs="Times New Roman"/>
              </w:rPr>
              <w:t>人，</w:t>
            </w:r>
            <w:r>
              <w:rPr>
                <w:rFonts w:cs="Times New Roman"/>
                <w:szCs w:val="21"/>
              </w:rPr>
              <w:t>厂区内不设</w:t>
            </w:r>
            <w:r>
              <w:rPr>
                <w:rFonts w:hint="eastAsia" w:cs="Times New Roman"/>
                <w:szCs w:val="21"/>
              </w:rPr>
              <w:t>住宿</w:t>
            </w:r>
            <w:r>
              <w:rPr>
                <w:rFonts w:cs="Times New Roman"/>
                <w:szCs w:val="21"/>
              </w:rPr>
              <w:t>，</w:t>
            </w:r>
            <w:r>
              <w:rPr>
                <w:rFonts w:hint="eastAsia" w:cs="Times New Roman"/>
                <w:szCs w:val="21"/>
              </w:rPr>
              <w:t>不提供餐食，</w:t>
            </w:r>
            <w:r>
              <w:rPr>
                <w:rFonts w:cs="Times New Roman"/>
                <w:szCs w:val="21"/>
              </w:rPr>
              <w:t>生活用水量参照《四川省用水定额》（川府函〔2021〕8号），用水定额为100L/人·天，年工作300天，则用水量共计4m</w:t>
            </w:r>
            <w:r>
              <w:rPr>
                <w:rFonts w:cs="Times New Roman"/>
                <w:szCs w:val="21"/>
                <w:vertAlign w:val="superscript"/>
              </w:rPr>
              <w:t>3</w:t>
            </w:r>
            <w:r>
              <w:rPr>
                <w:rFonts w:cs="Times New Roman"/>
                <w:szCs w:val="21"/>
              </w:rPr>
              <w:t>/d（1200m</w:t>
            </w:r>
            <w:r>
              <w:rPr>
                <w:rFonts w:cs="Times New Roman"/>
                <w:szCs w:val="21"/>
                <w:vertAlign w:val="superscript"/>
              </w:rPr>
              <w:t>3</w:t>
            </w:r>
            <w:r>
              <w:rPr>
                <w:rFonts w:cs="Times New Roman"/>
                <w:szCs w:val="21"/>
              </w:rPr>
              <w:t>/a）</w:t>
            </w:r>
            <w:r>
              <w:rPr>
                <w:rFonts w:cs="Times New Roman"/>
                <w:kern w:val="0"/>
                <w:szCs w:val="21"/>
              </w:rPr>
              <w:t>。</w:t>
            </w:r>
            <w:r>
              <w:rPr>
                <w:rFonts w:hint="eastAsia"/>
                <w:bCs/>
              </w:rPr>
              <w:t>排水系数按90%计</w:t>
            </w:r>
            <w:r>
              <w:rPr>
                <w:bCs/>
              </w:rPr>
              <w:t>。</w:t>
            </w:r>
          </w:p>
          <w:p w14:paraId="05BCB2EE">
            <w:pPr>
              <w:pStyle w:val="17"/>
              <w:spacing w:after="0"/>
              <w:ind w:leftChars="175" w:firstLine="198" w:firstLineChars="82"/>
              <w:rPr>
                <w:b/>
                <w:bCs/>
              </w:rPr>
            </w:pPr>
            <w:r>
              <w:rPr>
                <w:rFonts w:hint="eastAsia"/>
                <w:b/>
                <w:bCs/>
              </w:rPr>
              <w:t>②废水</w:t>
            </w:r>
            <w:r>
              <w:rPr>
                <w:b/>
                <w:bCs/>
              </w:rPr>
              <w:t>已采取的治理措施及达标情况：</w:t>
            </w:r>
          </w:p>
          <w:p w14:paraId="3328F714">
            <w:pPr>
              <w:ind w:firstLine="480"/>
              <w:rPr>
                <w:rFonts w:cs="Times New Roman"/>
                <w:szCs w:val="21"/>
              </w:rPr>
            </w:pPr>
            <w:r>
              <w:rPr>
                <w:rFonts w:hint="eastAsia"/>
                <w:szCs w:val="24"/>
              </w:rPr>
              <w:t>办公区员工</w:t>
            </w:r>
            <w:r>
              <w:rPr>
                <w:szCs w:val="24"/>
              </w:rPr>
              <w:t>生活污水经</w:t>
            </w:r>
            <w:r>
              <w:rPr>
                <w:rFonts w:hint="eastAsia"/>
                <w:szCs w:val="24"/>
              </w:rPr>
              <w:t>厂区</w:t>
            </w:r>
            <w:r>
              <w:rPr>
                <w:szCs w:val="24"/>
              </w:rPr>
              <w:t>预处理池预处理后，排入</w:t>
            </w:r>
            <w:r>
              <w:rPr>
                <w:rFonts w:cs="Times New Roman"/>
                <w:bCs/>
                <w:kern w:val="0"/>
                <w:szCs w:val="24"/>
              </w:rPr>
              <w:t>经开区</w:t>
            </w:r>
            <w:r>
              <w:rPr>
                <w:szCs w:val="24"/>
              </w:rPr>
              <w:t>市政污水管网</w:t>
            </w:r>
            <w:r>
              <w:rPr>
                <w:rFonts w:hint="eastAsia"/>
                <w:szCs w:val="24"/>
              </w:rPr>
              <w:t>，</w:t>
            </w:r>
            <w:r>
              <w:rPr>
                <w:rFonts w:hint="eastAsia" w:cs="Times New Roman"/>
                <w:bCs/>
                <w:kern w:val="0"/>
                <w:szCs w:val="24"/>
              </w:rPr>
              <w:t>送至</w:t>
            </w:r>
            <w:r>
              <w:rPr>
                <w:rFonts w:cs="Times New Roman"/>
                <w:bCs/>
                <w:kern w:val="0"/>
                <w:szCs w:val="24"/>
              </w:rPr>
              <w:t>巴中经开区污水处理厂</w:t>
            </w:r>
            <w:r>
              <w:rPr>
                <w:rFonts w:hint="eastAsia" w:cs="Times New Roman"/>
                <w:bCs/>
                <w:kern w:val="0"/>
                <w:szCs w:val="24"/>
              </w:rPr>
              <w:t>进一步</w:t>
            </w:r>
            <w:r>
              <w:rPr>
                <w:rFonts w:cs="Times New Roman"/>
                <w:bCs/>
                <w:kern w:val="0"/>
                <w:szCs w:val="24"/>
              </w:rPr>
              <w:t>处理达到</w:t>
            </w:r>
            <w:r>
              <w:rPr>
                <w:rFonts w:hint="eastAsia" w:cs="Times New Roman"/>
                <w:bCs/>
                <w:kern w:val="0"/>
                <w:szCs w:val="24"/>
              </w:rPr>
              <w:t>《城镇污水处理厂污染物排放标准》（</w:t>
            </w:r>
            <w:r>
              <w:rPr>
                <w:rFonts w:cs="Times New Roman"/>
                <w:bCs/>
                <w:kern w:val="0"/>
                <w:szCs w:val="24"/>
              </w:rPr>
              <w:t>GB18918-2002</w:t>
            </w:r>
            <w:r>
              <w:rPr>
                <w:rFonts w:hint="eastAsia" w:cs="Times New Roman"/>
                <w:bCs/>
                <w:kern w:val="0"/>
                <w:szCs w:val="24"/>
              </w:rPr>
              <w:t>）一级</w:t>
            </w:r>
            <w:r>
              <w:rPr>
                <w:rFonts w:cs="Times New Roman"/>
                <w:bCs/>
                <w:kern w:val="0"/>
                <w:szCs w:val="24"/>
              </w:rPr>
              <w:t>A</w:t>
            </w:r>
            <w:r>
              <w:rPr>
                <w:rFonts w:cs="Times New Roman"/>
                <w:bCs/>
              </w:rPr>
              <w:t>标准</w:t>
            </w:r>
            <w:r>
              <w:rPr>
                <w:rFonts w:cs="Times New Roman"/>
                <w:bCs/>
                <w:kern w:val="0"/>
                <w:szCs w:val="24"/>
              </w:rPr>
              <w:t>，最终排入巴河。</w:t>
            </w:r>
            <w:r>
              <w:rPr>
                <w:rFonts w:hint="eastAsia" w:cs="Times New Roman"/>
                <w:szCs w:val="21"/>
              </w:rPr>
              <w:t>现行废水处理措施可行。</w:t>
            </w:r>
          </w:p>
          <w:p w14:paraId="459B90F5">
            <w:pPr>
              <w:adjustRightInd w:val="0"/>
              <w:snapToGrid w:val="0"/>
              <w:spacing w:line="480" w:lineRule="exact"/>
              <w:ind w:firstLine="480"/>
              <w:outlineLvl w:val="0"/>
              <w:rPr>
                <w:rFonts w:cs="Times New Roman"/>
                <w:bCs/>
                <w:kern w:val="0"/>
                <w:szCs w:val="24"/>
              </w:rPr>
            </w:pPr>
            <w:r>
              <w:rPr>
                <w:rFonts w:hint="eastAsia" w:cs="Times New Roman"/>
                <w:bCs/>
                <w:kern w:val="0"/>
                <w:szCs w:val="24"/>
              </w:rPr>
              <w:t>原有</w:t>
            </w:r>
            <w:r>
              <w:rPr>
                <w:rFonts w:cs="Times New Roman"/>
                <w:bCs/>
                <w:kern w:val="0"/>
                <w:szCs w:val="24"/>
              </w:rPr>
              <w:t>项目废水污染物产生、治理及排放情况详见表4-</w:t>
            </w:r>
            <w:r>
              <w:rPr>
                <w:rFonts w:hint="eastAsia" w:cs="Times New Roman"/>
                <w:bCs/>
                <w:kern w:val="0"/>
                <w:szCs w:val="24"/>
              </w:rPr>
              <w:t>4</w:t>
            </w:r>
            <w:r>
              <w:rPr>
                <w:rFonts w:cs="Times New Roman"/>
                <w:bCs/>
                <w:kern w:val="0"/>
                <w:szCs w:val="24"/>
              </w:rPr>
              <w:t>所示。</w:t>
            </w:r>
          </w:p>
          <w:p w14:paraId="7C14E6E9">
            <w:pPr>
              <w:autoSpaceDE w:val="0"/>
              <w:autoSpaceDN w:val="0"/>
              <w:adjustRightInd w:val="0"/>
              <w:spacing w:line="400" w:lineRule="exact"/>
              <w:ind w:firstLine="0" w:firstLineChars="0"/>
              <w:jc w:val="center"/>
              <w:rPr>
                <w:rFonts w:cs="Times New Roman"/>
                <w:b/>
                <w:kern w:val="0"/>
                <w:sz w:val="21"/>
                <w:szCs w:val="21"/>
              </w:rPr>
            </w:pPr>
            <w:r>
              <w:rPr>
                <w:rFonts w:cs="Times New Roman"/>
                <w:b/>
                <w:kern w:val="0"/>
                <w:sz w:val="21"/>
                <w:szCs w:val="21"/>
              </w:rPr>
              <w:t>表</w:t>
            </w:r>
            <w:r>
              <w:rPr>
                <w:rFonts w:hint="eastAsia" w:cs="Times New Roman"/>
                <w:b/>
                <w:kern w:val="0"/>
                <w:sz w:val="21"/>
                <w:szCs w:val="21"/>
              </w:rPr>
              <w:t>2-12</w:t>
            </w:r>
            <w:r>
              <w:rPr>
                <w:rFonts w:cs="Times New Roman"/>
                <w:b/>
                <w:kern w:val="0"/>
                <w:sz w:val="21"/>
                <w:szCs w:val="21"/>
              </w:rPr>
              <w:t xml:space="preserve">  废水污染物产生、排放情况一览表</w:t>
            </w:r>
          </w:p>
          <w:tbl>
            <w:tblPr>
              <w:tblStyle w:val="33"/>
              <w:tblW w:w="4952"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204"/>
              <w:gridCol w:w="1526"/>
              <w:gridCol w:w="883"/>
              <w:gridCol w:w="895"/>
              <w:gridCol w:w="825"/>
              <w:gridCol w:w="795"/>
              <w:gridCol w:w="870"/>
              <w:gridCol w:w="830"/>
            </w:tblGrid>
            <w:tr w14:paraId="1873E20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110" w:type="pct"/>
                  <w:gridSpan w:val="2"/>
                  <w:vAlign w:val="center"/>
                </w:tcPr>
                <w:p w14:paraId="48EB65AA">
                  <w:pPr>
                    <w:spacing w:line="360" w:lineRule="exact"/>
                    <w:ind w:firstLine="0" w:firstLineChars="0"/>
                    <w:jc w:val="center"/>
                    <w:rPr>
                      <w:rFonts w:cs="Times New Roman"/>
                      <w:b/>
                      <w:bCs/>
                      <w:sz w:val="21"/>
                      <w:szCs w:val="21"/>
                    </w:rPr>
                  </w:pPr>
                  <w:r>
                    <w:rPr>
                      <w:rFonts w:cs="Times New Roman"/>
                      <w:b/>
                      <w:bCs/>
                      <w:sz w:val="21"/>
                      <w:szCs w:val="21"/>
                    </w:rPr>
                    <w:t>废水</w:t>
                  </w:r>
                </w:p>
              </w:tc>
              <w:tc>
                <w:tcPr>
                  <w:tcW w:w="500" w:type="pct"/>
                  <w:vAlign w:val="center"/>
                </w:tcPr>
                <w:p w14:paraId="09A80FB1">
                  <w:pPr>
                    <w:spacing w:line="360" w:lineRule="exact"/>
                    <w:ind w:firstLine="0" w:firstLineChars="0"/>
                    <w:jc w:val="center"/>
                    <w:rPr>
                      <w:rFonts w:cs="Times New Roman"/>
                      <w:b/>
                      <w:bCs/>
                      <w:sz w:val="21"/>
                      <w:szCs w:val="21"/>
                    </w:rPr>
                  </w:pPr>
                  <w:r>
                    <w:rPr>
                      <w:rFonts w:cs="Times New Roman"/>
                      <w:b/>
                      <w:bCs/>
                      <w:sz w:val="21"/>
                      <w:szCs w:val="21"/>
                    </w:rPr>
                    <w:t>COD</w:t>
                  </w:r>
                </w:p>
              </w:tc>
              <w:tc>
                <w:tcPr>
                  <w:tcW w:w="507" w:type="pct"/>
                  <w:vAlign w:val="center"/>
                </w:tcPr>
                <w:p w14:paraId="0F6EA01E">
                  <w:pPr>
                    <w:spacing w:line="360" w:lineRule="exact"/>
                    <w:ind w:firstLine="0" w:firstLineChars="0"/>
                    <w:jc w:val="center"/>
                    <w:rPr>
                      <w:rFonts w:cs="Times New Roman"/>
                      <w:b/>
                      <w:bCs/>
                      <w:sz w:val="21"/>
                      <w:szCs w:val="21"/>
                    </w:rPr>
                  </w:pPr>
                  <w:r>
                    <w:rPr>
                      <w:rFonts w:cs="Times New Roman"/>
                      <w:b/>
                      <w:bCs/>
                      <w:sz w:val="21"/>
                      <w:szCs w:val="21"/>
                    </w:rPr>
                    <w:t>NH</w:t>
                  </w:r>
                  <w:r>
                    <w:rPr>
                      <w:rFonts w:cs="Times New Roman"/>
                      <w:b/>
                      <w:bCs/>
                      <w:sz w:val="21"/>
                      <w:szCs w:val="21"/>
                      <w:vertAlign w:val="subscript"/>
                    </w:rPr>
                    <w:t>3</w:t>
                  </w:r>
                  <w:r>
                    <w:rPr>
                      <w:rFonts w:cs="Times New Roman"/>
                      <w:b/>
                      <w:bCs/>
                      <w:sz w:val="21"/>
                      <w:szCs w:val="21"/>
                    </w:rPr>
                    <w:t>-N</w:t>
                  </w:r>
                </w:p>
              </w:tc>
              <w:tc>
                <w:tcPr>
                  <w:tcW w:w="467" w:type="pct"/>
                  <w:vAlign w:val="center"/>
                </w:tcPr>
                <w:p w14:paraId="220155D3">
                  <w:pPr>
                    <w:spacing w:line="360" w:lineRule="exact"/>
                    <w:ind w:firstLine="0" w:firstLineChars="0"/>
                    <w:jc w:val="center"/>
                    <w:rPr>
                      <w:rFonts w:cs="Times New Roman"/>
                      <w:b/>
                      <w:bCs/>
                      <w:sz w:val="21"/>
                      <w:szCs w:val="21"/>
                    </w:rPr>
                  </w:pPr>
                  <w:r>
                    <w:rPr>
                      <w:rFonts w:cs="Times New Roman"/>
                      <w:b/>
                      <w:bCs/>
                      <w:sz w:val="21"/>
                      <w:szCs w:val="21"/>
                    </w:rPr>
                    <w:t>BOD</w:t>
                  </w:r>
                  <w:r>
                    <w:rPr>
                      <w:rFonts w:cs="Times New Roman"/>
                      <w:b/>
                      <w:bCs/>
                      <w:sz w:val="21"/>
                      <w:szCs w:val="21"/>
                      <w:vertAlign w:val="subscript"/>
                    </w:rPr>
                    <w:t>5</w:t>
                  </w:r>
                </w:p>
              </w:tc>
              <w:tc>
                <w:tcPr>
                  <w:tcW w:w="450" w:type="pct"/>
                  <w:vAlign w:val="center"/>
                </w:tcPr>
                <w:p w14:paraId="2846389A">
                  <w:pPr>
                    <w:spacing w:line="360" w:lineRule="exact"/>
                    <w:ind w:firstLine="0" w:firstLineChars="0"/>
                    <w:jc w:val="center"/>
                    <w:rPr>
                      <w:rFonts w:cs="Times New Roman"/>
                      <w:b/>
                      <w:bCs/>
                      <w:sz w:val="21"/>
                      <w:szCs w:val="21"/>
                    </w:rPr>
                  </w:pPr>
                  <w:r>
                    <w:rPr>
                      <w:rFonts w:cs="Times New Roman"/>
                      <w:b/>
                      <w:bCs/>
                      <w:sz w:val="21"/>
                      <w:szCs w:val="21"/>
                    </w:rPr>
                    <w:t>SS</w:t>
                  </w:r>
                </w:p>
              </w:tc>
              <w:tc>
                <w:tcPr>
                  <w:tcW w:w="493" w:type="pct"/>
                  <w:vAlign w:val="center"/>
                </w:tcPr>
                <w:p w14:paraId="28F62139">
                  <w:pPr>
                    <w:spacing w:line="360" w:lineRule="exact"/>
                    <w:ind w:firstLine="0" w:firstLineChars="0"/>
                    <w:jc w:val="center"/>
                    <w:rPr>
                      <w:rFonts w:cs="Times New Roman"/>
                      <w:b/>
                      <w:bCs/>
                      <w:sz w:val="21"/>
                      <w:szCs w:val="21"/>
                    </w:rPr>
                  </w:pPr>
                  <w:r>
                    <w:rPr>
                      <w:rFonts w:cs="Times New Roman"/>
                      <w:b/>
                      <w:bCs/>
                      <w:sz w:val="21"/>
                      <w:szCs w:val="21"/>
                    </w:rPr>
                    <w:t>TP</w:t>
                  </w:r>
                </w:p>
              </w:tc>
              <w:tc>
                <w:tcPr>
                  <w:tcW w:w="470" w:type="pct"/>
                  <w:vAlign w:val="center"/>
                </w:tcPr>
                <w:p w14:paraId="056540CE">
                  <w:pPr>
                    <w:spacing w:line="360" w:lineRule="exact"/>
                    <w:ind w:firstLine="0" w:firstLineChars="0"/>
                    <w:jc w:val="center"/>
                    <w:rPr>
                      <w:rFonts w:cs="Times New Roman"/>
                      <w:b/>
                      <w:bCs/>
                      <w:sz w:val="21"/>
                      <w:szCs w:val="21"/>
                    </w:rPr>
                  </w:pPr>
                  <w:r>
                    <w:rPr>
                      <w:rFonts w:hint="eastAsia" w:cs="Times New Roman"/>
                      <w:b/>
                      <w:bCs/>
                      <w:sz w:val="21"/>
                      <w:szCs w:val="21"/>
                    </w:rPr>
                    <w:t>TN</w:t>
                  </w:r>
                </w:p>
              </w:tc>
            </w:tr>
            <w:tr w14:paraId="7415D2E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47" w:type="pct"/>
                  <w:vMerge w:val="restart"/>
                  <w:vAlign w:val="center"/>
                </w:tcPr>
                <w:p w14:paraId="30B3BD94">
                  <w:pPr>
                    <w:spacing w:line="360" w:lineRule="exact"/>
                    <w:ind w:left="-122" w:leftChars="-51" w:right="-82" w:rightChars="-34" w:firstLine="0" w:firstLineChars="0"/>
                    <w:jc w:val="center"/>
                    <w:rPr>
                      <w:rFonts w:cs="Times New Roman"/>
                      <w:sz w:val="21"/>
                      <w:szCs w:val="21"/>
                    </w:rPr>
                  </w:pPr>
                  <w:r>
                    <w:rPr>
                      <w:rFonts w:cs="Times New Roman"/>
                      <w:sz w:val="21"/>
                      <w:szCs w:val="21"/>
                    </w:rPr>
                    <w:t>处理前（废水量</w:t>
                  </w:r>
                  <w:r>
                    <w:rPr>
                      <w:rFonts w:hint="eastAsia" w:cs="Times New Roman"/>
                      <w:sz w:val="21"/>
                      <w:szCs w:val="21"/>
                    </w:rPr>
                    <w:t>1080</w:t>
                  </w:r>
                  <w:r>
                    <w:rPr>
                      <w:rFonts w:cs="Times New Roman"/>
                      <w:sz w:val="21"/>
                      <w:szCs w:val="21"/>
                    </w:rPr>
                    <w:t>m</w:t>
                  </w:r>
                  <w:r>
                    <w:rPr>
                      <w:rFonts w:cs="Times New Roman"/>
                      <w:sz w:val="21"/>
                      <w:szCs w:val="21"/>
                      <w:vertAlign w:val="superscript"/>
                    </w:rPr>
                    <w:t>3</w:t>
                  </w:r>
                  <w:r>
                    <w:rPr>
                      <w:rFonts w:cs="Times New Roman"/>
                      <w:sz w:val="21"/>
                      <w:szCs w:val="21"/>
                    </w:rPr>
                    <w:t>/a）</w:t>
                  </w:r>
                </w:p>
              </w:tc>
              <w:tc>
                <w:tcPr>
                  <w:tcW w:w="862" w:type="pct"/>
                  <w:vAlign w:val="center"/>
                </w:tcPr>
                <w:p w14:paraId="7A7C9AB9">
                  <w:pPr>
                    <w:spacing w:line="360" w:lineRule="exact"/>
                    <w:ind w:firstLine="0" w:firstLineChars="0"/>
                    <w:jc w:val="center"/>
                    <w:rPr>
                      <w:rFonts w:cs="Times New Roman"/>
                      <w:sz w:val="21"/>
                      <w:szCs w:val="21"/>
                    </w:rPr>
                  </w:pPr>
                  <w:r>
                    <w:rPr>
                      <w:rFonts w:cs="Times New Roman"/>
                      <w:sz w:val="21"/>
                      <w:szCs w:val="21"/>
                    </w:rPr>
                    <w:t>产生浓度mg/L</w:t>
                  </w:r>
                </w:p>
              </w:tc>
              <w:tc>
                <w:tcPr>
                  <w:tcW w:w="500" w:type="pct"/>
                  <w:vAlign w:val="center"/>
                </w:tcPr>
                <w:p w14:paraId="1948A1BF">
                  <w:pPr>
                    <w:spacing w:line="360" w:lineRule="exact"/>
                    <w:ind w:firstLine="0" w:firstLineChars="0"/>
                    <w:jc w:val="center"/>
                    <w:rPr>
                      <w:rFonts w:cs="Times New Roman"/>
                      <w:sz w:val="21"/>
                      <w:szCs w:val="21"/>
                    </w:rPr>
                  </w:pPr>
                  <w:r>
                    <w:rPr>
                      <w:rFonts w:hint="eastAsia" w:cs="Times New Roman"/>
                      <w:sz w:val="21"/>
                      <w:szCs w:val="21"/>
                    </w:rPr>
                    <w:t>325</w:t>
                  </w:r>
                </w:p>
              </w:tc>
              <w:tc>
                <w:tcPr>
                  <w:tcW w:w="507" w:type="pct"/>
                  <w:vAlign w:val="center"/>
                </w:tcPr>
                <w:p w14:paraId="1271DDA7">
                  <w:pPr>
                    <w:spacing w:line="360" w:lineRule="exact"/>
                    <w:ind w:firstLine="0" w:firstLineChars="0"/>
                    <w:jc w:val="center"/>
                    <w:rPr>
                      <w:rFonts w:cs="Times New Roman"/>
                      <w:sz w:val="21"/>
                      <w:szCs w:val="21"/>
                    </w:rPr>
                  </w:pPr>
                  <w:r>
                    <w:rPr>
                      <w:rFonts w:hint="eastAsia" w:cs="Times New Roman"/>
                      <w:sz w:val="21"/>
                      <w:szCs w:val="21"/>
                    </w:rPr>
                    <w:t>25</w:t>
                  </w:r>
                </w:p>
              </w:tc>
              <w:tc>
                <w:tcPr>
                  <w:tcW w:w="467" w:type="pct"/>
                  <w:vAlign w:val="center"/>
                </w:tcPr>
                <w:p w14:paraId="35510B29">
                  <w:pPr>
                    <w:spacing w:line="360" w:lineRule="exact"/>
                    <w:ind w:firstLine="0" w:firstLineChars="0"/>
                    <w:jc w:val="center"/>
                    <w:rPr>
                      <w:rFonts w:cs="Times New Roman"/>
                      <w:sz w:val="21"/>
                      <w:szCs w:val="21"/>
                    </w:rPr>
                  </w:pPr>
                  <w:r>
                    <w:rPr>
                      <w:rFonts w:hint="eastAsia" w:cs="Times New Roman"/>
                      <w:sz w:val="21"/>
                      <w:szCs w:val="21"/>
                    </w:rPr>
                    <w:t>150</w:t>
                  </w:r>
                </w:p>
              </w:tc>
              <w:tc>
                <w:tcPr>
                  <w:tcW w:w="450" w:type="pct"/>
                  <w:vAlign w:val="center"/>
                </w:tcPr>
                <w:p w14:paraId="01260648">
                  <w:pPr>
                    <w:spacing w:line="360" w:lineRule="exact"/>
                    <w:ind w:firstLine="0" w:firstLineChars="0"/>
                    <w:jc w:val="center"/>
                    <w:rPr>
                      <w:rFonts w:cs="Times New Roman"/>
                      <w:sz w:val="21"/>
                      <w:szCs w:val="21"/>
                    </w:rPr>
                  </w:pPr>
                  <w:r>
                    <w:rPr>
                      <w:rFonts w:hint="eastAsia" w:cs="Times New Roman"/>
                      <w:sz w:val="21"/>
                      <w:szCs w:val="21"/>
                    </w:rPr>
                    <w:t>200</w:t>
                  </w:r>
                </w:p>
              </w:tc>
              <w:tc>
                <w:tcPr>
                  <w:tcW w:w="493" w:type="pct"/>
                  <w:vAlign w:val="center"/>
                </w:tcPr>
                <w:p w14:paraId="2ACB983A">
                  <w:pPr>
                    <w:spacing w:line="360" w:lineRule="exact"/>
                    <w:ind w:firstLine="0" w:firstLineChars="0"/>
                    <w:jc w:val="center"/>
                    <w:rPr>
                      <w:rFonts w:cs="Times New Roman"/>
                      <w:sz w:val="21"/>
                      <w:szCs w:val="21"/>
                    </w:rPr>
                  </w:pPr>
                  <w:r>
                    <w:rPr>
                      <w:rFonts w:hint="eastAsia" w:cs="Times New Roman"/>
                      <w:sz w:val="21"/>
                      <w:szCs w:val="21"/>
                    </w:rPr>
                    <w:t>4</w:t>
                  </w:r>
                </w:p>
              </w:tc>
              <w:tc>
                <w:tcPr>
                  <w:tcW w:w="470" w:type="pct"/>
                  <w:vAlign w:val="center"/>
                </w:tcPr>
                <w:p w14:paraId="5F9BB905">
                  <w:pPr>
                    <w:spacing w:line="360" w:lineRule="exact"/>
                    <w:ind w:firstLine="0" w:firstLineChars="0"/>
                    <w:jc w:val="center"/>
                    <w:rPr>
                      <w:rFonts w:cs="Times New Roman"/>
                      <w:sz w:val="21"/>
                      <w:szCs w:val="21"/>
                    </w:rPr>
                  </w:pPr>
                  <w:r>
                    <w:rPr>
                      <w:rFonts w:hint="eastAsia" w:cs="Times New Roman"/>
                      <w:sz w:val="21"/>
                      <w:szCs w:val="21"/>
                    </w:rPr>
                    <w:t>49</w:t>
                  </w:r>
                </w:p>
              </w:tc>
            </w:tr>
            <w:tr w14:paraId="22CD746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47" w:type="pct"/>
                  <w:vMerge w:val="continue"/>
                  <w:vAlign w:val="center"/>
                </w:tcPr>
                <w:p w14:paraId="04483D5D">
                  <w:pPr>
                    <w:spacing w:line="360" w:lineRule="exact"/>
                    <w:ind w:firstLine="0" w:firstLineChars="0"/>
                    <w:jc w:val="center"/>
                    <w:rPr>
                      <w:rFonts w:cs="Times New Roman"/>
                      <w:sz w:val="21"/>
                      <w:szCs w:val="21"/>
                    </w:rPr>
                  </w:pPr>
                </w:p>
              </w:tc>
              <w:tc>
                <w:tcPr>
                  <w:tcW w:w="862" w:type="pct"/>
                  <w:vAlign w:val="center"/>
                </w:tcPr>
                <w:p w14:paraId="6266C5AA">
                  <w:pPr>
                    <w:spacing w:line="360" w:lineRule="exact"/>
                    <w:ind w:firstLine="0" w:firstLineChars="0"/>
                    <w:jc w:val="center"/>
                    <w:rPr>
                      <w:rFonts w:cs="Times New Roman"/>
                      <w:sz w:val="21"/>
                      <w:szCs w:val="21"/>
                    </w:rPr>
                  </w:pPr>
                  <w:r>
                    <w:rPr>
                      <w:rFonts w:cs="Times New Roman"/>
                      <w:sz w:val="21"/>
                      <w:szCs w:val="21"/>
                    </w:rPr>
                    <w:t>产生量t/a</w:t>
                  </w:r>
                </w:p>
              </w:tc>
              <w:tc>
                <w:tcPr>
                  <w:tcW w:w="500" w:type="pct"/>
                  <w:vAlign w:val="bottom"/>
                </w:tcPr>
                <w:p w14:paraId="1BBA0365">
                  <w:pPr>
                    <w:spacing w:line="360" w:lineRule="exact"/>
                    <w:ind w:firstLine="0" w:firstLineChars="0"/>
                    <w:jc w:val="center"/>
                    <w:rPr>
                      <w:rFonts w:cs="Times New Roman"/>
                      <w:sz w:val="21"/>
                      <w:szCs w:val="21"/>
                    </w:rPr>
                  </w:pPr>
                  <w:r>
                    <w:rPr>
                      <w:rFonts w:hint="eastAsia" w:cs="Times New Roman"/>
                      <w:sz w:val="21"/>
                      <w:szCs w:val="21"/>
                    </w:rPr>
                    <w:t xml:space="preserve">0.351 </w:t>
                  </w:r>
                </w:p>
              </w:tc>
              <w:tc>
                <w:tcPr>
                  <w:tcW w:w="507" w:type="pct"/>
                  <w:vAlign w:val="bottom"/>
                </w:tcPr>
                <w:p w14:paraId="4A20FE1A">
                  <w:pPr>
                    <w:spacing w:line="360" w:lineRule="exact"/>
                    <w:ind w:firstLine="0" w:firstLineChars="0"/>
                    <w:jc w:val="center"/>
                    <w:rPr>
                      <w:rFonts w:cs="Times New Roman"/>
                      <w:sz w:val="21"/>
                      <w:szCs w:val="21"/>
                    </w:rPr>
                  </w:pPr>
                  <w:r>
                    <w:rPr>
                      <w:rFonts w:hint="eastAsia" w:cs="Times New Roman"/>
                      <w:sz w:val="21"/>
                      <w:szCs w:val="21"/>
                    </w:rPr>
                    <w:t xml:space="preserve">0.027 </w:t>
                  </w:r>
                </w:p>
              </w:tc>
              <w:tc>
                <w:tcPr>
                  <w:tcW w:w="467" w:type="pct"/>
                  <w:vAlign w:val="bottom"/>
                </w:tcPr>
                <w:p w14:paraId="6EC0FF10">
                  <w:pPr>
                    <w:spacing w:line="360" w:lineRule="exact"/>
                    <w:ind w:firstLine="0" w:firstLineChars="0"/>
                    <w:jc w:val="center"/>
                    <w:rPr>
                      <w:rFonts w:cs="Times New Roman"/>
                      <w:sz w:val="21"/>
                      <w:szCs w:val="21"/>
                    </w:rPr>
                  </w:pPr>
                  <w:r>
                    <w:rPr>
                      <w:rFonts w:hint="eastAsia" w:cs="Times New Roman"/>
                      <w:sz w:val="21"/>
                      <w:szCs w:val="21"/>
                    </w:rPr>
                    <w:t xml:space="preserve">0.162 </w:t>
                  </w:r>
                </w:p>
              </w:tc>
              <w:tc>
                <w:tcPr>
                  <w:tcW w:w="450" w:type="pct"/>
                  <w:vAlign w:val="bottom"/>
                </w:tcPr>
                <w:p w14:paraId="7D05FDEC">
                  <w:pPr>
                    <w:spacing w:line="360" w:lineRule="exact"/>
                    <w:ind w:firstLine="0" w:firstLineChars="0"/>
                    <w:jc w:val="center"/>
                    <w:rPr>
                      <w:rFonts w:cs="Times New Roman"/>
                      <w:sz w:val="21"/>
                      <w:szCs w:val="21"/>
                    </w:rPr>
                  </w:pPr>
                  <w:r>
                    <w:rPr>
                      <w:rFonts w:hint="eastAsia" w:cs="Times New Roman"/>
                      <w:sz w:val="21"/>
                      <w:szCs w:val="21"/>
                    </w:rPr>
                    <w:t xml:space="preserve">0.216 </w:t>
                  </w:r>
                </w:p>
              </w:tc>
              <w:tc>
                <w:tcPr>
                  <w:tcW w:w="493" w:type="pct"/>
                  <w:vAlign w:val="bottom"/>
                </w:tcPr>
                <w:p w14:paraId="69EB4357">
                  <w:pPr>
                    <w:spacing w:line="360" w:lineRule="exact"/>
                    <w:ind w:firstLine="0" w:firstLineChars="0"/>
                    <w:jc w:val="center"/>
                    <w:rPr>
                      <w:rFonts w:cs="Times New Roman"/>
                      <w:sz w:val="21"/>
                      <w:szCs w:val="21"/>
                    </w:rPr>
                  </w:pPr>
                  <w:r>
                    <w:rPr>
                      <w:rFonts w:hint="eastAsia" w:cs="Times New Roman"/>
                      <w:sz w:val="21"/>
                      <w:szCs w:val="21"/>
                    </w:rPr>
                    <w:t xml:space="preserve">0.004 </w:t>
                  </w:r>
                </w:p>
              </w:tc>
              <w:tc>
                <w:tcPr>
                  <w:tcW w:w="470" w:type="pct"/>
                  <w:vAlign w:val="bottom"/>
                </w:tcPr>
                <w:p w14:paraId="01833D25">
                  <w:pPr>
                    <w:spacing w:line="360" w:lineRule="exact"/>
                    <w:ind w:firstLine="0" w:firstLineChars="0"/>
                    <w:jc w:val="center"/>
                    <w:rPr>
                      <w:rFonts w:cs="Times New Roman"/>
                      <w:sz w:val="21"/>
                      <w:szCs w:val="21"/>
                    </w:rPr>
                  </w:pPr>
                  <w:r>
                    <w:rPr>
                      <w:rFonts w:hint="eastAsia" w:cs="Times New Roman"/>
                      <w:sz w:val="21"/>
                      <w:szCs w:val="21"/>
                    </w:rPr>
                    <w:t xml:space="preserve">0.053 </w:t>
                  </w:r>
                </w:p>
              </w:tc>
            </w:tr>
            <w:tr w14:paraId="337B375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1247" w:type="pct"/>
                  <w:vMerge w:val="restart"/>
                  <w:vAlign w:val="center"/>
                </w:tcPr>
                <w:p w14:paraId="3EF87E72">
                  <w:pPr>
                    <w:spacing w:line="360" w:lineRule="exact"/>
                    <w:ind w:firstLine="0" w:firstLineChars="0"/>
                    <w:jc w:val="center"/>
                    <w:rPr>
                      <w:rFonts w:cs="Times New Roman"/>
                      <w:sz w:val="21"/>
                      <w:szCs w:val="21"/>
                    </w:rPr>
                  </w:pPr>
                  <w:r>
                    <w:rPr>
                      <w:rFonts w:cs="Times New Roman"/>
                      <w:sz w:val="21"/>
                      <w:szCs w:val="21"/>
                    </w:rPr>
                    <w:t>预处理池处理后（废水量</w:t>
                  </w:r>
                  <w:r>
                    <w:rPr>
                      <w:rFonts w:hint="eastAsia" w:cs="Times New Roman"/>
                      <w:sz w:val="21"/>
                      <w:szCs w:val="21"/>
                    </w:rPr>
                    <w:t>1080</w:t>
                  </w:r>
                  <w:r>
                    <w:rPr>
                      <w:rFonts w:cs="Times New Roman"/>
                      <w:sz w:val="21"/>
                      <w:szCs w:val="21"/>
                    </w:rPr>
                    <w:t>m</w:t>
                  </w:r>
                  <w:r>
                    <w:rPr>
                      <w:rFonts w:cs="Times New Roman"/>
                      <w:sz w:val="21"/>
                      <w:szCs w:val="21"/>
                      <w:vertAlign w:val="superscript"/>
                    </w:rPr>
                    <w:t>3</w:t>
                  </w:r>
                  <w:r>
                    <w:rPr>
                      <w:rFonts w:cs="Times New Roman"/>
                      <w:sz w:val="21"/>
                      <w:szCs w:val="21"/>
                    </w:rPr>
                    <w:t>/a）</w:t>
                  </w:r>
                </w:p>
              </w:tc>
              <w:tc>
                <w:tcPr>
                  <w:tcW w:w="862" w:type="pct"/>
                  <w:vAlign w:val="center"/>
                </w:tcPr>
                <w:p w14:paraId="5E17C2A0">
                  <w:pPr>
                    <w:spacing w:line="360" w:lineRule="exact"/>
                    <w:ind w:firstLine="0" w:firstLineChars="0"/>
                    <w:jc w:val="center"/>
                    <w:rPr>
                      <w:rFonts w:cs="Times New Roman"/>
                      <w:sz w:val="21"/>
                      <w:szCs w:val="21"/>
                    </w:rPr>
                  </w:pPr>
                  <w:r>
                    <w:rPr>
                      <w:rFonts w:cs="Times New Roman"/>
                      <w:sz w:val="21"/>
                      <w:szCs w:val="21"/>
                    </w:rPr>
                    <w:t>排放浓度mg/L</w:t>
                  </w:r>
                </w:p>
              </w:tc>
              <w:tc>
                <w:tcPr>
                  <w:tcW w:w="500" w:type="pct"/>
                  <w:vAlign w:val="center"/>
                </w:tcPr>
                <w:p w14:paraId="5092692A">
                  <w:pPr>
                    <w:spacing w:line="360" w:lineRule="exact"/>
                    <w:ind w:firstLine="0" w:firstLineChars="0"/>
                    <w:jc w:val="center"/>
                    <w:rPr>
                      <w:rFonts w:cs="Times New Roman"/>
                      <w:sz w:val="21"/>
                      <w:szCs w:val="21"/>
                    </w:rPr>
                  </w:pPr>
                  <w:r>
                    <w:rPr>
                      <w:rFonts w:hint="eastAsia" w:cs="Times New Roman"/>
                      <w:sz w:val="21"/>
                      <w:szCs w:val="21"/>
                    </w:rPr>
                    <w:t>250</w:t>
                  </w:r>
                </w:p>
              </w:tc>
              <w:tc>
                <w:tcPr>
                  <w:tcW w:w="507" w:type="pct"/>
                  <w:vAlign w:val="center"/>
                </w:tcPr>
                <w:p w14:paraId="1BD93F76">
                  <w:pPr>
                    <w:spacing w:line="360" w:lineRule="exact"/>
                    <w:ind w:firstLine="0" w:firstLineChars="0"/>
                    <w:jc w:val="center"/>
                    <w:rPr>
                      <w:rFonts w:cs="Times New Roman"/>
                      <w:sz w:val="21"/>
                      <w:szCs w:val="21"/>
                    </w:rPr>
                  </w:pPr>
                  <w:r>
                    <w:rPr>
                      <w:rFonts w:hint="eastAsia" w:cs="Times New Roman"/>
                      <w:sz w:val="21"/>
                      <w:szCs w:val="21"/>
                    </w:rPr>
                    <w:t>20</w:t>
                  </w:r>
                </w:p>
              </w:tc>
              <w:tc>
                <w:tcPr>
                  <w:tcW w:w="467" w:type="pct"/>
                  <w:vAlign w:val="center"/>
                </w:tcPr>
                <w:p w14:paraId="7864451D">
                  <w:pPr>
                    <w:spacing w:line="360" w:lineRule="exact"/>
                    <w:ind w:firstLine="0" w:firstLineChars="0"/>
                    <w:jc w:val="center"/>
                    <w:rPr>
                      <w:rFonts w:cs="Times New Roman"/>
                      <w:sz w:val="21"/>
                      <w:szCs w:val="21"/>
                    </w:rPr>
                  </w:pPr>
                  <w:r>
                    <w:rPr>
                      <w:rFonts w:hint="eastAsia" w:cs="Times New Roman"/>
                      <w:sz w:val="21"/>
                      <w:szCs w:val="21"/>
                    </w:rPr>
                    <w:t>100</w:t>
                  </w:r>
                </w:p>
              </w:tc>
              <w:tc>
                <w:tcPr>
                  <w:tcW w:w="450" w:type="pct"/>
                  <w:vAlign w:val="center"/>
                </w:tcPr>
                <w:p w14:paraId="39BC7307">
                  <w:pPr>
                    <w:spacing w:line="360" w:lineRule="exact"/>
                    <w:ind w:firstLine="0" w:firstLineChars="0"/>
                    <w:jc w:val="center"/>
                    <w:rPr>
                      <w:rFonts w:cs="Times New Roman"/>
                      <w:sz w:val="21"/>
                      <w:szCs w:val="21"/>
                    </w:rPr>
                  </w:pPr>
                  <w:r>
                    <w:rPr>
                      <w:rFonts w:hint="eastAsia" w:cs="Times New Roman"/>
                      <w:sz w:val="21"/>
                      <w:szCs w:val="21"/>
                    </w:rPr>
                    <w:t>100</w:t>
                  </w:r>
                </w:p>
              </w:tc>
              <w:tc>
                <w:tcPr>
                  <w:tcW w:w="493" w:type="pct"/>
                  <w:vAlign w:val="center"/>
                </w:tcPr>
                <w:p w14:paraId="0D95B960">
                  <w:pPr>
                    <w:spacing w:line="360" w:lineRule="exact"/>
                    <w:ind w:firstLine="0" w:firstLineChars="0"/>
                    <w:jc w:val="center"/>
                    <w:rPr>
                      <w:rFonts w:cs="Times New Roman"/>
                      <w:sz w:val="21"/>
                      <w:szCs w:val="21"/>
                    </w:rPr>
                  </w:pPr>
                  <w:r>
                    <w:rPr>
                      <w:rFonts w:hint="eastAsia" w:cs="Times New Roman"/>
                      <w:sz w:val="21"/>
                      <w:szCs w:val="21"/>
                    </w:rPr>
                    <w:t>3</w:t>
                  </w:r>
                </w:p>
              </w:tc>
              <w:tc>
                <w:tcPr>
                  <w:tcW w:w="470" w:type="pct"/>
                  <w:vAlign w:val="center"/>
                </w:tcPr>
                <w:p w14:paraId="43F54595">
                  <w:pPr>
                    <w:spacing w:line="360" w:lineRule="exact"/>
                    <w:ind w:firstLine="0" w:firstLineChars="0"/>
                    <w:jc w:val="center"/>
                    <w:rPr>
                      <w:rFonts w:cs="Times New Roman"/>
                      <w:sz w:val="21"/>
                      <w:szCs w:val="21"/>
                    </w:rPr>
                  </w:pPr>
                  <w:r>
                    <w:rPr>
                      <w:rFonts w:hint="eastAsia" w:cs="Times New Roman"/>
                      <w:sz w:val="21"/>
                      <w:szCs w:val="21"/>
                    </w:rPr>
                    <w:t>45</w:t>
                  </w:r>
                </w:p>
              </w:tc>
            </w:tr>
            <w:tr w14:paraId="4A0A45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47" w:type="pct"/>
                  <w:vMerge w:val="continue"/>
                  <w:vAlign w:val="center"/>
                </w:tcPr>
                <w:p w14:paraId="19064EF6">
                  <w:pPr>
                    <w:spacing w:line="360" w:lineRule="exact"/>
                    <w:ind w:firstLine="0" w:firstLineChars="0"/>
                    <w:jc w:val="center"/>
                    <w:rPr>
                      <w:rFonts w:cs="Times New Roman"/>
                      <w:sz w:val="21"/>
                      <w:szCs w:val="21"/>
                    </w:rPr>
                  </w:pPr>
                </w:p>
              </w:tc>
              <w:tc>
                <w:tcPr>
                  <w:tcW w:w="862" w:type="pct"/>
                  <w:vAlign w:val="center"/>
                </w:tcPr>
                <w:p w14:paraId="220FE4BF">
                  <w:pPr>
                    <w:spacing w:line="360" w:lineRule="exact"/>
                    <w:ind w:firstLine="0" w:firstLineChars="0"/>
                    <w:jc w:val="center"/>
                    <w:rPr>
                      <w:rFonts w:cs="Times New Roman"/>
                      <w:sz w:val="21"/>
                      <w:szCs w:val="21"/>
                    </w:rPr>
                  </w:pPr>
                  <w:r>
                    <w:rPr>
                      <w:rFonts w:cs="Times New Roman"/>
                      <w:sz w:val="21"/>
                      <w:szCs w:val="21"/>
                    </w:rPr>
                    <w:t>排放量t/a</w:t>
                  </w:r>
                </w:p>
              </w:tc>
              <w:tc>
                <w:tcPr>
                  <w:tcW w:w="500" w:type="pct"/>
                  <w:vAlign w:val="bottom"/>
                </w:tcPr>
                <w:p w14:paraId="56C741C3">
                  <w:pPr>
                    <w:spacing w:line="360" w:lineRule="exact"/>
                    <w:ind w:firstLine="0" w:firstLineChars="0"/>
                    <w:jc w:val="center"/>
                    <w:rPr>
                      <w:rFonts w:cs="Times New Roman"/>
                      <w:sz w:val="21"/>
                      <w:szCs w:val="21"/>
                    </w:rPr>
                  </w:pPr>
                  <w:r>
                    <w:rPr>
                      <w:rFonts w:hint="eastAsia" w:cs="Times New Roman"/>
                      <w:sz w:val="21"/>
                      <w:szCs w:val="21"/>
                    </w:rPr>
                    <w:t xml:space="preserve">0.270 </w:t>
                  </w:r>
                </w:p>
              </w:tc>
              <w:tc>
                <w:tcPr>
                  <w:tcW w:w="507" w:type="pct"/>
                  <w:vAlign w:val="bottom"/>
                </w:tcPr>
                <w:p w14:paraId="3532AF88">
                  <w:pPr>
                    <w:spacing w:line="360" w:lineRule="exact"/>
                    <w:ind w:firstLine="0" w:firstLineChars="0"/>
                    <w:jc w:val="center"/>
                    <w:rPr>
                      <w:rFonts w:cs="Times New Roman"/>
                      <w:sz w:val="21"/>
                      <w:szCs w:val="21"/>
                    </w:rPr>
                  </w:pPr>
                  <w:r>
                    <w:rPr>
                      <w:rFonts w:hint="eastAsia" w:cs="Times New Roman"/>
                      <w:sz w:val="21"/>
                      <w:szCs w:val="21"/>
                    </w:rPr>
                    <w:t xml:space="preserve">0.022 </w:t>
                  </w:r>
                </w:p>
              </w:tc>
              <w:tc>
                <w:tcPr>
                  <w:tcW w:w="467" w:type="pct"/>
                  <w:vAlign w:val="bottom"/>
                </w:tcPr>
                <w:p w14:paraId="7484B823">
                  <w:pPr>
                    <w:spacing w:line="360" w:lineRule="exact"/>
                    <w:ind w:firstLine="0" w:firstLineChars="0"/>
                    <w:jc w:val="center"/>
                    <w:rPr>
                      <w:rFonts w:cs="Times New Roman"/>
                      <w:sz w:val="21"/>
                      <w:szCs w:val="21"/>
                    </w:rPr>
                  </w:pPr>
                  <w:r>
                    <w:rPr>
                      <w:rFonts w:hint="eastAsia" w:cs="Times New Roman"/>
                      <w:sz w:val="21"/>
                      <w:szCs w:val="21"/>
                    </w:rPr>
                    <w:t xml:space="preserve">0.108 </w:t>
                  </w:r>
                </w:p>
              </w:tc>
              <w:tc>
                <w:tcPr>
                  <w:tcW w:w="450" w:type="pct"/>
                  <w:vAlign w:val="bottom"/>
                </w:tcPr>
                <w:p w14:paraId="22991EB6">
                  <w:pPr>
                    <w:spacing w:line="360" w:lineRule="exact"/>
                    <w:ind w:firstLine="0" w:firstLineChars="0"/>
                    <w:jc w:val="center"/>
                    <w:rPr>
                      <w:rFonts w:cs="Times New Roman"/>
                      <w:sz w:val="21"/>
                      <w:szCs w:val="21"/>
                    </w:rPr>
                  </w:pPr>
                  <w:r>
                    <w:rPr>
                      <w:rFonts w:hint="eastAsia" w:cs="Times New Roman"/>
                      <w:sz w:val="21"/>
                      <w:szCs w:val="21"/>
                    </w:rPr>
                    <w:t xml:space="preserve">0.108 </w:t>
                  </w:r>
                </w:p>
              </w:tc>
              <w:tc>
                <w:tcPr>
                  <w:tcW w:w="493" w:type="pct"/>
                  <w:vAlign w:val="bottom"/>
                </w:tcPr>
                <w:p w14:paraId="673BF9AA">
                  <w:pPr>
                    <w:spacing w:line="360" w:lineRule="exact"/>
                    <w:ind w:firstLine="0" w:firstLineChars="0"/>
                    <w:jc w:val="center"/>
                    <w:rPr>
                      <w:rFonts w:cs="Times New Roman"/>
                      <w:sz w:val="21"/>
                      <w:szCs w:val="21"/>
                    </w:rPr>
                  </w:pPr>
                  <w:r>
                    <w:rPr>
                      <w:rFonts w:hint="eastAsia" w:cs="Times New Roman"/>
                      <w:sz w:val="21"/>
                      <w:szCs w:val="21"/>
                    </w:rPr>
                    <w:t xml:space="preserve">0.003 </w:t>
                  </w:r>
                </w:p>
              </w:tc>
              <w:tc>
                <w:tcPr>
                  <w:tcW w:w="470" w:type="pct"/>
                  <w:vAlign w:val="bottom"/>
                </w:tcPr>
                <w:p w14:paraId="02E5EEE4">
                  <w:pPr>
                    <w:spacing w:line="360" w:lineRule="exact"/>
                    <w:ind w:firstLine="0" w:firstLineChars="0"/>
                    <w:jc w:val="center"/>
                    <w:rPr>
                      <w:rFonts w:cs="Times New Roman"/>
                      <w:sz w:val="21"/>
                      <w:szCs w:val="21"/>
                    </w:rPr>
                  </w:pPr>
                  <w:r>
                    <w:rPr>
                      <w:rFonts w:hint="eastAsia" w:cs="Times New Roman"/>
                      <w:sz w:val="21"/>
                      <w:szCs w:val="21"/>
                    </w:rPr>
                    <w:t xml:space="preserve">0.049 </w:t>
                  </w:r>
                </w:p>
              </w:tc>
            </w:tr>
            <w:tr w14:paraId="4BD5F77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88" w:hRule="atLeast"/>
                <w:jc w:val="center"/>
              </w:trPr>
              <w:tc>
                <w:tcPr>
                  <w:tcW w:w="1247" w:type="pct"/>
                  <w:vMerge w:val="restart"/>
                  <w:vAlign w:val="center"/>
                </w:tcPr>
                <w:p w14:paraId="070C6023">
                  <w:pPr>
                    <w:spacing w:line="360" w:lineRule="exact"/>
                    <w:ind w:firstLine="0" w:firstLineChars="0"/>
                    <w:jc w:val="center"/>
                    <w:rPr>
                      <w:rFonts w:cs="Times New Roman"/>
                      <w:sz w:val="21"/>
                      <w:szCs w:val="21"/>
                    </w:rPr>
                  </w:pPr>
                  <w:r>
                    <w:rPr>
                      <w:rFonts w:cs="Times New Roman"/>
                      <w:sz w:val="21"/>
                      <w:szCs w:val="21"/>
                    </w:rPr>
                    <w:t>《污水综合排放标准》（GB8978-1996）三级标准（氨氮、总磷参照《污水排入城镇下水道水质标准》（GB/T 31962-2015））</w:t>
                  </w:r>
                </w:p>
              </w:tc>
              <w:tc>
                <w:tcPr>
                  <w:tcW w:w="862" w:type="pct"/>
                  <w:vAlign w:val="center"/>
                </w:tcPr>
                <w:p w14:paraId="00D0DD36">
                  <w:pPr>
                    <w:spacing w:line="360" w:lineRule="exact"/>
                    <w:ind w:firstLine="0" w:firstLineChars="0"/>
                    <w:jc w:val="center"/>
                    <w:rPr>
                      <w:rFonts w:cs="Times New Roman"/>
                      <w:sz w:val="21"/>
                      <w:szCs w:val="21"/>
                    </w:rPr>
                  </w:pPr>
                  <w:r>
                    <w:rPr>
                      <w:rFonts w:cs="Times New Roman"/>
                      <w:sz w:val="21"/>
                      <w:szCs w:val="21"/>
                    </w:rPr>
                    <w:t>排放浓度mg/L</w:t>
                  </w:r>
                </w:p>
              </w:tc>
              <w:tc>
                <w:tcPr>
                  <w:tcW w:w="500" w:type="pct"/>
                  <w:vAlign w:val="center"/>
                </w:tcPr>
                <w:p w14:paraId="67C30076">
                  <w:pPr>
                    <w:spacing w:line="360" w:lineRule="exact"/>
                    <w:ind w:firstLine="0" w:firstLineChars="0"/>
                    <w:jc w:val="center"/>
                    <w:rPr>
                      <w:rFonts w:cs="Times New Roman"/>
                      <w:sz w:val="21"/>
                      <w:szCs w:val="21"/>
                    </w:rPr>
                  </w:pPr>
                  <w:r>
                    <w:rPr>
                      <w:rFonts w:cs="Times New Roman"/>
                      <w:sz w:val="21"/>
                      <w:szCs w:val="21"/>
                    </w:rPr>
                    <w:t>500</w:t>
                  </w:r>
                </w:p>
              </w:tc>
              <w:tc>
                <w:tcPr>
                  <w:tcW w:w="507" w:type="pct"/>
                  <w:vAlign w:val="center"/>
                </w:tcPr>
                <w:p w14:paraId="3EF59047">
                  <w:pPr>
                    <w:spacing w:line="360" w:lineRule="exact"/>
                    <w:ind w:firstLine="0" w:firstLineChars="0"/>
                    <w:jc w:val="center"/>
                    <w:rPr>
                      <w:rFonts w:cs="Times New Roman"/>
                      <w:sz w:val="21"/>
                      <w:szCs w:val="21"/>
                    </w:rPr>
                  </w:pPr>
                  <w:r>
                    <w:rPr>
                      <w:rFonts w:cs="Times New Roman"/>
                      <w:sz w:val="21"/>
                      <w:szCs w:val="21"/>
                    </w:rPr>
                    <w:t>45</w:t>
                  </w:r>
                </w:p>
              </w:tc>
              <w:tc>
                <w:tcPr>
                  <w:tcW w:w="467" w:type="pct"/>
                  <w:vAlign w:val="center"/>
                </w:tcPr>
                <w:p w14:paraId="6DACB7D3">
                  <w:pPr>
                    <w:spacing w:line="360" w:lineRule="exact"/>
                    <w:ind w:firstLine="0" w:firstLineChars="0"/>
                    <w:jc w:val="center"/>
                    <w:rPr>
                      <w:rFonts w:cs="Times New Roman"/>
                      <w:sz w:val="21"/>
                      <w:szCs w:val="21"/>
                    </w:rPr>
                  </w:pPr>
                  <w:r>
                    <w:rPr>
                      <w:rFonts w:cs="Times New Roman"/>
                      <w:sz w:val="21"/>
                      <w:szCs w:val="21"/>
                    </w:rPr>
                    <w:t>300</w:t>
                  </w:r>
                </w:p>
              </w:tc>
              <w:tc>
                <w:tcPr>
                  <w:tcW w:w="450" w:type="pct"/>
                  <w:vAlign w:val="center"/>
                </w:tcPr>
                <w:p w14:paraId="16151729">
                  <w:pPr>
                    <w:spacing w:line="360" w:lineRule="exact"/>
                    <w:ind w:firstLine="0" w:firstLineChars="0"/>
                    <w:jc w:val="center"/>
                    <w:rPr>
                      <w:rFonts w:cs="Times New Roman"/>
                      <w:sz w:val="21"/>
                      <w:szCs w:val="21"/>
                    </w:rPr>
                  </w:pPr>
                  <w:r>
                    <w:rPr>
                      <w:rFonts w:hint="eastAsia" w:cs="Times New Roman"/>
                      <w:sz w:val="21"/>
                      <w:szCs w:val="21"/>
                    </w:rPr>
                    <w:t>400</w:t>
                  </w:r>
                </w:p>
              </w:tc>
              <w:tc>
                <w:tcPr>
                  <w:tcW w:w="493" w:type="pct"/>
                  <w:vAlign w:val="center"/>
                </w:tcPr>
                <w:p w14:paraId="42263CF6">
                  <w:pPr>
                    <w:spacing w:line="360" w:lineRule="exact"/>
                    <w:ind w:firstLine="0" w:firstLineChars="0"/>
                    <w:jc w:val="center"/>
                    <w:rPr>
                      <w:rFonts w:cs="Times New Roman"/>
                      <w:sz w:val="21"/>
                      <w:szCs w:val="21"/>
                    </w:rPr>
                  </w:pPr>
                  <w:r>
                    <w:rPr>
                      <w:rFonts w:cs="Times New Roman"/>
                      <w:sz w:val="21"/>
                      <w:szCs w:val="21"/>
                    </w:rPr>
                    <w:t>8</w:t>
                  </w:r>
                </w:p>
              </w:tc>
              <w:tc>
                <w:tcPr>
                  <w:tcW w:w="470" w:type="pct"/>
                  <w:vAlign w:val="center"/>
                </w:tcPr>
                <w:p w14:paraId="4FFD84A1">
                  <w:pPr>
                    <w:spacing w:line="360" w:lineRule="exact"/>
                    <w:ind w:firstLine="0" w:firstLineChars="0"/>
                    <w:jc w:val="center"/>
                    <w:rPr>
                      <w:rFonts w:cs="Times New Roman"/>
                      <w:sz w:val="21"/>
                      <w:szCs w:val="21"/>
                    </w:rPr>
                  </w:pPr>
                  <w:r>
                    <w:rPr>
                      <w:rFonts w:hint="eastAsia" w:cs="Times New Roman"/>
                      <w:sz w:val="21"/>
                      <w:szCs w:val="21"/>
                    </w:rPr>
                    <w:t>70</w:t>
                  </w:r>
                </w:p>
              </w:tc>
            </w:tr>
            <w:tr w14:paraId="70B76FB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47" w:type="pct"/>
                  <w:vMerge w:val="continue"/>
                  <w:vAlign w:val="center"/>
                </w:tcPr>
                <w:p w14:paraId="6A838E68">
                  <w:pPr>
                    <w:spacing w:line="360" w:lineRule="exact"/>
                    <w:ind w:firstLine="0" w:firstLineChars="0"/>
                    <w:jc w:val="center"/>
                    <w:rPr>
                      <w:rFonts w:cs="Times New Roman"/>
                      <w:sz w:val="21"/>
                      <w:szCs w:val="21"/>
                    </w:rPr>
                  </w:pPr>
                </w:p>
              </w:tc>
              <w:tc>
                <w:tcPr>
                  <w:tcW w:w="862" w:type="pct"/>
                  <w:vAlign w:val="center"/>
                </w:tcPr>
                <w:p w14:paraId="53FB277D">
                  <w:pPr>
                    <w:spacing w:line="360" w:lineRule="exact"/>
                    <w:ind w:firstLine="0" w:firstLineChars="0"/>
                    <w:jc w:val="center"/>
                    <w:rPr>
                      <w:rFonts w:cs="Times New Roman"/>
                      <w:sz w:val="21"/>
                      <w:szCs w:val="21"/>
                    </w:rPr>
                  </w:pPr>
                  <w:r>
                    <w:rPr>
                      <w:rFonts w:cs="Times New Roman"/>
                      <w:sz w:val="21"/>
                      <w:szCs w:val="21"/>
                    </w:rPr>
                    <w:t>排放量t/a</w:t>
                  </w:r>
                </w:p>
              </w:tc>
              <w:tc>
                <w:tcPr>
                  <w:tcW w:w="500" w:type="pct"/>
                  <w:vAlign w:val="center"/>
                </w:tcPr>
                <w:p w14:paraId="6526BBFA">
                  <w:pPr>
                    <w:spacing w:line="360" w:lineRule="exact"/>
                    <w:ind w:firstLine="0" w:firstLineChars="0"/>
                    <w:jc w:val="center"/>
                    <w:rPr>
                      <w:rFonts w:cs="Times New Roman"/>
                      <w:sz w:val="21"/>
                      <w:szCs w:val="21"/>
                    </w:rPr>
                  </w:pPr>
                  <w:r>
                    <w:rPr>
                      <w:rFonts w:hint="eastAsia" w:cs="Times New Roman"/>
                      <w:sz w:val="21"/>
                      <w:szCs w:val="21"/>
                    </w:rPr>
                    <w:t xml:space="preserve">0.540 </w:t>
                  </w:r>
                </w:p>
              </w:tc>
              <w:tc>
                <w:tcPr>
                  <w:tcW w:w="507" w:type="pct"/>
                  <w:vAlign w:val="center"/>
                </w:tcPr>
                <w:p w14:paraId="1A06504C">
                  <w:pPr>
                    <w:spacing w:line="360" w:lineRule="exact"/>
                    <w:ind w:firstLine="0" w:firstLineChars="0"/>
                    <w:jc w:val="center"/>
                    <w:rPr>
                      <w:rFonts w:cs="Times New Roman"/>
                      <w:sz w:val="21"/>
                      <w:szCs w:val="21"/>
                    </w:rPr>
                  </w:pPr>
                  <w:r>
                    <w:rPr>
                      <w:rFonts w:hint="eastAsia" w:cs="Times New Roman"/>
                      <w:sz w:val="21"/>
                      <w:szCs w:val="21"/>
                    </w:rPr>
                    <w:t xml:space="preserve">0.049 </w:t>
                  </w:r>
                </w:p>
              </w:tc>
              <w:tc>
                <w:tcPr>
                  <w:tcW w:w="467" w:type="pct"/>
                  <w:vAlign w:val="center"/>
                </w:tcPr>
                <w:p w14:paraId="7F432B5A">
                  <w:pPr>
                    <w:spacing w:line="360" w:lineRule="exact"/>
                    <w:ind w:firstLine="0" w:firstLineChars="0"/>
                    <w:jc w:val="center"/>
                    <w:rPr>
                      <w:rFonts w:cs="Times New Roman"/>
                      <w:sz w:val="21"/>
                      <w:szCs w:val="21"/>
                    </w:rPr>
                  </w:pPr>
                  <w:r>
                    <w:rPr>
                      <w:rFonts w:hint="eastAsia" w:cs="Times New Roman"/>
                      <w:sz w:val="21"/>
                      <w:szCs w:val="21"/>
                    </w:rPr>
                    <w:t xml:space="preserve">0.324 </w:t>
                  </w:r>
                </w:p>
              </w:tc>
              <w:tc>
                <w:tcPr>
                  <w:tcW w:w="450" w:type="pct"/>
                  <w:vAlign w:val="center"/>
                </w:tcPr>
                <w:p w14:paraId="4EE3214B">
                  <w:pPr>
                    <w:spacing w:line="360" w:lineRule="exact"/>
                    <w:ind w:firstLine="0" w:firstLineChars="0"/>
                    <w:jc w:val="center"/>
                    <w:rPr>
                      <w:rFonts w:cs="Times New Roman"/>
                      <w:sz w:val="21"/>
                      <w:szCs w:val="21"/>
                    </w:rPr>
                  </w:pPr>
                  <w:r>
                    <w:rPr>
                      <w:rFonts w:hint="eastAsia" w:cs="Times New Roman"/>
                      <w:sz w:val="21"/>
                      <w:szCs w:val="21"/>
                    </w:rPr>
                    <w:t xml:space="preserve">0.432 </w:t>
                  </w:r>
                </w:p>
              </w:tc>
              <w:tc>
                <w:tcPr>
                  <w:tcW w:w="493" w:type="pct"/>
                  <w:vAlign w:val="center"/>
                </w:tcPr>
                <w:p w14:paraId="7A810EFD">
                  <w:pPr>
                    <w:spacing w:line="360" w:lineRule="exact"/>
                    <w:ind w:firstLine="0" w:firstLineChars="0"/>
                    <w:jc w:val="center"/>
                    <w:rPr>
                      <w:rFonts w:cs="Times New Roman"/>
                      <w:sz w:val="21"/>
                      <w:szCs w:val="21"/>
                    </w:rPr>
                  </w:pPr>
                  <w:r>
                    <w:rPr>
                      <w:rFonts w:hint="eastAsia" w:cs="Times New Roman"/>
                      <w:sz w:val="21"/>
                      <w:szCs w:val="21"/>
                    </w:rPr>
                    <w:t xml:space="preserve">0.009 </w:t>
                  </w:r>
                </w:p>
              </w:tc>
              <w:tc>
                <w:tcPr>
                  <w:tcW w:w="470" w:type="pct"/>
                  <w:vAlign w:val="center"/>
                </w:tcPr>
                <w:p w14:paraId="4428EA75">
                  <w:pPr>
                    <w:spacing w:line="360" w:lineRule="exact"/>
                    <w:ind w:firstLine="0" w:firstLineChars="0"/>
                    <w:jc w:val="center"/>
                    <w:rPr>
                      <w:rFonts w:cs="Times New Roman"/>
                      <w:sz w:val="21"/>
                      <w:szCs w:val="21"/>
                    </w:rPr>
                  </w:pPr>
                  <w:r>
                    <w:rPr>
                      <w:rFonts w:hint="eastAsia" w:cs="Times New Roman"/>
                      <w:sz w:val="21"/>
                      <w:szCs w:val="21"/>
                    </w:rPr>
                    <w:t xml:space="preserve">0.076 </w:t>
                  </w:r>
                </w:p>
              </w:tc>
            </w:tr>
            <w:tr w14:paraId="13EDBF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110" w:type="pct"/>
                  <w:gridSpan w:val="2"/>
                  <w:vAlign w:val="center"/>
                </w:tcPr>
                <w:p w14:paraId="484641FC">
                  <w:pPr>
                    <w:spacing w:line="360" w:lineRule="exact"/>
                    <w:ind w:firstLine="0" w:firstLineChars="0"/>
                    <w:jc w:val="center"/>
                    <w:rPr>
                      <w:rFonts w:cs="Times New Roman"/>
                      <w:sz w:val="21"/>
                      <w:szCs w:val="18"/>
                    </w:rPr>
                  </w:pPr>
                  <w:r>
                    <w:rPr>
                      <w:rFonts w:hint="eastAsia" w:cs="Times New Roman"/>
                      <w:sz w:val="21"/>
                      <w:szCs w:val="18"/>
                    </w:rPr>
                    <w:t>巴中经开区污水处理厂</w:t>
                  </w:r>
                  <w:r>
                    <w:rPr>
                      <w:rFonts w:cs="Times New Roman"/>
                      <w:sz w:val="21"/>
                      <w:szCs w:val="18"/>
                    </w:rPr>
                    <w:t>进水水质要求</w:t>
                  </w:r>
                </w:p>
                <w:p w14:paraId="4A5E2D7F">
                  <w:pPr>
                    <w:spacing w:line="360" w:lineRule="exact"/>
                    <w:ind w:firstLine="0" w:firstLineChars="0"/>
                    <w:jc w:val="center"/>
                    <w:rPr>
                      <w:rFonts w:cs="Times New Roman"/>
                      <w:sz w:val="21"/>
                      <w:szCs w:val="18"/>
                    </w:rPr>
                  </w:pPr>
                  <w:r>
                    <w:rPr>
                      <w:rFonts w:cs="Times New Roman"/>
                      <w:sz w:val="21"/>
                      <w:szCs w:val="21"/>
                    </w:rPr>
                    <w:t>（单位：mg/L）</w:t>
                  </w:r>
                </w:p>
              </w:tc>
              <w:tc>
                <w:tcPr>
                  <w:tcW w:w="500" w:type="pct"/>
                  <w:vAlign w:val="center"/>
                </w:tcPr>
                <w:p w14:paraId="1A044FE2">
                  <w:pPr>
                    <w:spacing w:line="360" w:lineRule="exact"/>
                    <w:ind w:firstLine="0" w:firstLineChars="0"/>
                    <w:jc w:val="center"/>
                    <w:rPr>
                      <w:rFonts w:cs="Times New Roman"/>
                      <w:sz w:val="21"/>
                      <w:szCs w:val="21"/>
                    </w:rPr>
                  </w:pPr>
                  <w:r>
                    <w:rPr>
                      <w:rFonts w:cs="Times New Roman"/>
                      <w:sz w:val="21"/>
                      <w:szCs w:val="21"/>
                    </w:rPr>
                    <w:t>500</w:t>
                  </w:r>
                </w:p>
              </w:tc>
              <w:tc>
                <w:tcPr>
                  <w:tcW w:w="507" w:type="pct"/>
                  <w:vAlign w:val="center"/>
                </w:tcPr>
                <w:p w14:paraId="32795669">
                  <w:pPr>
                    <w:spacing w:line="360" w:lineRule="exact"/>
                    <w:ind w:firstLine="0" w:firstLineChars="0"/>
                    <w:jc w:val="center"/>
                    <w:rPr>
                      <w:rFonts w:cs="Times New Roman"/>
                      <w:sz w:val="21"/>
                      <w:szCs w:val="21"/>
                    </w:rPr>
                  </w:pPr>
                  <w:r>
                    <w:rPr>
                      <w:rFonts w:cs="Times New Roman"/>
                      <w:sz w:val="21"/>
                      <w:szCs w:val="21"/>
                    </w:rPr>
                    <w:t>45</w:t>
                  </w:r>
                </w:p>
              </w:tc>
              <w:tc>
                <w:tcPr>
                  <w:tcW w:w="467" w:type="pct"/>
                  <w:vAlign w:val="center"/>
                </w:tcPr>
                <w:p w14:paraId="73F4D4A8">
                  <w:pPr>
                    <w:spacing w:line="360" w:lineRule="exact"/>
                    <w:ind w:firstLine="0" w:firstLineChars="0"/>
                    <w:jc w:val="center"/>
                    <w:rPr>
                      <w:rFonts w:cs="Times New Roman"/>
                      <w:sz w:val="21"/>
                      <w:szCs w:val="21"/>
                    </w:rPr>
                  </w:pPr>
                  <w:r>
                    <w:rPr>
                      <w:rFonts w:cs="Times New Roman"/>
                      <w:sz w:val="21"/>
                      <w:szCs w:val="21"/>
                    </w:rPr>
                    <w:t>300</w:t>
                  </w:r>
                </w:p>
              </w:tc>
              <w:tc>
                <w:tcPr>
                  <w:tcW w:w="450" w:type="pct"/>
                  <w:vAlign w:val="center"/>
                </w:tcPr>
                <w:p w14:paraId="128F1B0F">
                  <w:pPr>
                    <w:spacing w:line="360" w:lineRule="exact"/>
                    <w:ind w:firstLine="0" w:firstLineChars="0"/>
                    <w:jc w:val="center"/>
                    <w:rPr>
                      <w:rFonts w:cs="Times New Roman"/>
                      <w:sz w:val="21"/>
                      <w:szCs w:val="21"/>
                    </w:rPr>
                  </w:pPr>
                  <w:r>
                    <w:rPr>
                      <w:rFonts w:cs="Times New Roman"/>
                      <w:sz w:val="21"/>
                      <w:szCs w:val="21"/>
                    </w:rPr>
                    <w:t>70</w:t>
                  </w:r>
                </w:p>
              </w:tc>
              <w:tc>
                <w:tcPr>
                  <w:tcW w:w="493" w:type="pct"/>
                  <w:vAlign w:val="center"/>
                </w:tcPr>
                <w:p w14:paraId="170DC2D4">
                  <w:pPr>
                    <w:spacing w:line="360" w:lineRule="exact"/>
                    <w:ind w:firstLine="0" w:firstLineChars="0"/>
                    <w:jc w:val="center"/>
                    <w:rPr>
                      <w:rFonts w:cs="Times New Roman"/>
                      <w:sz w:val="21"/>
                      <w:szCs w:val="21"/>
                    </w:rPr>
                  </w:pPr>
                  <w:r>
                    <w:rPr>
                      <w:rFonts w:cs="Times New Roman"/>
                      <w:sz w:val="21"/>
                      <w:szCs w:val="21"/>
                    </w:rPr>
                    <w:t>8</w:t>
                  </w:r>
                </w:p>
              </w:tc>
              <w:tc>
                <w:tcPr>
                  <w:tcW w:w="470" w:type="pct"/>
                  <w:vAlign w:val="center"/>
                </w:tcPr>
                <w:p w14:paraId="05F7F139">
                  <w:pPr>
                    <w:spacing w:line="360" w:lineRule="exact"/>
                    <w:ind w:firstLine="0" w:firstLineChars="0"/>
                    <w:jc w:val="center"/>
                    <w:rPr>
                      <w:rFonts w:cs="Times New Roman"/>
                      <w:sz w:val="21"/>
                      <w:szCs w:val="21"/>
                    </w:rPr>
                  </w:pPr>
                  <w:r>
                    <w:rPr>
                      <w:rFonts w:hint="eastAsia" w:cs="Times New Roman"/>
                      <w:sz w:val="21"/>
                      <w:szCs w:val="21"/>
                    </w:rPr>
                    <w:t>70</w:t>
                  </w:r>
                </w:p>
              </w:tc>
            </w:tr>
            <w:tr w14:paraId="0B30DB4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1247" w:type="pct"/>
                  <w:vMerge w:val="restart"/>
                  <w:vAlign w:val="center"/>
                </w:tcPr>
                <w:p w14:paraId="22DDEFAA">
                  <w:pPr>
                    <w:spacing w:line="360" w:lineRule="exact"/>
                    <w:ind w:firstLine="0" w:firstLineChars="0"/>
                    <w:jc w:val="center"/>
                    <w:rPr>
                      <w:rFonts w:cs="Times New Roman"/>
                      <w:sz w:val="21"/>
                      <w:szCs w:val="21"/>
                    </w:rPr>
                  </w:pPr>
                  <w:r>
                    <w:rPr>
                      <w:rFonts w:cs="Times New Roman"/>
                      <w:sz w:val="21"/>
                      <w:szCs w:val="21"/>
                    </w:rPr>
                    <w:t>污水处理厂处理后（废水量</w:t>
                  </w:r>
                  <w:r>
                    <w:rPr>
                      <w:rFonts w:hint="eastAsia" w:cs="Times New Roman"/>
                      <w:sz w:val="21"/>
                      <w:szCs w:val="21"/>
                    </w:rPr>
                    <w:t>1080</w:t>
                  </w:r>
                  <w:r>
                    <w:rPr>
                      <w:rFonts w:cs="Times New Roman"/>
                      <w:sz w:val="21"/>
                      <w:szCs w:val="21"/>
                    </w:rPr>
                    <w:t>m</w:t>
                  </w:r>
                  <w:r>
                    <w:rPr>
                      <w:rFonts w:cs="Times New Roman"/>
                      <w:sz w:val="21"/>
                      <w:szCs w:val="21"/>
                      <w:vertAlign w:val="superscript"/>
                    </w:rPr>
                    <w:t>3</w:t>
                  </w:r>
                  <w:r>
                    <w:rPr>
                      <w:rFonts w:cs="Times New Roman"/>
                      <w:sz w:val="21"/>
                      <w:szCs w:val="21"/>
                    </w:rPr>
                    <w:t>/a）</w:t>
                  </w:r>
                </w:p>
              </w:tc>
              <w:tc>
                <w:tcPr>
                  <w:tcW w:w="862" w:type="pct"/>
                  <w:vAlign w:val="center"/>
                </w:tcPr>
                <w:p w14:paraId="3740149D">
                  <w:pPr>
                    <w:spacing w:line="360" w:lineRule="exact"/>
                    <w:ind w:firstLine="0" w:firstLineChars="0"/>
                    <w:jc w:val="center"/>
                    <w:rPr>
                      <w:rFonts w:cs="Times New Roman"/>
                      <w:sz w:val="21"/>
                      <w:szCs w:val="21"/>
                    </w:rPr>
                  </w:pPr>
                  <w:r>
                    <w:rPr>
                      <w:rFonts w:cs="Times New Roman"/>
                      <w:sz w:val="21"/>
                      <w:szCs w:val="21"/>
                    </w:rPr>
                    <w:t>排放浓度mg/L</w:t>
                  </w:r>
                </w:p>
              </w:tc>
              <w:tc>
                <w:tcPr>
                  <w:tcW w:w="500" w:type="pct"/>
                  <w:vAlign w:val="center"/>
                </w:tcPr>
                <w:p w14:paraId="3063AC4B">
                  <w:pPr>
                    <w:spacing w:line="360" w:lineRule="exact"/>
                    <w:ind w:firstLine="0" w:firstLineChars="0"/>
                    <w:jc w:val="center"/>
                    <w:rPr>
                      <w:rFonts w:cs="Times New Roman"/>
                      <w:sz w:val="21"/>
                      <w:szCs w:val="21"/>
                    </w:rPr>
                  </w:pPr>
                  <w:r>
                    <w:rPr>
                      <w:rFonts w:cs="Times New Roman"/>
                      <w:sz w:val="21"/>
                      <w:szCs w:val="21"/>
                    </w:rPr>
                    <w:t>50</w:t>
                  </w:r>
                </w:p>
              </w:tc>
              <w:tc>
                <w:tcPr>
                  <w:tcW w:w="507" w:type="pct"/>
                  <w:vAlign w:val="center"/>
                </w:tcPr>
                <w:p w14:paraId="7AD58A3E">
                  <w:pPr>
                    <w:spacing w:line="360" w:lineRule="exact"/>
                    <w:ind w:firstLine="0" w:firstLineChars="0"/>
                    <w:jc w:val="center"/>
                    <w:rPr>
                      <w:rFonts w:cs="Times New Roman"/>
                      <w:sz w:val="21"/>
                      <w:szCs w:val="21"/>
                    </w:rPr>
                  </w:pPr>
                  <w:r>
                    <w:rPr>
                      <w:rFonts w:cs="Times New Roman"/>
                      <w:sz w:val="21"/>
                      <w:szCs w:val="21"/>
                    </w:rPr>
                    <w:t>5</w:t>
                  </w:r>
                </w:p>
              </w:tc>
              <w:tc>
                <w:tcPr>
                  <w:tcW w:w="467" w:type="pct"/>
                  <w:vAlign w:val="center"/>
                </w:tcPr>
                <w:p w14:paraId="6D2553EC">
                  <w:pPr>
                    <w:spacing w:line="360" w:lineRule="exact"/>
                    <w:ind w:firstLine="0" w:firstLineChars="0"/>
                    <w:jc w:val="center"/>
                    <w:rPr>
                      <w:rFonts w:cs="Times New Roman"/>
                      <w:sz w:val="21"/>
                      <w:szCs w:val="21"/>
                    </w:rPr>
                  </w:pPr>
                  <w:r>
                    <w:rPr>
                      <w:rFonts w:cs="Times New Roman"/>
                      <w:sz w:val="21"/>
                      <w:szCs w:val="21"/>
                    </w:rPr>
                    <w:t>10</w:t>
                  </w:r>
                </w:p>
              </w:tc>
              <w:tc>
                <w:tcPr>
                  <w:tcW w:w="450" w:type="pct"/>
                  <w:vAlign w:val="center"/>
                </w:tcPr>
                <w:p w14:paraId="4C11780C">
                  <w:pPr>
                    <w:spacing w:line="360" w:lineRule="exact"/>
                    <w:ind w:firstLine="0" w:firstLineChars="0"/>
                    <w:jc w:val="center"/>
                    <w:rPr>
                      <w:rFonts w:cs="Times New Roman"/>
                      <w:sz w:val="21"/>
                      <w:szCs w:val="21"/>
                    </w:rPr>
                  </w:pPr>
                  <w:r>
                    <w:rPr>
                      <w:rFonts w:cs="Times New Roman"/>
                      <w:sz w:val="21"/>
                      <w:szCs w:val="21"/>
                    </w:rPr>
                    <w:t>15</w:t>
                  </w:r>
                </w:p>
              </w:tc>
              <w:tc>
                <w:tcPr>
                  <w:tcW w:w="493" w:type="pct"/>
                  <w:vAlign w:val="center"/>
                </w:tcPr>
                <w:p w14:paraId="5537532D">
                  <w:pPr>
                    <w:spacing w:line="360" w:lineRule="exact"/>
                    <w:ind w:firstLine="0" w:firstLineChars="0"/>
                    <w:jc w:val="center"/>
                    <w:rPr>
                      <w:rFonts w:cs="Times New Roman"/>
                      <w:sz w:val="21"/>
                      <w:szCs w:val="21"/>
                    </w:rPr>
                  </w:pPr>
                  <w:r>
                    <w:rPr>
                      <w:rFonts w:cs="Times New Roman"/>
                      <w:sz w:val="21"/>
                      <w:szCs w:val="21"/>
                    </w:rPr>
                    <w:t>0.5</w:t>
                  </w:r>
                </w:p>
              </w:tc>
              <w:tc>
                <w:tcPr>
                  <w:tcW w:w="470" w:type="pct"/>
                  <w:vAlign w:val="center"/>
                </w:tcPr>
                <w:p w14:paraId="467ED7FD">
                  <w:pPr>
                    <w:spacing w:line="360" w:lineRule="exact"/>
                    <w:ind w:firstLine="0" w:firstLineChars="0"/>
                    <w:jc w:val="center"/>
                    <w:rPr>
                      <w:rFonts w:cs="Times New Roman"/>
                      <w:sz w:val="21"/>
                      <w:szCs w:val="21"/>
                    </w:rPr>
                  </w:pPr>
                  <w:r>
                    <w:rPr>
                      <w:rFonts w:hint="eastAsia" w:cs="Times New Roman"/>
                      <w:sz w:val="21"/>
                      <w:szCs w:val="21"/>
                    </w:rPr>
                    <w:t>15</w:t>
                  </w:r>
                </w:p>
              </w:tc>
            </w:tr>
            <w:tr w14:paraId="185F6AE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47" w:type="pct"/>
                  <w:vMerge w:val="continue"/>
                  <w:vAlign w:val="center"/>
                </w:tcPr>
                <w:p w14:paraId="6C5A035E">
                  <w:pPr>
                    <w:spacing w:line="360" w:lineRule="exact"/>
                    <w:ind w:firstLine="0" w:firstLineChars="0"/>
                    <w:jc w:val="center"/>
                    <w:rPr>
                      <w:rFonts w:cs="Times New Roman"/>
                      <w:sz w:val="21"/>
                      <w:szCs w:val="21"/>
                    </w:rPr>
                  </w:pPr>
                </w:p>
              </w:tc>
              <w:tc>
                <w:tcPr>
                  <w:tcW w:w="862" w:type="pct"/>
                  <w:vAlign w:val="center"/>
                </w:tcPr>
                <w:p w14:paraId="54402AA7">
                  <w:pPr>
                    <w:spacing w:line="360" w:lineRule="exact"/>
                    <w:ind w:firstLine="0" w:firstLineChars="0"/>
                    <w:jc w:val="center"/>
                    <w:rPr>
                      <w:rFonts w:cs="Times New Roman"/>
                      <w:sz w:val="21"/>
                      <w:szCs w:val="21"/>
                    </w:rPr>
                  </w:pPr>
                  <w:r>
                    <w:rPr>
                      <w:rFonts w:cs="Times New Roman"/>
                      <w:sz w:val="21"/>
                      <w:szCs w:val="21"/>
                    </w:rPr>
                    <w:t>排放量t/a</w:t>
                  </w:r>
                </w:p>
              </w:tc>
              <w:tc>
                <w:tcPr>
                  <w:tcW w:w="500" w:type="pct"/>
                  <w:vAlign w:val="bottom"/>
                </w:tcPr>
                <w:p w14:paraId="3CB12C19">
                  <w:pPr>
                    <w:spacing w:line="360" w:lineRule="exact"/>
                    <w:ind w:firstLine="0" w:firstLineChars="0"/>
                    <w:jc w:val="center"/>
                    <w:rPr>
                      <w:rFonts w:cs="Times New Roman"/>
                      <w:sz w:val="21"/>
                      <w:szCs w:val="21"/>
                    </w:rPr>
                  </w:pPr>
                  <w:r>
                    <w:rPr>
                      <w:rFonts w:hint="eastAsia" w:cs="Times New Roman"/>
                      <w:sz w:val="21"/>
                      <w:szCs w:val="21"/>
                    </w:rPr>
                    <w:t xml:space="preserve">0.054 </w:t>
                  </w:r>
                </w:p>
              </w:tc>
              <w:tc>
                <w:tcPr>
                  <w:tcW w:w="507" w:type="pct"/>
                  <w:vAlign w:val="bottom"/>
                </w:tcPr>
                <w:p w14:paraId="73F59658">
                  <w:pPr>
                    <w:spacing w:line="360" w:lineRule="exact"/>
                    <w:ind w:firstLine="0" w:firstLineChars="0"/>
                    <w:jc w:val="center"/>
                    <w:rPr>
                      <w:rFonts w:cs="Times New Roman"/>
                      <w:sz w:val="21"/>
                      <w:szCs w:val="21"/>
                    </w:rPr>
                  </w:pPr>
                  <w:r>
                    <w:rPr>
                      <w:rFonts w:hint="eastAsia" w:cs="Times New Roman"/>
                      <w:sz w:val="21"/>
                      <w:szCs w:val="21"/>
                    </w:rPr>
                    <w:t xml:space="preserve">0.005 </w:t>
                  </w:r>
                </w:p>
              </w:tc>
              <w:tc>
                <w:tcPr>
                  <w:tcW w:w="467" w:type="pct"/>
                  <w:vAlign w:val="bottom"/>
                </w:tcPr>
                <w:p w14:paraId="2F9590F3">
                  <w:pPr>
                    <w:spacing w:line="360" w:lineRule="exact"/>
                    <w:ind w:firstLine="0" w:firstLineChars="0"/>
                    <w:jc w:val="center"/>
                    <w:rPr>
                      <w:rFonts w:cs="Times New Roman"/>
                      <w:sz w:val="21"/>
                      <w:szCs w:val="21"/>
                    </w:rPr>
                  </w:pPr>
                  <w:r>
                    <w:rPr>
                      <w:rFonts w:hint="eastAsia" w:cs="Times New Roman"/>
                      <w:sz w:val="21"/>
                      <w:szCs w:val="21"/>
                    </w:rPr>
                    <w:t xml:space="preserve">0.011 </w:t>
                  </w:r>
                </w:p>
              </w:tc>
              <w:tc>
                <w:tcPr>
                  <w:tcW w:w="450" w:type="pct"/>
                  <w:vAlign w:val="bottom"/>
                </w:tcPr>
                <w:p w14:paraId="17E6922C">
                  <w:pPr>
                    <w:spacing w:line="360" w:lineRule="exact"/>
                    <w:ind w:firstLine="0" w:firstLineChars="0"/>
                    <w:jc w:val="center"/>
                    <w:rPr>
                      <w:rFonts w:cs="Times New Roman"/>
                      <w:sz w:val="21"/>
                      <w:szCs w:val="21"/>
                    </w:rPr>
                  </w:pPr>
                  <w:r>
                    <w:rPr>
                      <w:rFonts w:hint="eastAsia" w:cs="Times New Roman"/>
                      <w:sz w:val="21"/>
                      <w:szCs w:val="21"/>
                    </w:rPr>
                    <w:t xml:space="preserve">0.016 </w:t>
                  </w:r>
                </w:p>
              </w:tc>
              <w:tc>
                <w:tcPr>
                  <w:tcW w:w="493" w:type="pct"/>
                  <w:vAlign w:val="bottom"/>
                </w:tcPr>
                <w:p w14:paraId="038257F0">
                  <w:pPr>
                    <w:spacing w:line="360" w:lineRule="exact"/>
                    <w:ind w:firstLine="0" w:firstLineChars="0"/>
                    <w:jc w:val="center"/>
                    <w:rPr>
                      <w:rFonts w:cs="Times New Roman"/>
                      <w:sz w:val="21"/>
                      <w:szCs w:val="21"/>
                    </w:rPr>
                  </w:pPr>
                  <w:r>
                    <w:rPr>
                      <w:rFonts w:hint="eastAsia" w:cs="Times New Roman"/>
                      <w:sz w:val="21"/>
                      <w:szCs w:val="21"/>
                    </w:rPr>
                    <w:t xml:space="preserve">0.0005 </w:t>
                  </w:r>
                </w:p>
              </w:tc>
              <w:tc>
                <w:tcPr>
                  <w:tcW w:w="470" w:type="pct"/>
                  <w:vAlign w:val="bottom"/>
                </w:tcPr>
                <w:p w14:paraId="3A743D46">
                  <w:pPr>
                    <w:spacing w:line="360" w:lineRule="exact"/>
                    <w:ind w:firstLine="0" w:firstLineChars="0"/>
                    <w:jc w:val="center"/>
                    <w:rPr>
                      <w:rFonts w:cs="Times New Roman"/>
                      <w:sz w:val="21"/>
                      <w:szCs w:val="21"/>
                    </w:rPr>
                  </w:pPr>
                  <w:r>
                    <w:rPr>
                      <w:rFonts w:hint="eastAsia" w:cs="Times New Roman"/>
                      <w:sz w:val="21"/>
                      <w:szCs w:val="21"/>
                    </w:rPr>
                    <w:t xml:space="preserve">0.016 </w:t>
                  </w:r>
                </w:p>
              </w:tc>
            </w:tr>
            <w:tr w14:paraId="29E5D37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110" w:type="pct"/>
                  <w:gridSpan w:val="2"/>
                  <w:vAlign w:val="center"/>
                </w:tcPr>
                <w:p w14:paraId="1F956D99">
                  <w:pPr>
                    <w:spacing w:line="360" w:lineRule="exact"/>
                    <w:ind w:firstLine="0" w:firstLineChars="0"/>
                    <w:jc w:val="center"/>
                    <w:rPr>
                      <w:rFonts w:cs="Times New Roman"/>
                      <w:sz w:val="21"/>
                      <w:szCs w:val="21"/>
                    </w:rPr>
                  </w:pPr>
                  <w:r>
                    <w:rPr>
                      <w:rFonts w:cs="Times New Roman"/>
                      <w:sz w:val="21"/>
                      <w:szCs w:val="21"/>
                    </w:rPr>
                    <w:t>《城镇污水处理厂污染物排放标准》（GB18918-2002）一级A标（单位：mg/L）</w:t>
                  </w:r>
                </w:p>
              </w:tc>
              <w:tc>
                <w:tcPr>
                  <w:tcW w:w="500" w:type="pct"/>
                  <w:vAlign w:val="center"/>
                </w:tcPr>
                <w:p w14:paraId="429A5136">
                  <w:pPr>
                    <w:spacing w:line="360" w:lineRule="exact"/>
                    <w:ind w:firstLine="0" w:firstLineChars="0"/>
                    <w:jc w:val="center"/>
                    <w:rPr>
                      <w:rFonts w:cs="Times New Roman"/>
                      <w:sz w:val="21"/>
                      <w:szCs w:val="21"/>
                    </w:rPr>
                  </w:pPr>
                  <w:r>
                    <w:rPr>
                      <w:rFonts w:cs="Times New Roman"/>
                      <w:sz w:val="21"/>
                      <w:szCs w:val="21"/>
                    </w:rPr>
                    <w:t>50</w:t>
                  </w:r>
                </w:p>
              </w:tc>
              <w:tc>
                <w:tcPr>
                  <w:tcW w:w="507" w:type="pct"/>
                  <w:vAlign w:val="center"/>
                </w:tcPr>
                <w:p w14:paraId="352A5B29">
                  <w:pPr>
                    <w:spacing w:line="360" w:lineRule="exact"/>
                    <w:ind w:firstLine="0" w:firstLineChars="0"/>
                    <w:jc w:val="center"/>
                    <w:rPr>
                      <w:rFonts w:cs="Times New Roman"/>
                      <w:sz w:val="21"/>
                      <w:szCs w:val="21"/>
                    </w:rPr>
                  </w:pPr>
                  <w:r>
                    <w:rPr>
                      <w:rFonts w:cs="Times New Roman"/>
                      <w:sz w:val="21"/>
                      <w:szCs w:val="21"/>
                    </w:rPr>
                    <w:t>5</w:t>
                  </w:r>
                </w:p>
              </w:tc>
              <w:tc>
                <w:tcPr>
                  <w:tcW w:w="467" w:type="pct"/>
                  <w:vAlign w:val="center"/>
                </w:tcPr>
                <w:p w14:paraId="34F805DE">
                  <w:pPr>
                    <w:spacing w:line="360" w:lineRule="exact"/>
                    <w:ind w:firstLine="0" w:firstLineChars="0"/>
                    <w:jc w:val="center"/>
                    <w:rPr>
                      <w:rFonts w:cs="Times New Roman"/>
                      <w:sz w:val="21"/>
                      <w:szCs w:val="21"/>
                    </w:rPr>
                  </w:pPr>
                  <w:r>
                    <w:rPr>
                      <w:rFonts w:cs="Times New Roman"/>
                      <w:sz w:val="21"/>
                      <w:szCs w:val="21"/>
                    </w:rPr>
                    <w:t>10</w:t>
                  </w:r>
                </w:p>
              </w:tc>
              <w:tc>
                <w:tcPr>
                  <w:tcW w:w="450" w:type="pct"/>
                  <w:vAlign w:val="center"/>
                </w:tcPr>
                <w:p w14:paraId="2A05E48D">
                  <w:pPr>
                    <w:spacing w:line="360" w:lineRule="exact"/>
                    <w:ind w:firstLine="0" w:firstLineChars="0"/>
                    <w:jc w:val="center"/>
                    <w:rPr>
                      <w:rFonts w:cs="Times New Roman"/>
                      <w:sz w:val="21"/>
                      <w:szCs w:val="21"/>
                    </w:rPr>
                  </w:pPr>
                  <w:r>
                    <w:rPr>
                      <w:rFonts w:cs="Times New Roman"/>
                      <w:sz w:val="21"/>
                      <w:szCs w:val="21"/>
                    </w:rPr>
                    <w:t>15</w:t>
                  </w:r>
                </w:p>
              </w:tc>
              <w:tc>
                <w:tcPr>
                  <w:tcW w:w="493" w:type="pct"/>
                  <w:vAlign w:val="center"/>
                </w:tcPr>
                <w:p w14:paraId="3F1DB2F7">
                  <w:pPr>
                    <w:spacing w:line="360" w:lineRule="exact"/>
                    <w:ind w:firstLine="0" w:firstLineChars="0"/>
                    <w:jc w:val="center"/>
                    <w:rPr>
                      <w:rFonts w:cs="Times New Roman"/>
                      <w:sz w:val="21"/>
                      <w:szCs w:val="21"/>
                    </w:rPr>
                  </w:pPr>
                  <w:r>
                    <w:rPr>
                      <w:rFonts w:cs="Times New Roman"/>
                      <w:sz w:val="21"/>
                      <w:szCs w:val="21"/>
                    </w:rPr>
                    <w:t>0.5</w:t>
                  </w:r>
                </w:p>
              </w:tc>
              <w:tc>
                <w:tcPr>
                  <w:tcW w:w="470" w:type="pct"/>
                  <w:vAlign w:val="center"/>
                </w:tcPr>
                <w:p w14:paraId="71677AFB">
                  <w:pPr>
                    <w:spacing w:line="360" w:lineRule="exact"/>
                    <w:ind w:firstLine="0" w:firstLineChars="0"/>
                    <w:jc w:val="center"/>
                    <w:rPr>
                      <w:rFonts w:cs="Times New Roman"/>
                      <w:sz w:val="21"/>
                      <w:szCs w:val="21"/>
                    </w:rPr>
                  </w:pPr>
                  <w:r>
                    <w:rPr>
                      <w:rFonts w:hint="eastAsia" w:cs="Times New Roman"/>
                      <w:sz w:val="21"/>
                      <w:szCs w:val="21"/>
                    </w:rPr>
                    <w:t>15</w:t>
                  </w:r>
                </w:p>
              </w:tc>
            </w:tr>
          </w:tbl>
          <w:p w14:paraId="70ED4B06">
            <w:pPr>
              <w:ind w:firstLine="482"/>
              <w:rPr>
                <w:b/>
                <w:bCs/>
                <w:szCs w:val="21"/>
              </w:rPr>
            </w:pPr>
            <w:r>
              <w:rPr>
                <w:rFonts w:hint="eastAsia"/>
                <w:b/>
                <w:bCs/>
                <w:szCs w:val="21"/>
              </w:rPr>
              <w:t>③污水</w:t>
            </w:r>
            <w:r>
              <w:rPr>
                <w:b/>
                <w:bCs/>
                <w:szCs w:val="21"/>
              </w:rPr>
              <w:t>存在的问题：无。</w:t>
            </w:r>
          </w:p>
          <w:p w14:paraId="5A640F21">
            <w:pPr>
              <w:ind w:firstLine="723" w:firstLineChars="300"/>
              <w:rPr>
                <w:b/>
                <w:bCs/>
                <w:szCs w:val="21"/>
              </w:rPr>
            </w:pPr>
            <w:r>
              <w:rPr>
                <w:b/>
                <w:bCs/>
                <w:szCs w:val="21"/>
              </w:rPr>
              <w:t>以新带老整改措施：无</w:t>
            </w:r>
          </w:p>
          <w:p w14:paraId="4BA538D5">
            <w:pPr>
              <w:ind w:firstLine="482"/>
              <w:rPr>
                <w:b/>
                <w:bCs/>
              </w:rPr>
            </w:pPr>
            <w:r>
              <w:rPr>
                <w:b/>
                <w:bCs/>
              </w:rPr>
              <w:t>4.</w:t>
            </w:r>
            <w:r>
              <w:rPr>
                <w:rFonts w:hint="eastAsia"/>
                <w:b/>
                <w:bCs/>
              </w:rPr>
              <w:t>2</w:t>
            </w:r>
            <w:r>
              <w:rPr>
                <w:b/>
                <w:bCs/>
              </w:rPr>
              <w:t>废气产生及治理措施</w:t>
            </w:r>
          </w:p>
          <w:p w14:paraId="1C822709">
            <w:pPr>
              <w:ind w:firstLine="480"/>
            </w:pPr>
            <w:r>
              <w:t>项目扩建前营运期废气主要是</w:t>
            </w:r>
            <w:r>
              <w:rPr>
                <w:rFonts w:hint="eastAsia"/>
              </w:rPr>
              <w:t>粉尘废气和封边废气</w:t>
            </w:r>
          </w:p>
          <w:p w14:paraId="48204E13">
            <w:pPr>
              <w:adjustRightInd w:val="0"/>
              <w:snapToGrid w:val="0"/>
              <w:ind w:firstLine="480"/>
              <w:rPr>
                <w:kern w:val="28"/>
                <w:szCs w:val="28"/>
              </w:rPr>
            </w:pPr>
            <w:r>
              <w:rPr>
                <w:rFonts w:hint="eastAsia"/>
              </w:rPr>
              <w:t>①</w:t>
            </w:r>
            <w:r>
              <w:rPr>
                <w:kern w:val="28"/>
                <w:szCs w:val="28"/>
              </w:rPr>
              <w:t>木质粉尘</w:t>
            </w:r>
          </w:p>
          <w:p w14:paraId="1A600586">
            <w:pPr>
              <w:autoSpaceDE w:val="0"/>
              <w:autoSpaceDN w:val="0"/>
              <w:ind w:firstLine="480"/>
            </w:pPr>
            <w:r>
              <w:rPr>
                <w:rFonts w:hint="eastAsia"/>
                <w:kern w:val="28"/>
              </w:rPr>
              <w:t>家具</w:t>
            </w:r>
            <w:r>
              <w:rPr>
                <w:kern w:val="28"/>
              </w:rPr>
              <w:t>生产过程中</w:t>
            </w:r>
            <w:r>
              <w:t>切割、开料、</w:t>
            </w:r>
            <w:r>
              <w:rPr>
                <w:rFonts w:hint="eastAsia"/>
              </w:rPr>
              <w:t>打孔</w:t>
            </w:r>
            <w:r>
              <w:t>过程中</w:t>
            </w:r>
            <w:r>
              <w:rPr>
                <w:kern w:val="0"/>
                <w:lang w:bidi="ar"/>
              </w:rPr>
              <w:t>会产生木质粉尘。</w:t>
            </w:r>
            <w:r>
              <w:rPr>
                <w:rFonts w:hint="eastAsia"/>
                <w:kern w:val="28"/>
              </w:rPr>
              <w:t>原</w:t>
            </w:r>
            <w:r>
              <w:rPr>
                <w:kern w:val="28"/>
              </w:rPr>
              <w:t>项目在木工车间</w:t>
            </w:r>
            <w:r>
              <w:rPr>
                <w:rFonts w:hint="eastAsia"/>
              </w:rPr>
              <w:t>电子锯、打孔机</w:t>
            </w:r>
            <w:r>
              <w:rPr>
                <w:kern w:val="0"/>
                <w:lang w:bidi="ar"/>
              </w:rPr>
              <w:t>的设备上方安装</w:t>
            </w:r>
            <w:r>
              <w:rPr>
                <w:kern w:val="0"/>
              </w:rPr>
              <w:t>吸尘口，直接对设备产尘点产生的粉尘进行收集，粉尘通过抽风气管收集后，通过支管分别汇入总管道在进入末端的一套中央除尘器处理</w:t>
            </w:r>
            <w:r>
              <w:rPr>
                <w:bCs/>
              </w:rPr>
              <w:t>（</w:t>
            </w:r>
            <w:r>
              <w:rPr>
                <w:rFonts w:hint="eastAsia"/>
                <w:bCs/>
              </w:rPr>
              <w:t>风量21</w:t>
            </w:r>
            <w:r>
              <w:rPr>
                <w:bCs/>
              </w:rPr>
              <w:t>000m</w:t>
            </w:r>
            <w:r>
              <w:rPr>
                <w:bCs/>
                <w:vertAlign w:val="superscript"/>
              </w:rPr>
              <w:t>3</w:t>
            </w:r>
            <w:r>
              <w:rPr>
                <w:bCs/>
              </w:rPr>
              <w:t>/h）</w:t>
            </w:r>
            <w:r>
              <w:rPr>
                <w:kern w:val="0"/>
              </w:rPr>
              <w:t>，经处理后的粉尘通过15m高排气筒排放（</w:t>
            </w:r>
            <w:r>
              <w:rPr>
                <w:rFonts w:hint="eastAsia"/>
                <w:kern w:val="0"/>
              </w:rPr>
              <w:t>DA001</w:t>
            </w:r>
            <w:r>
              <w:rPr>
                <w:kern w:val="0"/>
              </w:rPr>
              <w:t>排气筒）</w:t>
            </w:r>
            <w:r>
              <w:rPr>
                <w:bCs/>
              </w:rPr>
              <w:t>，</w:t>
            </w:r>
            <w:r>
              <w:t>粉尘产生系数参考《工业源产排污系数手册》中</w:t>
            </w:r>
            <w:r>
              <w:rPr>
                <w:rFonts w:eastAsia="Times New Roman"/>
              </w:rPr>
              <w:t>2011</w:t>
            </w:r>
            <w:r>
              <w:t>锯材加工业产排污系数表，粉尘产生系数按</w:t>
            </w:r>
            <w:r>
              <w:rPr>
                <w:rFonts w:eastAsia="Times New Roman"/>
              </w:rPr>
              <w:t>0.321kg/m</w:t>
            </w:r>
            <w:r>
              <w:rPr>
                <w:rFonts w:hint="eastAsia"/>
                <w:vertAlign w:val="superscript"/>
              </w:rPr>
              <w:t>3</w:t>
            </w:r>
            <w:r>
              <w:t>计。项目锯板量约为</w:t>
            </w:r>
            <w:r>
              <w:rPr>
                <w:rFonts w:hint="eastAsia"/>
              </w:rPr>
              <w:t>833</w:t>
            </w:r>
            <w:r>
              <w:rPr>
                <w:rFonts w:eastAsia="Times New Roman"/>
              </w:rPr>
              <w:t>m</w:t>
            </w:r>
            <w:r>
              <w:rPr>
                <w:rFonts w:hint="eastAsia"/>
                <w:vertAlign w:val="superscript"/>
              </w:rPr>
              <w:t>3</w:t>
            </w:r>
            <w:r>
              <w:rPr>
                <w:rFonts w:eastAsia="Times New Roman"/>
              </w:rPr>
              <w:t>/a</w:t>
            </w:r>
            <w:r>
              <w:t>，根据项目原辅材料用量可知，粉尘产生量为</w:t>
            </w:r>
            <w:r>
              <w:rPr>
                <w:rFonts w:hint="eastAsia"/>
              </w:rPr>
              <w:t>0.27</w:t>
            </w:r>
            <w:r>
              <w:t>t/a，项目年工作300天，每天工作8小时，则工艺粉尘产生速率约为0.</w:t>
            </w:r>
            <w:r>
              <w:rPr>
                <w:rFonts w:hint="eastAsia"/>
              </w:rPr>
              <w:t>113</w:t>
            </w:r>
            <w:r>
              <w:t>kg/h。</w:t>
            </w:r>
          </w:p>
          <w:p w14:paraId="70C09841">
            <w:pPr>
              <w:ind w:firstLine="480"/>
              <w:rPr>
                <w:bCs/>
              </w:rPr>
            </w:pPr>
            <w:r>
              <w:rPr>
                <w:rFonts w:hint="eastAsia"/>
                <w:bCs/>
              </w:rPr>
              <w:t>治理措施：</w:t>
            </w:r>
            <w:r>
              <w:t>对木材加工车间（厂房</w:t>
            </w:r>
            <w:r>
              <w:rPr>
                <w:rFonts w:hint="eastAsia"/>
              </w:rPr>
              <w:t>一车间</w:t>
            </w:r>
            <w:r>
              <w:t>）内的开料、切割、钻孔等位置集气罩，各点位粉尘经集气罩和抽风气管收集后，汇入排气总管排，送入末端布袋除尘器处理后，经15m高排气筒排放。本项目设置1套中央除尘系统（包括各工位集气罩、气管、排风支管、排风总管、1台末端布袋除尘器），工位集气罩和气管收集率为90%，中央除尘系统总风量约为</w:t>
            </w:r>
            <w:r>
              <w:rPr>
                <w:rFonts w:hint="eastAsia"/>
              </w:rPr>
              <w:t>21</w:t>
            </w:r>
            <w:r>
              <w:t>000m</w:t>
            </w:r>
            <w:r>
              <w:rPr>
                <w:vertAlign w:val="superscript"/>
              </w:rPr>
              <w:t>3</w:t>
            </w:r>
            <w:r>
              <w:t>/h，末端布袋除尘器除尘效率按90%计。经除尘处理措施后，</w:t>
            </w:r>
            <w:r>
              <w:rPr>
                <w:rFonts w:hint="eastAsia"/>
              </w:rPr>
              <w:t>粉尘排放量为0.0243</w:t>
            </w:r>
            <w:r>
              <w:t>t/a，</w:t>
            </w:r>
            <w:r>
              <w:rPr>
                <w:rFonts w:hint="eastAsia"/>
              </w:rPr>
              <w:t>排放速率为0.01</w:t>
            </w:r>
            <w:r>
              <w:t xml:space="preserve"> kg/h</w:t>
            </w:r>
            <w:r>
              <w:rPr>
                <w:rFonts w:hint="eastAsia"/>
              </w:rPr>
              <w:t>，排放浓度为0.5</w:t>
            </w:r>
            <w:r>
              <w:t>mg/m</w:t>
            </w:r>
            <w:r>
              <w:rPr>
                <w:vertAlign w:val="superscript"/>
              </w:rPr>
              <w:t>3</w:t>
            </w:r>
            <w:r>
              <w:rPr>
                <w:rStyle w:val="37"/>
                <w:rFonts w:hint="eastAsia"/>
              </w:rPr>
              <w:t>。</w:t>
            </w:r>
            <w:r>
              <w:rPr>
                <w:bCs/>
              </w:rPr>
              <w:t>满足《大气污染物综合排放标准》（GB 16297-1996）表2中颗粒物二级标准限值要求</w:t>
            </w:r>
            <w:r>
              <w:rPr>
                <w:rStyle w:val="37"/>
              </w:rPr>
              <w:t>（</w:t>
            </w:r>
            <w:r>
              <w:t>120mg/m</w:t>
            </w:r>
            <w:r>
              <w:rPr>
                <w:vertAlign w:val="superscript"/>
              </w:rPr>
              <w:t>3</w:t>
            </w:r>
            <w:r>
              <w:rPr>
                <w:rStyle w:val="37"/>
              </w:rPr>
              <w:t>）</w:t>
            </w:r>
            <w:r>
              <w:rPr>
                <w:bCs/>
              </w:rPr>
              <w:t>，对周边环境影响较小。</w:t>
            </w:r>
          </w:p>
          <w:p w14:paraId="279DE6C2">
            <w:pPr>
              <w:ind w:firstLine="480"/>
            </w:pPr>
            <w:r>
              <w:t>综上所述，</w:t>
            </w:r>
            <w:r>
              <w:rPr>
                <w:rFonts w:hint="eastAsia"/>
              </w:rPr>
              <w:t>原有</w:t>
            </w:r>
            <w:r>
              <w:t>项目采取上述</w:t>
            </w:r>
            <w:r>
              <w:rPr>
                <w:rFonts w:hint="eastAsia"/>
              </w:rPr>
              <w:t>废气</w:t>
            </w:r>
            <w:r>
              <w:t>防治措施，项目营运期</w:t>
            </w:r>
            <w:r>
              <w:rPr>
                <w:rFonts w:hint="eastAsia"/>
              </w:rPr>
              <w:t>粉尘</w:t>
            </w:r>
            <w:r>
              <w:t>能够得到一定的控制，通过2026</w:t>
            </w:r>
            <w:r>
              <w:rPr>
                <w:rFonts w:hint="eastAsia"/>
              </w:rPr>
              <w:t>年</w:t>
            </w:r>
            <w:r>
              <w:t>04</w:t>
            </w:r>
            <w:r>
              <w:rPr>
                <w:rFonts w:hint="eastAsia"/>
              </w:rPr>
              <w:t>月</w:t>
            </w:r>
            <w:r>
              <w:t>28</w:t>
            </w:r>
            <w:r>
              <w:rPr>
                <w:rFonts w:hint="eastAsia"/>
              </w:rPr>
              <w:t>日-29日现状</w:t>
            </w:r>
            <w:r>
              <w:t>监测报告可知，项目</w:t>
            </w:r>
            <w:r>
              <w:rPr>
                <w:rFonts w:hint="eastAsia"/>
              </w:rPr>
              <w:t>中央除尘器排气筒粉尘有组织废气</w:t>
            </w:r>
            <w:r>
              <w:t>能够满足</w:t>
            </w:r>
            <w:r>
              <w:rPr>
                <w:rFonts w:cs="Times New Roman"/>
              </w:rPr>
              <w:t>《大气污染物综合排放标准》（GB16297-1996）表2中的二级标准</w:t>
            </w:r>
            <w:r>
              <w:t>要求</w:t>
            </w:r>
            <w:r>
              <w:rPr>
                <w:rFonts w:hint="eastAsia" w:cs="Times New Roman"/>
              </w:rPr>
              <w:t>。</w:t>
            </w:r>
          </w:p>
          <w:p w14:paraId="6FAA5EBD">
            <w:pPr>
              <w:adjustRightInd w:val="0"/>
              <w:snapToGrid w:val="0"/>
              <w:spacing w:before="163" w:beforeLines="50" w:line="240" w:lineRule="auto"/>
              <w:ind w:firstLine="482"/>
              <w:jc w:val="center"/>
              <w:rPr>
                <w:rFonts w:ascii="Arial"/>
                <w:sz w:val="2"/>
              </w:rPr>
            </w:pPr>
            <w:r>
              <w:rPr>
                <w:rFonts w:cs="Times New Roman"/>
                <w:b/>
                <w:bCs/>
              </w:rPr>
              <w:t>表</w:t>
            </w:r>
            <w:r>
              <w:rPr>
                <w:rFonts w:hint="eastAsia" w:cs="Times New Roman"/>
                <w:b/>
                <w:bCs/>
              </w:rPr>
              <w:t xml:space="preserve">2-13  </w:t>
            </w:r>
            <w:r>
              <w:rPr>
                <w:rFonts w:cs="Times New Roman"/>
                <w:b/>
                <w:bCs/>
              </w:rPr>
              <w:t>有组织废气检测结果</w:t>
            </w:r>
          </w:p>
          <w:tbl>
            <w:tblPr>
              <w:tblStyle w:val="87"/>
              <w:tblW w:w="8926" w:type="dxa"/>
              <w:jc w:val="right"/>
              <w:tblBorders>
                <w:top w:val="single" w:color="000000" w:sz="6" w:space="0"/>
                <w:left w:val="single" w:color="000000" w:sz="6" w:space="0"/>
                <w:bottom w:val="single" w:color="000000" w:sz="6" w:space="0"/>
                <w:right w:val="none" w:color="auto" w:sz="0" w:space="0"/>
                <w:insideH w:val="single" w:color="000000" w:sz="6" w:space="0"/>
                <w:insideV w:val="single" w:color="000000" w:sz="6" w:space="0"/>
              </w:tblBorders>
              <w:tblLayout w:type="fixed"/>
              <w:tblCellMar>
                <w:top w:w="0" w:type="dxa"/>
                <w:left w:w="0" w:type="dxa"/>
                <w:bottom w:w="0" w:type="dxa"/>
                <w:right w:w="0" w:type="dxa"/>
              </w:tblCellMar>
            </w:tblPr>
            <w:tblGrid>
              <w:gridCol w:w="1088"/>
              <w:gridCol w:w="1138"/>
              <w:gridCol w:w="1276"/>
              <w:gridCol w:w="1559"/>
              <w:gridCol w:w="1418"/>
              <w:gridCol w:w="1367"/>
              <w:gridCol w:w="1080"/>
            </w:tblGrid>
            <w:tr w14:paraId="710FFE87">
              <w:tblPrEx>
                <w:tblBorders>
                  <w:top w:val="single" w:color="000000" w:sz="6" w:space="0"/>
                  <w:left w:val="single" w:color="000000" w:sz="6" w:space="0"/>
                  <w:bottom w:val="single" w:color="000000" w:sz="6"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51" w:hRule="atLeast"/>
                <w:jc w:val="right"/>
              </w:trPr>
              <w:tc>
                <w:tcPr>
                  <w:tcW w:w="1088" w:type="dxa"/>
                  <w:tcBorders>
                    <w:left w:val="nil"/>
                  </w:tcBorders>
                  <w:vAlign w:val="center"/>
                </w:tcPr>
                <w:p w14:paraId="760176B0">
                  <w:pPr>
                    <w:adjustRightInd w:val="0"/>
                    <w:snapToGrid w:val="0"/>
                    <w:spacing w:line="240" w:lineRule="exact"/>
                    <w:ind w:firstLine="0" w:firstLineChars="0"/>
                    <w:jc w:val="center"/>
                    <w:rPr>
                      <w:rFonts w:cs="Times New Roman"/>
                      <w:b/>
                      <w:bCs/>
                      <w:sz w:val="20"/>
                      <w:szCs w:val="20"/>
                    </w:rPr>
                  </w:pPr>
                  <w:r>
                    <w:rPr>
                      <w:rFonts w:hint="eastAsia" w:cs="Times New Roman"/>
                      <w:b/>
                      <w:bCs/>
                      <w:sz w:val="20"/>
                      <w:szCs w:val="20"/>
                    </w:rPr>
                    <w:t>采样日期</w:t>
                  </w:r>
                </w:p>
              </w:tc>
              <w:tc>
                <w:tcPr>
                  <w:tcW w:w="1138" w:type="dxa"/>
                  <w:vAlign w:val="center"/>
                </w:tcPr>
                <w:p w14:paraId="31332BDC">
                  <w:pPr>
                    <w:adjustRightInd w:val="0"/>
                    <w:snapToGrid w:val="0"/>
                    <w:spacing w:line="240" w:lineRule="exact"/>
                    <w:ind w:firstLine="0" w:firstLineChars="0"/>
                    <w:jc w:val="center"/>
                    <w:rPr>
                      <w:rFonts w:cs="Times New Roman"/>
                      <w:b/>
                      <w:bCs/>
                      <w:sz w:val="20"/>
                      <w:szCs w:val="20"/>
                    </w:rPr>
                  </w:pPr>
                  <w:r>
                    <w:rPr>
                      <w:rFonts w:hint="eastAsia" w:cs="Times New Roman"/>
                      <w:b/>
                      <w:bCs/>
                      <w:sz w:val="20"/>
                      <w:szCs w:val="20"/>
                    </w:rPr>
                    <w:t>点位名称</w:t>
                  </w:r>
                </w:p>
              </w:tc>
              <w:tc>
                <w:tcPr>
                  <w:tcW w:w="2835" w:type="dxa"/>
                  <w:gridSpan w:val="2"/>
                  <w:vAlign w:val="center"/>
                </w:tcPr>
                <w:p w14:paraId="13265C62">
                  <w:pPr>
                    <w:adjustRightInd w:val="0"/>
                    <w:snapToGrid w:val="0"/>
                    <w:spacing w:line="240" w:lineRule="exact"/>
                    <w:ind w:firstLine="0" w:firstLineChars="0"/>
                    <w:jc w:val="center"/>
                    <w:rPr>
                      <w:rFonts w:cs="Times New Roman"/>
                      <w:b/>
                      <w:bCs/>
                      <w:sz w:val="20"/>
                      <w:szCs w:val="20"/>
                    </w:rPr>
                  </w:pPr>
                  <w:r>
                    <w:rPr>
                      <w:rFonts w:hint="eastAsia" w:cs="Times New Roman"/>
                      <w:b/>
                      <w:bCs/>
                      <w:sz w:val="20"/>
                      <w:szCs w:val="20"/>
                    </w:rPr>
                    <w:t>检测项目</w:t>
                  </w:r>
                </w:p>
              </w:tc>
              <w:tc>
                <w:tcPr>
                  <w:tcW w:w="1418" w:type="dxa"/>
                  <w:vAlign w:val="center"/>
                </w:tcPr>
                <w:p w14:paraId="41B2DDB0">
                  <w:pPr>
                    <w:adjustRightInd w:val="0"/>
                    <w:snapToGrid w:val="0"/>
                    <w:spacing w:line="240" w:lineRule="exact"/>
                    <w:ind w:firstLine="0" w:firstLineChars="0"/>
                    <w:jc w:val="center"/>
                    <w:rPr>
                      <w:rFonts w:cs="Times New Roman"/>
                      <w:b/>
                      <w:bCs/>
                      <w:sz w:val="20"/>
                      <w:szCs w:val="20"/>
                    </w:rPr>
                  </w:pPr>
                  <w:r>
                    <w:rPr>
                      <w:rFonts w:cs="Times New Roman"/>
                      <w:b/>
                      <w:bCs/>
                      <w:sz w:val="20"/>
                      <w:szCs w:val="20"/>
                    </w:rPr>
                    <w:t>单位</w:t>
                  </w:r>
                </w:p>
              </w:tc>
              <w:tc>
                <w:tcPr>
                  <w:tcW w:w="1367" w:type="dxa"/>
                  <w:vAlign w:val="center"/>
                </w:tcPr>
                <w:p w14:paraId="05EF8AB9">
                  <w:pPr>
                    <w:adjustRightInd w:val="0"/>
                    <w:snapToGrid w:val="0"/>
                    <w:spacing w:line="240" w:lineRule="exact"/>
                    <w:ind w:firstLine="0" w:firstLineChars="0"/>
                    <w:jc w:val="center"/>
                    <w:rPr>
                      <w:rFonts w:cs="Times New Roman"/>
                      <w:b/>
                      <w:bCs/>
                      <w:sz w:val="20"/>
                      <w:szCs w:val="20"/>
                    </w:rPr>
                  </w:pPr>
                  <w:r>
                    <w:rPr>
                      <w:rFonts w:hint="eastAsia" w:cs="Times New Roman"/>
                      <w:b/>
                      <w:bCs/>
                      <w:sz w:val="20"/>
                      <w:szCs w:val="20"/>
                    </w:rPr>
                    <w:t>检测结果</w:t>
                  </w:r>
                </w:p>
              </w:tc>
              <w:tc>
                <w:tcPr>
                  <w:tcW w:w="1080" w:type="dxa"/>
                  <w:vAlign w:val="center"/>
                </w:tcPr>
                <w:p w14:paraId="51A99041">
                  <w:pPr>
                    <w:adjustRightInd w:val="0"/>
                    <w:snapToGrid w:val="0"/>
                    <w:spacing w:line="240" w:lineRule="exact"/>
                    <w:ind w:firstLine="0" w:firstLineChars="0"/>
                    <w:jc w:val="center"/>
                    <w:rPr>
                      <w:rFonts w:cs="Times New Roman"/>
                      <w:b/>
                      <w:bCs/>
                      <w:sz w:val="20"/>
                      <w:szCs w:val="20"/>
                    </w:rPr>
                  </w:pPr>
                  <w:r>
                    <w:rPr>
                      <w:rFonts w:hint="eastAsia" w:cs="Times New Roman"/>
                      <w:b/>
                      <w:bCs/>
                      <w:sz w:val="20"/>
                      <w:szCs w:val="20"/>
                    </w:rPr>
                    <w:t>标准值</w:t>
                  </w:r>
                </w:p>
              </w:tc>
            </w:tr>
            <w:tr w14:paraId="7CA91A66">
              <w:tblPrEx>
                <w:tblBorders>
                  <w:top w:val="single" w:color="000000" w:sz="6" w:space="0"/>
                  <w:left w:val="single" w:color="000000" w:sz="6" w:space="0"/>
                  <w:bottom w:val="single" w:color="000000" w:sz="6"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51" w:hRule="atLeast"/>
                <w:jc w:val="right"/>
              </w:trPr>
              <w:tc>
                <w:tcPr>
                  <w:tcW w:w="1088" w:type="dxa"/>
                  <w:vMerge w:val="restart"/>
                  <w:tcBorders>
                    <w:left w:val="nil"/>
                  </w:tcBorders>
                  <w:vAlign w:val="center"/>
                </w:tcPr>
                <w:p w14:paraId="0DA476FC">
                  <w:pPr>
                    <w:adjustRightInd w:val="0"/>
                    <w:snapToGrid w:val="0"/>
                    <w:spacing w:line="240" w:lineRule="exact"/>
                    <w:ind w:firstLine="0" w:firstLineChars="0"/>
                    <w:jc w:val="center"/>
                    <w:rPr>
                      <w:rFonts w:cs="Times New Roman"/>
                      <w:sz w:val="20"/>
                      <w:szCs w:val="20"/>
                    </w:rPr>
                  </w:pPr>
                  <w:r>
                    <w:rPr>
                      <w:rFonts w:hint="eastAsia" w:cs="Times New Roman"/>
                      <w:sz w:val="20"/>
                      <w:szCs w:val="20"/>
                    </w:rPr>
                    <w:t>2026.04.29</w:t>
                  </w:r>
                </w:p>
              </w:tc>
              <w:tc>
                <w:tcPr>
                  <w:tcW w:w="1138" w:type="dxa"/>
                  <w:vMerge w:val="restart"/>
                  <w:vAlign w:val="center"/>
                </w:tcPr>
                <w:p w14:paraId="7975516C">
                  <w:pPr>
                    <w:adjustRightInd w:val="0"/>
                    <w:snapToGrid w:val="0"/>
                    <w:spacing w:line="240" w:lineRule="exact"/>
                    <w:ind w:firstLine="0" w:firstLineChars="0"/>
                    <w:jc w:val="center"/>
                    <w:rPr>
                      <w:rFonts w:cs="Times New Roman"/>
                    </w:rPr>
                  </w:pPr>
                  <w:r>
                    <w:rPr>
                      <w:rFonts w:hint="eastAsia" w:cs="Times New Roman"/>
                    </w:rPr>
                    <w:t>DA001</w:t>
                  </w:r>
                </w:p>
                <w:p w14:paraId="24C19F10">
                  <w:pPr>
                    <w:adjustRightInd w:val="0"/>
                    <w:snapToGrid w:val="0"/>
                    <w:spacing w:line="240" w:lineRule="exact"/>
                    <w:ind w:firstLine="0" w:firstLineChars="0"/>
                    <w:jc w:val="center"/>
                    <w:rPr>
                      <w:rFonts w:cs="Times New Roman"/>
                      <w:sz w:val="20"/>
                      <w:szCs w:val="20"/>
                    </w:rPr>
                  </w:pPr>
                  <w:r>
                    <w:rPr>
                      <w:rFonts w:cs="Times New Roman"/>
                      <w:sz w:val="20"/>
                      <w:szCs w:val="20"/>
                    </w:rPr>
                    <w:t>中央除尘器</w:t>
                  </w:r>
                </w:p>
                <w:p w14:paraId="32FFE1FC">
                  <w:pPr>
                    <w:adjustRightInd w:val="0"/>
                    <w:snapToGrid w:val="0"/>
                    <w:spacing w:line="240" w:lineRule="exact"/>
                    <w:ind w:firstLine="0" w:firstLineChars="0"/>
                    <w:jc w:val="center"/>
                    <w:rPr>
                      <w:rFonts w:cs="Times New Roman"/>
                      <w:sz w:val="20"/>
                      <w:szCs w:val="20"/>
                    </w:rPr>
                  </w:pPr>
                  <w:r>
                    <w:rPr>
                      <w:rFonts w:cs="Times New Roman"/>
                      <w:sz w:val="20"/>
                      <w:szCs w:val="20"/>
                    </w:rPr>
                    <w:t>排气筒</w:t>
                  </w:r>
                </w:p>
              </w:tc>
              <w:tc>
                <w:tcPr>
                  <w:tcW w:w="2835" w:type="dxa"/>
                  <w:gridSpan w:val="2"/>
                  <w:vAlign w:val="center"/>
                </w:tcPr>
                <w:p w14:paraId="1D8D4ABA">
                  <w:pPr>
                    <w:adjustRightInd w:val="0"/>
                    <w:snapToGrid w:val="0"/>
                    <w:spacing w:line="240" w:lineRule="exact"/>
                    <w:ind w:firstLine="0" w:firstLineChars="0"/>
                    <w:jc w:val="center"/>
                    <w:rPr>
                      <w:rFonts w:cs="Times New Roman"/>
                      <w:sz w:val="20"/>
                      <w:szCs w:val="20"/>
                    </w:rPr>
                  </w:pPr>
                  <w:r>
                    <w:rPr>
                      <w:rFonts w:cs="Times New Roman"/>
                      <w:sz w:val="20"/>
                      <w:szCs w:val="20"/>
                    </w:rPr>
                    <w:t>排气流量</w:t>
                  </w:r>
                </w:p>
              </w:tc>
              <w:tc>
                <w:tcPr>
                  <w:tcW w:w="1418" w:type="dxa"/>
                  <w:vAlign w:val="center"/>
                </w:tcPr>
                <w:p w14:paraId="507894AA">
                  <w:pPr>
                    <w:adjustRightInd w:val="0"/>
                    <w:snapToGrid w:val="0"/>
                    <w:spacing w:line="240" w:lineRule="exact"/>
                    <w:ind w:firstLine="0" w:firstLineChars="0"/>
                    <w:jc w:val="center"/>
                    <w:rPr>
                      <w:rFonts w:cs="Times New Roman"/>
                      <w:sz w:val="20"/>
                      <w:szCs w:val="20"/>
                    </w:rPr>
                  </w:pPr>
                  <w:r>
                    <w:rPr>
                      <w:rFonts w:cs="Times New Roman"/>
                      <w:sz w:val="20"/>
                      <w:szCs w:val="20"/>
                    </w:rPr>
                    <w:t>m</w:t>
                  </w:r>
                  <w:r>
                    <w:rPr>
                      <w:rFonts w:cs="Times New Roman"/>
                      <w:sz w:val="20"/>
                      <w:szCs w:val="20"/>
                      <w:vertAlign w:val="superscript"/>
                    </w:rPr>
                    <w:t>3</w:t>
                  </w:r>
                  <w:r>
                    <w:rPr>
                      <w:rFonts w:cs="Times New Roman"/>
                      <w:sz w:val="20"/>
                      <w:szCs w:val="20"/>
                    </w:rPr>
                    <w:t>/h</w:t>
                  </w:r>
                </w:p>
              </w:tc>
              <w:tc>
                <w:tcPr>
                  <w:tcW w:w="1367" w:type="dxa"/>
                  <w:vAlign w:val="center"/>
                </w:tcPr>
                <w:p w14:paraId="3CEC2875">
                  <w:pPr>
                    <w:adjustRightInd w:val="0"/>
                    <w:snapToGrid w:val="0"/>
                    <w:spacing w:line="240" w:lineRule="exact"/>
                    <w:ind w:firstLine="0" w:firstLineChars="0"/>
                    <w:jc w:val="center"/>
                    <w:rPr>
                      <w:rFonts w:cs="Times New Roman"/>
                      <w:sz w:val="20"/>
                      <w:szCs w:val="20"/>
                    </w:rPr>
                  </w:pPr>
                  <w:r>
                    <w:rPr>
                      <w:rFonts w:cs="Times New Roman"/>
                      <w:sz w:val="20"/>
                      <w:szCs w:val="20"/>
                    </w:rPr>
                    <w:t>20788</w:t>
                  </w:r>
                </w:p>
              </w:tc>
              <w:tc>
                <w:tcPr>
                  <w:tcW w:w="1080" w:type="dxa"/>
                  <w:vMerge w:val="restart"/>
                  <w:vAlign w:val="center"/>
                </w:tcPr>
                <w:p w14:paraId="4AD8DD28">
                  <w:pPr>
                    <w:adjustRightInd w:val="0"/>
                    <w:snapToGrid w:val="0"/>
                    <w:spacing w:line="240" w:lineRule="exact"/>
                    <w:ind w:firstLine="0" w:firstLineChars="0"/>
                    <w:jc w:val="center"/>
                    <w:rPr>
                      <w:rFonts w:cs="Times New Roman"/>
                      <w:sz w:val="20"/>
                      <w:szCs w:val="20"/>
                    </w:rPr>
                  </w:pPr>
                  <w:r>
                    <w:rPr>
                      <w:rFonts w:hint="eastAsia" w:cs="Times New Roman"/>
                      <w:sz w:val="20"/>
                      <w:szCs w:val="20"/>
                    </w:rPr>
                    <w:t>120</w:t>
                  </w:r>
                </w:p>
              </w:tc>
            </w:tr>
            <w:tr w14:paraId="31B100B6">
              <w:tblPrEx>
                <w:tblBorders>
                  <w:top w:val="single" w:color="000000" w:sz="6" w:space="0"/>
                  <w:left w:val="single" w:color="000000" w:sz="6" w:space="0"/>
                  <w:bottom w:val="single" w:color="000000" w:sz="6"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51" w:hRule="atLeast"/>
                <w:jc w:val="right"/>
              </w:trPr>
              <w:tc>
                <w:tcPr>
                  <w:tcW w:w="1088" w:type="dxa"/>
                  <w:vMerge w:val="continue"/>
                  <w:tcBorders>
                    <w:left w:val="nil"/>
                  </w:tcBorders>
                  <w:vAlign w:val="center"/>
                </w:tcPr>
                <w:p w14:paraId="7E66B735">
                  <w:pPr>
                    <w:adjustRightInd w:val="0"/>
                    <w:snapToGrid w:val="0"/>
                    <w:spacing w:line="240" w:lineRule="exact"/>
                    <w:ind w:firstLine="0" w:firstLineChars="0"/>
                    <w:jc w:val="center"/>
                    <w:rPr>
                      <w:rFonts w:cs="Times New Roman"/>
                      <w:sz w:val="20"/>
                      <w:szCs w:val="20"/>
                    </w:rPr>
                  </w:pPr>
                </w:p>
              </w:tc>
              <w:tc>
                <w:tcPr>
                  <w:tcW w:w="1138" w:type="dxa"/>
                  <w:vMerge w:val="continue"/>
                  <w:vAlign w:val="center"/>
                </w:tcPr>
                <w:p w14:paraId="458F6BB5">
                  <w:pPr>
                    <w:adjustRightInd w:val="0"/>
                    <w:snapToGrid w:val="0"/>
                    <w:spacing w:line="240" w:lineRule="exact"/>
                    <w:ind w:firstLine="0" w:firstLineChars="0"/>
                    <w:jc w:val="center"/>
                    <w:rPr>
                      <w:rFonts w:cs="Times New Roman"/>
                      <w:sz w:val="20"/>
                      <w:szCs w:val="20"/>
                    </w:rPr>
                  </w:pPr>
                </w:p>
              </w:tc>
              <w:tc>
                <w:tcPr>
                  <w:tcW w:w="1276" w:type="dxa"/>
                  <w:vMerge w:val="restart"/>
                  <w:vAlign w:val="center"/>
                </w:tcPr>
                <w:p w14:paraId="2A23D78C">
                  <w:pPr>
                    <w:adjustRightInd w:val="0"/>
                    <w:snapToGrid w:val="0"/>
                    <w:spacing w:line="240" w:lineRule="exact"/>
                    <w:ind w:firstLine="0" w:firstLineChars="0"/>
                    <w:jc w:val="center"/>
                    <w:rPr>
                      <w:rFonts w:cs="Times New Roman"/>
                      <w:sz w:val="20"/>
                      <w:szCs w:val="20"/>
                    </w:rPr>
                  </w:pPr>
                  <w:r>
                    <w:rPr>
                      <w:rFonts w:cs="Times New Roman"/>
                      <w:sz w:val="20"/>
                      <w:szCs w:val="20"/>
                    </w:rPr>
                    <w:t>低浓度</w:t>
                  </w:r>
                </w:p>
                <w:p w14:paraId="3C10D2B4">
                  <w:pPr>
                    <w:adjustRightInd w:val="0"/>
                    <w:snapToGrid w:val="0"/>
                    <w:spacing w:line="240" w:lineRule="exact"/>
                    <w:ind w:firstLine="0" w:firstLineChars="0"/>
                    <w:jc w:val="center"/>
                    <w:rPr>
                      <w:rFonts w:cs="Times New Roman"/>
                      <w:sz w:val="20"/>
                      <w:szCs w:val="20"/>
                    </w:rPr>
                  </w:pPr>
                  <w:r>
                    <w:rPr>
                      <w:rFonts w:cs="Times New Roman"/>
                      <w:sz w:val="20"/>
                      <w:szCs w:val="20"/>
                    </w:rPr>
                    <w:t>颗粒物</w:t>
                  </w:r>
                </w:p>
              </w:tc>
              <w:tc>
                <w:tcPr>
                  <w:tcW w:w="1559" w:type="dxa"/>
                  <w:vAlign w:val="center"/>
                </w:tcPr>
                <w:p w14:paraId="6C7009BF">
                  <w:pPr>
                    <w:adjustRightInd w:val="0"/>
                    <w:snapToGrid w:val="0"/>
                    <w:spacing w:line="240" w:lineRule="exact"/>
                    <w:ind w:firstLine="0" w:firstLineChars="0"/>
                    <w:jc w:val="center"/>
                    <w:rPr>
                      <w:rFonts w:cs="Times New Roman"/>
                      <w:sz w:val="20"/>
                      <w:szCs w:val="20"/>
                    </w:rPr>
                  </w:pPr>
                  <w:r>
                    <w:rPr>
                      <w:rFonts w:cs="Times New Roman"/>
                      <w:sz w:val="20"/>
                      <w:szCs w:val="20"/>
                    </w:rPr>
                    <w:t>实测浓度</w:t>
                  </w:r>
                </w:p>
              </w:tc>
              <w:tc>
                <w:tcPr>
                  <w:tcW w:w="1418" w:type="dxa"/>
                  <w:vAlign w:val="center"/>
                </w:tcPr>
                <w:p w14:paraId="2132D3BB">
                  <w:pPr>
                    <w:adjustRightInd w:val="0"/>
                    <w:snapToGrid w:val="0"/>
                    <w:spacing w:line="240" w:lineRule="exact"/>
                    <w:ind w:firstLine="0" w:firstLineChars="0"/>
                    <w:jc w:val="center"/>
                    <w:rPr>
                      <w:rFonts w:cs="Times New Roman"/>
                      <w:sz w:val="20"/>
                      <w:szCs w:val="20"/>
                    </w:rPr>
                  </w:pPr>
                  <w:r>
                    <w:rPr>
                      <w:rFonts w:cs="Times New Roman"/>
                      <w:sz w:val="20"/>
                      <w:szCs w:val="20"/>
                    </w:rPr>
                    <w:t>mg/m</w:t>
                  </w:r>
                  <w:r>
                    <w:rPr>
                      <w:rFonts w:cs="Times New Roman"/>
                      <w:sz w:val="20"/>
                      <w:szCs w:val="20"/>
                      <w:vertAlign w:val="superscript"/>
                    </w:rPr>
                    <w:t>3</w:t>
                  </w:r>
                </w:p>
              </w:tc>
              <w:tc>
                <w:tcPr>
                  <w:tcW w:w="1367" w:type="dxa"/>
                  <w:vAlign w:val="center"/>
                </w:tcPr>
                <w:p w14:paraId="35F183C7">
                  <w:pPr>
                    <w:adjustRightInd w:val="0"/>
                    <w:snapToGrid w:val="0"/>
                    <w:spacing w:line="240" w:lineRule="exact"/>
                    <w:ind w:firstLine="0" w:firstLineChars="0"/>
                    <w:jc w:val="center"/>
                    <w:rPr>
                      <w:rFonts w:cs="Times New Roman"/>
                      <w:sz w:val="20"/>
                      <w:szCs w:val="20"/>
                    </w:rPr>
                  </w:pPr>
                  <w:r>
                    <w:rPr>
                      <w:rFonts w:hint="eastAsia" w:cs="Times New Roman"/>
                      <w:sz w:val="20"/>
                      <w:szCs w:val="20"/>
                    </w:rPr>
                    <w:t>ND</w:t>
                  </w:r>
                </w:p>
              </w:tc>
              <w:tc>
                <w:tcPr>
                  <w:tcW w:w="1080" w:type="dxa"/>
                  <w:vMerge w:val="continue"/>
                  <w:vAlign w:val="center"/>
                </w:tcPr>
                <w:p w14:paraId="0D5930C7">
                  <w:pPr>
                    <w:adjustRightInd w:val="0"/>
                    <w:snapToGrid w:val="0"/>
                    <w:spacing w:line="240" w:lineRule="exact"/>
                    <w:ind w:firstLine="0" w:firstLineChars="0"/>
                    <w:jc w:val="center"/>
                    <w:rPr>
                      <w:rFonts w:cs="Times New Roman"/>
                      <w:sz w:val="20"/>
                      <w:szCs w:val="20"/>
                    </w:rPr>
                  </w:pPr>
                </w:p>
              </w:tc>
            </w:tr>
            <w:tr w14:paraId="7791DEB5">
              <w:tblPrEx>
                <w:tblBorders>
                  <w:top w:val="single" w:color="000000" w:sz="6" w:space="0"/>
                  <w:left w:val="single" w:color="000000" w:sz="6" w:space="0"/>
                  <w:bottom w:val="single" w:color="000000" w:sz="6"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51" w:hRule="atLeast"/>
                <w:jc w:val="right"/>
              </w:trPr>
              <w:tc>
                <w:tcPr>
                  <w:tcW w:w="1088" w:type="dxa"/>
                  <w:vMerge w:val="continue"/>
                  <w:tcBorders>
                    <w:left w:val="nil"/>
                  </w:tcBorders>
                  <w:vAlign w:val="center"/>
                </w:tcPr>
                <w:p w14:paraId="6E75055B">
                  <w:pPr>
                    <w:adjustRightInd w:val="0"/>
                    <w:snapToGrid w:val="0"/>
                    <w:spacing w:line="240" w:lineRule="exact"/>
                    <w:ind w:firstLine="0" w:firstLineChars="0"/>
                    <w:jc w:val="center"/>
                    <w:rPr>
                      <w:rFonts w:cs="Times New Roman"/>
                      <w:sz w:val="20"/>
                      <w:szCs w:val="20"/>
                    </w:rPr>
                  </w:pPr>
                </w:p>
              </w:tc>
              <w:tc>
                <w:tcPr>
                  <w:tcW w:w="1138" w:type="dxa"/>
                  <w:vMerge w:val="continue"/>
                  <w:vAlign w:val="center"/>
                </w:tcPr>
                <w:p w14:paraId="1A5B5997">
                  <w:pPr>
                    <w:adjustRightInd w:val="0"/>
                    <w:snapToGrid w:val="0"/>
                    <w:spacing w:line="240" w:lineRule="exact"/>
                    <w:ind w:firstLine="0" w:firstLineChars="0"/>
                    <w:jc w:val="center"/>
                    <w:rPr>
                      <w:rFonts w:cs="Times New Roman"/>
                      <w:sz w:val="20"/>
                      <w:szCs w:val="20"/>
                    </w:rPr>
                  </w:pPr>
                </w:p>
              </w:tc>
              <w:tc>
                <w:tcPr>
                  <w:tcW w:w="1276" w:type="dxa"/>
                  <w:vMerge w:val="continue"/>
                  <w:vAlign w:val="center"/>
                </w:tcPr>
                <w:p w14:paraId="3D88AE21">
                  <w:pPr>
                    <w:adjustRightInd w:val="0"/>
                    <w:snapToGrid w:val="0"/>
                    <w:spacing w:line="240" w:lineRule="exact"/>
                    <w:ind w:firstLine="0" w:firstLineChars="0"/>
                    <w:jc w:val="center"/>
                    <w:rPr>
                      <w:rFonts w:cs="Times New Roman"/>
                      <w:sz w:val="20"/>
                      <w:szCs w:val="20"/>
                    </w:rPr>
                  </w:pPr>
                </w:p>
              </w:tc>
              <w:tc>
                <w:tcPr>
                  <w:tcW w:w="1559" w:type="dxa"/>
                  <w:vAlign w:val="center"/>
                </w:tcPr>
                <w:p w14:paraId="3F8CEB46">
                  <w:pPr>
                    <w:adjustRightInd w:val="0"/>
                    <w:snapToGrid w:val="0"/>
                    <w:spacing w:line="240" w:lineRule="exact"/>
                    <w:ind w:firstLine="0" w:firstLineChars="0"/>
                    <w:jc w:val="center"/>
                    <w:rPr>
                      <w:rFonts w:cs="Times New Roman"/>
                      <w:sz w:val="20"/>
                      <w:szCs w:val="20"/>
                    </w:rPr>
                  </w:pPr>
                  <w:r>
                    <w:rPr>
                      <w:rFonts w:cs="Times New Roman"/>
                      <w:sz w:val="20"/>
                      <w:szCs w:val="20"/>
                    </w:rPr>
                    <w:t>排放浓度</w:t>
                  </w:r>
                </w:p>
              </w:tc>
              <w:tc>
                <w:tcPr>
                  <w:tcW w:w="1418" w:type="dxa"/>
                  <w:vAlign w:val="center"/>
                </w:tcPr>
                <w:p w14:paraId="1C2ABA9E">
                  <w:pPr>
                    <w:adjustRightInd w:val="0"/>
                    <w:snapToGrid w:val="0"/>
                    <w:spacing w:line="240" w:lineRule="exact"/>
                    <w:ind w:firstLine="0" w:firstLineChars="0"/>
                    <w:jc w:val="center"/>
                    <w:rPr>
                      <w:rFonts w:cs="Times New Roman"/>
                      <w:sz w:val="20"/>
                      <w:szCs w:val="20"/>
                    </w:rPr>
                  </w:pPr>
                  <w:r>
                    <w:rPr>
                      <w:rFonts w:cs="Times New Roman"/>
                      <w:sz w:val="20"/>
                      <w:szCs w:val="20"/>
                    </w:rPr>
                    <w:t>mg/m</w:t>
                  </w:r>
                  <w:r>
                    <w:rPr>
                      <w:rFonts w:cs="Times New Roman"/>
                      <w:sz w:val="20"/>
                      <w:szCs w:val="20"/>
                      <w:vertAlign w:val="superscript"/>
                    </w:rPr>
                    <w:t>3</w:t>
                  </w:r>
                </w:p>
              </w:tc>
              <w:tc>
                <w:tcPr>
                  <w:tcW w:w="1367" w:type="dxa"/>
                  <w:vAlign w:val="center"/>
                </w:tcPr>
                <w:p w14:paraId="2E45FF3D">
                  <w:pPr>
                    <w:adjustRightInd w:val="0"/>
                    <w:snapToGrid w:val="0"/>
                    <w:spacing w:line="240" w:lineRule="exact"/>
                    <w:ind w:firstLine="0" w:firstLineChars="0"/>
                    <w:jc w:val="center"/>
                    <w:rPr>
                      <w:rFonts w:cs="Times New Roman"/>
                      <w:sz w:val="20"/>
                      <w:szCs w:val="20"/>
                    </w:rPr>
                  </w:pPr>
                  <w:r>
                    <w:rPr>
                      <w:rFonts w:hint="eastAsia" w:cs="Times New Roman"/>
                      <w:sz w:val="20"/>
                      <w:szCs w:val="20"/>
                    </w:rPr>
                    <w:t>ND</w:t>
                  </w:r>
                </w:p>
              </w:tc>
              <w:tc>
                <w:tcPr>
                  <w:tcW w:w="1080" w:type="dxa"/>
                  <w:vMerge w:val="continue"/>
                  <w:vAlign w:val="center"/>
                </w:tcPr>
                <w:p w14:paraId="4E5D97B5">
                  <w:pPr>
                    <w:adjustRightInd w:val="0"/>
                    <w:snapToGrid w:val="0"/>
                    <w:spacing w:line="240" w:lineRule="exact"/>
                    <w:ind w:firstLine="0" w:firstLineChars="0"/>
                    <w:jc w:val="center"/>
                    <w:rPr>
                      <w:rFonts w:cs="Times New Roman"/>
                      <w:sz w:val="20"/>
                      <w:szCs w:val="20"/>
                    </w:rPr>
                  </w:pPr>
                </w:p>
              </w:tc>
            </w:tr>
            <w:tr w14:paraId="2D9B5A88">
              <w:tblPrEx>
                <w:tblBorders>
                  <w:top w:val="single" w:color="000000" w:sz="6" w:space="0"/>
                  <w:left w:val="single" w:color="000000" w:sz="6" w:space="0"/>
                  <w:bottom w:val="single" w:color="000000" w:sz="6"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51" w:hRule="atLeast"/>
                <w:jc w:val="right"/>
              </w:trPr>
              <w:tc>
                <w:tcPr>
                  <w:tcW w:w="1088" w:type="dxa"/>
                  <w:vMerge w:val="continue"/>
                  <w:tcBorders>
                    <w:left w:val="nil"/>
                  </w:tcBorders>
                  <w:vAlign w:val="center"/>
                </w:tcPr>
                <w:p w14:paraId="3219AB6F">
                  <w:pPr>
                    <w:adjustRightInd w:val="0"/>
                    <w:snapToGrid w:val="0"/>
                    <w:spacing w:line="240" w:lineRule="exact"/>
                    <w:ind w:firstLine="0" w:firstLineChars="0"/>
                    <w:jc w:val="center"/>
                    <w:rPr>
                      <w:rFonts w:cs="Times New Roman"/>
                      <w:sz w:val="20"/>
                      <w:szCs w:val="20"/>
                    </w:rPr>
                  </w:pPr>
                </w:p>
              </w:tc>
              <w:tc>
                <w:tcPr>
                  <w:tcW w:w="1138" w:type="dxa"/>
                  <w:vMerge w:val="continue"/>
                  <w:vAlign w:val="center"/>
                </w:tcPr>
                <w:p w14:paraId="1DD28789">
                  <w:pPr>
                    <w:adjustRightInd w:val="0"/>
                    <w:snapToGrid w:val="0"/>
                    <w:spacing w:line="240" w:lineRule="exact"/>
                    <w:ind w:firstLine="0" w:firstLineChars="0"/>
                    <w:jc w:val="center"/>
                    <w:rPr>
                      <w:rFonts w:cs="Times New Roman"/>
                      <w:sz w:val="20"/>
                      <w:szCs w:val="20"/>
                    </w:rPr>
                  </w:pPr>
                </w:p>
              </w:tc>
              <w:tc>
                <w:tcPr>
                  <w:tcW w:w="1276" w:type="dxa"/>
                  <w:vMerge w:val="continue"/>
                  <w:vAlign w:val="center"/>
                </w:tcPr>
                <w:p w14:paraId="30A64DD0">
                  <w:pPr>
                    <w:adjustRightInd w:val="0"/>
                    <w:snapToGrid w:val="0"/>
                    <w:spacing w:line="240" w:lineRule="exact"/>
                    <w:ind w:firstLine="0" w:firstLineChars="0"/>
                    <w:jc w:val="center"/>
                    <w:rPr>
                      <w:rFonts w:cs="Times New Roman"/>
                      <w:sz w:val="20"/>
                      <w:szCs w:val="20"/>
                    </w:rPr>
                  </w:pPr>
                </w:p>
              </w:tc>
              <w:tc>
                <w:tcPr>
                  <w:tcW w:w="1559" w:type="dxa"/>
                  <w:vAlign w:val="center"/>
                </w:tcPr>
                <w:p w14:paraId="7704037E">
                  <w:pPr>
                    <w:adjustRightInd w:val="0"/>
                    <w:snapToGrid w:val="0"/>
                    <w:spacing w:line="240" w:lineRule="exact"/>
                    <w:ind w:firstLine="0" w:firstLineChars="0"/>
                    <w:jc w:val="center"/>
                    <w:rPr>
                      <w:rFonts w:cs="Times New Roman"/>
                      <w:sz w:val="20"/>
                      <w:szCs w:val="20"/>
                    </w:rPr>
                  </w:pPr>
                  <w:r>
                    <w:rPr>
                      <w:rFonts w:cs="Times New Roman"/>
                      <w:sz w:val="20"/>
                      <w:szCs w:val="20"/>
                    </w:rPr>
                    <w:t>排放速率</w:t>
                  </w:r>
                </w:p>
              </w:tc>
              <w:tc>
                <w:tcPr>
                  <w:tcW w:w="1418" w:type="dxa"/>
                  <w:vAlign w:val="center"/>
                </w:tcPr>
                <w:p w14:paraId="7006FE4B">
                  <w:pPr>
                    <w:adjustRightInd w:val="0"/>
                    <w:snapToGrid w:val="0"/>
                    <w:spacing w:line="240" w:lineRule="exact"/>
                    <w:ind w:firstLine="0" w:firstLineChars="0"/>
                    <w:jc w:val="center"/>
                    <w:rPr>
                      <w:rFonts w:cs="Times New Roman"/>
                      <w:sz w:val="20"/>
                      <w:szCs w:val="20"/>
                    </w:rPr>
                  </w:pPr>
                  <w:r>
                    <w:rPr>
                      <w:rFonts w:cs="Times New Roman"/>
                      <w:sz w:val="20"/>
                      <w:szCs w:val="20"/>
                    </w:rPr>
                    <w:t>kg/h</w:t>
                  </w:r>
                </w:p>
              </w:tc>
              <w:tc>
                <w:tcPr>
                  <w:tcW w:w="1367" w:type="dxa"/>
                  <w:vAlign w:val="center"/>
                </w:tcPr>
                <w:p w14:paraId="57567775">
                  <w:pPr>
                    <w:adjustRightInd w:val="0"/>
                    <w:snapToGrid w:val="0"/>
                    <w:spacing w:line="240" w:lineRule="exact"/>
                    <w:ind w:firstLine="0" w:firstLineChars="0"/>
                    <w:jc w:val="center"/>
                    <w:rPr>
                      <w:rFonts w:cs="Times New Roman"/>
                      <w:sz w:val="20"/>
                      <w:szCs w:val="20"/>
                    </w:rPr>
                  </w:pPr>
                  <w:r>
                    <w:rPr>
                      <w:rFonts w:cs="Times New Roman"/>
                      <w:sz w:val="20"/>
                      <w:szCs w:val="20"/>
                    </w:rPr>
                    <w:t>1.</w:t>
                  </w:r>
                  <w:r>
                    <w:rPr>
                      <w:rFonts w:hint="eastAsia" w:cs="Times New Roman"/>
                      <w:sz w:val="20"/>
                      <w:szCs w:val="20"/>
                    </w:rPr>
                    <w:t>04</w:t>
                  </w:r>
                  <w:r>
                    <w:rPr>
                      <w:rFonts w:cs="Times New Roman"/>
                      <w:sz w:val="20"/>
                      <w:szCs w:val="20"/>
                    </w:rPr>
                    <w:t>×10</w:t>
                  </w:r>
                  <w:r>
                    <w:rPr>
                      <w:rFonts w:cs="Times New Roman"/>
                      <w:sz w:val="20"/>
                      <w:szCs w:val="20"/>
                      <w:vertAlign w:val="superscript"/>
                    </w:rPr>
                    <w:t>-2</w:t>
                  </w:r>
                </w:p>
              </w:tc>
              <w:tc>
                <w:tcPr>
                  <w:tcW w:w="1080" w:type="dxa"/>
                  <w:vMerge w:val="continue"/>
                  <w:vAlign w:val="center"/>
                </w:tcPr>
                <w:p w14:paraId="2B31B938">
                  <w:pPr>
                    <w:adjustRightInd w:val="0"/>
                    <w:snapToGrid w:val="0"/>
                    <w:spacing w:line="240" w:lineRule="exact"/>
                    <w:ind w:firstLine="0" w:firstLineChars="0"/>
                    <w:jc w:val="center"/>
                    <w:rPr>
                      <w:rFonts w:cs="Times New Roman"/>
                      <w:sz w:val="20"/>
                      <w:szCs w:val="20"/>
                    </w:rPr>
                  </w:pPr>
                </w:p>
              </w:tc>
            </w:tr>
            <w:tr w14:paraId="3796E590">
              <w:tblPrEx>
                <w:tblBorders>
                  <w:top w:val="single" w:color="000000" w:sz="6" w:space="0"/>
                  <w:left w:val="single" w:color="000000" w:sz="6" w:space="0"/>
                  <w:bottom w:val="single" w:color="000000" w:sz="6"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51" w:hRule="atLeast"/>
                <w:jc w:val="right"/>
              </w:trPr>
              <w:tc>
                <w:tcPr>
                  <w:tcW w:w="1088" w:type="dxa"/>
                  <w:vMerge w:val="restart"/>
                  <w:tcBorders>
                    <w:left w:val="nil"/>
                  </w:tcBorders>
                  <w:vAlign w:val="center"/>
                </w:tcPr>
                <w:p w14:paraId="3BECEE4B">
                  <w:pPr>
                    <w:adjustRightInd w:val="0"/>
                    <w:snapToGrid w:val="0"/>
                    <w:spacing w:line="240" w:lineRule="exact"/>
                    <w:ind w:firstLine="0" w:firstLineChars="0"/>
                    <w:jc w:val="center"/>
                    <w:rPr>
                      <w:rFonts w:cs="Times New Roman"/>
                      <w:sz w:val="20"/>
                      <w:szCs w:val="20"/>
                    </w:rPr>
                  </w:pPr>
                  <w:r>
                    <w:rPr>
                      <w:rFonts w:hint="eastAsia" w:cs="Times New Roman"/>
                      <w:sz w:val="20"/>
                      <w:szCs w:val="20"/>
                    </w:rPr>
                    <w:t>2026.04.30</w:t>
                  </w:r>
                </w:p>
              </w:tc>
              <w:tc>
                <w:tcPr>
                  <w:tcW w:w="1138" w:type="dxa"/>
                  <w:vMerge w:val="continue"/>
                  <w:vAlign w:val="center"/>
                </w:tcPr>
                <w:p w14:paraId="0B7E99C0">
                  <w:pPr>
                    <w:adjustRightInd w:val="0"/>
                    <w:snapToGrid w:val="0"/>
                    <w:spacing w:line="240" w:lineRule="exact"/>
                    <w:ind w:firstLine="0" w:firstLineChars="0"/>
                    <w:jc w:val="center"/>
                    <w:rPr>
                      <w:rFonts w:cs="Times New Roman"/>
                      <w:sz w:val="20"/>
                      <w:szCs w:val="20"/>
                    </w:rPr>
                  </w:pPr>
                </w:p>
              </w:tc>
              <w:tc>
                <w:tcPr>
                  <w:tcW w:w="2835" w:type="dxa"/>
                  <w:gridSpan w:val="2"/>
                  <w:vAlign w:val="center"/>
                </w:tcPr>
                <w:p w14:paraId="12DD20D0">
                  <w:pPr>
                    <w:adjustRightInd w:val="0"/>
                    <w:snapToGrid w:val="0"/>
                    <w:spacing w:line="240" w:lineRule="exact"/>
                    <w:ind w:firstLine="0" w:firstLineChars="0"/>
                    <w:jc w:val="center"/>
                    <w:rPr>
                      <w:rFonts w:cs="Times New Roman"/>
                      <w:sz w:val="20"/>
                      <w:szCs w:val="20"/>
                    </w:rPr>
                  </w:pPr>
                  <w:r>
                    <w:rPr>
                      <w:rFonts w:cs="Times New Roman"/>
                      <w:sz w:val="20"/>
                      <w:szCs w:val="20"/>
                    </w:rPr>
                    <w:t>排气流量</w:t>
                  </w:r>
                </w:p>
              </w:tc>
              <w:tc>
                <w:tcPr>
                  <w:tcW w:w="1418" w:type="dxa"/>
                  <w:vAlign w:val="center"/>
                </w:tcPr>
                <w:p w14:paraId="484078AB">
                  <w:pPr>
                    <w:adjustRightInd w:val="0"/>
                    <w:snapToGrid w:val="0"/>
                    <w:spacing w:line="240" w:lineRule="exact"/>
                    <w:ind w:firstLine="0" w:firstLineChars="0"/>
                    <w:jc w:val="center"/>
                    <w:rPr>
                      <w:rFonts w:cs="Times New Roman"/>
                      <w:sz w:val="20"/>
                      <w:szCs w:val="20"/>
                    </w:rPr>
                  </w:pPr>
                  <w:r>
                    <w:rPr>
                      <w:rFonts w:cs="Times New Roman"/>
                      <w:sz w:val="20"/>
                      <w:szCs w:val="20"/>
                    </w:rPr>
                    <w:t>m</w:t>
                  </w:r>
                  <w:r>
                    <w:rPr>
                      <w:rFonts w:cs="Times New Roman"/>
                      <w:sz w:val="20"/>
                      <w:szCs w:val="20"/>
                      <w:vertAlign w:val="superscript"/>
                    </w:rPr>
                    <w:t>3</w:t>
                  </w:r>
                  <w:r>
                    <w:rPr>
                      <w:rFonts w:cs="Times New Roman"/>
                      <w:sz w:val="20"/>
                      <w:szCs w:val="20"/>
                    </w:rPr>
                    <w:t>/h</w:t>
                  </w:r>
                </w:p>
              </w:tc>
              <w:tc>
                <w:tcPr>
                  <w:tcW w:w="1367" w:type="dxa"/>
                  <w:vAlign w:val="center"/>
                </w:tcPr>
                <w:p w14:paraId="6C621F4C">
                  <w:pPr>
                    <w:adjustRightInd w:val="0"/>
                    <w:snapToGrid w:val="0"/>
                    <w:spacing w:line="240" w:lineRule="exact"/>
                    <w:ind w:firstLine="0" w:firstLineChars="0"/>
                    <w:jc w:val="center"/>
                    <w:rPr>
                      <w:rFonts w:cs="Times New Roman"/>
                      <w:sz w:val="20"/>
                      <w:szCs w:val="20"/>
                    </w:rPr>
                  </w:pPr>
                  <w:r>
                    <w:rPr>
                      <w:rFonts w:cs="Times New Roman"/>
                      <w:sz w:val="20"/>
                      <w:szCs w:val="20"/>
                    </w:rPr>
                    <w:t>20273</w:t>
                  </w:r>
                </w:p>
              </w:tc>
              <w:tc>
                <w:tcPr>
                  <w:tcW w:w="1080" w:type="dxa"/>
                  <w:vMerge w:val="continue"/>
                  <w:vAlign w:val="center"/>
                </w:tcPr>
                <w:p w14:paraId="0B578506">
                  <w:pPr>
                    <w:adjustRightInd w:val="0"/>
                    <w:snapToGrid w:val="0"/>
                    <w:spacing w:line="240" w:lineRule="exact"/>
                    <w:ind w:firstLine="0" w:firstLineChars="0"/>
                    <w:jc w:val="center"/>
                    <w:rPr>
                      <w:rFonts w:cs="Times New Roman"/>
                      <w:sz w:val="20"/>
                      <w:szCs w:val="20"/>
                    </w:rPr>
                  </w:pPr>
                </w:p>
              </w:tc>
            </w:tr>
            <w:tr w14:paraId="62F85861">
              <w:tblPrEx>
                <w:tblBorders>
                  <w:top w:val="single" w:color="000000" w:sz="6" w:space="0"/>
                  <w:left w:val="single" w:color="000000" w:sz="6" w:space="0"/>
                  <w:bottom w:val="single" w:color="000000" w:sz="6"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51" w:hRule="atLeast"/>
                <w:jc w:val="right"/>
              </w:trPr>
              <w:tc>
                <w:tcPr>
                  <w:tcW w:w="1088" w:type="dxa"/>
                  <w:vMerge w:val="continue"/>
                  <w:tcBorders>
                    <w:left w:val="nil"/>
                  </w:tcBorders>
                  <w:vAlign w:val="center"/>
                </w:tcPr>
                <w:p w14:paraId="32F18980">
                  <w:pPr>
                    <w:adjustRightInd w:val="0"/>
                    <w:snapToGrid w:val="0"/>
                    <w:spacing w:line="240" w:lineRule="exact"/>
                    <w:ind w:firstLine="0" w:firstLineChars="0"/>
                    <w:jc w:val="center"/>
                    <w:rPr>
                      <w:rFonts w:cs="Times New Roman"/>
                      <w:sz w:val="20"/>
                      <w:szCs w:val="20"/>
                    </w:rPr>
                  </w:pPr>
                </w:p>
              </w:tc>
              <w:tc>
                <w:tcPr>
                  <w:tcW w:w="1138" w:type="dxa"/>
                  <w:vMerge w:val="continue"/>
                  <w:vAlign w:val="center"/>
                </w:tcPr>
                <w:p w14:paraId="7734B236">
                  <w:pPr>
                    <w:adjustRightInd w:val="0"/>
                    <w:snapToGrid w:val="0"/>
                    <w:spacing w:line="240" w:lineRule="exact"/>
                    <w:ind w:firstLine="0" w:firstLineChars="0"/>
                    <w:jc w:val="center"/>
                    <w:rPr>
                      <w:rFonts w:cs="Times New Roman"/>
                      <w:sz w:val="20"/>
                      <w:szCs w:val="20"/>
                    </w:rPr>
                  </w:pPr>
                </w:p>
              </w:tc>
              <w:tc>
                <w:tcPr>
                  <w:tcW w:w="1276" w:type="dxa"/>
                  <w:vMerge w:val="restart"/>
                  <w:vAlign w:val="center"/>
                </w:tcPr>
                <w:p w14:paraId="3BA5C318">
                  <w:pPr>
                    <w:adjustRightInd w:val="0"/>
                    <w:snapToGrid w:val="0"/>
                    <w:spacing w:line="240" w:lineRule="exact"/>
                    <w:ind w:firstLine="0" w:firstLineChars="0"/>
                    <w:jc w:val="center"/>
                    <w:rPr>
                      <w:rFonts w:cs="Times New Roman"/>
                      <w:sz w:val="20"/>
                      <w:szCs w:val="20"/>
                    </w:rPr>
                  </w:pPr>
                  <w:r>
                    <w:rPr>
                      <w:rFonts w:cs="Times New Roman"/>
                      <w:sz w:val="20"/>
                      <w:szCs w:val="20"/>
                    </w:rPr>
                    <w:t>低浓度</w:t>
                  </w:r>
                </w:p>
                <w:p w14:paraId="613A44C3">
                  <w:pPr>
                    <w:adjustRightInd w:val="0"/>
                    <w:snapToGrid w:val="0"/>
                    <w:spacing w:line="240" w:lineRule="exact"/>
                    <w:ind w:firstLine="0" w:firstLineChars="0"/>
                    <w:jc w:val="center"/>
                    <w:rPr>
                      <w:rFonts w:cs="Times New Roman"/>
                      <w:sz w:val="20"/>
                      <w:szCs w:val="20"/>
                    </w:rPr>
                  </w:pPr>
                  <w:r>
                    <w:rPr>
                      <w:rFonts w:cs="Times New Roman"/>
                      <w:sz w:val="20"/>
                      <w:szCs w:val="20"/>
                    </w:rPr>
                    <w:t>颗粒物</w:t>
                  </w:r>
                </w:p>
              </w:tc>
              <w:tc>
                <w:tcPr>
                  <w:tcW w:w="1559" w:type="dxa"/>
                  <w:vAlign w:val="center"/>
                </w:tcPr>
                <w:p w14:paraId="136CCCE7">
                  <w:pPr>
                    <w:adjustRightInd w:val="0"/>
                    <w:snapToGrid w:val="0"/>
                    <w:spacing w:line="240" w:lineRule="exact"/>
                    <w:ind w:firstLine="0" w:firstLineChars="0"/>
                    <w:jc w:val="center"/>
                    <w:rPr>
                      <w:rFonts w:cs="Times New Roman"/>
                      <w:sz w:val="20"/>
                      <w:szCs w:val="20"/>
                    </w:rPr>
                  </w:pPr>
                  <w:r>
                    <w:rPr>
                      <w:rFonts w:cs="Times New Roman"/>
                      <w:sz w:val="20"/>
                      <w:szCs w:val="20"/>
                    </w:rPr>
                    <w:t>实测浓度</w:t>
                  </w:r>
                </w:p>
              </w:tc>
              <w:tc>
                <w:tcPr>
                  <w:tcW w:w="1418" w:type="dxa"/>
                  <w:vAlign w:val="center"/>
                </w:tcPr>
                <w:p w14:paraId="4FFD6826">
                  <w:pPr>
                    <w:adjustRightInd w:val="0"/>
                    <w:snapToGrid w:val="0"/>
                    <w:spacing w:line="240" w:lineRule="exact"/>
                    <w:ind w:firstLine="0" w:firstLineChars="0"/>
                    <w:jc w:val="center"/>
                    <w:rPr>
                      <w:rFonts w:cs="Times New Roman"/>
                      <w:sz w:val="20"/>
                      <w:szCs w:val="20"/>
                    </w:rPr>
                  </w:pPr>
                  <w:r>
                    <w:rPr>
                      <w:rFonts w:cs="Times New Roman"/>
                      <w:sz w:val="20"/>
                      <w:szCs w:val="20"/>
                    </w:rPr>
                    <w:t>mg/m</w:t>
                  </w:r>
                  <w:r>
                    <w:rPr>
                      <w:rFonts w:cs="Times New Roman"/>
                      <w:sz w:val="20"/>
                      <w:szCs w:val="20"/>
                      <w:vertAlign w:val="superscript"/>
                    </w:rPr>
                    <w:t>3</w:t>
                  </w:r>
                </w:p>
              </w:tc>
              <w:tc>
                <w:tcPr>
                  <w:tcW w:w="1367" w:type="dxa"/>
                  <w:vAlign w:val="center"/>
                </w:tcPr>
                <w:p w14:paraId="4791566A">
                  <w:pPr>
                    <w:adjustRightInd w:val="0"/>
                    <w:snapToGrid w:val="0"/>
                    <w:spacing w:line="240" w:lineRule="exact"/>
                    <w:ind w:firstLine="0" w:firstLineChars="0"/>
                    <w:jc w:val="center"/>
                    <w:rPr>
                      <w:rFonts w:cs="Times New Roman"/>
                      <w:sz w:val="20"/>
                      <w:szCs w:val="20"/>
                    </w:rPr>
                  </w:pPr>
                  <w:r>
                    <w:rPr>
                      <w:rFonts w:hint="eastAsia" w:cs="Times New Roman"/>
                      <w:sz w:val="20"/>
                      <w:szCs w:val="20"/>
                    </w:rPr>
                    <w:t>ND</w:t>
                  </w:r>
                </w:p>
              </w:tc>
              <w:tc>
                <w:tcPr>
                  <w:tcW w:w="1080" w:type="dxa"/>
                  <w:vMerge w:val="continue"/>
                  <w:vAlign w:val="center"/>
                </w:tcPr>
                <w:p w14:paraId="2DAD0DD4">
                  <w:pPr>
                    <w:adjustRightInd w:val="0"/>
                    <w:snapToGrid w:val="0"/>
                    <w:spacing w:line="240" w:lineRule="exact"/>
                    <w:ind w:firstLine="0" w:firstLineChars="0"/>
                    <w:jc w:val="center"/>
                    <w:rPr>
                      <w:rFonts w:cs="Times New Roman"/>
                      <w:sz w:val="20"/>
                      <w:szCs w:val="20"/>
                    </w:rPr>
                  </w:pPr>
                </w:p>
              </w:tc>
            </w:tr>
            <w:tr w14:paraId="5F4E7FA1">
              <w:tblPrEx>
                <w:tblBorders>
                  <w:top w:val="single" w:color="000000" w:sz="6" w:space="0"/>
                  <w:left w:val="single" w:color="000000" w:sz="6" w:space="0"/>
                  <w:bottom w:val="single" w:color="000000" w:sz="6"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51" w:hRule="atLeast"/>
                <w:jc w:val="right"/>
              </w:trPr>
              <w:tc>
                <w:tcPr>
                  <w:tcW w:w="1088" w:type="dxa"/>
                  <w:vMerge w:val="continue"/>
                  <w:tcBorders>
                    <w:left w:val="nil"/>
                  </w:tcBorders>
                  <w:vAlign w:val="center"/>
                </w:tcPr>
                <w:p w14:paraId="6C635D53">
                  <w:pPr>
                    <w:adjustRightInd w:val="0"/>
                    <w:snapToGrid w:val="0"/>
                    <w:spacing w:line="240" w:lineRule="exact"/>
                    <w:ind w:firstLine="0" w:firstLineChars="0"/>
                    <w:jc w:val="center"/>
                    <w:rPr>
                      <w:rFonts w:cs="Times New Roman"/>
                      <w:sz w:val="20"/>
                      <w:szCs w:val="20"/>
                    </w:rPr>
                  </w:pPr>
                </w:p>
              </w:tc>
              <w:tc>
                <w:tcPr>
                  <w:tcW w:w="1138" w:type="dxa"/>
                  <w:vMerge w:val="continue"/>
                  <w:vAlign w:val="center"/>
                </w:tcPr>
                <w:p w14:paraId="3B001C0F">
                  <w:pPr>
                    <w:adjustRightInd w:val="0"/>
                    <w:snapToGrid w:val="0"/>
                    <w:spacing w:line="240" w:lineRule="exact"/>
                    <w:ind w:firstLine="0" w:firstLineChars="0"/>
                    <w:jc w:val="center"/>
                    <w:rPr>
                      <w:rFonts w:cs="Times New Roman"/>
                      <w:sz w:val="20"/>
                      <w:szCs w:val="20"/>
                    </w:rPr>
                  </w:pPr>
                </w:p>
              </w:tc>
              <w:tc>
                <w:tcPr>
                  <w:tcW w:w="1276" w:type="dxa"/>
                  <w:vMerge w:val="continue"/>
                  <w:vAlign w:val="center"/>
                </w:tcPr>
                <w:p w14:paraId="0E413C4D">
                  <w:pPr>
                    <w:adjustRightInd w:val="0"/>
                    <w:snapToGrid w:val="0"/>
                    <w:spacing w:line="240" w:lineRule="exact"/>
                    <w:ind w:firstLine="0" w:firstLineChars="0"/>
                    <w:jc w:val="center"/>
                    <w:rPr>
                      <w:rFonts w:cs="Times New Roman"/>
                      <w:sz w:val="20"/>
                      <w:szCs w:val="20"/>
                    </w:rPr>
                  </w:pPr>
                </w:p>
              </w:tc>
              <w:tc>
                <w:tcPr>
                  <w:tcW w:w="1559" w:type="dxa"/>
                  <w:vAlign w:val="center"/>
                </w:tcPr>
                <w:p w14:paraId="77B30912">
                  <w:pPr>
                    <w:adjustRightInd w:val="0"/>
                    <w:snapToGrid w:val="0"/>
                    <w:spacing w:line="240" w:lineRule="exact"/>
                    <w:ind w:firstLine="0" w:firstLineChars="0"/>
                    <w:jc w:val="center"/>
                    <w:rPr>
                      <w:rFonts w:cs="Times New Roman"/>
                      <w:sz w:val="20"/>
                      <w:szCs w:val="20"/>
                    </w:rPr>
                  </w:pPr>
                  <w:r>
                    <w:rPr>
                      <w:rFonts w:cs="Times New Roman"/>
                      <w:sz w:val="20"/>
                      <w:szCs w:val="20"/>
                    </w:rPr>
                    <w:t>排放浓度</w:t>
                  </w:r>
                </w:p>
              </w:tc>
              <w:tc>
                <w:tcPr>
                  <w:tcW w:w="1418" w:type="dxa"/>
                  <w:vAlign w:val="center"/>
                </w:tcPr>
                <w:p w14:paraId="2A6FF319">
                  <w:pPr>
                    <w:adjustRightInd w:val="0"/>
                    <w:snapToGrid w:val="0"/>
                    <w:spacing w:line="240" w:lineRule="exact"/>
                    <w:ind w:firstLine="0" w:firstLineChars="0"/>
                    <w:jc w:val="center"/>
                    <w:rPr>
                      <w:rFonts w:cs="Times New Roman"/>
                      <w:sz w:val="20"/>
                      <w:szCs w:val="20"/>
                    </w:rPr>
                  </w:pPr>
                  <w:r>
                    <w:rPr>
                      <w:rFonts w:cs="Times New Roman"/>
                      <w:sz w:val="20"/>
                      <w:szCs w:val="20"/>
                    </w:rPr>
                    <w:t>mg/m</w:t>
                  </w:r>
                  <w:r>
                    <w:rPr>
                      <w:rFonts w:cs="Times New Roman"/>
                      <w:sz w:val="20"/>
                      <w:szCs w:val="20"/>
                      <w:vertAlign w:val="superscript"/>
                    </w:rPr>
                    <w:t>3</w:t>
                  </w:r>
                </w:p>
              </w:tc>
              <w:tc>
                <w:tcPr>
                  <w:tcW w:w="1367" w:type="dxa"/>
                  <w:vAlign w:val="center"/>
                </w:tcPr>
                <w:p w14:paraId="23CDCDCA">
                  <w:pPr>
                    <w:adjustRightInd w:val="0"/>
                    <w:snapToGrid w:val="0"/>
                    <w:spacing w:line="240" w:lineRule="exact"/>
                    <w:ind w:firstLine="0" w:firstLineChars="0"/>
                    <w:jc w:val="center"/>
                    <w:rPr>
                      <w:rFonts w:cs="Times New Roman"/>
                      <w:sz w:val="20"/>
                      <w:szCs w:val="20"/>
                    </w:rPr>
                  </w:pPr>
                  <w:r>
                    <w:rPr>
                      <w:rFonts w:hint="eastAsia" w:cs="Times New Roman"/>
                      <w:sz w:val="20"/>
                      <w:szCs w:val="20"/>
                    </w:rPr>
                    <w:t>ND</w:t>
                  </w:r>
                </w:p>
              </w:tc>
              <w:tc>
                <w:tcPr>
                  <w:tcW w:w="1080" w:type="dxa"/>
                  <w:vMerge w:val="continue"/>
                  <w:vAlign w:val="center"/>
                </w:tcPr>
                <w:p w14:paraId="295C91B4">
                  <w:pPr>
                    <w:adjustRightInd w:val="0"/>
                    <w:snapToGrid w:val="0"/>
                    <w:spacing w:line="240" w:lineRule="exact"/>
                    <w:ind w:firstLine="0" w:firstLineChars="0"/>
                    <w:jc w:val="center"/>
                    <w:rPr>
                      <w:rFonts w:cs="Times New Roman"/>
                      <w:sz w:val="20"/>
                      <w:szCs w:val="20"/>
                    </w:rPr>
                  </w:pPr>
                </w:p>
              </w:tc>
            </w:tr>
            <w:tr w14:paraId="6DC3D6ED">
              <w:tblPrEx>
                <w:tblBorders>
                  <w:top w:val="single" w:color="000000" w:sz="6" w:space="0"/>
                  <w:left w:val="single" w:color="000000" w:sz="6" w:space="0"/>
                  <w:bottom w:val="single" w:color="000000" w:sz="6"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51" w:hRule="atLeast"/>
                <w:jc w:val="right"/>
              </w:trPr>
              <w:tc>
                <w:tcPr>
                  <w:tcW w:w="1088" w:type="dxa"/>
                  <w:vMerge w:val="continue"/>
                  <w:tcBorders>
                    <w:left w:val="nil"/>
                  </w:tcBorders>
                  <w:vAlign w:val="center"/>
                </w:tcPr>
                <w:p w14:paraId="61832A23">
                  <w:pPr>
                    <w:adjustRightInd w:val="0"/>
                    <w:snapToGrid w:val="0"/>
                    <w:spacing w:line="240" w:lineRule="exact"/>
                    <w:ind w:firstLine="0" w:firstLineChars="0"/>
                    <w:jc w:val="center"/>
                    <w:rPr>
                      <w:rFonts w:cs="Times New Roman"/>
                      <w:sz w:val="20"/>
                      <w:szCs w:val="20"/>
                    </w:rPr>
                  </w:pPr>
                </w:p>
              </w:tc>
              <w:tc>
                <w:tcPr>
                  <w:tcW w:w="1138" w:type="dxa"/>
                  <w:vMerge w:val="continue"/>
                  <w:vAlign w:val="center"/>
                </w:tcPr>
                <w:p w14:paraId="7FF47B12">
                  <w:pPr>
                    <w:adjustRightInd w:val="0"/>
                    <w:snapToGrid w:val="0"/>
                    <w:spacing w:line="240" w:lineRule="exact"/>
                    <w:ind w:firstLine="0" w:firstLineChars="0"/>
                    <w:jc w:val="center"/>
                    <w:rPr>
                      <w:rFonts w:cs="Times New Roman"/>
                      <w:sz w:val="20"/>
                      <w:szCs w:val="20"/>
                    </w:rPr>
                  </w:pPr>
                </w:p>
              </w:tc>
              <w:tc>
                <w:tcPr>
                  <w:tcW w:w="1276" w:type="dxa"/>
                  <w:vMerge w:val="continue"/>
                  <w:vAlign w:val="center"/>
                </w:tcPr>
                <w:p w14:paraId="61225321">
                  <w:pPr>
                    <w:adjustRightInd w:val="0"/>
                    <w:snapToGrid w:val="0"/>
                    <w:spacing w:line="240" w:lineRule="exact"/>
                    <w:ind w:firstLine="0" w:firstLineChars="0"/>
                    <w:jc w:val="center"/>
                    <w:rPr>
                      <w:rFonts w:cs="Times New Roman"/>
                      <w:sz w:val="20"/>
                      <w:szCs w:val="20"/>
                    </w:rPr>
                  </w:pPr>
                </w:p>
              </w:tc>
              <w:tc>
                <w:tcPr>
                  <w:tcW w:w="1559" w:type="dxa"/>
                  <w:vAlign w:val="center"/>
                </w:tcPr>
                <w:p w14:paraId="7CDC00E9">
                  <w:pPr>
                    <w:adjustRightInd w:val="0"/>
                    <w:snapToGrid w:val="0"/>
                    <w:spacing w:line="240" w:lineRule="exact"/>
                    <w:ind w:firstLine="0" w:firstLineChars="0"/>
                    <w:jc w:val="center"/>
                    <w:rPr>
                      <w:rFonts w:cs="Times New Roman"/>
                      <w:sz w:val="20"/>
                      <w:szCs w:val="20"/>
                    </w:rPr>
                  </w:pPr>
                  <w:r>
                    <w:rPr>
                      <w:rFonts w:cs="Times New Roman"/>
                      <w:sz w:val="20"/>
                      <w:szCs w:val="20"/>
                    </w:rPr>
                    <w:t>排放速率</w:t>
                  </w:r>
                </w:p>
              </w:tc>
              <w:tc>
                <w:tcPr>
                  <w:tcW w:w="1418" w:type="dxa"/>
                  <w:vAlign w:val="center"/>
                </w:tcPr>
                <w:p w14:paraId="1F1BE860">
                  <w:pPr>
                    <w:adjustRightInd w:val="0"/>
                    <w:snapToGrid w:val="0"/>
                    <w:spacing w:line="240" w:lineRule="exact"/>
                    <w:ind w:firstLine="0" w:firstLineChars="0"/>
                    <w:jc w:val="center"/>
                    <w:rPr>
                      <w:rFonts w:cs="Times New Roman"/>
                      <w:sz w:val="20"/>
                      <w:szCs w:val="20"/>
                    </w:rPr>
                  </w:pPr>
                  <w:r>
                    <w:rPr>
                      <w:rFonts w:cs="Times New Roman"/>
                      <w:sz w:val="20"/>
                      <w:szCs w:val="20"/>
                    </w:rPr>
                    <w:t>kg/h</w:t>
                  </w:r>
                </w:p>
              </w:tc>
              <w:tc>
                <w:tcPr>
                  <w:tcW w:w="1367" w:type="dxa"/>
                  <w:vAlign w:val="center"/>
                </w:tcPr>
                <w:p w14:paraId="0CAE7CED">
                  <w:pPr>
                    <w:adjustRightInd w:val="0"/>
                    <w:snapToGrid w:val="0"/>
                    <w:spacing w:line="240" w:lineRule="exact"/>
                    <w:ind w:firstLine="0" w:firstLineChars="0"/>
                    <w:jc w:val="center"/>
                    <w:rPr>
                      <w:rFonts w:cs="Times New Roman"/>
                      <w:sz w:val="20"/>
                      <w:szCs w:val="20"/>
                    </w:rPr>
                  </w:pPr>
                  <w:r>
                    <w:rPr>
                      <w:rFonts w:cs="Times New Roman"/>
                      <w:sz w:val="20"/>
                      <w:szCs w:val="20"/>
                    </w:rPr>
                    <w:t>1</w:t>
                  </w:r>
                  <w:r>
                    <w:rPr>
                      <w:rFonts w:hint="eastAsia" w:cs="Times New Roman"/>
                      <w:sz w:val="20"/>
                      <w:szCs w:val="20"/>
                    </w:rPr>
                    <w:t>.01</w:t>
                  </w:r>
                  <w:r>
                    <w:rPr>
                      <w:rFonts w:cs="Times New Roman"/>
                      <w:sz w:val="20"/>
                      <w:szCs w:val="20"/>
                    </w:rPr>
                    <w:t>×10</w:t>
                  </w:r>
                  <w:r>
                    <w:rPr>
                      <w:rFonts w:cs="Times New Roman"/>
                      <w:sz w:val="20"/>
                      <w:szCs w:val="20"/>
                      <w:vertAlign w:val="superscript"/>
                    </w:rPr>
                    <w:t>-2</w:t>
                  </w:r>
                </w:p>
              </w:tc>
              <w:tc>
                <w:tcPr>
                  <w:tcW w:w="1080" w:type="dxa"/>
                  <w:vMerge w:val="continue"/>
                  <w:vAlign w:val="center"/>
                </w:tcPr>
                <w:p w14:paraId="1CFB3F9B">
                  <w:pPr>
                    <w:adjustRightInd w:val="0"/>
                    <w:snapToGrid w:val="0"/>
                    <w:spacing w:line="240" w:lineRule="exact"/>
                    <w:ind w:firstLine="0" w:firstLineChars="0"/>
                    <w:jc w:val="center"/>
                    <w:rPr>
                      <w:rFonts w:cs="Times New Roman"/>
                      <w:sz w:val="20"/>
                      <w:szCs w:val="20"/>
                    </w:rPr>
                  </w:pPr>
                </w:p>
              </w:tc>
            </w:tr>
            <w:tr w14:paraId="6B57496A">
              <w:tblPrEx>
                <w:tblBorders>
                  <w:top w:val="single" w:color="000000" w:sz="6" w:space="0"/>
                  <w:left w:val="single" w:color="000000" w:sz="6" w:space="0"/>
                  <w:bottom w:val="single" w:color="000000" w:sz="6"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51" w:hRule="atLeast"/>
                <w:jc w:val="right"/>
              </w:trPr>
              <w:tc>
                <w:tcPr>
                  <w:tcW w:w="1088" w:type="dxa"/>
                  <w:tcBorders>
                    <w:top w:val="single" w:color="auto" w:sz="4" w:space="0"/>
                    <w:left w:val="nil"/>
                    <w:bottom w:val="single" w:color="auto" w:sz="4" w:space="0"/>
                  </w:tcBorders>
                  <w:vAlign w:val="center"/>
                </w:tcPr>
                <w:p w14:paraId="0D193617">
                  <w:pPr>
                    <w:adjustRightInd w:val="0"/>
                    <w:snapToGrid w:val="0"/>
                    <w:spacing w:line="240" w:lineRule="exact"/>
                    <w:ind w:firstLine="0" w:firstLineChars="0"/>
                    <w:jc w:val="center"/>
                    <w:rPr>
                      <w:rFonts w:hint="eastAsia" w:hAnsi="宋体"/>
                      <w:sz w:val="20"/>
                      <w:szCs w:val="20"/>
                    </w:rPr>
                  </w:pPr>
                  <w:r>
                    <w:rPr>
                      <w:rFonts w:hint="eastAsia" w:hAnsi="宋体"/>
                      <w:sz w:val="20"/>
                      <w:szCs w:val="20"/>
                    </w:rPr>
                    <w:t>备注</w:t>
                  </w:r>
                </w:p>
              </w:tc>
              <w:tc>
                <w:tcPr>
                  <w:tcW w:w="6758" w:type="dxa"/>
                  <w:gridSpan w:val="5"/>
                  <w:tcBorders>
                    <w:top w:val="single" w:color="auto" w:sz="4" w:space="0"/>
                    <w:bottom w:val="single" w:color="auto" w:sz="4" w:space="0"/>
                  </w:tcBorders>
                  <w:vAlign w:val="center"/>
                </w:tcPr>
                <w:p w14:paraId="1B3CCABA">
                  <w:pPr>
                    <w:adjustRightInd w:val="0"/>
                    <w:snapToGrid w:val="0"/>
                    <w:spacing w:line="240" w:lineRule="exact"/>
                    <w:ind w:firstLine="0" w:firstLineChars="0"/>
                    <w:jc w:val="left"/>
                    <w:rPr>
                      <w:rFonts w:cs="Times New Roman"/>
                      <w:sz w:val="20"/>
                      <w:szCs w:val="20"/>
                    </w:rPr>
                  </w:pPr>
                  <w:r>
                    <w:rPr>
                      <w:rFonts w:hint="eastAsia" w:cs="Times New Roman"/>
                      <w:sz w:val="20"/>
                      <w:szCs w:val="20"/>
                    </w:rPr>
                    <w:t>1、“ND”表示检测结果低于方法检出限，排放速率以方法检出限的一半参与计算；</w:t>
                  </w:r>
                </w:p>
                <w:p w14:paraId="063A0828">
                  <w:pPr>
                    <w:adjustRightInd w:val="0"/>
                    <w:snapToGrid w:val="0"/>
                    <w:spacing w:line="240" w:lineRule="exact"/>
                    <w:ind w:firstLine="0" w:firstLineChars="0"/>
                    <w:jc w:val="left"/>
                    <w:rPr>
                      <w:rFonts w:cs="Times New Roman"/>
                      <w:sz w:val="20"/>
                      <w:szCs w:val="20"/>
                    </w:rPr>
                  </w:pPr>
                  <w:r>
                    <w:rPr>
                      <w:rFonts w:hint="eastAsia" w:cs="Times New Roman"/>
                      <w:sz w:val="20"/>
                      <w:szCs w:val="20"/>
                    </w:rPr>
                    <w:t>2、排气筒高度为15m。</w:t>
                  </w:r>
                </w:p>
              </w:tc>
              <w:tc>
                <w:tcPr>
                  <w:tcW w:w="1080" w:type="dxa"/>
                  <w:tcBorders>
                    <w:top w:val="single" w:color="auto" w:sz="4" w:space="0"/>
                    <w:bottom w:val="single" w:color="auto" w:sz="4" w:space="0"/>
                  </w:tcBorders>
                  <w:vAlign w:val="center"/>
                </w:tcPr>
                <w:p w14:paraId="7B579E0D">
                  <w:pPr>
                    <w:adjustRightInd w:val="0"/>
                    <w:snapToGrid w:val="0"/>
                    <w:spacing w:line="240" w:lineRule="exact"/>
                    <w:ind w:firstLine="0" w:firstLineChars="0"/>
                    <w:jc w:val="left"/>
                    <w:rPr>
                      <w:rFonts w:cs="Times New Roman"/>
                      <w:sz w:val="20"/>
                      <w:szCs w:val="20"/>
                    </w:rPr>
                  </w:pPr>
                </w:p>
              </w:tc>
            </w:tr>
          </w:tbl>
          <w:p w14:paraId="0EA8488B">
            <w:pPr>
              <w:ind w:firstLine="480"/>
            </w:pPr>
            <w:r>
              <w:rPr>
                <w:rFonts w:hint="eastAsia"/>
              </w:rPr>
              <w:t>②封边废气</w:t>
            </w:r>
          </w:p>
          <w:p w14:paraId="68F3B8A9">
            <w:pPr>
              <w:pStyle w:val="70"/>
              <w:snapToGrid w:val="0"/>
              <w:spacing w:line="360" w:lineRule="auto"/>
              <w:ind w:left="0" w:right="0" w:firstLine="480" w:firstLineChars="200"/>
              <w:jc w:val="both"/>
              <w:rPr>
                <w:bCs/>
                <w:szCs w:val="24"/>
              </w:rPr>
            </w:pPr>
            <w:r>
              <w:rPr>
                <w:bCs/>
                <w:szCs w:val="24"/>
              </w:rPr>
              <w:t>项目使用封边机进行封边，封边前端使用的封边热熔胶会发出少量的有机废气，热熔胶熔融状态VOCs产生量按用量的0.3%计算，项目封边热熔胶年用量约</w:t>
            </w:r>
            <w:r>
              <w:rPr>
                <w:rFonts w:hint="eastAsia"/>
                <w:bCs/>
                <w:szCs w:val="24"/>
              </w:rPr>
              <w:t>1</w:t>
            </w:r>
            <w:r>
              <w:rPr>
                <w:bCs/>
                <w:szCs w:val="24"/>
              </w:rPr>
              <w:t>t/a，则VOCs产生量为0.00</w:t>
            </w:r>
            <w:r>
              <w:rPr>
                <w:rFonts w:hint="eastAsia"/>
                <w:bCs/>
                <w:szCs w:val="24"/>
              </w:rPr>
              <w:t>3</w:t>
            </w:r>
            <w:r>
              <w:rPr>
                <w:bCs/>
                <w:szCs w:val="24"/>
              </w:rPr>
              <w:t>t/a，产生速率为0.00</w:t>
            </w:r>
            <w:r>
              <w:rPr>
                <w:rFonts w:hint="eastAsia"/>
                <w:bCs/>
                <w:szCs w:val="24"/>
              </w:rPr>
              <w:t>125</w:t>
            </w:r>
            <w:r>
              <w:rPr>
                <w:bCs/>
                <w:szCs w:val="24"/>
              </w:rPr>
              <w:t>kg/h。</w:t>
            </w:r>
          </w:p>
          <w:p w14:paraId="69002620">
            <w:pPr>
              <w:pStyle w:val="70"/>
              <w:snapToGrid w:val="0"/>
              <w:spacing w:line="360" w:lineRule="auto"/>
              <w:ind w:left="0" w:right="0" w:firstLine="480" w:firstLineChars="200"/>
              <w:jc w:val="both"/>
              <w:rPr>
                <w:lang w:bidi="ar"/>
              </w:rPr>
            </w:pPr>
            <w:r>
              <w:rPr>
                <w:rFonts w:hint="eastAsia"/>
                <w:bCs/>
                <w:szCs w:val="24"/>
              </w:rPr>
              <w:t>治理措施：经过加强车间通风，封边废气</w:t>
            </w:r>
            <w:r>
              <w:rPr>
                <w:bCs/>
                <w:szCs w:val="24"/>
              </w:rPr>
              <w:t>VOCs</w:t>
            </w:r>
            <w:r>
              <w:rPr>
                <w:rFonts w:hint="eastAsia"/>
                <w:bCs/>
                <w:szCs w:val="24"/>
              </w:rPr>
              <w:t>无组织排放至大气环境</w:t>
            </w:r>
            <w:r>
              <w:rPr>
                <w:bCs/>
                <w:szCs w:val="24"/>
              </w:rPr>
              <w:t>。</w:t>
            </w:r>
          </w:p>
          <w:p w14:paraId="45C387B2">
            <w:pPr>
              <w:ind w:firstLine="480"/>
              <w:rPr>
                <w:rFonts w:cs="Times New Roman"/>
              </w:rPr>
            </w:pPr>
            <w:r>
              <w:rPr>
                <w:rFonts w:hint="eastAsia"/>
              </w:rPr>
              <w:t>原有</w:t>
            </w:r>
            <w:r>
              <w:t>项目采取上述</w:t>
            </w:r>
            <w:r>
              <w:rPr>
                <w:rFonts w:hint="eastAsia"/>
              </w:rPr>
              <w:t>废气</w:t>
            </w:r>
            <w:r>
              <w:t>防治措施，项目营运期</w:t>
            </w:r>
            <w:r>
              <w:rPr>
                <w:bCs/>
                <w:szCs w:val="24"/>
              </w:rPr>
              <w:t>VOCs</w:t>
            </w:r>
            <w:r>
              <w:t>能够得到一定的控制，通过2026</w:t>
            </w:r>
            <w:r>
              <w:rPr>
                <w:rFonts w:hint="eastAsia"/>
              </w:rPr>
              <w:t>年</w:t>
            </w:r>
            <w:r>
              <w:t>04</w:t>
            </w:r>
            <w:r>
              <w:rPr>
                <w:rFonts w:hint="eastAsia"/>
              </w:rPr>
              <w:t>月</w:t>
            </w:r>
            <w:r>
              <w:t>28</w:t>
            </w:r>
            <w:r>
              <w:rPr>
                <w:rFonts w:hint="eastAsia"/>
              </w:rPr>
              <w:t>日-29日现状</w:t>
            </w:r>
            <w:r>
              <w:t>监测报告可知，项目</w:t>
            </w:r>
            <w:r>
              <w:rPr>
                <w:rFonts w:hint="eastAsia"/>
              </w:rPr>
              <w:t>厂界无组织</w:t>
            </w:r>
            <w:r>
              <w:rPr>
                <w:bCs/>
                <w:szCs w:val="24"/>
              </w:rPr>
              <w:t>VOCs</w:t>
            </w:r>
            <w:r>
              <w:rPr>
                <w:rFonts w:hint="eastAsia"/>
              </w:rPr>
              <w:t>废气</w:t>
            </w:r>
            <w:r>
              <w:t>能够满足</w:t>
            </w:r>
            <w:r>
              <w:rPr>
                <w:rFonts w:cs="Times New Roman"/>
              </w:rPr>
              <w:t>《四川省固定污染源大气挥发性有机物排放标准》（DB51/2377-2017）表</w:t>
            </w:r>
            <w:r>
              <w:rPr>
                <w:rFonts w:hint="eastAsia" w:cs="Times New Roman"/>
              </w:rPr>
              <w:t>5</w:t>
            </w:r>
            <w:r>
              <w:rPr>
                <w:rFonts w:cs="Times New Roman"/>
              </w:rPr>
              <w:t>中的无组织排放监控浓度限值</w:t>
            </w:r>
            <w:r>
              <w:t>要求</w:t>
            </w:r>
            <w:r>
              <w:rPr>
                <w:rFonts w:hint="eastAsia" w:cs="Times New Roman"/>
              </w:rPr>
              <w:t>。</w:t>
            </w:r>
          </w:p>
          <w:p w14:paraId="79398AFB">
            <w:pPr>
              <w:adjustRightInd w:val="0"/>
              <w:snapToGrid w:val="0"/>
              <w:spacing w:line="240" w:lineRule="auto"/>
              <w:ind w:firstLine="482"/>
              <w:jc w:val="center"/>
              <w:rPr>
                <w:rFonts w:cs="Times New Roman"/>
                <w:b/>
                <w:bCs/>
                <w:szCs w:val="24"/>
              </w:rPr>
            </w:pPr>
            <w:r>
              <w:rPr>
                <w:rFonts w:cs="Times New Roman"/>
                <w:b/>
                <w:bCs/>
                <w:szCs w:val="24"/>
              </w:rPr>
              <w:t>表</w:t>
            </w:r>
            <w:r>
              <w:rPr>
                <w:rFonts w:hint="eastAsia" w:cs="Times New Roman"/>
                <w:b/>
                <w:bCs/>
                <w:szCs w:val="24"/>
              </w:rPr>
              <w:t>2-14</w:t>
            </w:r>
            <w:r>
              <w:rPr>
                <w:rFonts w:cs="Times New Roman"/>
                <w:b/>
                <w:bCs/>
                <w:szCs w:val="24"/>
              </w:rPr>
              <w:t xml:space="preserve"> </w:t>
            </w:r>
            <w:r>
              <w:rPr>
                <w:rFonts w:hint="eastAsia" w:cs="Times New Roman"/>
                <w:b/>
                <w:bCs/>
                <w:szCs w:val="24"/>
              </w:rPr>
              <w:t xml:space="preserve"> 无</w:t>
            </w:r>
            <w:r>
              <w:rPr>
                <w:rFonts w:cs="Times New Roman"/>
                <w:b/>
                <w:bCs/>
                <w:szCs w:val="24"/>
              </w:rPr>
              <w:t>组织废气检测结果</w:t>
            </w:r>
            <w:r>
              <w:rPr>
                <w:rFonts w:hint="eastAsia" w:cs="Times New Roman"/>
                <w:b/>
                <w:bCs/>
                <w:szCs w:val="24"/>
              </w:rPr>
              <w:t xml:space="preserve">      单位：</w:t>
            </w:r>
            <w:r>
              <w:rPr>
                <w:rFonts w:hint="eastAsia" w:cs="Times New Roman"/>
                <w:sz w:val="20"/>
                <w:szCs w:val="20"/>
              </w:rPr>
              <w:t>mg/m</w:t>
            </w:r>
            <w:r>
              <w:rPr>
                <w:rFonts w:hint="eastAsia" w:cs="Times New Roman"/>
                <w:sz w:val="20"/>
                <w:szCs w:val="20"/>
                <w:vertAlign w:val="superscript"/>
              </w:rPr>
              <w:t>3</w:t>
            </w:r>
          </w:p>
          <w:tbl>
            <w:tblPr>
              <w:tblStyle w:val="87"/>
              <w:tblW w:w="8866" w:type="dxa"/>
              <w:jc w:val="center"/>
              <w:tblBorders>
                <w:top w:val="single" w:color="000000" w:sz="6" w:space="0"/>
                <w:left w:val="single" w:color="000000" w:sz="6" w:space="0"/>
                <w:bottom w:val="single" w:color="000000" w:sz="6" w:space="0"/>
                <w:right w:val="none" w:color="auto" w:sz="0" w:space="0"/>
                <w:insideH w:val="single" w:color="000000" w:sz="6" w:space="0"/>
                <w:insideV w:val="single" w:color="000000" w:sz="6" w:space="0"/>
              </w:tblBorders>
              <w:tblLayout w:type="fixed"/>
              <w:tblCellMar>
                <w:top w:w="0" w:type="dxa"/>
                <w:left w:w="0" w:type="dxa"/>
                <w:bottom w:w="0" w:type="dxa"/>
                <w:right w:w="0" w:type="dxa"/>
              </w:tblCellMar>
            </w:tblPr>
            <w:tblGrid>
              <w:gridCol w:w="1177"/>
              <w:gridCol w:w="2142"/>
              <w:gridCol w:w="1091"/>
              <w:gridCol w:w="882"/>
              <w:gridCol w:w="1037"/>
              <w:gridCol w:w="927"/>
              <w:gridCol w:w="905"/>
              <w:gridCol w:w="705"/>
            </w:tblGrid>
            <w:tr w14:paraId="318D921E">
              <w:tblPrEx>
                <w:tblBorders>
                  <w:top w:val="single" w:color="000000" w:sz="6" w:space="0"/>
                  <w:left w:val="single" w:color="000000" w:sz="6" w:space="0"/>
                  <w:bottom w:val="single" w:color="000000" w:sz="6"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51" w:hRule="atLeast"/>
                <w:jc w:val="center"/>
              </w:trPr>
              <w:tc>
                <w:tcPr>
                  <w:tcW w:w="1177" w:type="dxa"/>
                  <w:tcBorders>
                    <w:left w:val="nil"/>
                  </w:tcBorders>
                  <w:vAlign w:val="center"/>
                </w:tcPr>
                <w:p w14:paraId="2F95BECA">
                  <w:pPr>
                    <w:adjustRightInd w:val="0"/>
                    <w:snapToGrid w:val="0"/>
                    <w:spacing w:line="240" w:lineRule="exact"/>
                    <w:ind w:firstLine="0" w:firstLineChars="0"/>
                    <w:jc w:val="center"/>
                    <w:rPr>
                      <w:rFonts w:cs="Times New Roman"/>
                      <w:sz w:val="20"/>
                      <w:szCs w:val="20"/>
                    </w:rPr>
                  </w:pPr>
                  <w:r>
                    <w:rPr>
                      <w:rFonts w:hint="eastAsia" w:cs="Times New Roman"/>
                      <w:sz w:val="20"/>
                      <w:szCs w:val="20"/>
                    </w:rPr>
                    <w:t>采样日期</w:t>
                  </w:r>
                </w:p>
              </w:tc>
              <w:tc>
                <w:tcPr>
                  <w:tcW w:w="2142" w:type="dxa"/>
                  <w:vAlign w:val="center"/>
                </w:tcPr>
                <w:p w14:paraId="1EC50BC0">
                  <w:pPr>
                    <w:adjustRightInd w:val="0"/>
                    <w:snapToGrid w:val="0"/>
                    <w:spacing w:line="240" w:lineRule="exact"/>
                    <w:ind w:firstLine="0" w:firstLineChars="0"/>
                    <w:jc w:val="center"/>
                    <w:rPr>
                      <w:rFonts w:cs="Times New Roman"/>
                      <w:sz w:val="20"/>
                      <w:szCs w:val="20"/>
                    </w:rPr>
                  </w:pPr>
                  <w:r>
                    <w:rPr>
                      <w:rFonts w:hint="eastAsia" w:cs="Times New Roman"/>
                      <w:sz w:val="20"/>
                      <w:szCs w:val="20"/>
                    </w:rPr>
                    <w:t>点位名称</w:t>
                  </w:r>
                </w:p>
              </w:tc>
              <w:tc>
                <w:tcPr>
                  <w:tcW w:w="1091" w:type="dxa"/>
                  <w:vAlign w:val="center"/>
                </w:tcPr>
                <w:p w14:paraId="0860795A">
                  <w:pPr>
                    <w:adjustRightInd w:val="0"/>
                    <w:snapToGrid w:val="0"/>
                    <w:spacing w:line="240" w:lineRule="exact"/>
                    <w:ind w:firstLine="0" w:firstLineChars="0"/>
                    <w:jc w:val="center"/>
                    <w:rPr>
                      <w:rFonts w:cs="Times New Roman"/>
                      <w:sz w:val="20"/>
                      <w:szCs w:val="20"/>
                    </w:rPr>
                  </w:pPr>
                  <w:r>
                    <w:rPr>
                      <w:rFonts w:hint="eastAsia" w:cs="Times New Roman"/>
                      <w:sz w:val="20"/>
                      <w:szCs w:val="20"/>
                    </w:rPr>
                    <w:t>检测项目</w:t>
                  </w:r>
                </w:p>
              </w:tc>
              <w:tc>
                <w:tcPr>
                  <w:tcW w:w="882" w:type="dxa"/>
                  <w:tcBorders>
                    <w:right w:val="single" w:color="auto" w:sz="4" w:space="0"/>
                  </w:tcBorders>
                  <w:vAlign w:val="center"/>
                </w:tcPr>
                <w:p w14:paraId="781C38CD">
                  <w:pPr>
                    <w:adjustRightInd w:val="0"/>
                    <w:snapToGrid w:val="0"/>
                    <w:spacing w:line="240" w:lineRule="exact"/>
                    <w:ind w:firstLine="0" w:firstLineChars="0"/>
                    <w:jc w:val="center"/>
                    <w:rPr>
                      <w:rFonts w:cs="Times New Roman"/>
                      <w:sz w:val="20"/>
                      <w:szCs w:val="20"/>
                    </w:rPr>
                  </w:pPr>
                  <w:r>
                    <w:rPr>
                      <w:rFonts w:cs="Times New Roman"/>
                      <w:sz w:val="20"/>
                      <w:szCs w:val="20"/>
                    </w:rPr>
                    <w:t>第一次</w:t>
                  </w:r>
                </w:p>
              </w:tc>
              <w:tc>
                <w:tcPr>
                  <w:tcW w:w="1037" w:type="dxa"/>
                  <w:tcBorders>
                    <w:left w:val="single" w:color="auto" w:sz="4" w:space="0"/>
                  </w:tcBorders>
                  <w:vAlign w:val="center"/>
                </w:tcPr>
                <w:p w14:paraId="6DBBF8C5">
                  <w:pPr>
                    <w:adjustRightInd w:val="0"/>
                    <w:snapToGrid w:val="0"/>
                    <w:spacing w:line="240" w:lineRule="exact"/>
                    <w:ind w:firstLine="0" w:firstLineChars="0"/>
                    <w:jc w:val="center"/>
                    <w:rPr>
                      <w:rFonts w:cs="Times New Roman"/>
                      <w:sz w:val="20"/>
                      <w:szCs w:val="20"/>
                    </w:rPr>
                  </w:pPr>
                  <w:r>
                    <w:rPr>
                      <w:rFonts w:cs="Times New Roman"/>
                      <w:sz w:val="20"/>
                      <w:szCs w:val="20"/>
                    </w:rPr>
                    <w:t>第二次</w:t>
                  </w:r>
                </w:p>
              </w:tc>
              <w:tc>
                <w:tcPr>
                  <w:tcW w:w="927" w:type="dxa"/>
                  <w:vAlign w:val="center"/>
                </w:tcPr>
                <w:p w14:paraId="5F4397C6">
                  <w:pPr>
                    <w:adjustRightInd w:val="0"/>
                    <w:snapToGrid w:val="0"/>
                    <w:spacing w:line="240" w:lineRule="exact"/>
                    <w:ind w:firstLine="0" w:firstLineChars="0"/>
                    <w:jc w:val="center"/>
                    <w:rPr>
                      <w:rFonts w:cs="Times New Roman"/>
                      <w:sz w:val="20"/>
                      <w:szCs w:val="20"/>
                    </w:rPr>
                  </w:pPr>
                  <w:r>
                    <w:rPr>
                      <w:rFonts w:cs="Times New Roman"/>
                      <w:sz w:val="20"/>
                      <w:szCs w:val="20"/>
                    </w:rPr>
                    <w:t>第三次</w:t>
                  </w:r>
                </w:p>
              </w:tc>
              <w:tc>
                <w:tcPr>
                  <w:tcW w:w="905" w:type="dxa"/>
                  <w:vAlign w:val="center"/>
                </w:tcPr>
                <w:p w14:paraId="3F226AA9">
                  <w:pPr>
                    <w:adjustRightInd w:val="0"/>
                    <w:snapToGrid w:val="0"/>
                    <w:spacing w:line="240" w:lineRule="exact"/>
                    <w:ind w:firstLine="0" w:firstLineChars="0"/>
                    <w:jc w:val="center"/>
                    <w:rPr>
                      <w:rFonts w:cs="Times New Roman"/>
                      <w:sz w:val="20"/>
                      <w:szCs w:val="20"/>
                    </w:rPr>
                  </w:pPr>
                  <w:r>
                    <w:rPr>
                      <w:rFonts w:cs="Times New Roman"/>
                      <w:sz w:val="20"/>
                      <w:szCs w:val="20"/>
                    </w:rPr>
                    <w:t>第</w:t>
                  </w:r>
                  <w:r>
                    <w:rPr>
                      <w:rFonts w:hint="eastAsia" w:cs="Times New Roman"/>
                      <w:sz w:val="20"/>
                      <w:szCs w:val="20"/>
                    </w:rPr>
                    <w:t>四</w:t>
                  </w:r>
                  <w:r>
                    <w:rPr>
                      <w:rFonts w:cs="Times New Roman"/>
                      <w:sz w:val="20"/>
                      <w:szCs w:val="20"/>
                    </w:rPr>
                    <w:t>次</w:t>
                  </w:r>
                </w:p>
              </w:tc>
              <w:tc>
                <w:tcPr>
                  <w:tcW w:w="705" w:type="dxa"/>
                  <w:vAlign w:val="center"/>
                </w:tcPr>
                <w:p w14:paraId="2662A62B">
                  <w:pPr>
                    <w:adjustRightInd w:val="0"/>
                    <w:snapToGrid w:val="0"/>
                    <w:spacing w:line="240" w:lineRule="exact"/>
                    <w:ind w:firstLine="0" w:firstLineChars="0"/>
                    <w:jc w:val="center"/>
                    <w:rPr>
                      <w:rFonts w:cs="Times New Roman"/>
                      <w:sz w:val="20"/>
                      <w:szCs w:val="20"/>
                    </w:rPr>
                  </w:pPr>
                  <w:r>
                    <w:rPr>
                      <w:rFonts w:hint="eastAsia" w:cs="Times New Roman"/>
                      <w:b/>
                      <w:bCs/>
                      <w:sz w:val="20"/>
                      <w:szCs w:val="20"/>
                    </w:rPr>
                    <w:t>标准值</w:t>
                  </w:r>
                </w:p>
              </w:tc>
            </w:tr>
            <w:tr w14:paraId="0ECA42A4">
              <w:tblPrEx>
                <w:tblBorders>
                  <w:top w:val="single" w:color="000000" w:sz="6" w:space="0"/>
                  <w:left w:val="single" w:color="000000" w:sz="6" w:space="0"/>
                  <w:bottom w:val="single" w:color="000000" w:sz="6"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51" w:hRule="atLeast"/>
                <w:jc w:val="center"/>
              </w:trPr>
              <w:tc>
                <w:tcPr>
                  <w:tcW w:w="1177" w:type="dxa"/>
                  <w:tcBorders>
                    <w:left w:val="nil"/>
                  </w:tcBorders>
                  <w:vAlign w:val="center"/>
                </w:tcPr>
                <w:p w14:paraId="1F2B6237">
                  <w:pPr>
                    <w:adjustRightInd w:val="0"/>
                    <w:snapToGrid w:val="0"/>
                    <w:spacing w:line="240" w:lineRule="exact"/>
                    <w:ind w:firstLine="0" w:firstLineChars="0"/>
                    <w:jc w:val="center"/>
                    <w:rPr>
                      <w:rFonts w:cs="Times New Roman"/>
                      <w:sz w:val="20"/>
                      <w:szCs w:val="20"/>
                    </w:rPr>
                  </w:pPr>
                  <w:r>
                    <w:rPr>
                      <w:rFonts w:hint="eastAsia" w:cs="Times New Roman"/>
                      <w:sz w:val="20"/>
                      <w:szCs w:val="20"/>
                    </w:rPr>
                    <w:t>2026.04.28</w:t>
                  </w:r>
                </w:p>
              </w:tc>
              <w:tc>
                <w:tcPr>
                  <w:tcW w:w="2142" w:type="dxa"/>
                  <w:vMerge w:val="restart"/>
                  <w:vAlign w:val="center"/>
                </w:tcPr>
                <w:p w14:paraId="5E639F3C">
                  <w:pPr>
                    <w:adjustRightInd w:val="0"/>
                    <w:snapToGrid w:val="0"/>
                    <w:spacing w:line="240" w:lineRule="exact"/>
                    <w:ind w:firstLine="0" w:firstLineChars="0"/>
                    <w:jc w:val="center"/>
                    <w:rPr>
                      <w:rFonts w:cs="Times New Roman"/>
                      <w:sz w:val="20"/>
                      <w:szCs w:val="20"/>
                    </w:rPr>
                  </w:pPr>
                  <w:r>
                    <w:rPr>
                      <w:rFonts w:hint="eastAsia" w:cs="Times New Roman"/>
                      <w:sz w:val="20"/>
                      <w:szCs w:val="20"/>
                    </w:rPr>
                    <w:t>1#</w:t>
                  </w:r>
                </w:p>
                <w:p w14:paraId="2EE0B709">
                  <w:pPr>
                    <w:adjustRightInd w:val="0"/>
                    <w:snapToGrid w:val="0"/>
                    <w:spacing w:line="240" w:lineRule="exact"/>
                    <w:ind w:firstLine="0" w:firstLineChars="0"/>
                    <w:jc w:val="center"/>
                    <w:rPr>
                      <w:rFonts w:cs="Times New Roman"/>
                      <w:sz w:val="20"/>
                      <w:szCs w:val="20"/>
                    </w:rPr>
                  </w:pPr>
                  <w:r>
                    <w:rPr>
                      <w:rFonts w:hint="eastAsia" w:ascii="宋体" w:hAnsi="宋体" w:cs="宋体"/>
                      <w:sz w:val="20"/>
                      <w:szCs w:val="20"/>
                    </w:rPr>
                    <w:t>项目上风向厂界处</w:t>
                  </w:r>
                </w:p>
              </w:tc>
              <w:tc>
                <w:tcPr>
                  <w:tcW w:w="1091" w:type="dxa"/>
                  <w:vMerge w:val="restart"/>
                  <w:vAlign w:val="center"/>
                </w:tcPr>
                <w:p w14:paraId="7DDA9FDE">
                  <w:pPr>
                    <w:adjustRightInd w:val="0"/>
                    <w:snapToGrid w:val="0"/>
                    <w:spacing w:line="240" w:lineRule="exact"/>
                    <w:ind w:firstLine="0" w:firstLineChars="0"/>
                    <w:rPr>
                      <w:rFonts w:cs="Times New Roman"/>
                      <w:sz w:val="20"/>
                      <w:szCs w:val="20"/>
                    </w:rPr>
                  </w:pPr>
                  <w:r>
                    <w:rPr>
                      <w:rFonts w:hint="eastAsia" w:cs="Times New Roman"/>
                      <w:sz w:val="20"/>
                      <w:szCs w:val="20"/>
                    </w:rPr>
                    <w:t>非甲烷总烃</w:t>
                  </w:r>
                </w:p>
              </w:tc>
              <w:tc>
                <w:tcPr>
                  <w:tcW w:w="882" w:type="dxa"/>
                  <w:tcBorders>
                    <w:right w:val="single" w:color="auto" w:sz="4" w:space="0"/>
                  </w:tcBorders>
                  <w:vAlign w:val="center"/>
                </w:tcPr>
                <w:p w14:paraId="4734126A">
                  <w:pPr>
                    <w:adjustRightInd w:val="0"/>
                    <w:snapToGrid w:val="0"/>
                    <w:spacing w:line="240" w:lineRule="exact"/>
                    <w:ind w:firstLine="0" w:firstLineChars="0"/>
                    <w:jc w:val="center"/>
                    <w:rPr>
                      <w:rFonts w:cs="Times New Roman"/>
                      <w:sz w:val="20"/>
                      <w:szCs w:val="20"/>
                    </w:rPr>
                  </w:pPr>
                  <w:r>
                    <w:rPr>
                      <w:rFonts w:hint="eastAsia" w:cs="Times New Roman"/>
                      <w:sz w:val="20"/>
                      <w:szCs w:val="20"/>
                    </w:rPr>
                    <w:t>0.94</w:t>
                  </w:r>
                </w:p>
              </w:tc>
              <w:tc>
                <w:tcPr>
                  <w:tcW w:w="1037" w:type="dxa"/>
                  <w:tcBorders>
                    <w:left w:val="single" w:color="auto" w:sz="4" w:space="0"/>
                  </w:tcBorders>
                  <w:vAlign w:val="center"/>
                </w:tcPr>
                <w:p w14:paraId="33B355A2">
                  <w:pPr>
                    <w:adjustRightInd w:val="0"/>
                    <w:snapToGrid w:val="0"/>
                    <w:spacing w:line="240" w:lineRule="exact"/>
                    <w:ind w:firstLine="0" w:firstLineChars="0"/>
                    <w:jc w:val="center"/>
                    <w:rPr>
                      <w:rFonts w:cs="Times New Roman"/>
                      <w:sz w:val="20"/>
                      <w:szCs w:val="20"/>
                    </w:rPr>
                  </w:pPr>
                  <w:r>
                    <w:rPr>
                      <w:rFonts w:hint="eastAsia" w:cs="Times New Roman"/>
                      <w:sz w:val="20"/>
                      <w:szCs w:val="20"/>
                    </w:rPr>
                    <w:t>1.05</w:t>
                  </w:r>
                </w:p>
              </w:tc>
              <w:tc>
                <w:tcPr>
                  <w:tcW w:w="927" w:type="dxa"/>
                  <w:vAlign w:val="center"/>
                </w:tcPr>
                <w:p w14:paraId="01E8FBA0">
                  <w:pPr>
                    <w:adjustRightInd w:val="0"/>
                    <w:snapToGrid w:val="0"/>
                    <w:spacing w:line="240" w:lineRule="exact"/>
                    <w:ind w:firstLine="0" w:firstLineChars="0"/>
                    <w:jc w:val="center"/>
                    <w:rPr>
                      <w:rFonts w:cs="Times New Roman"/>
                      <w:sz w:val="20"/>
                      <w:szCs w:val="20"/>
                    </w:rPr>
                  </w:pPr>
                  <w:r>
                    <w:rPr>
                      <w:rFonts w:hint="eastAsia" w:cs="Times New Roman"/>
                      <w:sz w:val="20"/>
                      <w:szCs w:val="20"/>
                    </w:rPr>
                    <w:t>1.43</w:t>
                  </w:r>
                </w:p>
              </w:tc>
              <w:tc>
                <w:tcPr>
                  <w:tcW w:w="905" w:type="dxa"/>
                  <w:vAlign w:val="center"/>
                </w:tcPr>
                <w:p w14:paraId="6209DF72">
                  <w:pPr>
                    <w:adjustRightInd w:val="0"/>
                    <w:snapToGrid w:val="0"/>
                    <w:spacing w:line="240" w:lineRule="exact"/>
                    <w:ind w:firstLine="0" w:firstLineChars="0"/>
                    <w:jc w:val="center"/>
                    <w:rPr>
                      <w:rFonts w:cs="Times New Roman"/>
                      <w:sz w:val="20"/>
                      <w:szCs w:val="20"/>
                    </w:rPr>
                  </w:pPr>
                  <w:r>
                    <w:rPr>
                      <w:rFonts w:hint="eastAsia" w:cs="Times New Roman"/>
                      <w:sz w:val="20"/>
                      <w:szCs w:val="20"/>
                    </w:rPr>
                    <w:t>1.16</w:t>
                  </w:r>
                </w:p>
              </w:tc>
              <w:tc>
                <w:tcPr>
                  <w:tcW w:w="705" w:type="dxa"/>
                  <w:vMerge w:val="restart"/>
                  <w:vAlign w:val="center"/>
                </w:tcPr>
                <w:p w14:paraId="2FCE0CB5">
                  <w:pPr>
                    <w:adjustRightInd w:val="0"/>
                    <w:snapToGrid w:val="0"/>
                    <w:spacing w:line="240" w:lineRule="exact"/>
                    <w:ind w:firstLine="0" w:firstLineChars="0"/>
                    <w:jc w:val="center"/>
                    <w:rPr>
                      <w:rFonts w:cs="Times New Roman"/>
                      <w:sz w:val="20"/>
                      <w:szCs w:val="20"/>
                    </w:rPr>
                  </w:pPr>
                  <w:r>
                    <w:rPr>
                      <w:rFonts w:hint="eastAsia" w:cs="Times New Roman"/>
                      <w:sz w:val="20"/>
                      <w:szCs w:val="20"/>
                    </w:rPr>
                    <w:t>2.0</w:t>
                  </w:r>
                </w:p>
              </w:tc>
            </w:tr>
            <w:tr w14:paraId="7C0291DA">
              <w:tblPrEx>
                <w:tblBorders>
                  <w:top w:val="single" w:color="000000" w:sz="6" w:space="0"/>
                  <w:left w:val="single" w:color="000000" w:sz="6" w:space="0"/>
                  <w:bottom w:val="single" w:color="000000" w:sz="6"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51" w:hRule="atLeast"/>
                <w:jc w:val="center"/>
              </w:trPr>
              <w:tc>
                <w:tcPr>
                  <w:tcW w:w="1177" w:type="dxa"/>
                  <w:tcBorders>
                    <w:left w:val="nil"/>
                  </w:tcBorders>
                  <w:vAlign w:val="center"/>
                </w:tcPr>
                <w:p w14:paraId="006B3A9D">
                  <w:pPr>
                    <w:adjustRightInd w:val="0"/>
                    <w:snapToGrid w:val="0"/>
                    <w:spacing w:line="240" w:lineRule="exact"/>
                    <w:ind w:firstLine="0" w:firstLineChars="0"/>
                    <w:jc w:val="center"/>
                    <w:rPr>
                      <w:rFonts w:cs="Times New Roman"/>
                      <w:sz w:val="20"/>
                      <w:szCs w:val="20"/>
                    </w:rPr>
                  </w:pPr>
                  <w:r>
                    <w:rPr>
                      <w:rFonts w:hint="eastAsia" w:cs="Times New Roman"/>
                      <w:sz w:val="20"/>
                      <w:szCs w:val="20"/>
                    </w:rPr>
                    <w:t>2026.04.29</w:t>
                  </w:r>
                </w:p>
              </w:tc>
              <w:tc>
                <w:tcPr>
                  <w:tcW w:w="2142" w:type="dxa"/>
                  <w:vMerge w:val="continue"/>
                  <w:vAlign w:val="center"/>
                </w:tcPr>
                <w:p w14:paraId="2CB452E2">
                  <w:pPr>
                    <w:adjustRightInd w:val="0"/>
                    <w:snapToGrid w:val="0"/>
                    <w:spacing w:line="240" w:lineRule="exact"/>
                    <w:ind w:firstLine="0" w:firstLineChars="0"/>
                    <w:jc w:val="center"/>
                    <w:rPr>
                      <w:rFonts w:cs="Times New Roman"/>
                      <w:sz w:val="20"/>
                      <w:szCs w:val="20"/>
                    </w:rPr>
                  </w:pPr>
                </w:p>
              </w:tc>
              <w:tc>
                <w:tcPr>
                  <w:tcW w:w="1091" w:type="dxa"/>
                  <w:vMerge w:val="continue"/>
                  <w:vAlign w:val="center"/>
                </w:tcPr>
                <w:p w14:paraId="1CDC6446">
                  <w:pPr>
                    <w:adjustRightInd w:val="0"/>
                    <w:snapToGrid w:val="0"/>
                    <w:spacing w:line="240" w:lineRule="exact"/>
                    <w:ind w:firstLine="0" w:firstLineChars="0"/>
                    <w:jc w:val="center"/>
                    <w:rPr>
                      <w:rFonts w:cs="Times New Roman"/>
                      <w:sz w:val="20"/>
                      <w:szCs w:val="20"/>
                    </w:rPr>
                  </w:pPr>
                </w:p>
              </w:tc>
              <w:tc>
                <w:tcPr>
                  <w:tcW w:w="882" w:type="dxa"/>
                  <w:tcBorders>
                    <w:right w:val="single" w:color="auto" w:sz="4" w:space="0"/>
                  </w:tcBorders>
                  <w:vAlign w:val="center"/>
                </w:tcPr>
                <w:p w14:paraId="4DFF8AF0">
                  <w:pPr>
                    <w:adjustRightInd w:val="0"/>
                    <w:snapToGrid w:val="0"/>
                    <w:spacing w:line="240" w:lineRule="exact"/>
                    <w:ind w:firstLine="0" w:firstLineChars="0"/>
                    <w:jc w:val="center"/>
                    <w:rPr>
                      <w:rFonts w:cs="Times New Roman"/>
                      <w:sz w:val="20"/>
                      <w:szCs w:val="20"/>
                    </w:rPr>
                  </w:pPr>
                  <w:r>
                    <w:rPr>
                      <w:rFonts w:hint="eastAsia" w:cs="Times New Roman"/>
                      <w:sz w:val="20"/>
                      <w:szCs w:val="20"/>
                    </w:rPr>
                    <w:t>1.27</w:t>
                  </w:r>
                </w:p>
              </w:tc>
              <w:tc>
                <w:tcPr>
                  <w:tcW w:w="1037" w:type="dxa"/>
                  <w:tcBorders>
                    <w:left w:val="single" w:color="auto" w:sz="4" w:space="0"/>
                  </w:tcBorders>
                  <w:vAlign w:val="center"/>
                </w:tcPr>
                <w:p w14:paraId="5F81EF8A">
                  <w:pPr>
                    <w:adjustRightInd w:val="0"/>
                    <w:snapToGrid w:val="0"/>
                    <w:spacing w:line="240" w:lineRule="exact"/>
                    <w:ind w:firstLine="0" w:firstLineChars="0"/>
                    <w:jc w:val="center"/>
                    <w:rPr>
                      <w:rFonts w:cs="Times New Roman"/>
                      <w:sz w:val="20"/>
                      <w:szCs w:val="20"/>
                    </w:rPr>
                  </w:pPr>
                  <w:r>
                    <w:rPr>
                      <w:rFonts w:hint="eastAsia" w:cs="Times New Roman"/>
                      <w:sz w:val="20"/>
                      <w:szCs w:val="20"/>
                    </w:rPr>
                    <w:t>1.02</w:t>
                  </w:r>
                </w:p>
              </w:tc>
              <w:tc>
                <w:tcPr>
                  <w:tcW w:w="927" w:type="dxa"/>
                  <w:vAlign w:val="center"/>
                </w:tcPr>
                <w:p w14:paraId="16CF7B45">
                  <w:pPr>
                    <w:adjustRightInd w:val="0"/>
                    <w:snapToGrid w:val="0"/>
                    <w:spacing w:line="240" w:lineRule="exact"/>
                    <w:ind w:firstLine="0" w:firstLineChars="0"/>
                    <w:jc w:val="center"/>
                    <w:rPr>
                      <w:rFonts w:cs="Times New Roman"/>
                      <w:sz w:val="20"/>
                      <w:szCs w:val="20"/>
                    </w:rPr>
                  </w:pPr>
                  <w:r>
                    <w:rPr>
                      <w:rFonts w:hint="eastAsia" w:cs="Times New Roman"/>
                      <w:sz w:val="20"/>
                      <w:szCs w:val="20"/>
                    </w:rPr>
                    <w:t>1.22</w:t>
                  </w:r>
                </w:p>
              </w:tc>
              <w:tc>
                <w:tcPr>
                  <w:tcW w:w="905" w:type="dxa"/>
                  <w:vAlign w:val="center"/>
                </w:tcPr>
                <w:p w14:paraId="30B8BC64">
                  <w:pPr>
                    <w:adjustRightInd w:val="0"/>
                    <w:snapToGrid w:val="0"/>
                    <w:spacing w:line="240" w:lineRule="exact"/>
                    <w:ind w:firstLine="0" w:firstLineChars="0"/>
                    <w:jc w:val="center"/>
                    <w:rPr>
                      <w:rFonts w:cs="Times New Roman"/>
                      <w:sz w:val="20"/>
                      <w:szCs w:val="20"/>
                    </w:rPr>
                  </w:pPr>
                  <w:r>
                    <w:rPr>
                      <w:rFonts w:hint="eastAsia" w:cs="Times New Roman"/>
                      <w:sz w:val="20"/>
                      <w:szCs w:val="20"/>
                    </w:rPr>
                    <w:t>1.01</w:t>
                  </w:r>
                </w:p>
              </w:tc>
              <w:tc>
                <w:tcPr>
                  <w:tcW w:w="705" w:type="dxa"/>
                  <w:vMerge w:val="continue"/>
                  <w:vAlign w:val="center"/>
                </w:tcPr>
                <w:p w14:paraId="3A201641">
                  <w:pPr>
                    <w:adjustRightInd w:val="0"/>
                    <w:snapToGrid w:val="0"/>
                    <w:spacing w:line="240" w:lineRule="exact"/>
                    <w:ind w:firstLine="0" w:firstLineChars="0"/>
                    <w:jc w:val="center"/>
                    <w:rPr>
                      <w:rFonts w:cs="Times New Roman"/>
                      <w:sz w:val="20"/>
                      <w:szCs w:val="20"/>
                    </w:rPr>
                  </w:pPr>
                </w:p>
              </w:tc>
            </w:tr>
            <w:tr w14:paraId="0A15A2A6">
              <w:tblPrEx>
                <w:tblBorders>
                  <w:top w:val="single" w:color="000000" w:sz="6" w:space="0"/>
                  <w:left w:val="single" w:color="000000" w:sz="6" w:space="0"/>
                  <w:bottom w:val="single" w:color="000000" w:sz="6"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51" w:hRule="atLeast"/>
                <w:jc w:val="center"/>
              </w:trPr>
              <w:tc>
                <w:tcPr>
                  <w:tcW w:w="1177" w:type="dxa"/>
                  <w:tcBorders>
                    <w:left w:val="nil"/>
                  </w:tcBorders>
                  <w:vAlign w:val="center"/>
                </w:tcPr>
                <w:p w14:paraId="09A25B06">
                  <w:pPr>
                    <w:adjustRightInd w:val="0"/>
                    <w:snapToGrid w:val="0"/>
                    <w:spacing w:line="240" w:lineRule="exact"/>
                    <w:ind w:firstLine="0" w:firstLineChars="0"/>
                    <w:jc w:val="center"/>
                    <w:rPr>
                      <w:rFonts w:cs="Times New Roman"/>
                      <w:sz w:val="20"/>
                      <w:szCs w:val="20"/>
                    </w:rPr>
                  </w:pPr>
                  <w:r>
                    <w:rPr>
                      <w:rFonts w:hint="eastAsia" w:cs="Times New Roman"/>
                      <w:sz w:val="20"/>
                      <w:szCs w:val="20"/>
                    </w:rPr>
                    <w:t>2026.04.28</w:t>
                  </w:r>
                </w:p>
              </w:tc>
              <w:tc>
                <w:tcPr>
                  <w:tcW w:w="2142" w:type="dxa"/>
                  <w:vMerge w:val="restart"/>
                  <w:vAlign w:val="center"/>
                </w:tcPr>
                <w:p w14:paraId="348AAE5A">
                  <w:pPr>
                    <w:adjustRightInd w:val="0"/>
                    <w:snapToGrid w:val="0"/>
                    <w:spacing w:line="240" w:lineRule="exact"/>
                    <w:ind w:firstLine="0" w:firstLineChars="0"/>
                    <w:jc w:val="center"/>
                    <w:rPr>
                      <w:rFonts w:cs="Times New Roman"/>
                      <w:sz w:val="20"/>
                      <w:szCs w:val="20"/>
                    </w:rPr>
                  </w:pPr>
                  <w:r>
                    <w:rPr>
                      <w:rFonts w:hint="eastAsia" w:cs="Times New Roman"/>
                      <w:sz w:val="20"/>
                      <w:szCs w:val="20"/>
                    </w:rPr>
                    <w:t>2</w:t>
                  </w:r>
                  <w:r>
                    <w:rPr>
                      <w:rFonts w:cs="Times New Roman"/>
                      <w:sz w:val="20"/>
                      <w:szCs w:val="20"/>
                    </w:rPr>
                    <w:t>#</w:t>
                  </w:r>
                </w:p>
                <w:p w14:paraId="474F7CE0">
                  <w:pPr>
                    <w:adjustRightInd w:val="0"/>
                    <w:snapToGrid w:val="0"/>
                    <w:spacing w:line="240" w:lineRule="exact"/>
                    <w:ind w:firstLine="0" w:firstLineChars="0"/>
                    <w:jc w:val="center"/>
                    <w:rPr>
                      <w:rFonts w:cs="Times New Roman"/>
                      <w:sz w:val="20"/>
                      <w:szCs w:val="20"/>
                    </w:rPr>
                  </w:pPr>
                  <w:r>
                    <w:rPr>
                      <w:rFonts w:hint="eastAsia" w:ascii="宋体" w:hAnsi="宋体" w:cs="宋体"/>
                      <w:sz w:val="20"/>
                      <w:szCs w:val="20"/>
                    </w:rPr>
                    <w:t>项目下风向厂界处</w:t>
                  </w:r>
                </w:p>
              </w:tc>
              <w:tc>
                <w:tcPr>
                  <w:tcW w:w="1091" w:type="dxa"/>
                  <w:vMerge w:val="continue"/>
                  <w:vAlign w:val="center"/>
                </w:tcPr>
                <w:p w14:paraId="4F767078">
                  <w:pPr>
                    <w:adjustRightInd w:val="0"/>
                    <w:snapToGrid w:val="0"/>
                    <w:spacing w:line="240" w:lineRule="exact"/>
                    <w:ind w:firstLine="0" w:firstLineChars="0"/>
                    <w:jc w:val="center"/>
                    <w:rPr>
                      <w:rFonts w:cs="Times New Roman"/>
                      <w:sz w:val="20"/>
                      <w:szCs w:val="20"/>
                    </w:rPr>
                  </w:pPr>
                </w:p>
              </w:tc>
              <w:tc>
                <w:tcPr>
                  <w:tcW w:w="882" w:type="dxa"/>
                  <w:tcBorders>
                    <w:right w:val="single" w:color="auto" w:sz="4" w:space="0"/>
                  </w:tcBorders>
                  <w:vAlign w:val="center"/>
                </w:tcPr>
                <w:p w14:paraId="0DC5964C">
                  <w:pPr>
                    <w:adjustRightInd w:val="0"/>
                    <w:snapToGrid w:val="0"/>
                    <w:spacing w:line="240" w:lineRule="exact"/>
                    <w:ind w:firstLine="0" w:firstLineChars="0"/>
                    <w:jc w:val="center"/>
                    <w:rPr>
                      <w:rFonts w:cs="Times New Roman"/>
                      <w:sz w:val="20"/>
                      <w:szCs w:val="20"/>
                    </w:rPr>
                  </w:pPr>
                  <w:r>
                    <w:rPr>
                      <w:rFonts w:hint="eastAsia" w:cs="Times New Roman"/>
                      <w:sz w:val="20"/>
                      <w:szCs w:val="20"/>
                    </w:rPr>
                    <w:t>1.22</w:t>
                  </w:r>
                </w:p>
              </w:tc>
              <w:tc>
                <w:tcPr>
                  <w:tcW w:w="1037" w:type="dxa"/>
                  <w:tcBorders>
                    <w:left w:val="single" w:color="auto" w:sz="4" w:space="0"/>
                  </w:tcBorders>
                  <w:vAlign w:val="center"/>
                </w:tcPr>
                <w:p w14:paraId="702387E5">
                  <w:pPr>
                    <w:adjustRightInd w:val="0"/>
                    <w:snapToGrid w:val="0"/>
                    <w:spacing w:line="240" w:lineRule="exact"/>
                    <w:ind w:firstLine="0" w:firstLineChars="0"/>
                    <w:jc w:val="center"/>
                    <w:rPr>
                      <w:rFonts w:cs="Times New Roman"/>
                      <w:sz w:val="20"/>
                      <w:szCs w:val="20"/>
                    </w:rPr>
                  </w:pPr>
                  <w:r>
                    <w:rPr>
                      <w:rFonts w:hint="eastAsia" w:cs="Times New Roman"/>
                      <w:sz w:val="20"/>
                      <w:szCs w:val="20"/>
                    </w:rPr>
                    <w:t>1.28</w:t>
                  </w:r>
                </w:p>
              </w:tc>
              <w:tc>
                <w:tcPr>
                  <w:tcW w:w="927" w:type="dxa"/>
                  <w:vAlign w:val="center"/>
                </w:tcPr>
                <w:p w14:paraId="1E21556E">
                  <w:pPr>
                    <w:adjustRightInd w:val="0"/>
                    <w:snapToGrid w:val="0"/>
                    <w:spacing w:line="240" w:lineRule="exact"/>
                    <w:ind w:firstLine="0" w:firstLineChars="0"/>
                    <w:jc w:val="center"/>
                    <w:rPr>
                      <w:rFonts w:cs="Times New Roman"/>
                      <w:sz w:val="20"/>
                      <w:szCs w:val="20"/>
                    </w:rPr>
                  </w:pPr>
                  <w:r>
                    <w:rPr>
                      <w:rFonts w:hint="eastAsia" w:cs="Times New Roman"/>
                      <w:sz w:val="20"/>
                      <w:szCs w:val="20"/>
                    </w:rPr>
                    <w:t>1.05</w:t>
                  </w:r>
                </w:p>
              </w:tc>
              <w:tc>
                <w:tcPr>
                  <w:tcW w:w="905" w:type="dxa"/>
                  <w:vAlign w:val="center"/>
                </w:tcPr>
                <w:p w14:paraId="7FD70C89">
                  <w:pPr>
                    <w:adjustRightInd w:val="0"/>
                    <w:snapToGrid w:val="0"/>
                    <w:spacing w:line="240" w:lineRule="exact"/>
                    <w:ind w:firstLine="0" w:firstLineChars="0"/>
                    <w:jc w:val="center"/>
                    <w:rPr>
                      <w:rFonts w:cs="Times New Roman"/>
                      <w:sz w:val="20"/>
                      <w:szCs w:val="20"/>
                    </w:rPr>
                  </w:pPr>
                  <w:r>
                    <w:rPr>
                      <w:rFonts w:hint="eastAsia" w:cs="Times New Roman"/>
                      <w:sz w:val="20"/>
                      <w:szCs w:val="20"/>
                    </w:rPr>
                    <w:t>1.28</w:t>
                  </w:r>
                </w:p>
              </w:tc>
              <w:tc>
                <w:tcPr>
                  <w:tcW w:w="705" w:type="dxa"/>
                  <w:vMerge w:val="continue"/>
                  <w:vAlign w:val="center"/>
                </w:tcPr>
                <w:p w14:paraId="7808F115">
                  <w:pPr>
                    <w:adjustRightInd w:val="0"/>
                    <w:snapToGrid w:val="0"/>
                    <w:spacing w:line="240" w:lineRule="exact"/>
                    <w:ind w:firstLine="0" w:firstLineChars="0"/>
                    <w:jc w:val="center"/>
                    <w:rPr>
                      <w:rFonts w:cs="Times New Roman"/>
                      <w:sz w:val="20"/>
                      <w:szCs w:val="20"/>
                    </w:rPr>
                  </w:pPr>
                </w:p>
              </w:tc>
            </w:tr>
            <w:tr w14:paraId="05DDFE1A">
              <w:tblPrEx>
                <w:tblBorders>
                  <w:top w:val="single" w:color="000000" w:sz="6" w:space="0"/>
                  <w:left w:val="single" w:color="000000" w:sz="6" w:space="0"/>
                  <w:bottom w:val="single" w:color="000000" w:sz="6"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51" w:hRule="atLeast"/>
                <w:jc w:val="center"/>
              </w:trPr>
              <w:tc>
                <w:tcPr>
                  <w:tcW w:w="1177" w:type="dxa"/>
                  <w:tcBorders>
                    <w:left w:val="nil"/>
                  </w:tcBorders>
                  <w:vAlign w:val="center"/>
                </w:tcPr>
                <w:p w14:paraId="7B0D830F">
                  <w:pPr>
                    <w:adjustRightInd w:val="0"/>
                    <w:snapToGrid w:val="0"/>
                    <w:spacing w:line="240" w:lineRule="exact"/>
                    <w:ind w:firstLine="0" w:firstLineChars="0"/>
                    <w:jc w:val="center"/>
                    <w:rPr>
                      <w:rFonts w:cs="Times New Roman"/>
                      <w:sz w:val="20"/>
                      <w:szCs w:val="20"/>
                    </w:rPr>
                  </w:pPr>
                  <w:r>
                    <w:rPr>
                      <w:rFonts w:hint="eastAsia" w:cs="Times New Roman"/>
                      <w:sz w:val="20"/>
                      <w:szCs w:val="20"/>
                    </w:rPr>
                    <w:t>2026.04.29</w:t>
                  </w:r>
                </w:p>
              </w:tc>
              <w:tc>
                <w:tcPr>
                  <w:tcW w:w="2142" w:type="dxa"/>
                  <w:vMerge w:val="continue"/>
                  <w:vAlign w:val="center"/>
                </w:tcPr>
                <w:p w14:paraId="5069BE99">
                  <w:pPr>
                    <w:adjustRightInd w:val="0"/>
                    <w:snapToGrid w:val="0"/>
                    <w:spacing w:line="240" w:lineRule="exact"/>
                    <w:ind w:firstLine="0" w:firstLineChars="0"/>
                    <w:jc w:val="center"/>
                    <w:rPr>
                      <w:rFonts w:cs="Times New Roman"/>
                      <w:sz w:val="20"/>
                      <w:szCs w:val="20"/>
                    </w:rPr>
                  </w:pPr>
                </w:p>
              </w:tc>
              <w:tc>
                <w:tcPr>
                  <w:tcW w:w="1091" w:type="dxa"/>
                  <w:vMerge w:val="continue"/>
                  <w:vAlign w:val="center"/>
                </w:tcPr>
                <w:p w14:paraId="03C1E002">
                  <w:pPr>
                    <w:adjustRightInd w:val="0"/>
                    <w:snapToGrid w:val="0"/>
                    <w:spacing w:line="240" w:lineRule="exact"/>
                    <w:ind w:firstLine="0" w:firstLineChars="0"/>
                    <w:jc w:val="center"/>
                    <w:rPr>
                      <w:rFonts w:cs="Times New Roman"/>
                      <w:sz w:val="20"/>
                      <w:szCs w:val="20"/>
                    </w:rPr>
                  </w:pPr>
                </w:p>
              </w:tc>
              <w:tc>
                <w:tcPr>
                  <w:tcW w:w="882" w:type="dxa"/>
                  <w:tcBorders>
                    <w:right w:val="single" w:color="auto" w:sz="4" w:space="0"/>
                  </w:tcBorders>
                  <w:vAlign w:val="center"/>
                </w:tcPr>
                <w:p w14:paraId="3FBB59D5">
                  <w:pPr>
                    <w:adjustRightInd w:val="0"/>
                    <w:snapToGrid w:val="0"/>
                    <w:spacing w:line="240" w:lineRule="exact"/>
                    <w:ind w:firstLine="0" w:firstLineChars="0"/>
                    <w:jc w:val="center"/>
                    <w:rPr>
                      <w:rFonts w:cs="Times New Roman"/>
                      <w:sz w:val="20"/>
                      <w:szCs w:val="20"/>
                    </w:rPr>
                  </w:pPr>
                  <w:r>
                    <w:rPr>
                      <w:rFonts w:hint="eastAsia" w:cs="Times New Roman"/>
                      <w:sz w:val="20"/>
                      <w:szCs w:val="20"/>
                    </w:rPr>
                    <w:t>1.26</w:t>
                  </w:r>
                </w:p>
              </w:tc>
              <w:tc>
                <w:tcPr>
                  <w:tcW w:w="1037" w:type="dxa"/>
                  <w:tcBorders>
                    <w:left w:val="single" w:color="auto" w:sz="4" w:space="0"/>
                  </w:tcBorders>
                  <w:vAlign w:val="center"/>
                </w:tcPr>
                <w:p w14:paraId="1172278F">
                  <w:pPr>
                    <w:adjustRightInd w:val="0"/>
                    <w:snapToGrid w:val="0"/>
                    <w:spacing w:line="240" w:lineRule="exact"/>
                    <w:ind w:firstLine="0" w:firstLineChars="0"/>
                    <w:jc w:val="center"/>
                    <w:rPr>
                      <w:rFonts w:cs="Times New Roman"/>
                      <w:sz w:val="20"/>
                      <w:szCs w:val="20"/>
                    </w:rPr>
                  </w:pPr>
                  <w:r>
                    <w:rPr>
                      <w:rFonts w:hint="eastAsia" w:cs="Times New Roman"/>
                      <w:sz w:val="20"/>
                      <w:szCs w:val="20"/>
                    </w:rPr>
                    <w:t>1.00</w:t>
                  </w:r>
                </w:p>
              </w:tc>
              <w:tc>
                <w:tcPr>
                  <w:tcW w:w="927" w:type="dxa"/>
                  <w:vAlign w:val="center"/>
                </w:tcPr>
                <w:p w14:paraId="636450FE">
                  <w:pPr>
                    <w:adjustRightInd w:val="0"/>
                    <w:snapToGrid w:val="0"/>
                    <w:spacing w:line="240" w:lineRule="exact"/>
                    <w:ind w:firstLine="0" w:firstLineChars="0"/>
                    <w:jc w:val="center"/>
                    <w:rPr>
                      <w:rFonts w:cs="Times New Roman"/>
                      <w:sz w:val="20"/>
                      <w:szCs w:val="20"/>
                    </w:rPr>
                  </w:pPr>
                  <w:r>
                    <w:rPr>
                      <w:rFonts w:hint="eastAsia" w:cs="Times New Roman"/>
                      <w:sz w:val="20"/>
                      <w:szCs w:val="20"/>
                    </w:rPr>
                    <w:t>1.15</w:t>
                  </w:r>
                </w:p>
              </w:tc>
              <w:tc>
                <w:tcPr>
                  <w:tcW w:w="905" w:type="dxa"/>
                  <w:vAlign w:val="center"/>
                </w:tcPr>
                <w:p w14:paraId="1A841B62">
                  <w:pPr>
                    <w:adjustRightInd w:val="0"/>
                    <w:snapToGrid w:val="0"/>
                    <w:spacing w:line="240" w:lineRule="exact"/>
                    <w:ind w:firstLine="0" w:firstLineChars="0"/>
                    <w:jc w:val="center"/>
                    <w:rPr>
                      <w:rFonts w:cs="Times New Roman"/>
                      <w:sz w:val="20"/>
                      <w:szCs w:val="20"/>
                    </w:rPr>
                  </w:pPr>
                  <w:r>
                    <w:rPr>
                      <w:rFonts w:hint="eastAsia" w:cs="Times New Roman"/>
                      <w:sz w:val="20"/>
                      <w:szCs w:val="20"/>
                    </w:rPr>
                    <w:t>1.27</w:t>
                  </w:r>
                </w:p>
              </w:tc>
              <w:tc>
                <w:tcPr>
                  <w:tcW w:w="705" w:type="dxa"/>
                  <w:vMerge w:val="continue"/>
                  <w:vAlign w:val="center"/>
                </w:tcPr>
                <w:p w14:paraId="591B42C9">
                  <w:pPr>
                    <w:adjustRightInd w:val="0"/>
                    <w:snapToGrid w:val="0"/>
                    <w:spacing w:line="240" w:lineRule="exact"/>
                    <w:ind w:firstLine="0" w:firstLineChars="0"/>
                    <w:jc w:val="center"/>
                    <w:rPr>
                      <w:rFonts w:cs="Times New Roman"/>
                      <w:sz w:val="20"/>
                      <w:szCs w:val="20"/>
                    </w:rPr>
                  </w:pPr>
                </w:p>
              </w:tc>
            </w:tr>
            <w:tr w14:paraId="556D103E">
              <w:tblPrEx>
                <w:tblBorders>
                  <w:top w:val="single" w:color="000000" w:sz="6" w:space="0"/>
                  <w:left w:val="single" w:color="000000" w:sz="6" w:space="0"/>
                  <w:bottom w:val="single" w:color="000000" w:sz="6"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51" w:hRule="atLeast"/>
                <w:jc w:val="center"/>
              </w:trPr>
              <w:tc>
                <w:tcPr>
                  <w:tcW w:w="1177" w:type="dxa"/>
                  <w:tcBorders>
                    <w:left w:val="nil"/>
                  </w:tcBorders>
                  <w:vAlign w:val="center"/>
                </w:tcPr>
                <w:p w14:paraId="3069E032">
                  <w:pPr>
                    <w:adjustRightInd w:val="0"/>
                    <w:snapToGrid w:val="0"/>
                    <w:spacing w:line="240" w:lineRule="exact"/>
                    <w:ind w:firstLine="0" w:firstLineChars="0"/>
                    <w:jc w:val="center"/>
                    <w:rPr>
                      <w:rFonts w:cs="Times New Roman"/>
                      <w:sz w:val="20"/>
                      <w:szCs w:val="20"/>
                    </w:rPr>
                  </w:pPr>
                  <w:r>
                    <w:rPr>
                      <w:rFonts w:hint="eastAsia" w:cs="Times New Roman"/>
                      <w:sz w:val="20"/>
                      <w:szCs w:val="20"/>
                    </w:rPr>
                    <w:t>2026.04.28</w:t>
                  </w:r>
                </w:p>
              </w:tc>
              <w:tc>
                <w:tcPr>
                  <w:tcW w:w="2142" w:type="dxa"/>
                  <w:vMerge w:val="restart"/>
                  <w:vAlign w:val="center"/>
                </w:tcPr>
                <w:p w14:paraId="68CAB335">
                  <w:pPr>
                    <w:adjustRightInd w:val="0"/>
                    <w:snapToGrid w:val="0"/>
                    <w:spacing w:line="240" w:lineRule="exact"/>
                    <w:ind w:firstLine="0" w:firstLineChars="0"/>
                    <w:jc w:val="center"/>
                    <w:rPr>
                      <w:rFonts w:cs="Times New Roman"/>
                      <w:sz w:val="20"/>
                      <w:szCs w:val="20"/>
                    </w:rPr>
                  </w:pPr>
                  <w:r>
                    <w:rPr>
                      <w:rFonts w:hint="eastAsia" w:cs="Times New Roman"/>
                      <w:sz w:val="20"/>
                      <w:szCs w:val="20"/>
                    </w:rPr>
                    <w:t>3</w:t>
                  </w:r>
                  <w:r>
                    <w:rPr>
                      <w:rFonts w:cs="Times New Roman"/>
                      <w:sz w:val="20"/>
                      <w:szCs w:val="20"/>
                    </w:rPr>
                    <w:t>#</w:t>
                  </w:r>
                </w:p>
                <w:p w14:paraId="4349D850">
                  <w:pPr>
                    <w:adjustRightInd w:val="0"/>
                    <w:snapToGrid w:val="0"/>
                    <w:spacing w:line="240" w:lineRule="exact"/>
                    <w:ind w:firstLine="0" w:firstLineChars="0"/>
                    <w:jc w:val="center"/>
                    <w:rPr>
                      <w:rFonts w:cs="Times New Roman"/>
                      <w:sz w:val="20"/>
                      <w:szCs w:val="20"/>
                    </w:rPr>
                  </w:pPr>
                  <w:r>
                    <w:rPr>
                      <w:rFonts w:hint="eastAsia" w:ascii="宋体" w:hAnsi="宋体" w:cs="宋体"/>
                      <w:sz w:val="20"/>
                      <w:szCs w:val="20"/>
                    </w:rPr>
                    <w:t>项目下风向厂界处</w:t>
                  </w:r>
                </w:p>
              </w:tc>
              <w:tc>
                <w:tcPr>
                  <w:tcW w:w="1091" w:type="dxa"/>
                  <w:vMerge w:val="continue"/>
                  <w:vAlign w:val="center"/>
                </w:tcPr>
                <w:p w14:paraId="02FC49A9">
                  <w:pPr>
                    <w:adjustRightInd w:val="0"/>
                    <w:snapToGrid w:val="0"/>
                    <w:spacing w:line="240" w:lineRule="exact"/>
                    <w:ind w:firstLine="0" w:firstLineChars="0"/>
                    <w:jc w:val="center"/>
                    <w:rPr>
                      <w:rFonts w:cs="Times New Roman"/>
                      <w:sz w:val="20"/>
                      <w:szCs w:val="20"/>
                    </w:rPr>
                  </w:pPr>
                </w:p>
              </w:tc>
              <w:tc>
                <w:tcPr>
                  <w:tcW w:w="882" w:type="dxa"/>
                  <w:tcBorders>
                    <w:right w:val="single" w:color="auto" w:sz="4" w:space="0"/>
                  </w:tcBorders>
                  <w:vAlign w:val="center"/>
                </w:tcPr>
                <w:p w14:paraId="23A28EA5">
                  <w:pPr>
                    <w:adjustRightInd w:val="0"/>
                    <w:snapToGrid w:val="0"/>
                    <w:spacing w:line="240" w:lineRule="exact"/>
                    <w:ind w:firstLine="0" w:firstLineChars="0"/>
                    <w:jc w:val="center"/>
                    <w:rPr>
                      <w:rFonts w:cs="Times New Roman"/>
                      <w:sz w:val="20"/>
                      <w:szCs w:val="20"/>
                    </w:rPr>
                  </w:pPr>
                  <w:r>
                    <w:rPr>
                      <w:rFonts w:hint="eastAsia" w:cs="Times New Roman"/>
                      <w:sz w:val="20"/>
                      <w:szCs w:val="20"/>
                    </w:rPr>
                    <w:t>1.18</w:t>
                  </w:r>
                </w:p>
              </w:tc>
              <w:tc>
                <w:tcPr>
                  <w:tcW w:w="1037" w:type="dxa"/>
                  <w:tcBorders>
                    <w:left w:val="single" w:color="auto" w:sz="4" w:space="0"/>
                  </w:tcBorders>
                  <w:vAlign w:val="center"/>
                </w:tcPr>
                <w:p w14:paraId="2E4716E7">
                  <w:pPr>
                    <w:adjustRightInd w:val="0"/>
                    <w:snapToGrid w:val="0"/>
                    <w:spacing w:line="240" w:lineRule="exact"/>
                    <w:ind w:firstLine="0" w:firstLineChars="0"/>
                    <w:jc w:val="center"/>
                    <w:rPr>
                      <w:rFonts w:cs="Times New Roman"/>
                      <w:sz w:val="20"/>
                      <w:szCs w:val="20"/>
                    </w:rPr>
                  </w:pPr>
                  <w:r>
                    <w:rPr>
                      <w:rFonts w:hint="eastAsia" w:cs="Times New Roman"/>
                      <w:sz w:val="20"/>
                      <w:szCs w:val="20"/>
                    </w:rPr>
                    <w:t>1.04</w:t>
                  </w:r>
                </w:p>
              </w:tc>
              <w:tc>
                <w:tcPr>
                  <w:tcW w:w="927" w:type="dxa"/>
                  <w:vAlign w:val="center"/>
                </w:tcPr>
                <w:p w14:paraId="784666EB">
                  <w:pPr>
                    <w:adjustRightInd w:val="0"/>
                    <w:snapToGrid w:val="0"/>
                    <w:spacing w:line="240" w:lineRule="exact"/>
                    <w:ind w:firstLine="0" w:firstLineChars="0"/>
                    <w:jc w:val="center"/>
                    <w:rPr>
                      <w:rFonts w:cs="Times New Roman"/>
                      <w:sz w:val="20"/>
                      <w:szCs w:val="20"/>
                    </w:rPr>
                  </w:pPr>
                  <w:r>
                    <w:rPr>
                      <w:rFonts w:hint="eastAsia" w:cs="Times New Roman"/>
                      <w:sz w:val="20"/>
                      <w:szCs w:val="20"/>
                    </w:rPr>
                    <w:t>1.22</w:t>
                  </w:r>
                </w:p>
              </w:tc>
              <w:tc>
                <w:tcPr>
                  <w:tcW w:w="905" w:type="dxa"/>
                  <w:vAlign w:val="center"/>
                </w:tcPr>
                <w:p w14:paraId="3FE73EC1">
                  <w:pPr>
                    <w:adjustRightInd w:val="0"/>
                    <w:snapToGrid w:val="0"/>
                    <w:spacing w:line="240" w:lineRule="exact"/>
                    <w:ind w:firstLine="0" w:firstLineChars="0"/>
                    <w:jc w:val="center"/>
                    <w:rPr>
                      <w:rFonts w:cs="Times New Roman"/>
                      <w:sz w:val="20"/>
                      <w:szCs w:val="20"/>
                    </w:rPr>
                  </w:pPr>
                  <w:r>
                    <w:rPr>
                      <w:rFonts w:hint="eastAsia" w:cs="Times New Roman"/>
                      <w:sz w:val="20"/>
                      <w:szCs w:val="20"/>
                    </w:rPr>
                    <w:t>1.19</w:t>
                  </w:r>
                </w:p>
              </w:tc>
              <w:tc>
                <w:tcPr>
                  <w:tcW w:w="705" w:type="dxa"/>
                  <w:vMerge w:val="continue"/>
                  <w:vAlign w:val="center"/>
                </w:tcPr>
                <w:p w14:paraId="255F55D8">
                  <w:pPr>
                    <w:adjustRightInd w:val="0"/>
                    <w:snapToGrid w:val="0"/>
                    <w:spacing w:line="240" w:lineRule="exact"/>
                    <w:ind w:firstLine="0" w:firstLineChars="0"/>
                    <w:jc w:val="center"/>
                    <w:rPr>
                      <w:rFonts w:cs="Times New Roman"/>
                      <w:sz w:val="20"/>
                      <w:szCs w:val="20"/>
                    </w:rPr>
                  </w:pPr>
                </w:p>
              </w:tc>
            </w:tr>
            <w:tr w14:paraId="612BF2B9">
              <w:tblPrEx>
                <w:tblBorders>
                  <w:top w:val="single" w:color="000000" w:sz="6" w:space="0"/>
                  <w:left w:val="single" w:color="000000" w:sz="6" w:space="0"/>
                  <w:bottom w:val="single" w:color="000000" w:sz="6"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51" w:hRule="atLeast"/>
                <w:jc w:val="center"/>
              </w:trPr>
              <w:tc>
                <w:tcPr>
                  <w:tcW w:w="1177" w:type="dxa"/>
                  <w:tcBorders>
                    <w:left w:val="nil"/>
                  </w:tcBorders>
                  <w:vAlign w:val="center"/>
                </w:tcPr>
                <w:p w14:paraId="5414ED05">
                  <w:pPr>
                    <w:adjustRightInd w:val="0"/>
                    <w:snapToGrid w:val="0"/>
                    <w:spacing w:line="240" w:lineRule="exact"/>
                    <w:ind w:firstLine="0" w:firstLineChars="0"/>
                    <w:jc w:val="center"/>
                    <w:rPr>
                      <w:rFonts w:cs="Times New Roman"/>
                      <w:sz w:val="20"/>
                      <w:szCs w:val="20"/>
                    </w:rPr>
                  </w:pPr>
                  <w:r>
                    <w:rPr>
                      <w:rFonts w:hint="eastAsia" w:cs="Times New Roman"/>
                      <w:sz w:val="20"/>
                      <w:szCs w:val="20"/>
                    </w:rPr>
                    <w:t>2026.04.29</w:t>
                  </w:r>
                </w:p>
              </w:tc>
              <w:tc>
                <w:tcPr>
                  <w:tcW w:w="2142" w:type="dxa"/>
                  <w:vMerge w:val="continue"/>
                  <w:vAlign w:val="center"/>
                </w:tcPr>
                <w:p w14:paraId="41D5B222">
                  <w:pPr>
                    <w:adjustRightInd w:val="0"/>
                    <w:snapToGrid w:val="0"/>
                    <w:spacing w:line="240" w:lineRule="exact"/>
                    <w:ind w:firstLine="0" w:firstLineChars="0"/>
                    <w:jc w:val="center"/>
                    <w:rPr>
                      <w:rFonts w:cs="Times New Roman"/>
                      <w:sz w:val="20"/>
                      <w:szCs w:val="20"/>
                    </w:rPr>
                  </w:pPr>
                </w:p>
              </w:tc>
              <w:tc>
                <w:tcPr>
                  <w:tcW w:w="1091" w:type="dxa"/>
                  <w:vMerge w:val="continue"/>
                  <w:vAlign w:val="center"/>
                </w:tcPr>
                <w:p w14:paraId="3E1F899C">
                  <w:pPr>
                    <w:adjustRightInd w:val="0"/>
                    <w:snapToGrid w:val="0"/>
                    <w:spacing w:line="240" w:lineRule="exact"/>
                    <w:ind w:firstLine="0" w:firstLineChars="0"/>
                    <w:jc w:val="center"/>
                    <w:rPr>
                      <w:rFonts w:cs="Times New Roman"/>
                      <w:sz w:val="20"/>
                      <w:szCs w:val="20"/>
                    </w:rPr>
                  </w:pPr>
                </w:p>
              </w:tc>
              <w:tc>
                <w:tcPr>
                  <w:tcW w:w="882" w:type="dxa"/>
                  <w:tcBorders>
                    <w:right w:val="single" w:color="auto" w:sz="4" w:space="0"/>
                  </w:tcBorders>
                  <w:vAlign w:val="center"/>
                </w:tcPr>
                <w:p w14:paraId="5AEEF58B">
                  <w:pPr>
                    <w:adjustRightInd w:val="0"/>
                    <w:snapToGrid w:val="0"/>
                    <w:spacing w:line="240" w:lineRule="exact"/>
                    <w:ind w:firstLine="0" w:firstLineChars="0"/>
                    <w:jc w:val="center"/>
                    <w:rPr>
                      <w:rFonts w:cs="Times New Roman"/>
                      <w:sz w:val="20"/>
                      <w:szCs w:val="20"/>
                    </w:rPr>
                  </w:pPr>
                  <w:r>
                    <w:rPr>
                      <w:rFonts w:hint="eastAsia" w:cs="Times New Roman"/>
                      <w:sz w:val="20"/>
                      <w:szCs w:val="20"/>
                    </w:rPr>
                    <w:t>1.03</w:t>
                  </w:r>
                </w:p>
              </w:tc>
              <w:tc>
                <w:tcPr>
                  <w:tcW w:w="1037" w:type="dxa"/>
                  <w:tcBorders>
                    <w:left w:val="single" w:color="auto" w:sz="4" w:space="0"/>
                  </w:tcBorders>
                  <w:vAlign w:val="center"/>
                </w:tcPr>
                <w:p w14:paraId="1C4EC777">
                  <w:pPr>
                    <w:adjustRightInd w:val="0"/>
                    <w:snapToGrid w:val="0"/>
                    <w:spacing w:line="240" w:lineRule="exact"/>
                    <w:ind w:firstLine="0" w:firstLineChars="0"/>
                    <w:jc w:val="center"/>
                    <w:rPr>
                      <w:rFonts w:cs="Times New Roman"/>
                      <w:sz w:val="20"/>
                      <w:szCs w:val="20"/>
                    </w:rPr>
                  </w:pPr>
                  <w:r>
                    <w:rPr>
                      <w:rFonts w:hint="eastAsia" w:cs="Times New Roman"/>
                      <w:sz w:val="20"/>
                      <w:szCs w:val="20"/>
                    </w:rPr>
                    <w:t>1.19</w:t>
                  </w:r>
                </w:p>
              </w:tc>
              <w:tc>
                <w:tcPr>
                  <w:tcW w:w="927" w:type="dxa"/>
                  <w:vAlign w:val="center"/>
                </w:tcPr>
                <w:p w14:paraId="1546DE46">
                  <w:pPr>
                    <w:adjustRightInd w:val="0"/>
                    <w:snapToGrid w:val="0"/>
                    <w:spacing w:line="240" w:lineRule="exact"/>
                    <w:ind w:firstLine="0" w:firstLineChars="0"/>
                    <w:jc w:val="center"/>
                    <w:rPr>
                      <w:rFonts w:cs="Times New Roman"/>
                      <w:sz w:val="20"/>
                      <w:szCs w:val="20"/>
                    </w:rPr>
                  </w:pPr>
                  <w:r>
                    <w:rPr>
                      <w:rFonts w:hint="eastAsia" w:cs="Times New Roman"/>
                      <w:sz w:val="20"/>
                      <w:szCs w:val="20"/>
                    </w:rPr>
                    <w:t>1.03</w:t>
                  </w:r>
                </w:p>
              </w:tc>
              <w:tc>
                <w:tcPr>
                  <w:tcW w:w="905" w:type="dxa"/>
                  <w:vAlign w:val="center"/>
                </w:tcPr>
                <w:p w14:paraId="5AC9E631">
                  <w:pPr>
                    <w:adjustRightInd w:val="0"/>
                    <w:snapToGrid w:val="0"/>
                    <w:spacing w:line="240" w:lineRule="exact"/>
                    <w:ind w:firstLine="0" w:firstLineChars="0"/>
                    <w:jc w:val="center"/>
                    <w:rPr>
                      <w:rFonts w:cs="Times New Roman"/>
                      <w:sz w:val="20"/>
                      <w:szCs w:val="20"/>
                    </w:rPr>
                  </w:pPr>
                  <w:r>
                    <w:rPr>
                      <w:rFonts w:hint="eastAsia" w:cs="Times New Roman"/>
                      <w:sz w:val="20"/>
                      <w:szCs w:val="20"/>
                    </w:rPr>
                    <w:t>1.25</w:t>
                  </w:r>
                </w:p>
              </w:tc>
              <w:tc>
                <w:tcPr>
                  <w:tcW w:w="705" w:type="dxa"/>
                  <w:vMerge w:val="continue"/>
                  <w:vAlign w:val="center"/>
                </w:tcPr>
                <w:p w14:paraId="0E90B993">
                  <w:pPr>
                    <w:adjustRightInd w:val="0"/>
                    <w:snapToGrid w:val="0"/>
                    <w:spacing w:line="240" w:lineRule="exact"/>
                    <w:ind w:firstLine="0" w:firstLineChars="0"/>
                    <w:jc w:val="center"/>
                    <w:rPr>
                      <w:rFonts w:cs="Times New Roman"/>
                      <w:sz w:val="20"/>
                      <w:szCs w:val="20"/>
                    </w:rPr>
                  </w:pPr>
                </w:p>
              </w:tc>
            </w:tr>
          </w:tbl>
          <w:p w14:paraId="6E0B977E">
            <w:pPr>
              <w:ind w:firstLine="482"/>
              <w:rPr>
                <w:b/>
                <w:bCs/>
                <w:szCs w:val="21"/>
              </w:rPr>
            </w:pPr>
            <w:r>
              <w:rPr>
                <w:b/>
                <w:bCs/>
              </w:rPr>
              <w:t>项目扩建前营运期废气</w:t>
            </w:r>
            <w:r>
              <w:rPr>
                <w:rFonts w:hint="eastAsia"/>
                <w:b/>
                <w:bCs/>
              </w:rPr>
              <w:t>治理措施</w:t>
            </w:r>
            <w:r>
              <w:rPr>
                <w:b/>
                <w:bCs/>
                <w:szCs w:val="21"/>
              </w:rPr>
              <w:t>存在的问题：无。</w:t>
            </w:r>
          </w:p>
          <w:p w14:paraId="4DBFB961">
            <w:pPr>
              <w:ind w:firstLine="482"/>
              <w:rPr>
                <w:b/>
                <w:bCs/>
                <w:szCs w:val="21"/>
              </w:rPr>
            </w:pPr>
            <w:r>
              <w:rPr>
                <w:b/>
                <w:bCs/>
                <w:szCs w:val="21"/>
              </w:rPr>
              <w:t>以新带老整改措施：无</w:t>
            </w:r>
          </w:p>
          <w:p w14:paraId="4F379AC6">
            <w:pPr>
              <w:pStyle w:val="17"/>
              <w:ind w:leftChars="175" w:firstLine="198" w:firstLineChars="82"/>
              <w:rPr>
                <w:b/>
                <w:bCs/>
              </w:rPr>
            </w:pPr>
            <w:r>
              <w:rPr>
                <w:rFonts w:hint="eastAsia"/>
                <w:b/>
                <w:bCs/>
              </w:rPr>
              <w:t>4.</w:t>
            </w:r>
            <w:r>
              <w:rPr>
                <w:b/>
                <w:bCs/>
              </w:rPr>
              <w:t>3、噪声产生与治理</w:t>
            </w:r>
          </w:p>
          <w:p w14:paraId="23398449">
            <w:pPr>
              <w:ind w:firstLine="480"/>
            </w:pPr>
            <w:r>
              <w:rPr>
                <w:rFonts w:hint="eastAsia"/>
              </w:rPr>
              <w:t>原有</w:t>
            </w:r>
            <w:r>
              <w:t>项目产噪设备少，产噪设备</w:t>
            </w:r>
            <w:r>
              <w:rPr>
                <w:rFonts w:hint="eastAsia"/>
              </w:rPr>
              <w:t>主要为电子锯、封边机、中央除尘器风机</w:t>
            </w:r>
            <w:r>
              <w:t>。各噪声治理措施如下：</w:t>
            </w:r>
          </w:p>
          <w:p w14:paraId="70949CA3">
            <w:pPr>
              <w:ind w:firstLine="600" w:firstLineChars="250"/>
            </w:pPr>
            <w:r>
              <w:t>首先选用低噪设备；合理布置声源设备；其次是采取隔声、吸声、消声、减振等降噪措施。</w:t>
            </w:r>
            <w:r>
              <w:rPr>
                <w:rFonts w:hint="eastAsia"/>
              </w:rPr>
              <w:t>项目合理安排生产时间，夜间不生产，仅昼间生。</w:t>
            </w:r>
          </w:p>
          <w:p w14:paraId="104A1B4B">
            <w:pPr>
              <w:ind w:firstLine="480"/>
              <w:rPr>
                <w:szCs w:val="21"/>
              </w:rPr>
            </w:pPr>
            <w:r>
              <w:rPr>
                <w:szCs w:val="21"/>
              </w:rPr>
              <w:t>在正常工况情况下，2026</w:t>
            </w:r>
            <w:r>
              <w:rPr>
                <w:rFonts w:hint="eastAsia"/>
                <w:szCs w:val="21"/>
              </w:rPr>
              <w:t>年</w:t>
            </w:r>
            <w:r>
              <w:rPr>
                <w:szCs w:val="21"/>
              </w:rPr>
              <w:t>04</w:t>
            </w:r>
            <w:r>
              <w:rPr>
                <w:rFonts w:hint="eastAsia"/>
                <w:szCs w:val="21"/>
              </w:rPr>
              <w:t>月</w:t>
            </w:r>
            <w:r>
              <w:rPr>
                <w:szCs w:val="21"/>
              </w:rPr>
              <w:t>28</w:t>
            </w:r>
            <w:r>
              <w:rPr>
                <w:rFonts w:hint="eastAsia"/>
                <w:szCs w:val="21"/>
              </w:rPr>
              <w:t>日-29日</w:t>
            </w:r>
            <w:r>
              <w:rPr>
                <w:szCs w:val="21"/>
              </w:rPr>
              <w:t>对</w:t>
            </w:r>
            <w:r>
              <w:rPr>
                <w:rFonts w:hint="eastAsia"/>
                <w:szCs w:val="21"/>
              </w:rPr>
              <w:t>厂房</w:t>
            </w:r>
            <w:r>
              <w:rPr>
                <w:szCs w:val="21"/>
              </w:rPr>
              <w:t>厂界噪声</w:t>
            </w:r>
          </w:p>
          <w:p w14:paraId="0605CC50">
            <w:pPr>
              <w:ind w:firstLine="482"/>
              <w:jc w:val="center"/>
              <w:rPr>
                <w:b/>
                <w:bCs/>
              </w:rPr>
            </w:pPr>
            <w:r>
              <w:rPr>
                <w:b/>
                <w:bCs/>
                <w:szCs w:val="21"/>
              </w:rPr>
              <w:t>表2-1</w:t>
            </w:r>
            <w:r>
              <w:rPr>
                <w:rFonts w:hint="eastAsia"/>
                <w:b/>
                <w:bCs/>
                <w:szCs w:val="21"/>
              </w:rPr>
              <w:t>5  厂房</w:t>
            </w:r>
            <w:r>
              <w:rPr>
                <w:b/>
                <w:bCs/>
                <w:szCs w:val="21"/>
              </w:rPr>
              <w:t>厂界噪声监测数据</w:t>
            </w:r>
          </w:p>
          <w:tbl>
            <w:tblPr>
              <w:tblStyle w:val="33"/>
              <w:tblW w:w="4853"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18"/>
              <w:gridCol w:w="853"/>
              <w:gridCol w:w="3021"/>
              <w:gridCol w:w="1082"/>
              <w:gridCol w:w="1289"/>
              <w:gridCol w:w="1289"/>
            </w:tblGrid>
            <w:tr w14:paraId="5E5C79B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51" w:hRule="atLeast"/>
                <w:jc w:val="center"/>
              </w:trPr>
              <w:tc>
                <w:tcPr>
                  <w:tcW w:w="646" w:type="pct"/>
                  <w:vAlign w:val="center"/>
                </w:tcPr>
                <w:p w14:paraId="277BD827">
                  <w:pPr>
                    <w:adjustRightInd w:val="0"/>
                    <w:snapToGrid w:val="0"/>
                    <w:spacing w:line="240" w:lineRule="auto"/>
                    <w:ind w:firstLine="0" w:firstLineChars="0"/>
                    <w:jc w:val="center"/>
                    <w:rPr>
                      <w:rFonts w:cs="Times New Roman"/>
                      <w:sz w:val="20"/>
                      <w:szCs w:val="20"/>
                    </w:rPr>
                  </w:pPr>
                  <w:r>
                    <w:rPr>
                      <w:rFonts w:cs="Times New Roman"/>
                      <w:sz w:val="20"/>
                      <w:szCs w:val="20"/>
                    </w:rPr>
                    <w:t>检测日期</w:t>
                  </w:r>
                </w:p>
              </w:tc>
              <w:tc>
                <w:tcPr>
                  <w:tcW w:w="493" w:type="pct"/>
                  <w:vAlign w:val="center"/>
                </w:tcPr>
                <w:p w14:paraId="552027C2">
                  <w:pPr>
                    <w:adjustRightInd w:val="0"/>
                    <w:snapToGrid w:val="0"/>
                    <w:spacing w:line="240" w:lineRule="auto"/>
                    <w:ind w:left="-38" w:leftChars="-16" w:right="-58" w:rightChars="-24" w:firstLine="0" w:firstLineChars="0"/>
                    <w:jc w:val="center"/>
                    <w:rPr>
                      <w:rFonts w:cs="Times New Roman"/>
                      <w:sz w:val="20"/>
                      <w:szCs w:val="20"/>
                    </w:rPr>
                  </w:pPr>
                  <w:r>
                    <w:rPr>
                      <w:rFonts w:cs="Times New Roman"/>
                      <w:sz w:val="20"/>
                      <w:szCs w:val="20"/>
                    </w:rPr>
                    <w:t>点位编号</w:t>
                  </w:r>
                </w:p>
              </w:tc>
              <w:tc>
                <w:tcPr>
                  <w:tcW w:w="1746" w:type="pct"/>
                  <w:vAlign w:val="center"/>
                </w:tcPr>
                <w:p w14:paraId="4DA22447">
                  <w:pPr>
                    <w:adjustRightInd w:val="0"/>
                    <w:snapToGrid w:val="0"/>
                    <w:spacing w:line="240" w:lineRule="auto"/>
                    <w:ind w:left="-38" w:leftChars="-16" w:right="-58" w:rightChars="-24" w:firstLine="0" w:firstLineChars="0"/>
                    <w:jc w:val="center"/>
                    <w:rPr>
                      <w:rFonts w:cs="Times New Roman"/>
                      <w:sz w:val="20"/>
                      <w:szCs w:val="20"/>
                    </w:rPr>
                  </w:pPr>
                  <w:r>
                    <w:rPr>
                      <w:rFonts w:hint="eastAsia" w:cs="Times New Roman"/>
                      <w:sz w:val="20"/>
                      <w:szCs w:val="20"/>
                    </w:rPr>
                    <w:t>点位</w:t>
                  </w:r>
                  <w:r>
                    <w:rPr>
                      <w:rFonts w:cs="Times New Roman"/>
                      <w:sz w:val="20"/>
                      <w:szCs w:val="20"/>
                    </w:rPr>
                    <w:t>名称</w:t>
                  </w:r>
                </w:p>
              </w:tc>
              <w:tc>
                <w:tcPr>
                  <w:tcW w:w="625" w:type="pct"/>
                  <w:vAlign w:val="center"/>
                </w:tcPr>
                <w:p w14:paraId="605699B9">
                  <w:pPr>
                    <w:adjustRightInd w:val="0"/>
                    <w:snapToGrid w:val="0"/>
                    <w:spacing w:line="240" w:lineRule="auto"/>
                    <w:ind w:firstLine="0" w:firstLineChars="0"/>
                    <w:jc w:val="center"/>
                    <w:rPr>
                      <w:rFonts w:cs="Times New Roman"/>
                      <w:sz w:val="20"/>
                      <w:szCs w:val="20"/>
                    </w:rPr>
                  </w:pPr>
                  <w:r>
                    <w:rPr>
                      <w:rFonts w:cs="Times New Roman"/>
                      <w:sz w:val="20"/>
                      <w:szCs w:val="20"/>
                    </w:rPr>
                    <w:t>检测时段</w:t>
                  </w:r>
                </w:p>
              </w:tc>
              <w:tc>
                <w:tcPr>
                  <w:tcW w:w="745" w:type="pct"/>
                  <w:vAlign w:val="center"/>
                </w:tcPr>
                <w:p w14:paraId="7554378E">
                  <w:pPr>
                    <w:adjustRightInd w:val="0"/>
                    <w:snapToGrid w:val="0"/>
                    <w:spacing w:line="240" w:lineRule="auto"/>
                    <w:ind w:firstLine="0" w:firstLineChars="0"/>
                    <w:jc w:val="center"/>
                    <w:rPr>
                      <w:rFonts w:cs="Times New Roman"/>
                      <w:sz w:val="20"/>
                      <w:szCs w:val="20"/>
                    </w:rPr>
                  </w:pPr>
                  <w:r>
                    <w:rPr>
                      <w:rFonts w:hint="eastAsia" w:cs="Times New Roman"/>
                      <w:sz w:val="20"/>
                      <w:szCs w:val="20"/>
                    </w:rPr>
                    <w:t>检测结果（dB）</w:t>
                  </w:r>
                </w:p>
              </w:tc>
              <w:tc>
                <w:tcPr>
                  <w:tcW w:w="745" w:type="pct"/>
                  <w:vAlign w:val="center"/>
                </w:tcPr>
                <w:p w14:paraId="3AE42B43">
                  <w:pPr>
                    <w:adjustRightInd w:val="0"/>
                    <w:snapToGrid w:val="0"/>
                    <w:spacing w:line="240" w:lineRule="auto"/>
                    <w:ind w:firstLine="0" w:firstLineChars="0"/>
                    <w:jc w:val="center"/>
                    <w:rPr>
                      <w:rFonts w:cs="Times New Roman"/>
                      <w:sz w:val="20"/>
                      <w:szCs w:val="20"/>
                    </w:rPr>
                  </w:pPr>
                  <w:r>
                    <w:rPr>
                      <w:rFonts w:cs="Times New Roman"/>
                      <w:sz w:val="20"/>
                      <w:szCs w:val="20"/>
                    </w:rPr>
                    <w:t>标准值</w:t>
                  </w:r>
                  <w:r>
                    <w:rPr>
                      <w:rFonts w:hint="eastAsia" w:cs="Times New Roman"/>
                      <w:sz w:val="20"/>
                      <w:szCs w:val="20"/>
                    </w:rPr>
                    <w:t>（dB）</w:t>
                  </w:r>
                </w:p>
              </w:tc>
            </w:tr>
            <w:tr w14:paraId="274B05D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51" w:hRule="atLeast"/>
                <w:jc w:val="center"/>
              </w:trPr>
              <w:tc>
                <w:tcPr>
                  <w:tcW w:w="646" w:type="pct"/>
                  <w:vMerge w:val="restart"/>
                  <w:vAlign w:val="center"/>
                </w:tcPr>
                <w:p w14:paraId="1CB71DAE">
                  <w:pPr>
                    <w:adjustRightInd w:val="0"/>
                    <w:snapToGrid w:val="0"/>
                    <w:spacing w:line="240" w:lineRule="auto"/>
                    <w:ind w:firstLine="0" w:firstLineChars="0"/>
                    <w:jc w:val="center"/>
                    <w:rPr>
                      <w:rFonts w:cs="Times New Roman"/>
                      <w:sz w:val="20"/>
                      <w:szCs w:val="20"/>
                      <w:highlight w:val="yellow"/>
                    </w:rPr>
                  </w:pPr>
                  <w:r>
                    <w:rPr>
                      <w:rFonts w:hint="eastAsia" w:cs="Times New Roman"/>
                      <w:sz w:val="20"/>
                      <w:szCs w:val="20"/>
                    </w:rPr>
                    <w:t>2026.04.28</w:t>
                  </w:r>
                </w:p>
              </w:tc>
              <w:tc>
                <w:tcPr>
                  <w:tcW w:w="493" w:type="pct"/>
                  <w:vAlign w:val="center"/>
                </w:tcPr>
                <w:p w14:paraId="37FA63C5">
                  <w:pPr>
                    <w:adjustRightInd w:val="0"/>
                    <w:snapToGrid w:val="0"/>
                    <w:spacing w:line="240" w:lineRule="auto"/>
                    <w:ind w:firstLine="0" w:firstLineChars="0"/>
                    <w:jc w:val="center"/>
                    <w:rPr>
                      <w:rFonts w:cs="Times New Roman"/>
                      <w:sz w:val="20"/>
                      <w:szCs w:val="20"/>
                    </w:rPr>
                  </w:pPr>
                  <w:r>
                    <w:rPr>
                      <w:rFonts w:cs="Times New Roman"/>
                      <w:sz w:val="20"/>
                      <w:szCs w:val="20"/>
                    </w:rPr>
                    <w:t>1#</w:t>
                  </w:r>
                </w:p>
              </w:tc>
              <w:tc>
                <w:tcPr>
                  <w:tcW w:w="1746" w:type="pct"/>
                  <w:vAlign w:val="center"/>
                </w:tcPr>
                <w:p w14:paraId="1BD241F4">
                  <w:pPr>
                    <w:adjustRightInd w:val="0"/>
                    <w:snapToGrid w:val="0"/>
                    <w:spacing w:line="240" w:lineRule="auto"/>
                    <w:ind w:firstLine="0" w:firstLineChars="0"/>
                    <w:jc w:val="center"/>
                    <w:rPr>
                      <w:rFonts w:cs="Times New Roman"/>
                      <w:sz w:val="20"/>
                      <w:szCs w:val="20"/>
                    </w:rPr>
                  </w:pPr>
                  <w:r>
                    <w:rPr>
                      <w:rFonts w:hint="eastAsia" w:cs="Times New Roman"/>
                      <w:sz w:val="20"/>
                      <w:szCs w:val="20"/>
                    </w:rPr>
                    <w:t>项目东侧厂界外1m，高1.3m处</w:t>
                  </w:r>
                </w:p>
              </w:tc>
              <w:tc>
                <w:tcPr>
                  <w:tcW w:w="625" w:type="pct"/>
                  <w:vMerge w:val="restart"/>
                  <w:vAlign w:val="center"/>
                </w:tcPr>
                <w:p w14:paraId="6C38E8C2">
                  <w:pPr>
                    <w:adjustRightInd w:val="0"/>
                    <w:snapToGrid w:val="0"/>
                    <w:spacing w:line="240" w:lineRule="auto"/>
                    <w:ind w:firstLine="0" w:firstLineChars="0"/>
                    <w:jc w:val="center"/>
                    <w:rPr>
                      <w:rFonts w:cs="Times New Roman"/>
                      <w:sz w:val="20"/>
                      <w:szCs w:val="20"/>
                    </w:rPr>
                  </w:pPr>
                  <w:r>
                    <w:rPr>
                      <w:rFonts w:cs="Times New Roman"/>
                      <w:sz w:val="20"/>
                      <w:szCs w:val="20"/>
                    </w:rPr>
                    <w:t>昼间</w:t>
                  </w:r>
                </w:p>
              </w:tc>
              <w:tc>
                <w:tcPr>
                  <w:tcW w:w="745" w:type="pct"/>
                  <w:vAlign w:val="center"/>
                </w:tcPr>
                <w:p w14:paraId="5E464061">
                  <w:pPr>
                    <w:adjustRightInd w:val="0"/>
                    <w:snapToGrid w:val="0"/>
                    <w:spacing w:line="240" w:lineRule="auto"/>
                    <w:ind w:firstLine="0" w:firstLineChars="0"/>
                    <w:jc w:val="center"/>
                    <w:rPr>
                      <w:rFonts w:cs="Times New Roman"/>
                      <w:sz w:val="20"/>
                      <w:szCs w:val="20"/>
                    </w:rPr>
                  </w:pPr>
                  <w:r>
                    <w:rPr>
                      <w:rFonts w:hint="eastAsia" w:cs="Times New Roman"/>
                      <w:sz w:val="20"/>
                      <w:szCs w:val="20"/>
                    </w:rPr>
                    <w:t>57.3</w:t>
                  </w:r>
                </w:p>
              </w:tc>
              <w:tc>
                <w:tcPr>
                  <w:tcW w:w="745" w:type="pct"/>
                  <w:vMerge w:val="restart"/>
                  <w:vAlign w:val="center"/>
                </w:tcPr>
                <w:p w14:paraId="4820A447">
                  <w:pPr>
                    <w:adjustRightInd w:val="0"/>
                    <w:snapToGrid w:val="0"/>
                    <w:spacing w:line="240" w:lineRule="auto"/>
                    <w:ind w:firstLine="0" w:firstLineChars="0"/>
                    <w:jc w:val="center"/>
                    <w:rPr>
                      <w:rFonts w:cs="Times New Roman"/>
                      <w:sz w:val="20"/>
                      <w:szCs w:val="20"/>
                    </w:rPr>
                  </w:pPr>
                  <w:r>
                    <w:rPr>
                      <w:rFonts w:hint="eastAsia" w:cs="Times New Roman"/>
                      <w:sz w:val="20"/>
                      <w:szCs w:val="20"/>
                    </w:rPr>
                    <w:t>65</w:t>
                  </w:r>
                </w:p>
              </w:tc>
            </w:tr>
            <w:tr w14:paraId="77EC90C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51" w:hRule="atLeast"/>
                <w:jc w:val="center"/>
              </w:trPr>
              <w:tc>
                <w:tcPr>
                  <w:tcW w:w="646" w:type="pct"/>
                  <w:vMerge w:val="continue"/>
                  <w:vAlign w:val="center"/>
                </w:tcPr>
                <w:p w14:paraId="042CF9D5">
                  <w:pPr>
                    <w:adjustRightInd w:val="0"/>
                    <w:snapToGrid w:val="0"/>
                    <w:spacing w:line="240" w:lineRule="auto"/>
                    <w:ind w:firstLine="0" w:firstLineChars="0"/>
                    <w:jc w:val="center"/>
                    <w:rPr>
                      <w:rFonts w:cs="Times New Roman"/>
                      <w:sz w:val="20"/>
                      <w:szCs w:val="20"/>
                    </w:rPr>
                  </w:pPr>
                </w:p>
              </w:tc>
              <w:tc>
                <w:tcPr>
                  <w:tcW w:w="493" w:type="pct"/>
                  <w:vAlign w:val="center"/>
                </w:tcPr>
                <w:p w14:paraId="4C790E3C">
                  <w:pPr>
                    <w:adjustRightInd w:val="0"/>
                    <w:snapToGrid w:val="0"/>
                    <w:spacing w:line="240" w:lineRule="auto"/>
                    <w:ind w:firstLine="0" w:firstLineChars="0"/>
                    <w:jc w:val="center"/>
                    <w:rPr>
                      <w:rFonts w:cs="Times New Roman"/>
                      <w:sz w:val="20"/>
                      <w:szCs w:val="20"/>
                    </w:rPr>
                  </w:pPr>
                  <w:r>
                    <w:rPr>
                      <w:rFonts w:cs="Times New Roman"/>
                      <w:sz w:val="20"/>
                      <w:szCs w:val="20"/>
                    </w:rPr>
                    <w:t>2#</w:t>
                  </w:r>
                </w:p>
              </w:tc>
              <w:tc>
                <w:tcPr>
                  <w:tcW w:w="1746" w:type="pct"/>
                  <w:vAlign w:val="center"/>
                </w:tcPr>
                <w:p w14:paraId="5B23F3EE">
                  <w:pPr>
                    <w:adjustRightInd w:val="0"/>
                    <w:snapToGrid w:val="0"/>
                    <w:spacing w:line="240" w:lineRule="auto"/>
                    <w:ind w:firstLine="0" w:firstLineChars="0"/>
                    <w:jc w:val="center"/>
                  </w:pPr>
                  <w:r>
                    <w:rPr>
                      <w:rFonts w:hint="eastAsia" w:cs="Times New Roman"/>
                      <w:sz w:val="20"/>
                      <w:szCs w:val="20"/>
                    </w:rPr>
                    <w:t>项目南侧厂界外1m，高1.3m处</w:t>
                  </w:r>
                </w:p>
              </w:tc>
              <w:tc>
                <w:tcPr>
                  <w:tcW w:w="625" w:type="pct"/>
                  <w:vMerge w:val="continue"/>
                  <w:vAlign w:val="center"/>
                </w:tcPr>
                <w:p w14:paraId="0D51CD07">
                  <w:pPr>
                    <w:adjustRightInd w:val="0"/>
                    <w:snapToGrid w:val="0"/>
                    <w:spacing w:line="240" w:lineRule="auto"/>
                    <w:ind w:firstLine="0" w:firstLineChars="0"/>
                    <w:jc w:val="center"/>
                    <w:rPr>
                      <w:rFonts w:cs="Times New Roman"/>
                      <w:sz w:val="20"/>
                      <w:szCs w:val="20"/>
                    </w:rPr>
                  </w:pPr>
                </w:p>
              </w:tc>
              <w:tc>
                <w:tcPr>
                  <w:tcW w:w="745" w:type="pct"/>
                  <w:vAlign w:val="center"/>
                </w:tcPr>
                <w:p w14:paraId="163337AC">
                  <w:pPr>
                    <w:adjustRightInd w:val="0"/>
                    <w:snapToGrid w:val="0"/>
                    <w:spacing w:line="240" w:lineRule="auto"/>
                    <w:ind w:firstLine="0" w:firstLineChars="0"/>
                    <w:jc w:val="center"/>
                    <w:rPr>
                      <w:rFonts w:cs="Times New Roman"/>
                      <w:sz w:val="20"/>
                      <w:szCs w:val="20"/>
                    </w:rPr>
                  </w:pPr>
                  <w:r>
                    <w:rPr>
                      <w:rFonts w:hint="eastAsia" w:cs="Times New Roman"/>
                      <w:sz w:val="20"/>
                      <w:szCs w:val="20"/>
                    </w:rPr>
                    <w:t>55.6</w:t>
                  </w:r>
                </w:p>
              </w:tc>
              <w:tc>
                <w:tcPr>
                  <w:tcW w:w="745" w:type="pct"/>
                  <w:vMerge w:val="continue"/>
                </w:tcPr>
                <w:p w14:paraId="45EB88D1">
                  <w:pPr>
                    <w:adjustRightInd w:val="0"/>
                    <w:snapToGrid w:val="0"/>
                    <w:spacing w:line="240" w:lineRule="auto"/>
                    <w:ind w:firstLine="0" w:firstLineChars="0"/>
                    <w:jc w:val="center"/>
                    <w:rPr>
                      <w:rFonts w:cs="Times New Roman"/>
                      <w:sz w:val="20"/>
                      <w:szCs w:val="20"/>
                    </w:rPr>
                  </w:pPr>
                </w:p>
              </w:tc>
            </w:tr>
            <w:tr w14:paraId="432A53A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51" w:hRule="atLeast"/>
                <w:jc w:val="center"/>
              </w:trPr>
              <w:tc>
                <w:tcPr>
                  <w:tcW w:w="646" w:type="pct"/>
                  <w:vMerge w:val="continue"/>
                  <w:vAlign w:val="center"/>
                </w:tcPr>
                <w:p w14:paraId="497A9D0C">
                  <w:pPr>
                    <w:adjustRightInd w:val="0"/>
                    <w:snapToGrid w:val="0"/>
                    <w:spacing w:line="240" w:lineRule="auto"/>
                    <w:ind w:firstLine="0" w:firstLineChars="0"/>
                    <w:jc w:val="center"/>
                    <w:rPr>
                      <w:rFonts w:cs="Times New Roman"/>
                      <w:sz w:val="20"/>
                      <w:szCs w:val="20"/>
                    </w:rPr>
                  </w:pPr>
                </w:p>
              </w:tc>
              <w:tc>
                <w:tcPr>
                  <w:tcW w:w="493" w:type="pct"/>
                  <w:vAlign w:val="center"/>
                </w:tcPr>
                <w:p w14:paraId="7FE7BA49">
                  <w:pPr>
                    <w:adjustRightInd w:val="0"/>
                    <w:snapToGrid w:val="0"/>
                    <w:spacing w:line="240" w:lineRule="auto"/>
                    <w:ind w:firstLine="0" w:firstLineChars="0"/>
                    <w:jc w:val="center"/>
                    <w:rPr>
                      <w:rFonts w:cs="Times New Roman"/>
                      <w:sz w:val="20"/>
                      <w:szCs w:val="20"/>
                    </w:rPr>
                  </w:pPr>
                  <w:r>
                    <w:rPr>
                      <w:rFonts w:cs="Times New Roman"/>
                      <w:sz w:val="20"/>
                      <w:szCs w:val="20"/>
                    </w:rPr>
                    <w:t>3#</w:t>
                  </w:r>
                </w:p>
              </w:tc>
              <w:tc>
                <w:tcPr>
                  <w:tcW w:w="1746" w:type="pct"/>
                  <w:vAlign w:val="center"/>
                </w:tcPr>
                <w:p w14:paraId="77E2760E">
                  <w:pPr>
                    <w:adjustRightInd w:val="0"/>
                    <w:snapToGrid w:val="0"/>
                    <w:spacing w:line="240" w:lineRule="auto"/>
                    <w:ind w:firstLine="0" w:firstLineChars="0"/>
                    <w:jc w:val="center"/>
                  </w:pPr>
                  <w:r>
                    <w:rPr>
                      <w:rFonts w:hint="eastAsia" w:cs="Times New Roman"/>
                      <w:sz w:val="20"/>
                      <w:szCs w:val="20"/>
                    </w:rPr>
                    <w:t>项目西侧厂界外1m，高1.3m处</w:t>
                  </w:r>
                </w:p>
              </w:tc>
              <w:tc>
                <w:tcPr>
                  <w:tcW w:w="625" w:type="pct"/>
                  <w:vMerge w:val="continue"/>
                  <w:vAlign w:val="center"/>
                </w:tcPr>
                <w:p w14:paraId="45D7FAE3">
                  <w:pPr>
                    <w:adjustRightInd w:val="0"/>
                    <w:snapToGrid w:val="0"/>
                    <w:spacing w:line="240" w:lineRule="auto"/>
                    <w:ind w:firstLine="0" w:firstLineChars="0"/>
                    <w:jc w:val="center"/>
                    <w:rPr>
                      <w:rFonts w:cs="Times New Roman"/>
                      <w:sz w:val="20"/>
                      <w:szCs w:val="20"/>
                    </w:rPr>
                  </w:pPr>
                </w:p>
              </w:tc>
              <w:tc>
                <w:tcPr>
                  <w:tcW w:w="745" w:type="pct"/>
                  <w:vAlign w:val="center"/>
                </w:tcPr>
                <w:p w14:paraId="09C09D6D">
                  <w:pPr>
                    <w:adjustRightInd w:val="0"/>
                    <w:snapToGrid w:val="0"/>
                    <w:spacing w:line="240" w:lineRule="auto"/>
                    <w:ind w:firstLine="0" w:firstLineChars="0"/>
                    <w:jc w:val="center"/>
                    <w:rPr>
                      <w:rFonts w:cs="Times New Roman"/>
                      <w:sz w:val="20"/>
                      <w:szCs w:val="20"/>
                    </w:rPr>
                  </w:pPr>
                  <w:r>
                    <w:rPr>
                      <w:rFonts w:hint="eastAsia" w:cs="Times New Roman"/>
                      <w:sz w:val="20"/>
                      <w:szCs w:val="20"/>
                    </w:rPr>
                    <w:t>51.1</w:t>
                  </w:r>
                </w:p>
              </w:tc>
              <w:tc>
                <w:tcPr>
                  <w:tcW w:w="745" w:type="pct"/>
                  <w:vMerge w:val="continue"/>
                </w:tcPr>
                <w:p w14:paraId="3D641299">
                  <w:pPr>
                    <w:adjustRightInd w:val="0"/>
                    <w:snapToGrid w:val="0"/>
                    <w:spacing w:line="240" w:lineRule="auto"/>
                    <w:ind w:firstLine="0" w:firstLineChars="0"/>
                    <w:jc w:val="center"/>
                    <w:rPr>
                      <w:rFonts w:cs="Times New Roman"/>
                      <w:sz w:val="20"/>
                      <w:szCs w:val="20"/>
                    </w:rPr>
                  </w:pPr>
                </w:p>
              </w:tc>
            </w:tr>
            <w:tr w14:paraId="395F72F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cantSplit/>
                <w:trHeight w:val="351" w:hRule="atLeast"/>
                <w:jc w:val="center"/>
              </w:trPr>
              <w:tc>
                <w:tcPr>
                  <w:tcW w:w="646" w:type="pct"/>
                  <w:vMerge w:val="continue"/>
                  <w:vAlign w:val="center"/>
                </w:tcPr>
                <w:p w14:paraId="49D8AA07">
                  <w:pPr>
                    <w:adjustRightInd w:val="0"/>
                    <w:snapToGrid w:val="0"/>
                    <w:spacing w:line="240" w:lineRule="auto"/>
                    <w:ind w:firstLine="0" w:firstLineChars="0"/>
                    <w:jc w:val="center"/>
                    <w:rPr>
                      <w:rFonts w:cs="Times New Roman"/>
                      <w:sz w:val="20"/>
                      <w:szCs w:val="20"/>
                    </w:rPr>
                  </w:pPr>
                </w:p>
              </w:tc>
              <w:tc>
                <w:tcPr>
                  <w:tcW w:w="493" w:type="pct"/>
                  <w:vAlign w:val="center"/>
                </w:tcPr>
                <w:p w14:paraId="17FF9F65">
                  <w:pPr>
                    <w:adjustRightInd w:val="0"/>
                    <w:snapToGrid w:val="0"/>
                    <w:spacing w:line="240" w:lineRule="auto"/>
                    <w:ind w:firstLine="0" w:firstLineChars="0"/>
                    <w:jc w:val="center"/>
                    <w:rPr>
                      <w:rFonts w:cs="Times New Roman"/>
                      <w:sz w:val="20"/>
                      <w:szCs w:val="20"/>
                    </w:rPr>
                  </w:pPr>
                  <w:r>
                    <w:rPr>
                      <w:rFonts w:hint="eastAsia" w:cs="Times New Roman"/>
                      <w:sz w:val="20"/>
                      <w:szCs w:val="20"/>
                    </w:rPr>
                    <w:t>4#</w:t>
                  </w:r>
                </w:p>
              </w:tc>
              <w:tc>
                <w:tcPr>
                  <w:tcW w:w="1746" w:type="pct"/>
                  <w:vAlign w:val="center"/>
                </w:tcPr>
                <w:p w14:paraId="449298CB">
                  <w:pPr>
                    <w:adjustRightInd w:val="0"/>
                    <w:snapToGrid w:val="0"/>
                    <w:spacing w:line="240" w:lineRule="auto"/>
                    <w:ind w:firstLine="0" w:firstLineChars="0"/>
                    <w:jc w:val="center"/>
                    <w:rPr>
                      <w:bCs/>
                      <w:szCs w:val="21"/>
                    </w:rPr>
                  </w:pPr>
                  <w:r>
                    <w:rPr>
                      <w:rFonts w:hint="eastAsia" w:cs="Times New Roman"/>
                      <w:sz w:val="20"/>
                      <w:szCs w:val="20"/>
                    </w:rPr>
                    <w:t>项目北侧厂界外1m，高1.3m处</w:t>
                  </w:r>
                </w:p>
              </w:tc>
              <w:tc>
                <w:tcPr>
                  <w:tcW w:w="625" w:type="pct"/>
                  <w:vMerge w:val="continue"/>
                  <w:vAlign w:val="center"/>
                </w:tcPr>
                <w:p w14:paraId="46FC78F1">
                  <w:pPr>
                    <w:adjustRightInd w:val="0"/>
                    <w:snapToGrid w:val="0"/>
                    <w:spacing w:line="240" w:lineRule="auto"/>
                    <w:ind w:firstLine="0" w:firstLineChars="0"/>
                    <w:jc w:val="center"/>
                    <w:rPr>
                      <w:rFonts w:cs="Times New Roman"/>
                      <w:sz w:val="20"/>
                      <w:szCs w:val="20"/>
                    </w:rPr>
                  </w:pPr>
                </w:p>
              </w:tc>
              <w:tc>
                <w:tcPr>
                  <w:tcW w:w="745" w:type="pct"/>
                  <w:vAlign w:val="center"/>
                </w:tcPr>
                <w:p w14:paraId="5EB87D2E">
                  <w:pPr>
                    <w:adjustRightInd w:val="0"/>
                    <w:snapToGrid w:val="0"/>
                    <w:spacing w:line="240" w:lineRule="auto"/>
                    <w:ind w:firstLine="0" w:firstLineChars="0"/>
                    <w:jc w:val="center"/>
                    <w:rPr>
                      <w:rFonts w:cs="Times New Roman"/>
                      <w:sz w:val="20"/>
                      <w:szCs w:val="20"/>
                    </w:rPr>
                  </w:pPr>
                  <w:r>
                    <w:rPr>
                      <w:rFonts w:hint="eastAsia" w:cs="Times New Roman"/>
                      <w:sz w:val="20"/>
                      <w:szCs w:val="20"/>
                    </w:rPr>
                    <w:t>54.0</w:t>
                  </w:r>
                </w:p>
              </w:tc>
              <w:tc>
                <w:tcPr>
                  <w:tcW w:w="745" w:type="pct"/>
                  <w:vMerge w:val="continue"/>
                </w:tcPr>
                <w:p w14:paraId="66A7406D">
                  <w:pPr>
                    <w:adjustRightInd w:val="0"/>
                    <w:snapToGrid w:val="0"/>
                    <w:spacing w:line="240" w:lineRule="auto"/>
                    <w:ind w:firstLine="0" w:firstLineChars="0"/>
                    <w:jc w:val="center"/>
                    <w:rPr>
                      <w:rFonts w:cs="Times New Roman"/>
                      <w:sz w:val="20"/>
                      <w:szCs w:val="20"/>
                    </w:rPr>
                  </w:pPr>
                </w:p>
              </w:tc>
            </w:tr>
            <w:tr w14:paraId="7208A0F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51" w:hRule="atLeast"/>
                <w:jc w:val="center"/>
              </w:trPr>
              <w:tc>
                <w:tcPr>
                  <w:tcW w:w="646" w:type="pct"/>
                  <w:vMerge w:val="restart"/>
                  <w:vAlign w:val="center"/>
                </w:tcPr>
                <w:p w14:paraId="1DCA0749">
                  <w:pPr>
                    <w:adjustRightInd w:val="0"/>
                    <w:snapToGrid w:val="0"/>
                    <w:spacing w:line="240" w:lineRule="auto"/>
                    <w:ind w:firstLine="0" w:firstLineChars="0"/>
                    <w:jc w:val="center"/>
                    <w:rPr>
                      <w:rFonts w:cs="Times New Roman"/>
                      <w:sz w:val="20"/>
                      <w:szCs w:val="20"/>
                    </w:rPr>
                  </w:pPr>
                  <w:r>
                    <w:rPr>
                      <w:rFonts w:hint="eastAsia" w:cs="Times New Roman"/>
                      <w:sz w:val="20"/>
                      <w:szCs w:val="20"/>
                    </w:rPr>
                    <w:t>2026.04.29</w:t>
                  </w:r>
                </w:p>
              </w:tc>
              <w:tc>
                <w:tcPr>
                  <w:tcW w:w="493" w:type="pct"/>
                  <w:vAlign w:val="center"/>
                </w:tcPr>
                <w:p w14:paraId="6A862CAC">
                  <w:pPr>
                    <w:adjustRightInd w:val="0"/>
                    <w:snapToGrid w:val="0"/>
                    <w:spacing w:line="240" w:lineRule="auto"/>
                    <w:ind w:firstLine="0" w:firstLineChars="0"/>
                    <w:jc w:val="center"/>
                    <w:rPr>
                      <w:rFonts w:cs="Times New Roman"/>
                      <w:sz w:val="20"/>
                      <w:szCs w:val="20"/>
                    </w:rPr>
                  </w:pPr>
                  <w:r>
                    <w:rPr>
                      <w:rFonts w:cs="Times New Roman"/>
                      <w:sz w:val="20"/>
                      <w:szCs w:val="20"/>
                    </w:rPr>
                    <w:t>1#</w:t>
                  </w:r>
                </w:p>
              </w:tc>
              <w:tc>
                <w:tcPr>
                  <w:tcW w:w="1746" w:type="pct"/>
                  <w:vAlign w:val="center"/>
                </w:tcPr>
                <w:p w14:paraId="386CA252">
                  <w:pPr>
                    <w:adjustRightInd w:val="0"/>
                    <w:snapToGrid w:val="0"/>
                    <w:spacing w:line="240" w:lineRule="auto"/>
                    <w:ind w:firstLine="0" w:firstLineChars="0"/>
                    <w:jc w:val="center"/>
                    <w:rPr>
                      <w:rFonts w:cs="Times New Roman"/>
                      <w:sz w:val="20"/>
                      <w:szCs w:val="20"/>
                    </w:rPr>
                  </w:pPr>
                  <w:r>
                    <w:rPr>
                      <w:rFonts w:hint="eastAsia" w:cs="Times New Roman"/>
                      <w:sz w:val="20"/>
                      <w:szCs w:val="20"/>
                    </w:rPr>
                    <w:t>项目东侧厂界外1m，高1.3m处</w:t>
                  </w:r>
                </w:p>
              </w:tc>
              <w:tc>
                <w:tcPr>
                  <w:tcW w:w="625" w:type="pct"/>
                  <w:vMerge w:val="continue"/>
                  <w:vAlign w:val="center"/>
                </w:tcPr>
                <w:p w14:paraId="3A9BE37B">
                  <w:pPr>
                    <w:adjustRightInd w:val="0"/>
                    <w:snapToGrid w:val="0"/>
                    <w:spacing w:line="240" w:lineRule="auto"/>
                    <w:ind w:firstLine="0" w:firstLineChars="0"/>
                    <w:jc w:val="center"/>
                    <w:rPr>
                      <w:rFonts w:cs="Times New Roman"/>
                      <w:sz w:val="20"/>
                      <w:szCs w:val="20"/>
                    </w:rPr>
                  </w:pPr>
                </w:p>
              </w:tc>
              <w:tc>
                <w:tcPr>
                  <w:tcW w:w="745" w:type="pct"/>
                  <w:vAlign w:val="center"/>
                </w:tcPr>
                <w:p w14:paraId="0972A84C">
                  <w:pPr>
                    <w:adjustRightInd w:val="0"/>
                    <w:snapToGrid w:val="0"/>
                    <w:spacing w:line="240" w:lineRule="auto"/>
                    <w:ind w:firstLine="0" w:firstLineChars="0"/>
                    <w:jc w:val="center"/>
                    <w:rPr>
                      <w:rFonts w:cs="Times New Roman"/>
                      <w:sz w:val="20"/>
                      <w:szCs w:val="20"/>
                    </w:rPr>
                  </w:pPr>
                  <w:r>
                    <w:rPr>
                      <w:rFonts w:hint="eastAsia" w:cs="Times New Roman"/>
                      <w:sz w:val="20"/>
                      <w:szCs w:val="20"/>
                    </w:rPr>
                    <w:t>59.0</w:t>
                  </w:r>
                </w:p>
              </w:tc>
              <w:tc>
                <w:tcPr>
                  <w:tcW w:w="745" w:type="pct"/>
                  <w:vMerge w:val="continue"/>
                </w:tcPr>
                <w:p w14:paraId="0EAF3172">
                  <w:pPr>
                    <w:adjustRightInd w:val="0"/>
                    <w:snapToGrid w:val="0"/>
                    <w:spacing w:line="240" w:lineRule="auto"/>
                    <w:ind w:firstLine="0" w:firstLineChars="0"/>
                    <w:jc w:val="center"/>
                    <w:rPr>
                      <w:rFonts w:cs="Times New Roman"/>
                      <w:sz w:val="20"/>
                      <w:szCs w:val="20"/>
                    </w:rPr>
                  </w:pPr>
                </w:p>
              </w:tc>
            </w:tr>
            <w:tr w14:paraId="46C2538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51" w:hRule="atLeast"/>
                <w:jc w:val="center"/>
              </w:trPr>
              <w:tc>
                <w:tcPr>
                  <w:tcW w:w="646" w:type="pct"/>
                  <w:vMerge w:val="continue"/>
                  <w:vAlign w:val="center"/>
                </w:tcPr>
                <w:p w14:paraId="50148A5C">
                  <w:pPr>
                    <w:adjustRightInd w:val="0"/>
                    <w:snapToGrid w:val="0"/>
                    <w:spacing w:line="240" w:lineRule="auto"/>
                    <w:ind w:firstLine="0" w:firstLineChars="0"/>
                    <w:jc w:val="center"/>
                    <w:rPr>
                      <w:rFonts w:cs="Times New Roman"/>
                      <w:sz w:val="20"/>
                      <w:szCs w:val="20"/>
                    </w:rPr>
                  </w:pPr>
                </w:p>
              </w:tc>
              <w:tc>
                <w:tcPr>
                  <w:tcW w:w="493" w:type="pct"/>
                  <w:vAlign w:val="center"/>
                </w:tcPr>
                <w:p w14:paraId="3F0CC8DC">
                  <w:pPr>
                    <w:adjustRightInd w:val="0"/>
                    <w:snapToGrid w:val="0"/>
                    <w:spacing w:line="240" w:lineRule="auto"/>
                    <w:ind w:firstLine="0" w:firstLineChars="0"/>
                    <w:jc w:val="center"/>
                    <w:rPr>
                      <w:rFonts w:cs="Times New Roman"/>
                      <w:sz w:val="20"/>
                      <w:szCs w:val="20"/>
                    </w:rPr>
                  </w:pPr>
                  <w:r>
                    <w:rPr>
                      <w:rFonts w:cs="Times New Roman"/>
                      <w:sz w:val="20"/>
                      <w:szCs w:val="20"/>
                    </w:rPr>
                    <w:t>2#</w:t>
                  </w:r>
                </w:p>
              </w:tc>
              <w:tc>
                <w:tcPr>
                  <w:tcW w:w="1746" w:type="pct"/>
                  <w:vAlign w:val="center"/>
                </w:tcPr>
                <w:p w14:paraId="688266CD">
                  <w:pPr>
                    <w:adjustRightInd w:val="0"/>
                    <w:snapToGrid w:val="0"/>
                    <w:spacing w:line="240" w:lineRule="auto"/>
                    <w:ind w:firstLine="0" w:firstLineChars="0"/>
                    <w:jc w:val="center"/>
                    <w:rPr>
                      <w:rFonts w:ascii="Calibri" w:hAnsi="Calibri"/>
                      <w:sz w:val="21"/>
                      <w:szCs w:val="24"/>
                    </w:rPr>
                  </w:pPr>
                  <w:r>
                    <w:rPr>
                      <w:rFonts w:hint="eastAsia" w:cs="Times New Roman"/>
                      <w:sz w:val="20"/>
                      <w:szCs w:val="20"/>
                    </w:rPr>
                    <w:t>项目南侧厂界外1m，高1.3m处</w:t>
                  </w:r>
                </w:p>
              </w:tc>
              <w:tc>
                <w:tcPr>
                  <w:tcW w:w="625" w:type="pct"/>
                  <w:vMerge w:val="continue"/>
                  <w:vAlign w:val="center"/>
                </w:tcPr>
                <w:p w14:paraId="6DAEC03B">
                  <w:pPr>
                    <w:adjustRightInd w:val="0"/>
                    <w:snapToGrid w:val="0"/>
                    <w:spacing w:line="240" w:lineRule="auto"/>
                    <w:ind w:firstLine="0" w:firstLineChars="0"/>
                    <w:jc w:val="center"/>
                    <w:rPr>
                      <w:rFonts w:cs="Times New Roman"/>
                      <w:sz w:val="20"/>
                      <w:szCs w:val="20"/>
                    </w:rPr>
                  </w:pPr>
                </w:p>
              </w:tc>
              <w:tc>
                <w:tcPr>
                  <w:tcW w:w="745" w:type="pct"/>
                  <w:vAlign w:val="center"/>
                </w:tcPr>
                <w:p w14:paraId="641177A4">
                  <w:pPr>
                    <w:adjustRightInd w:val="0"/>
                    <w:snapToGrid w:val="0"/>
                    <w:spacing w:line="240" w:lineRule="auto"/>
                    <w:ind w:firstLine="0" w:firstLineChars="0"/>
                    <w:jc w:val="center"/>
                    <w:rPr>
                      <w:rFonts w:cs="Times New Roman"/>
                      <w:sz w:val="20"/>
                      <w:szCs w:val="20"/>
                    </w:rPr>
                  </w:pPr>
                  <w:r>
                    <w:rPr>
                      <w:rFonts w:hint="eastAsia" w:cs="Times New Roman"/>
                      <w:sz w:val="20"/>
                      <w:szCs w:val="20"/>
                    </w:rPr>
                    <w:t>55.8</w:t>
                  </w:r>
                </w:p>
              </w:tc>
              <w:tc>
                <w:tcPr>
                  <w:tcW w:w="745" w:type="pct"/>
                  <w:vMerge w:val="continue"/>
                </w:tcPr>
                <w:p w14:paraId="0D27B11D">
                  <w:pPr>
                    <w:adjustRightInd w:val="0"/>
                    <w:snapToGrid w:val="0"/>
                    <w:spacing w:line="240" w:lineRule="auto"/>
                    <w:ind w:firstLine="0" w:firstLineChars="0"/>
                    <w:jc w:val="center"/>
                    <w:rPr>
                      <w:rFonts w:cs="Times New Roman"/>
                      <w:sz w:val="20"/>
                      <w:szCs w:val="20"/>
                    </w:rPr>
                  </w:pPr>
                </w:p>
              </w:tc>
            </w:tr>
            <w:tr w14:paraId="3661184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51" w:hRule="atLeast"/>
                <w:jc w:val="center"/>
              </w:trPr>
              <w:tc>
                <w:tcPr>
                  <w:tcW w:w="646" w:type="pct"/>
                  <w:vMerge w:val="continue"/>
                  <w:vAlign w:val="center"/>
                </w:tcPr>
                <w:p w14:paraId="280BC334">
                  <w:pPr>
                    <w:adjustRightInd w:val="0"/>
                    <w:snapToGrid w:val="0"/>
                    <w:spacing w:line="240" w:lineRule="auto"/>
                    <w:ind w:firstLine="0" w:firstLineChars="0"/>
                    <w:jc w:val="center"/>
                    <w:rPr>
                      <w:rFonts w:cs="Times New Roman"/>
                      <w:sz w:val="20"/>
                      <w:szCs w:val="20"/>
                    </w:rPr>
                  </w:pPr>
                </w:p>
              </w:tc>
              <w:tc>
                <w:tcPr>
                  <w:tcW w:w="493" w:type="pct"/>
                  <w:vAlign w:val="center"/>
                </w:tcPr>
                <w:p w14:paraId="664C7535">
                  <w:pPr>
                    <w:adjustRightInd w:val="0"/>
                    <w:snapToGrid w:val="0"/>
                    <w:spacing w:line="240" w:lineRule="auto"/>
                    <w:ind w:firstLine="0" w:firstLineChars="0"/>
                    <w:jc w:val="center"/>
                    <w:rPr>
                      <w:rFonts w:cs="Times New Roman"/>
                      <w:sz w:val="20"/>
                      <w:szCs w:val="20"/>
                    </w:rPr>
                  </w:pPr>
                  <w:r>
                    <w:rPr>
                      <w:rFonts w:cs="Times New Roman"/>
                      <w:sz w:val="20"/>
                      <w:szCs w:val="20"/>
                    </w:rPr>
                    <w:t>3#</w:t>
                  </w:r>
                </w:p>
              </w:tc>
              <w:tc>
                <w:tcPr>
                  <w:tcW w:w="1746" w:type="pct"/>
                  <w:vAlign w:val="center"/>
                </w:tcPr>
                <w:p w14:paraId="1E3971DC">
                  <w:pPr>
                    <w:adjustRightInd w:val="0"/>
                    <w:snapToGrid w:val="0"/>
                    <w:spacing w:line="240" w:lineRule="auto"/>
                    <w:ind w:firstLine="0" w:firstLineChars="0"/>
                    <w:jc w:val="center"/>
                    <w:rPr>
                      <w:rFonts w:ascii="Calibri" w:hAnsi="Calibri"/>
                      <w:sz w:val="21"/>
                      <w:szCs w:val="24"/>
                    </w:rPr>
                  </w:pPr>
                  <w:r>
                    <w:rPr>
                      <w:rFonts w:hint="eastAsia" w:cs="Times New Roman"/>
                      <w:sz w:val="20"/>
                      <w:szCs w:val="20"/>
                    </w:rPr>
                    <w:t>项目西侧厂界外1m，高1.3m处</w:t>
                  </w:r>
                </w:p>
              </w:tc>
              <w:tc>
                <w:tcPr>
                  <w:tcW w:w="625" w:type="pct"/>
                  <w:vMerge w:val="continue"/>
                  <w:vAlign w:val="center"/>
                </w:tcPr>
                <w:p w14:paraId="1CD1C536">
                  <w:pPr>
                    <w:adjustRightInd w:val="0"/>
                    <w:snapToGrid w:val="0"/>
                    <w:spacing w:line="240" w:lineRule="auto"/>
                    <w:ind w:firstLine="0" w:firstLineChars="0"/>
                    <w:jc w:val="center"/>
                    <w:rPr>
                      <w:rFonts w:cs="Times New Roman"/>
                      <w:sz w:val="20"/>
                      <w:szCs w:val="20"/>
                    </w:rPr>
                  </w:pPr>
                </w:p>
              </w:tc>
              <w:tc>
                <w:tcPr>
                  <w:tcW w:w="745" w:type="pct"/>
                  <w:vAlign w:val="center"/>
                </w:tcPr>
                <w:p w14:paraId="36877C9D">
                  <w:pPr>
                    <w:adjustRightInd w:val="0"/>
                    <w:snapToGrid w:val="0"/>
                    <w:spacing w:line="240" w:lineRule="auto"/>
                    <w:ind w:firstLine="0" w:firstLineChars="0"/>
                    <w:jc w:val="center"/>
                    <w:rPr>
                      <w:rFonts w:cs="Times New Roman"/>
                      <w:sz w:val="20"/>
                      <w:szCs w:val="20"/>
                    </w:rPr>
                  </w:pPr>
                  <w:r>
                    <w:rPr>
                      <w:rFonts w:hint="eastAsia" w:cs="Times New Roman"/>
                      <w:sz w:val="20"/>
                      <w:szCs w:val="20"/>
                    </w:rPr>
                    <w:t>50.7</w:t>
                  </w:r>
                </w:p>
              </w:tc>
              <w:tc>
                <w:tcPr>
                  <w:tcW w:w="745" w:type="pct"/>
                  <w:vMerge w:val="continue"/>
                </w:tcPr>
                <w:p w14:paraId="06C45E44">
                  <w:pPr>
                    <w:adjustRightInd w:val="0"/>
                    <w:snapToGrid w:val="0"/>
                    <w:spacing w:line="240" w:lineRule="auto"/>
                    <w:ind w:firstLine="0" w:firstLineChars="0"/>
                    <w:jc w:val="center"/>
                    <w:rPr>
                      <w:rFonts w:cs="Times New Roman"/>
                      <w:sz w:val="20"/>
                      <w:szCs w:val="20"/>
                    </w:rPr>
                  </w:pPr>
                </w:p>
              </w:tc>
            </w:tr>
            <w:tr w14:paraId="568D32B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51" w:hRule="atLeast"/>
                <w:jc w:val="center"/>
              </w:trPr>
              <w:tc>
                <w:tcPr>
                  <w:tcW w:w="646" w:type="pct"/>
                  <w:vMerge w:val="continue"/>
                  <w:vAlign w:val="center"/>
                </w:tcPr>
                <w:p w14:paraId="45ECC012">
                  <w:pPr>
                    <w:adjustRightInd w:val="0"/>
                    <w:snapToGrid w:val="0"/>
                    <w:spacing w:line="240" w:lineRule="auto"/>
                    <w:ind w:firstLine="0" w:firstLineChars="0"/>
                    <w:jc w:val="center"/>
                    <w:rPr>
                      <w:rFonts w:cs="Times New Roman"/>
                      <w:sz w:val="20"/>
                      <w:szCs w:val="20"/>
                    </w:rPr>
                  </w:pPr>
                </w:p>
              </w:tc>
              <w:tc>
                <w:tcPr>
                  <w:tcW w:w="493" w:type="pct"/>
                  <w:vAlign w:val="center"/>
                </w:tcPr>
                <w:p w14:paraId="26914470">
                  <w:pPr>
                    <w:adjustRightInd w:val="0"/>
                    <w:snapToGrid w:val="0"/>
                    <w:spacing w:line="240" w:lineRule="auto"/>
                    <w:ind w:firstLine="0" w:firstLineChars="0"/>
                    <w:jc w:val="center"/>
                    <w:rPr>
                      <w:rFonts w:cs="Times New Roman"/>
                      <w:sz w:val="20"/>
                      <w:szCs w:val="20"/>
                    </w:rPr>
                  </w:pPr>
                  <w:r>
                    <w:rPr>
                      <w:rFonts w:hint="eastAsia" w:cs="Times New Roman"/>
                      <w:sz w:val="20"/>
                      <w:szCs w:val="20"/>
                    </w:rPr>
                    <w:t>4#</w:t>
                  </w:r>
                </w:p>
              </w:tc>
              <w:tc>
                <w:tcPr>
                  <w:tcW w:w="1746" w:type="pct"/>
                  <w:vAlign w:val="center"/>
                </w:tcPr>
                <w:p w14:paraId="2DFB449F">
                  <w:pPr>
                    <w:adjustRightInd w:val="0"/>
                    <w:snapToGrid w:val="0"/>
                    <w:spacing w:line="240" w:lineRule="auto"/>
                    <w:ind w:firstLine="0" w:firstLineChars="0"/>
                    <w:jc w:val="center"/>
                    <w:rPr>
                      <w:bCs/>
                      <w:sz w:val="21"/>
                      <w:szCs w:val="21"/>
                    </w:rPr>
                  </w:pPr>
                  <w:r>
                    <w:rPr>
                      <w:rFonts w:hint="eastAsia" w:cs="Times New Roman"/>
                      <w:sz w:val="20"/>
                      <w:szCs w:val="20"/>
                    </w:rPr>
                    <w:t>项目北侧厂界外1m，高1.3m处</w:t>
                  </w:r>
                </w:p>
              </w:tc>
              <w:tc>
                <w:tcPr>
                  <w:tcW w:w="625" w:type="pct"/>
                  <w:vMerge w:val="continue"/>
                  <w:vAlign w:val="center"/>
                </w:tcPr>
                <w:p w14:paraId="1B8449A0">
                  <w:pPr>
                    <w:adjustRightInd w:val="0"/>
                    <w:snapToGrid w:val="0"/>
                    <w:spacing w:line="240" w:lineRule="auto"/>
                    <w:ind w:firstLine="0" w:firstLineChars="0"/>
                    <w:jc w:val="center"/>
                    <w:rPr>
                      <w:rFonts w:cs="Times New Roman"/>
                      <w:sz w:val="20"/>
                      <w:szCs w:val="20"/>
                    </w:rPr>
                  </w:pPr>
                </w:p>
              </w:tc>
              <w:tc>
                <w:tcPr>
                  <w:tcW w:w="745" w:type="pct"/>
                  <w:vAlign w:val="center"/>
                </w:tcPr>
                <w:p w14:paraId="3D094C00">
                  <w:pPr>
                    <w:adjustRightInd w:val="0"/>
                    <w:snapToGrid w:val="0"/>
                    <w:spacing w:line="240" w:lineRule="auto"/>
                    <w:ind w:firstLine="0" w:firstLineChars="0"/>
                    <w:jc w:val="center"/>
                    <w:rPr>
                      <w:rFonts w:cs="Times New Roman"/>
                      <w:sz w:val="20"/>
                      <w:szCs w:val="20"/>
                    </w:rPr>
                  </w:pPr>
                  <w:r>
                    <w:rPr>
                      <w:rFonts w:hint="eastAsia" w:cs="Times New Roman"/>
                      <w:sz w:val="20"/>
                      <w:szCs w:val="20"/>
                    </w:rPr>
                    <w:t>53.8</w:t>
                  </w:r>
                </w:p>
              </w:tc>
              <w:tc>
                <w:tcPr>
                  <w:tcW w:w="745" w:type="pct"/>
                  <w:vMerge w:val="continue"/>
                </w:tcPr>
                <w:p w14:paraId="28B583C7">
                  <w:pPr>
                    <w:adjustRightInd w:val="0"/>
                    <w:snapToGrid w:val="0"/>
                    <w:spacing w:line="240" w:lineRule="auto"/>
                    <w:ind w:firstLine="0" w:firstLineChars="0"/>
                    <w:jc w:val="center"/>
                    <w:rPr>
                      <w:rFonts w:cs="Times New Roman"/>
                      <w:sz w:val="20"/>
                      <w:szCs w:val="20"/>
                    </w:rPr>
                  </w:pPr>
                </w:p>
              </w:tc>
            </w:tr>
          </w:tbl>
          <w:p w14:paraId="01DFBD5A">
            <w:pPr>
              <w:ind w:firstLine="360" w:firstLineChars="150"/>
              <w:rPr>
                <w:b/>
              </w:rPr>
            </w:pPr>
            <w:r>
              <w:t>根据现状监测结果可知，现有项目厂界噪声能够达到《工业企业厂界环境噪声排放标准》GB12348-2008中</w:t>
            </w:r>
            <w:r>
              <w:rPr>
                <w:rFonts w:hint="eastAsia"/>
              </w:rPr>
              <w:t>3</w:t>
            </w:r>
            <w:r>
              <w:t>类标准限值要求。</w:t>
            </w:r>
          </w:p>
          <w:p w14:paraId="7F6FC683">
            <w:pPr>
              <w:ind w:firstLine="482"/>
              <w:rPr>
                <w:b/>
                <w:bCs/>
                <w:szCs w:val="21"/>
              </w:rPr>
            </w:pPr>
            <w:r>
              <w:rPr>
                <w:b/>
                <w:bCs/>
              </w:rPr>
              <w:t>项目扩建前营运期噪声</w:t>
            </w:r>
            <w:r>
              <w:rPr>
                <w:rFonts w:hint="eastAsia"/>
                <w:b/>
                <w:bCs/>
              </w:rPr>
              <w:t>治理措施</w:t>
            </w:r>
            <w:r>
              <w:rPr>
                <w:b/>
                <w:bCs/>
                <w:szCs w:val="21"/>
              </w:rPr>
              <w:t>存在的问题：无。</w:t>
            </w:r>
          </w:p>
          <w:p w14:paraId="7E1F7EDB">
            <w:pPr>
              <w:ind w:firstLine="482"/>
              <w:rPr>
                <w:b/>
                <w:bCs/>
                <w:szCs w:val="21"/>
              </w:rPr>
            </w:pPr>
            <w:r>
              <w:rPr>
                <w:b/>
                <w:bCs/>
                <w:szCs w:val="21"/>
              </w:rPr>
              <w:t>以新带老整改措施：无</w:t>
            </w:r>
          </w:p>
          <w:p w14:paraId="1952A4A7">
            <w:pPr>
              <w:pStyle w:val="17"/>
              <w:snapToGrid w:val="0"/>
              <w:spacing w:after="0"/>
              <w:ind w:leftChars="175" w:firstLine="198" w:firstLineChars="82"/>
              <w:rPr>
                <w:b/>
                <w:bCs/>
              </w:rPr>
            </w:pPr>
            <w:r>
              <w:rPr>
                <w:rFonts w:hint="eastAsia"/>
                <w:b/>
                <w:bCs/>
              </w:rPr>
              <w:t>4.</w:t>
            </w:r>
            <w:r>
              <w:rPr>
                <w:b/>
                <w:bCs/>
              </w:rPr>
              <w:t>4、固废产生与治理</w:t>
            </w:r>
          </w:p>
          <w:p w14:paraId="12834F58">
            <w:pPr>
              <w:snapToGrid w:val="0"/>
              <w:ind w:firstLine="480"/>
            </w:pPr>
            <w:r>
              <w:rPr>
                <w:szCs w:val="21"/>
              </w:rPr>
              <w:t>原项目</w:t>
            </w:r>
            <w:r>
              <w:t>营运期间的产生固体废弃物为生产过程中产生的废料、生活垃圾</w:t>
            </w:r>
            <w:r>
              <w:rPr>
                <w:rFonts w:hint="eastAsia"/>
              </w:rPr>
              <w:t>、纸箱废包装材料。</w:t>
            </w:r>
          </w:p>
          <w:p w14:paraId="5287B10B">
            <w:pPr>
              <w:snapToGrid w:val="0"/>
              <w:ind w:firstLine="482"/>
              <w:rPr>
                <w:b/>
                <w:bCs/>
                <w:szCs w:val="21"/>
              </w:rPr>
            </w:pPr>
            <w:r>
              <w:rPr>
                <w:b/>
                <w:bCs/>
                <w:szCs w:val="21"/>
              </w:rPr>
              <w:t>已采取措施：</w:t>
            </w:r>
            <w:r>
              <w:rPr>
                <w:szCs w:val="21"/>
              </w:rPr>
              <w:t>生活垃圾</w:t>
            </w:r>
            <w:r>
              <w:rPr>
                <w:rFonts w:hint="eastAsia"/>
                <w:szCs w:val="21"/>
              </w:rPr>
              <w:t>和</w:t>
            </w:r>
            <w:r>
              <w:rPr>
                <w:rFonts w:hint="eastAsia" w:cs="Times New Roman"/>
              </w:rPr>
              <w:t>中央除尘器粉尘</w:t>
            </w:r>
            <w:r>
              <w:rPr>
                <w:szCs w:val="21"/>
              </w:rPr>
              <w:t>交</w:t>
            </w:r>
            <w:r>
              <w:rPr>
                <w:rFonts w:hint="eastAsia"/>
                <w:szCs w:val="21"/>
              </w:rPr>
              <w:t>由</w:t>
            </w:r>
            <w:r>
              <w:rPr>
                <w:szCs w:val="21"/>
              </w:rPr>
              <w:t>当地市政环卫部门集中清运处置</w:t>
            </w:r>
            <w:r>
              <w:rPr>
                <w:rFonts w:hint="eastAsia"/>
                <w:szCs w:val="21"/>
              </w:rPr>
              <w:t>，</w:t>
            </w:r>
            <w:r>
              <w:rPr>
                <w:rFonts w:cs="Times New Roman"/>
              </w:rPr>
              <w:t>厂内工作人员共40人，产生垃圾按0.5kg/d·人计，则垃圾产生量为20kg/d，6t/a；经收集后由环卫部门清运处置。</w:t>
            </w:r>
            <w:r>
              <w:rPr>
                <w:rFonts w:hint="eastAsia"/>
                <w:szCs w:val="21"/>
              </w:rPr>
              <w:t>打孔、切割等工艺</w:t>
            </w:r>
            <w:r>
              <w:rPr>
                <w:rFonts w:cs="Times New Roman"/>
              </w:rPr>
              <w:t>产生的</w:t>
            </w:r>
            <w:r>
              <w:rPr>
                <w:rFonts w:hint="eastAsia" w:cs="Times New Roman"/>
              </w:rPr>
              <w:t>木材</w:t>
            </w:r>
            <w:r>
              <w:rPr>
                <w:rFonts w:cs="Times New Roman"/>
              </w:rPr>
              <w:t>边角料经收集后外售用于制造人造板。</w:t>
            </w:r>
            <w:r>
              <w:rPr>
                <w:rFonts w:hint="eastAsia" w:cs="Times New Roman"/>
              </w:rPr>
              <w:t>纸箱废包装材料产生量1</w:t>
            </w:r>
            <w:r>
              <w:rPr>
                <w:rFonts w:cs="Times New Roman"/>
              </w:rPr>
              <w:t>t/a；</w:t>
            </w:r>
          </w:p>
          <w:p w14:paraId="3A9FD72D">
            <w:pPr>
              <w:ind w:firstLine="482"/>
              <w:rPr>
                <w:b/>
                <w:bCs/>
                <w:szCs w:val="21"/>
              </w:rPr>
            </w:pPr>
            <w:r>
              <w:rPr>
                <w:b/>
                <w:bCs/>
                <w:szCs w:val="21"/>
              </w:rPr>
              <w:t>原有项目</w:t>
            </w:r>
            <w:r>
              <w:rPr>
                <w:rFonts w:hint="eastAsia"/>
                <w:b/>
                <w:bCs/>
                <w:szCs w:val="21"/>
              </w:rPr>
              <w:t>固废治理措施</w:t>
            </w:r>
            <w:r>
              <w:rPr>
                <w:b/>
                <w:bCs/>
                <w:szCs w:val="21"/>
              </w:rPr>
              <w:t>环境问题</w:t>
            </w:r>
            <w:r>
              <w:rPr>
                <w:rFonts w:hint="eastAsia"/>
                <w:b/>
                <w:bCs/>
                <w:szCs w:val="21"/>
              </w:rPr>
              <w:t>：</w:t>
            </w:r>
            <w:r>
              <w:rPr>
                <w:szCs w:val="21"/>
              </w:rPr>
              <w:t>无。</w:t>
            </w:r>
          </w:p>
          <w:p w14:paraId="210EAD92">
            <w:pPr>
              <w:ind w:firstLine="482"/>
            </w:pPr>
            <w:r>
              <w:rPr>
                <w:b/>
                <w:bCs/>
                <w:szCs w:val="21"/>
              </w:rPr>
              <w:t>本次</w:t>
            </w:r>
            <w:r>
              <w:rPr>
                <w:rFonts w:hint="eastAsia"/>
                <w:b/>
                <w:bCs/>
                <w:szCs w:val="21"/>
              </w:rPr>
              <w:t>改扩建</w:t>
            </w:r>
            <w:r>
              <w:rPr>
                <w:b/>
                <w:bCs/>
                <w:szCs w:val="21"/>
              </w:rPr>
              <w:t>“以新带老”整改措施：</w:t>
            </w:r>
            <w:r>
              <w:rPr>
                <w:szCs w:val="21"/>
              </w:rPr>
              <w:t>无。</w:t>
            </w:r>
          </w:p>
          <w:p w14:paraId="4B2573CF">
            <w:pPr>
              <w:ind w:firstLine="0" w:firstLineChars="0"/>
              <w:rPr>
                <w:rFonts w:cs="Times New Roman"/>
                <w:b/>
                <w:szCs w:val="24"/>
              </w:rPr>
            </w:pPr>
            <w:r>
              <w:rPr>
                <w:rFonts w:cs="Times New Roman"/>
                <w:b/>
                <w:szCs w:val="24"/>
              </w:rPr>
              <w:t>五、</w:t>
            </w:r>
            <w:r>
              <w:rPr>
                <w:rFonts w:hint="eastAsia" w:cs="Times New Roman"/>
                <w:b/>
                <w:szCs w:val="24"/>
              </w:rPr>
              <w:t>原有项目</w:t>
            </w:r>
            <w:r>
              <w:rPr>
                <w:rFonts w:cs="Times New Roman"/>
                <w:b/>
                <w:szCs w:val="24"/>
              </w:rPr>
              <w:t>污染物排放统计</w:t>
            </w:r>
          </w:p>
          <w:p w14:paraId="76D8A7C2">
            <w:pPr>
              <w:autoSpaceDE w:val="0"/>
              <w:autoSpaceDN w:val="0"/>
              <w:ind w:firstLine="470" w:firstLineChars="196"/>
              <w:rPr>
                <w:rFonts w:cs="Times New Roman"/>
                <w:bCs/>
                <w:szCs w:val="24"/>
              </w:rPr>
            </w:pPr>
            <w:r>
              <w:rPr>
                <w:rFonts w:cs="Times New Roman"/>
                <w:bCs/>
                <w:szCs w:val="24"/>
              </w:rPr>
              <w:t>现有项目产生的污染物情况见表</w:t>
            </w:r>
            <w:r>
              <w:rPr>
                <w:rFonts w:hint="eastAsia" w:cs="Times New Roman"/>
                <w:bCs/>
                <w:szCs w:val="24"/>
              </w:rPr>
              <w:t>2</w:t>
            </w:r>
            <w:r>
              <w:rPr>
                <w:rFonts w:cs="Times New Roman"/>
                <w:bCs/>
                <w:szCs w:val="24"/>
              </w:rPr>
              <w:t>-1</w:t>
            </w:r>
            <w:r>
              <w:rPr>
                <w:rFonts w:hint="eastAsia" w:cs="Times New Roman"/>
                <w:bCs/>
                <w:szCs w:val="24"/>
              </w:rPr>
              <w:t>3</w:t>
            </w:r>
            <w:r>
              <w:rPr>
                <w:rFonts w:cs="Times New Roman"/>
                <w:bCs/>
                <w:szCs w:val="24"/>
              </w:rPr>
              <w:t>。</w:t>
            </w:r>
          </w:p>
          <w:p w14:paraId="70A8BC54">
            <w:pPr>
              <w:ind w:firstLine="0" w:firstLineChars="0"/>
              <w:jc w:val="center"/>
              <w:textAlignment w:val="baseline"/>
              <w:rPr>
                <w:rFonts w:cs="Times New Roman"/>
                <w:b/>
                <w:bCs/>
                <w:kern w:val="0"/>
                <w:szCs w:val="20"/>
              </w:rPr>
            </w:pPr>
            <w:bookmarkStart w:id="50" w:name="_Hlk2700549"/>
            <w:r>
              <w:rPr>
                <w:rFonts w:cs="Times New Roman"/>
                <w:b/>
                <w:bCs/>
                <w:kern w:val="0"/>
                <w:szCs w:val="20"/>
              </w:rPr>
              <w:t>表</w:t>
            </w:r>
            <w:r>
              <w:rPr>
                <w:rFonts w:hint="eastAsia" w:cs="Times New Roman"/>
                <w:b/>
                <w:bCs/>
                <w:kern w:val="0"/>
                <w:szCs w:val="20"/>
              </w:rPr>
              <w:t>2</w:t>
            </w:r>
            <w:r>
              <w:rPr>
                <w:rFonts w:cs="Times New Roman"/>
                <w:b/>
                <w:bCs/>
                <w:kern w:val="0"/>
                <w:szCs w:val="20"/>
              </w:rPr>
              <w:t>-1</w:t>
            </w:r>
            <w:r>
              <w:rPr>
                <w:rFonts w:hint="eastAsia" w:cs="Times New Roman"/>
                <w:b/>
                <w:bCs/>
                <w:kern w:val="0"/>
                <w:szCs w:val="20"/>
              </w:rPr>
              <w:t xml:space="preserve">6  </w:t>
            </w:r>
            <w:r>
              <w:rPr>
                <w:rFonts w:cs="Times New Roman"/>
                <w:b/>
                <w:bCs/>
                <w:kern w:val="0"/>
                <w:szCs w:val="20"/>
              </w:rPr>
              <w:t>企业现有污染物排放量统计</w:t>
            </w:r>
          </w:p>
          <w:tbl>
            <w:tblPr>
              <w:tblStyle w:val="33"/>
              <w:tblW w:w="487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81"/>
              <w:gridCol w:w="1543"/>
              <w:gridCol w:w="1772"/>
              <w:gridCol w:w="3291"/>
            </w:tblGrid>
            <w:tr w14:paraId="556BC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1197" w:type="pct"/>
                  <w:tcBorders>
                    <w:top w:val="single" w:color="auto" w:sz="4" w:space="0"/>
                    <w:left w:val="single" w:color="auto" w:sz="4" w:space="0"/>
                    <w:bottom w:val="single" w:color="auto" w:sz="4" w:space="0"/>
                    <w:right w:val="single" w:color="auto" w:sz="4" w:space="0"/>
                  </w:tcBorders>
                  <w:shd w:val="clear" w:color="auto" w:fill="D9D9D9"/>
                  <w:vAlign w:val="center"/>
                </w:tcPr>
                <w:p w14:paraId="144DD04A">
                  <w:pPr>
                    <w:tabs>
                      <w:tab w:val="left" w:pos="5250"/>
                    </w:tabs>
                    <w:spacing w:line="240" w:lineRule="auto"/>
                    <w:ind w:firstLine="0" w:firstLineChars="0"/>
                    <w:jc w:val="center"/>
                    <w:rPr>
                      <w:rFonts w:cs="Times New Roman"/>
                      <w:b/>
                      <w:sz w:val="21"/>
                      <w:szCs w:val="21"/>
                    </w:rPr>
                  </w:pPr>
                  <w:r>
                    <w:rPr>
                      <w:rFonts w:cs="Times New Roman"/>
                      <w:b/>
                      <w:sz w:val="21"/>
                      <w:szCs w:val="21"/>
                    </w:rPr>
                    <w:t>污染物类别</w:t>
                  </w:r>
                </w:p>
              </w:tc>
              <w:tc>
                <w:tcPr>
                  <w:tcW w:w="1908" w:type="pct"/>
                  <w:gridSpan w:val="2"/>
                  <w:tcBorders>
                    <w:top w:val="single" w:color="auto" w:sz="4" w:space="0"/>
                    <w:left w:val="single" w:color="auto" w:sz="4" w:space="0"/>
                    <w:bottom w:val="single" w:color="auto" w:sz="4" w:space="0"/>
                    <w:right w:val="single" w:color="auto" w:sz="4" w:space="0"/>
                  </w:tcBorders>
                  <w:shd w:val="clear" w:color="auto" w:fill="D9D9D9"/>
                  <w:vAlign w:val="center"/>
                </w:tcPr>
                <w:p w14:paraId="083C5E69">
                  <w:pPr>
                    <w:tabs>
                      <w:tab w:val="left" w:pos="5250"/>
                    </w:tabs>
                    <w:spacing w:line="240" w:lineRule="auto"/>
                    <w:ind w:firstLine="0" w:firstLineChars="0"/>
                    <w:jc w:val="center"/>
                    <w:rPr>
                      <w:rFonts w:cs="Times New Roman"/>
                      <w:b/>
                      <w:sz w:val="21"/>
                      <w:szCs w:val="21"/>
                    </w:rPr>
                  </w:pPr>
                  <w:r>
                    <w:rPr>
                      <w:rFonts w:cs="Times New Roman"/>
                      <w:b/>
                      <w:sz w:val="21"/>
                      <w:szCs w:val="21"/>
                    </w:rPr>
                    <w:t>污染物名称</w:t>
                  </w:r>
                </w:p>
              </w:tc>
              <w:tc>
                <w:tcPr>
                  <w:tcW w:w="1894" w:type="pct"/>
                  <w:tcBorders>
                    <w:top w:val="single" w:color="auto" w:sz="4" w:space="0"/>
                    <w:left w:val="single" w:color="auto" w:sz="4" w:space="0"/>
                    <w:bottom w:val="single" w:color="auto" w:sz="4" w:space="0"/>
                    <w:right w:val="single" w:color="auto" w:sz="4" w:space="0"/>
                  </w:tcBorders>
                  <w:shd w:val="clear" w:color="auto" w:fill="D9D9D9"/>
                  <w:vAlign w:val="center"/>
                </w:tcPr>
                <w:p w14:paraId="0EFE861D">
                  <w:pPr>
                    <w:tabs>
                      <w:tab w:val="left" w:pos="5250"/>
                    </w:tabs>
                    <w:spacing w:line="240" w:lineRule="auto"/>
                    <w:ind w:firstLine="0" w:firstLineChars="0"/>
                    <w:jc w:val="center"/>
                    <w:rPr>
                      <w:rFonts w:cs="Times New Roman"/>
                      <w:b/>
                      <w:sz w:val="21"/>
                      <w:szCs w:val="21"/>
                    </w:rPr>
                  </w:pPr>
                  <w:r>
                    <w:rPr>
                      <w:rFonts w:cs="Times New Roman"/>
                      <w:b/>
                      <w:sz w:val="21"/>
                      <w:szCs w:val="21"/>
                    </w:rPr>
                    <w:t>排放量</w:t>
                  </w:r>
                </w:p>
              </w:tc>
            </w:tr>
            <w:tr w14:paraId="3B4F2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1197" w:type="pct"/>
                  <w:vMerge w:val="restart"/>
                  <w:tcBorders>
                    <w:top w:val="single" w:color="auto" w:sz="4" w:space="0"/>
                    <w:left w:val="single" w:color="auto" w:sz="4" w:space="0"/>
                    <w:bottom w:val="single" w:color="auto" w:sz="4" w:space="0"/>
                    <w:right w:val="single" w:color="auto" w:sz="4" w:space="0"/>
                  </w:tcBorders>
                  <w:vAlign w:val="center"/>
                </w:tcPr>
                <w:p w14:paraId="21DFCA59">
                  <w:pPr>
                    <w:tabs>
                      <w:tab w:val="left" w:pos="5250"/>
                    </w:tabs>
                    <w:spacing w:line="240" w:lineRule="auto"/>
                    <w:ind w:firstLine="0" w:firstLineChars="0"/>
                    <w:jc w:val="center"/>
                    <w:rPr>
                      <w:rFonts w:cs="Times New Roman"/>
                      <w:kern w:val="0"/>
                      <w:sz w:val="21"/>
                      <w:szCs w:val="21"/>
                    </w:rPr>
                  </w:pPr>
                  <w:r>
                    <w:rPr>
                      <w:rFonts w:cs="Times New Roman"/>
                      <w:kern w:val="0"/>
                      <w:sz w:val="21"/>
                      <w:szCs w:val="21"/>
                    </w:rPr>
                    <w:t>废气</w:t>
                  </w:r>
                </w:p>
              </w:tc>
              <w:tc>
                <w:tcPr>
                  <w:tcW w:w="1908" w:type="pct"/>
                  <w:gridSpan w:val="2"/>
                  <w:tcBorders>
                    <w:top w:val="single" w:color="auto" w:sz="4" w:space="0"/>
                    <w:left w:val="single" w:color="auto" w:sz="4" w:space="0"/>
                    <w:bottom w:val="single" w:color="auto" w:sz="4" w:space="0"/>
                    <w:right w:val="single" w:color="auto" w:sz="4" w:space="0"/>
                  </w:tcBorders>
                  <w:vAlign w:val="center"/>
                </w:tcPr>
                <w:p w14:paraId="216285BC">
                  <w:pPr>
                    <w:widowControl/>
                    <w:spacing w:line="240" w:lineRule="auto"/>
                    <w:ind w:firstLine="0" w:firstLineChars="0"/>
                    <w:jc w:val="center"/>
                    <w:rPr>
                      <w:rFonts w:cs="Times New Roman"/>
                      <w:snapToGrid w:val="0"/>
                      <w:kern w:val="0"/>
                      <w:sz w:val="21"/>
                      <w:szCs w:val="21"/>
                    </w:rPr>
                  </w:pPr>
                  <w:r>
                    <w:rPr>
                      <w:rFonts w:hint="eastAsia" w:cs="Times New Roman"/>
                      <w:snapToGrid w:val="0"/>
                      <w:kern w:val="0"/>
                      <w:sz w:val="21"/>
                      <w:szCs w:val="21"/>
                    </w:rPr>
                    <w:t>木工粉尘</w:t>
                  </w:r>
                </w:p>
              </w:tc>
              <w:tc>
                <w:tcPr>
                  <w:tcW w:w="1894" w:type="pct"/>
                  <w:tcBorders>
                    <w:top w:val="single" w:color="auto" w:sz="4" w:space="0"/>
                    <w:left w:val="single" w:color="auto" w:sz="4" w:space="0"/>
                    <w:bottom w:val="single" w:color="auto" w:sz="4" w:space="0"/>
                    <w:right w:val="single" w:color="auto" w:sz="4" w:space="0"/>
                  </w:tcBorders>
                  <w:vAlign w:val="center"/>
                </w:tcPr>
                <w:p w14:paraId="5BB1491F">
                  <w:pPr>
                    <w:spacing w:line="240" w:lineRule="auto"/>
                    <w:ind w:firstLine="0" w:firstLineChars="0"/>
                    <w:jc w:val="center"/>
                    <w:rPr>
                      <w:rFonts w:cs="Times New Roman"/>
                      <w:sz w:val="21"/>
                      <w:szCs w:val="21"/>
                    </w:rPr>
                  </w:pPr>
                  <w:r>
                    <w:rPr>
                      <w:rFonts w:hint="eastAsia"/>
                      <w:sz w:val="21"/>
                      <w:szCs w:val="21"/>
                    </w:rPr>
                    <w:t>0.0243</w:t>
                  </w:r>
                  <w:r>
                    <w:rPr>
                      <w:sz w:val="21"/>
                      <w:szCs w:val="21"/>
                    </w:rPr>
                    <w:t>t/a</w:t>
                  </w:r>
                </w:p>
              </w:tc>
            </w:tr>
            <w:tr w14:paraId="369E7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1197" w:type="pct"/>
                  <w:vMerge w:val="continue"/>
                  <w:tcBorders>
                    <w:top w:val="single" w:color="auto" w:sz="4" w:space="0"/>
                    <w:left w:val="single" w:color="auto" w:sz="4" w:space="0"/>
                    <w:bottom w:val="single" w:color="auto" w:sz="4" w:space="0"/>
                    <w:right w:val="single" w:color="auto" w:sz="4" w:space="0"/>
                  </w:tcBorders>
                  <w:vAlign w:val="center"/>
                </w:tcPr>
                <w:p w14:paraId="661474CC">
                  <w:pPr>
                    <w:tabs>
                      <w:tab w:val="left" w:pos="5250"/>
                    </w:tabs>
                    <w:spacing w:line="240" w:lineRule="auto"/>
                    <w:ind w:firstLine="0" w:firstLineChars="0"/>
                    <w:jc w:val="center"/>
                    <w:rPr>
                      <w:rFonts w:cs="Times New Roman"/>
                      <w:kern w:val="0"/>
                      <w:sz w:val="21"/>
                      <w:szCs w:val="21"/>
                    </w:rPr>
                  </w:pPr>
                </w:p>
              </w:tc>
              <w:tc>
                <w:tcPr>
                  <w:tcW w:w="1908" w:type="pct"/>
                  <w:gridSpan w:val="2"/>
                  <w:tcBorders>
                    <w:top w:val="single" w:color="auto" w:sz="4" w:space="0"/>
                    <w:left w:val="single" w:color="auto" w:sz="4" w:space="0"/>
                    <w:bottom w:val="single" w:color="auto" w:sz="4" w:space="0"/>
                    <w:right w:val="single" w:color="auto" w:sz="4" w:space="0"/>
                  </w:tcBorders>
                  <w:vAlign w:val="center"/>
                </w:tcPr>
                <w:p w14:paraId="39D1B15E">
                  <w:pPr>
                    <w:widowControl/>
                    <w:spacing w:line="240" w:lineRule="auto"/>
                    <w:ind w:firstLine="0" w:firstLineChars="0"/>
                    <w:jc w:val="center"/>
                    <w:rPr>
                      <w:rFonts w:cs="Times New Roman"/>
                      <w:snapToGrid w:val="0"/>
                      <w:kern w:val="0"/>
                      <w:sz w:val="21"/>
                      <w:szCs w:val="21"/>
                    </w:rPr>
                  </w:pPr>
                  <w:r>
                    <w:rPr>
                      <w:rFonts w:hint="eastAsia" w:cs="Times New Roman"/>
                      <w:snapToGrid w:val="0"/>
                      <w:kern w:val="0"/>
                      <w:sz w:val="21"/>
                      <w:szCs w:val="21"/>
                    </w:rPr>
                    <w:t>热熔胶有机废气</w:t>
                  </w:r>
                </w:p>
              </w:tc>
              <w:tc>
                <w:tcPr>
                  <w:tcW w:w="1894" w:type="pct"/>
                  <w:tcBorders>
                    <w:top w:val="single" w:color="auto" w:sz="4" w:space="0"/>
                    <w:left w:val="single" w:color="auto" w:sz="4" w:space="0"/>
                    <w:bottom w:val="single" w:color="auto" w:sz="4" w:space="0"/>
                    <w:right w:val="single" w:color="auto" w:sz="4" w:space="0"/>
                  </w:tcBorders>
                  <w:vAlign w:val="center"/>
                </w:tcPr>
                <w:p w14:paraId="3C8E3545">
                  <w:pPr>
                    <w:spacing w:line="240" w:lineRule="auto"/>
                    <w:ind w:firstLine="0" w:firstLineChars="0"/>
                    <w:jc w:val="center"/>
                    <w:rPr>
                      <w:rFonts w:cs="Times New Roman"/>
                      <w:sz w:val="21"/>
                      <w:szCs w:val="21"/>
                    </w:rPr>
                  </w:pPr>
                  <w:r>
                    <w:rPr>
                      <w:bCs/>
                      <w:sz w:val="21"/>
                      <w:szCs w:val="21"/>
                    </w:rPr>
                    <w:t>0.00</w:t>
                  </w:r>
                  <w:r>
                    <w:rPr>
                      <w:rFonts w:hint="eastAsia"/>
                      <w:bCs/>
                      <w:sz w:val="21"/>
                      <w:szCs w:val="21"/>
                    </w:rPr>
                    <w:t>3</w:t>
                  </w:r>
                  <w:r>
                    <w:rPr>
                      <w:bCs/>
                      <w:sz w:val="21"/>
                      <w:szCs w:val="21"/>
                    </w:rPr>
                    <w:t>t/a</w:t>
                  </w:r>
                </w:p>
              </w:tc>
            </w:tr>
            <w:tr w14:paraId="71A82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1197" w:type="pct"/>
                  <w:vMerge w:val="restart"/>
                  <w:tcBorders>
                    <w:top w:val="single" w:color="auto" w:sz="4" w:space="0"/>
                    <w:left w:val="single" w:color="auto" w:sz="4" w:space="0"/>
                    <w:right w:val="single" w:color="auto" w:sz="4" w:space="0"/>
                  </w:tcBorders>
                  <w:vAlign w:val="center"/>
                </w:tcPr>
                <w:p w14:paraId="77F79DC7">
                  <w:pPr>
                    <w:tabs>
                      <w:tab w:val="left" w:pos="5250"/>
                    </w:tabs>
                    <w:spacing w:line="240" w:lineRule="auto"/>
                    <w:ind w:firstLine="0" w:firstLineChars="0"/>
                    <w:jc w:val="center"/>
                    <w:rPr>
                      <w:rFonts w:cs="Times New Roman"/>
                      <w:sz w:val="21"/>
                      <w:szCs w:val="21"/>
                    </w:rPr>
                  </w:pPr>
                  <w:r>
                    <w:rPr>
                      <w:rFonts w:cs="Times New Roman"/>
                      <w:sz w:val="21"/>
                      <w:szCs w:val="21"/>
                    </w:rPr>
                    <w:t>废水</w:t>
                  </w:r>
                  <w:r>
                    <w:rPr>
                      <w:rFonts w:hint="eastAsia" w:cs="Times New Roman"/>
                      <w:sz w:val="21"/>
                      <w:szCs w:val="21"/>
                    </w:rPr>
                    <w:t>（企业排口）</w:t>
                  </w:r>
                </w:p>
              </w:tc>
              <w:tc>
                <w:tcPr>
                  <w:tcW w:w="1908" w:type="pct"/>
                  <w:gridSpan w:val="2"/>
                  <w:tcBorders>
                    <w:top w:val="single" w:color="auto" w:sz="4" w:space="0"/>
                    <w:left w:val="single" w:color="auto" w:sz="4" w:space="0"/>
                    <w:bottom w:val="single" w:color="auto" w:sz="4" w:space="0"/>
                    <w:right w:val="single" w:color="auto" w:sz="4" w:space="0"/>
                  </w:tcBorders>
                  <w:vAlign w:val="center"/>
                </w:tcPr>
                <w:p w14:paraId="716CCFA7">
                  <w:pPr>
                    <w:tabs>
                      <w:tab w:val="left" w:pos="5250"/>
                    </w:tabs>
                    <w:spacing w:line="240" w:lineRule="auto"/>
                    <w:ind w:firstLine="0" w:firstLineChars="0"/>
                    <w:jc w:val="center"/>
                    <w:rPr>
                      <w:rFonts w:cs="Times New Roman"/>
                      <w:sz w:val="21"/>
                      <w:szCs w:val="21"/>
                    </w:rPr>
                  </w:pPr>
                  <w:r>
                    <w:rPr>
                      <w:rFonts w:cs="Times New Roman"/>
                      <w:sz w:val="21"/>
                      <w:szCs w:val="21"/>
                    </w:rPr>
                    <w:t>排放量</w:t>
                  </w:r>
                </w:p>
              </w:tc>
              <w:tc>
                <w:tcPr>
                  <w:tcW w:w="1894" w:type="pct"/>
                  <w:tcBorders>
                    <w:top w:val="single" w:color="auto" w:sz="4" w:space="0"/>
                    <w:left w:val="single" w:color="auto" w:sz="4" w:space="0"/>
                    <w:bottom w:val="single" w:color="auto" w:sz="4" w:space="0"/>
                    <w:right w:val="single" w:color="auto" w:sz="4" w:space="0"/>
                  </w:tcBorders>
                  <w:vAlign w:val="center"/>
                </w:tcPr>
                <w:p w14:paraId="76673D50">
                  <w:pPr>
                    <w:spacing w:line="240" w:lineRule="auto"/>
                    <w:ind w:firstLine="0" w:firstLineChars="0"/>
                    <w:jc w:val="center"/>
                    <w:rPr>
                      <w:rFonts w:cs="Times New Roman"/>
                      <w:sz w:val="21"/>
                      <w:szCs w:val="21"/>
                    </w:rPr>
                  </w:pPr>
                  <w:r>
                    <w:rPr>
                      <w:rFonts w:hint="eastAsia" w:cs="Times New Roman"/>
                      <w:sz w:val="21"/>
                      <w:szCs w:val="21"/>
                    </w:rPr>
                    <w:t>1080</w:t>
                  </w:r>
                  <w:r>
                    <w:rPr>
                      <w:rFonts w:cs="Times New Roman"/>
                      <w:sz w:val="21"/>
                      <w:szCs w:val="21"/>
                    </w:rPr>
                    <w:t>m</w:t>
                  </w:r>
                  <w:r>
                    <w:rPr>
                      <w:rFonts w:cs="Times New Roman"/>
                      <w:sz w:val="21"/>
                      <w:szCs w:val="21"/>
                      <w:vertAlign w:val="superscript"/>
                    </w:rPr>
                    <w:t>3</w:t>
                  </w:r>
                  <w:r>
                    <w:rPr>
                      <w:rFonts w:cs="Times New Roman"/>
                      <w:sz w:val="21"/>
                      <w:szCs w:val="21"/>
                    </w:rPr>
                    <w:t>/a</w:t>
                  </w:r>
                </w:p>
              </w:tc>
            </w:tr>
            <w:tr w14:paraId="3891E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1197" w:type="pct"/>
                  <w:vMerge w:val="continue"/>
                  <w:tcBorders>
                    <w:left w:val="single" w:color="auto" w:sz="4" w:space="0"/>
                    <w:right w:val="single" w:color="auto" w:sz="4" w:space="0"/>
                  </w:tcBorders>
                  <w:vAlign w:val="center"/>
                </w:tcPr>
                <w:p w14:paraId="5BA586E1">
                  <w:pPr>
                    <w:tabs>
                      <w:tab w:val="left" w:pos="5250"/>
                    </w:tabs>
                    <w:spacing w:line="240" w:lineRule="auto"/>
                    <w:ind w:firstLine="0" w:firstLineChars="0"/>
                    <w:jc w:val="center"/>
                    <w:rPr>
                      <w:rFonts w:cs="Times New Roman"/>
                      <w:sz w:val="21"/>
                      <w:szCs w:val="21"/>
                    </w:rPr>
                  </w:pPr>
                </w:p>
              </w:tc>
              <w:tc>
                <w:tcPr>
                  <w:tcW w:w="3348" w:type="dxa"/>
                  <w:gridSpan w:val="2"/>
                  <w:tcBorders>
                    <w:top w:val="single" w:color="auto" w:sz="4" w:space="0"/>
                    <w:left w:val="single" w:color="auto" w:sz="4" w:space="0"/>
                    <w:bottom w:val="single" w:color="auto" w:sz="4" w:space="0"/>
                    <w:right w:val="single" w:color="auto" w:sz="4" w:space="0"/>
                  </w:tcBorders>
                  <w:vAlign w:val="center"/>
                </w:tcPr>
                <w:p w14:paraId="7834481E">
                  <w:pPr>
                    <w:widowControl/>
                    <w:spacing w:line="240" w:lineRule="auto"/>
                    <w:ind w:firstLine="0" w:firstLineChars="0"/>
                    <w:jc w:val="center"/>
                    <w:textAlignment w:val="center"/>
                    <w:rPr>
                      <w:rFonts w:cs="Times New Roman"/>
                      <w:sz w:val="21"/>
                      <w:szCs w:val="21"/>
                      <w:vertAlign w:val="subscript"/>
                    </w:rPr>
                  </w:pPr>
                  <w:r>
                    <w:rPr>
                      <w:rFonts w:cs="Times New Roman"/>
                      <w:kern w:val="0"/>
                      <w:sz w:val="21"/>
                      <w:szCs w:val="21"/>
                      <w:lang w:bidi="ar"/>
                    </w:rPr>
                    <w:t>COD</w:t>
                  </w:r>
                </w:p>
              </w:tc>
              <w:tc>
                <w:tcPr>
                  <w:tcW w:w="3323" w:type="dxa"/>
                  <w:tcBorders>
                    <w:top w:val="single" w:color="auto" w:sz="4" w:space="0"/>
                    <w:left w:val="single" w:color="auto" w:sz="4" w:space="0"/>
                    <w:bottom w:val="single" w:color="auto" w:sz="4" w:space="0"/>
                    <w:right w:val="single" w:color="auto" w:sz="4" w:space="0"/>
                  </w:tcBorders>
                  <w:vAlign w:val="bottom"/>
                </w:tcPr>
                <w:p w14:paraId="08BF93B3">
                  <w:pPr>
                    <w:spacing w:line="240" w:lineRule="auto"/>
                    <w:ind w:firstLine="0" w:firstLineChars="0"/>
                    <w:jc w:val="center"/>
                    <w:rPr>
                      <w:rFonts w:cs="Times New Roman"/>
                      <w:sz w:val="21"/>
                      <w:szCs w:val="21"/>
                    </w:rPr>
                  </w:pPr>
                  <w:r>
                    <w:rPr>
                      <w:rFonts w:hint="eastAsia" w:cs="Times New Roman"/>
                      <w:sz w:val="21"/>
                      <w:szCs w:val="21"/>
                    </w:rPr>
                    <w:t>0.54</w:t>
                  </w:r>
                  <w:r>
                    <w:rPr>
                      <w:rFonts w:cs="Times New Roman"/>
                      <w:sz w:val="21"/>
                      <w:szCs w:val="21"/>
                    </w:rPr>
                    <w:t>t/a</w:t>
                  </w:r>
                </w:p>
              </w:tc>
            </w:tr>
            <w:tr w14:paraId="23B70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1197" w:type="pct"/>
                  <w:vMerge w:val="continue"/>
                  <w:tcBorders>
                    <w:left w:val="single" w:color="auto" w:sz="4" w:space="0"/>
                    <w:right w:val="single" w:color="auto" w:sz="4" w:space="0"/>
                  </w:tcBorders>
                  <w:vAlign w:val="center"/>
                </w:tcPr>
                <w:p w14:paraId="4FD5D09B">
                  <w:pPr>
                    <w:tabs>
                      <w:tab w:val="left" w:pos="5250"/>
                    </w:tabs>
                    <w:spacing w:line="240" w:lineRule="auto"/>
                    <w:ind w:firstLine="0" w:firstLineChars="0"/>
                    <w:jc w:val="center"/>
                    <w:rPr>
                      <w:rFonts w:cs="Times New Roman"/>
                      <w:sz w:val="21"/>
                      <w:szCs w:val="21"/>
                    </w:rPr>
                  </w:pPr>
                </w:p>
              </w:tc>
              <w:tc>
                <w:tcPr>
                  <w:tcW w:w="3348" w:type="dxa"/>
                  <w:gridSpan w:val="2"/>
                  <w:tcBorders>
                    <w:top w:val="single" w:color="auto" w:sz="4" w:space="0"/>
                    <w:left w:val="single" w:color="auto" w:sz="4" w:space="0"/>
                    <w:bottom w:val="single" w:color="auto" w:sz="4" w:space="0"/>
                    <w:right w:val="single" w:color="auto" w:sz="4" w:space="0"/>
                  </w:tcBorders>
                  <w:vAlign w:val="center"/>
                </w:tcPr>
                <w:p w14:paraId="58B0AA97">
                  <w:pPr>
                    <w:spacing w:line="240" w:lineRule="auto"/>
                    <w:ind w:firstLine="0" w:firstLineChars="0"/>
                    <w:jc w:val="center"/>
                    <w:rPr>
                      <w:rFonts w:cs="Times New Roman"/>
                      <w:sz w:val="21"/>
                      <w:szCs w:val="21"/>
                      <w:vertAlign w:val="subscript"/>
                    </w:rPr>
                  </w:pPr>
                  <w:r>
                    <w:rPr>
                      <w:rFonts w:cs="Times New Roman"/>
                      <w:bCs/>
                      <w:sz w:val="21"/>
                      <w:szCs w:val="21"/>
                    </w:rPr>
                    <w:t>BOD</w:t>
                  </w:r>
                  <w:r>
                    <w:rPr>
                      <w:rFonts w:cs="Times New Roman"/>
                      <w:bCs/>
                      <w:sz w:val="21"/>
                      <w:szCs w:val="21"/>
                      <w:vertAlign w:val="subscript"/>
                    </w:rPr>
                    <w:t>5</w:t>
                  </w:r>
                </w:p>
              </w:tc>
              <w:tc>
                <w:tcPr>
                  <w:tcW w:w="3323" w:type="dxa"/>
                  <w:tcBorders>
                    <w:top w:val="single" w:color="auto" w:sz="4" w:space="0"/>
                    <w:left w:val="single" w:color="auto" w:sz="4" w:space="0"/>
                    <w:bottom w:val="single" w:color="auto" w:sz="4" w:space="0"/>
                    <w:right w:val="single" w:color="auto" w:sz="4" w:space="0"/>
                  </w:tcBorders>
                  <w:vAlign w:val="bottom"/>
                </w:tcPr>
                <w:p w14:paraId="0C8D4C5C">
                  <w:pPr>
                    <w:spacing w:line="240" w:lineRule="auto"/>
                    <w:ind w:firstLine="0" w:firstLineChars="0"/>
                    <w:jc w:val="center"/>
                    <w:rPr>
                      <w:rFonts w:cs="Times New Roman"/>
                      <w:sz w:val="21"/>
                      <w:szCs w:val="21"/>
                    </w:rPr>
                  </w:pPr>
                  <w:r>
                    <w:rPr>
                      <w:rFonts w:hint="eastAsia" w:cs="Times New Roman"/>
                      <w:sz w:val="21"/>
                      <w:szCs w:val="21"/>
                    </w:rPr>
                    <w:t>0.324</w:t>
                  </w:r>
                  <w:r>
                    <w:rPr>
                      <w:rFonts w:cs="Times New Roman"/>
                      <w:sz w:val="21"/>
                      <w:szCs w:val="21"/>
                    </w:rPr>
                    <w:t>t/a</w:t>
                  </w:r>
                </w:p>
              </w:tc>
            </w:tr>
            <w:tr w14:paraId="43287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1197" w:type="pct"/>
                  <w:vMerge w:val="continue"/>
                  <w:tcBorders>
                    <w:left w:val="single" w:color="auto" w:sz="4" w:space="0"/>
                    <w:right w:val="single" w:color="auto" w:sz="4" w:space="0"/>
                  </w:tcBorders>
                  <w:vAlign w:val="center"/>
                </w:tcPr>
                <w:p w14:paraId="40D311C8">
                  <w:pPr>
                    <w:tabs>
                      <w:tab w:val="left" w:pos="5250"/>
                    </w:tabs>
                    <w:spacing w:line="240" w:lineRule="auto"/>
                    <w:ind w:firstLine="0" w:firstLineChars="0"/>
                    <w:jc w:val="center"/>
                    <w:rPr>
                      <w:rFonts w:cs="Times New Roman"/>
                      <w:sz w:val="21"/>
                      <w:szCs w:val="21"/>
                    </w:rPr>
                  </w:pPr>
                </w:p>
              </w:tc>
              <w:tc>
                <w:tcPr>
                  <w:tcW w:w="3348" w:type="dxa"/>
                  <w:gridSpan w:val="2"/>
                  <w:tcBorders>
                    <w:top w:val="single" w:color="auto" w:sz="4" w:space="0"/>
                    <w:left w:val="single" w:color="auto" w:sz="4" w:space="0"/>
                    <w:bottom w:val="single" w:color="auto" w:sz="4" w:space="0"/>
                    <w:right w:val="single" w:color="auto" w:sz="4" w:space="0"/>
                  </w:tcBorders>
                  <w:vAlign w:val="center"/>
                </w:tcPr>
                <w:p w14:paraId="7C5DF574">
                  <w:pPr>
                    <w:spacing w:line="240" w:lineRule="auto"/>
                    <w:ind w:firstLine="0" w:firstLineChars="0"/>
                    <w:jc w:val="center"/>
                    <w:rPr>
                      <w:rFonts w:cs="Times New Roman"/>
                      <w:sz w:val="21"/>
                      <w:szCs w:val="21"/>
                    </w:rPr>
                  </w:pPr>
                  <w:r>
                    <w:rPr>
                      <w:rFonts w:cs="Times New Roman"/>
                      <w:bCs/>
                      <w:kern w:val="0"/>
                      <w:sz w:val="21"/>
                      <w:szCs w:val="21"/>
                    </w:rPr>
                    <w:t>TP</w:t>
                  </w:r>
                </w:p>
              </w:tc>
              <w:tc>
                <w:tcPr>
                  <w:tcW w:w="3323" w:type="dxa"/>
                  <w:tcBorders>
                    <w:top w:val="single" w:color="auto" w:sz="4" w:space="0"/>
                    <w:left w:val="single" w:color="auto" w:sz="4" w:space="0"/>
                    <w:bottom w:val="single" w:color="auto" w:sz="4" w:space="0"/>
                    <w:right w:val="single" w:color="auto" w:sz="4" w:space="0"/>
                  </w:tcBorders>
                  <w:vAlign w:val="bottom"/>
                </w:tcPr>
                <w:p w14:paraId="3B9E4E24">
                  <w:pPr>
                    <w:spacing w:line="240" w:lineRule="auto"/>
                    <w:ind w:firstLine="0" w:firstLineChars="0"/>
                    <w:jc w:val="center"/>
                    <w:rPr>
                      <w:rFonts w:cs="Times New Roman"/>
                      <w:sz w:val="21"/>
                      <w:szCs w:val="21"/>
                    </w:rPr>
                  </w:pPr>
                  <w:r>
                    <w:rPr>
                      <w:rFonts w:hint="eastAsia" w:cs="Times New Roman"/>
                      <w:sz w:val="21"/>
                      <w:szCs w:val="21"/>
                    </w:rPr>
                    <w:t>0.009</w:t>
                  </w:r>
                  <w:r>
                    <w:rPr>
                      <w:rFonts w:cs="Times New Roman"/>
                      <w:sz w:val="21"/>
                      <w:szCs w:val="21"/>
                    </w:rPr>
                    <w:t>t/a</w:t>
                  </w:r>
                </w:p>
              </w:tc>
            </w:tr>
            <w:tr w14:paraId="34B69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1197" w:type="pct"/>
                  <w:vMerge w:val="continue"/>
                  <w:tcBorders>
                    <w:left w:val="single" w:color="auto" w:sz="4" w:space="0"/>
                    <w:right w:val="single" w:color="auto" w:sz="4" w:space="0"/>
                  </w:tcBorders>
                  <w:vAlign w:val="center"/>
                </w:tcPr>
                <w:p w14:paraId="035975EA">
                  <w:pPr>
                    <w:tabs>
                      <w:tab w:val="left" w:pos="5250"/>
                    </w:tabs>
                    <w:spacing w:line="240" w:lineRule="auto"/>
                    <w:ind w:firstLine="0" w:firstLineChars="0"/>
                    <w:jc w:val="center"/>
                    <w:rPr>
                      <w:rFonts w:cs="Times New Roman"/>
                      <w:sz w:val="21"/>
                      <w:szCs w:val="21"/>
                    </w:rPr>
                  </w:pPr>
                </w:p>
              </w:tc>
              <w:tc>
                <w:tcPr>
                  <w:tcW w:w="3348" w:type="dxa"/>
                  <w:gridSpan w:val="2"/>
                  <w:tcBorders>
                    <w:top w:val="single" w:color="auto" w:sz="4" w:space="0"/>
                    <w:left w:val="single" w:color="auto" w:sz="4" w:space="0"/>
                    <w:bottom w:val="single" w:color="auto" w:sz="4" w:space="0"/>
                    <w:right w:val="single" w:color="auto" w:sz="4" w:space="0"/>
                  </w:tcBorders>
                  <w:vAlign w:val="center"/>
                </w:tcPr>
                <w:p w14:paraId="1A0D42F0">
                  <w:pPr>
                    <w:spacing w:line="240" w:lineRule="auto"/>
                    <w:ind w:firstLine="0" w:firstLineChars="0"/>
                    <w:jc w:val="center"/>
                    <w:rPr>
                      <w:rFonts w:cs="Times New Roman"/>
                      <w:sz w:val="21"/>
                      <w:szCs w:val="21"/>
                    </w:rPr>
                  </w:pPr>
                  <w:r>
                    <w:rPr>
                      <w:rFonts w:cs="Times New Roman"/>
                      <w:bCs/>
                      <w:sz w:val="21"/>
                      <w:szCs w:val="21"/>
                    </w:rPr>
                    <w:t>NH</w:t>
                  </w:r>
                  <w:r>
                    <w:rPr>
                      <w:rFonts w:cs="Times New Roman"/>
                      <w:bCs/>
                      <w:sz w:val="21"/>
                      <w:szCs w:val="21"/>
                      <w:vertAlign w:val="subscript"/>
                    </w:rPr>
                    <w:t>3</w:t>
                  </w:r>
                  <w:r>
                    <w:rPr>
                      <w:rFonts w:cs="Times New Roman"/>
                      <w:bCs/>
                      <w:sz w:val="21"/>
                      <w:szCs w:val="21"/>
                    </w:rPr>
                    <w:t>-N</w:t>
                  </w:r>
                </w:p>
              </w:tc>
              <w:tc>
                <w:tcPr>
                  <w:tcW w:w="3323" w:type="dxa"/>
                  <w:tcBorders>
                    <w:top w:val="single" w:color="auto" w:sz="4" w:space="0"/>
                    <w:left w:val="single" w:color="auto" w:sz="4" w:space="0"/>
                    <w:bottom w:val="single" w:color="auto" w:sz="4" w:space="0"/>
                    <w:right w:val="single" w:color="auto" w:sz="4" w:space="0"/>
                  </w:tcBorders>
                  <w:vAlign w:val="bottom"/>
                </w:tcPr>
                <w:p w14:paraId="09CDBC1F">
                  <w:pPr>
                    <w:spacing w:line="240" w:lineRule="auto"/>
                    <w:ind w:firstLine="0" w:firstLineChars="0"/>
                    <w:jc w:val="center"/>
                    <w:rPr>
                      <w:rFonts w:cs="Times New Roman"/>
                      <w:sz w:val="21"/>
                      <w:szCs w:val="21"/>
                    </w:rPr>
                  </w:pPr>
                  <w:r>
                    <w:rPr>
                      <w:rFonts w:hint="eastAsia" w:cs="Times New Roman"/>
                      <w:sz w:val="21"/>
                      <w:szCs w:val="21"/>
                    </w:rPr>
                    <w:t>0.049</w:t>
                  </w:r>
                  <w:r>
                    <w:rPr>
                      <w:rFonts w:cs="Times New Roman"/>
                      <w:sz w:val="21"/>
                      <w:szCs w:val="21"/>
                    </w:rPr>
                    <w:t>t/a</w:t>
                  </w:r>
                </w:p>
              </w:tc>
            </w:tr>
            <w:tr w14:paraId="103E0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1197" w:type="pct"/>
                  <w:vMerge w:val="continue"/>
                  <w:tcBorders>
                    <w:left w:val="single" w:color="auto" w:sz="4" w:space="0"/>
                    <w:bottom w:val="single" w:color="auto" w:sz="4" w:space="0"/>
                    <w:right w:val="single" w:color="auto" w:sz="4" w:space="0"/>
                  </w:tcBorders>
                  <w:vAlign w:val="center"/>
                </w:tcPr>
                <w:p w14:paraId="5BC9D020">
                  <w:pPr>
                    <w:tabs>
                      <w:tab w:val="left" w:pos="5250"/>
                    </w:tabs>
                    <w:spacing w:line="240" w:lineRule="auto"/>
                    <w:ind w:firstLine="0" w:firstLineChars="0"/>
                    <w:jc w:val="center"/>
                    <w:rPr>
                      <w:rFonts w:cs="Times New Roman"/>
                      <w:sz w:val="21"/>
                      <w:szCs w:val="21"/>
                    </w:rPr>
                  </w:pPr>
                </w:p>
              </w:tc>
              <w:tc>
                <w:tcPr>
                  <w:tcW w:w="1908" w:type="pct"/>
                  <w:gridSpan w:val="2"/>
                  <w:tcBorders>
                    <w:top w:val="single" w:color="auto" w:sz="4" w:space="0"/>
                    <w:left w:val="single" w:color="auto" w:sz="4" w:space="0"/>
                    <w:bottom w:val="single" w:color="auto" w:sz="4" w:space="0"/>
                    <w:right w:val="single" w:color="auto" w:sz="4" w:space="0"/>
                  </w:tcBorders>
                  <w:vAlign w:val="center"/>
                </w:tcPr>
                <w:p w14:paraId="68425262">
                  <w:pPr>
                    <w:spacing w:line="240" w:lineRule="auto"/>
                    <w:ind w:firstLine="0" w:firstLineChars="0"/>
                    <w:jc w:val="center"/>
                    <w:rPr>
                      <w:rFonts w:cs="Times New Roman"/>
                      <w:sz w:val="21"/>
                      <w:szCs w:val="21"/>
                    </w:rPr>
                  </w:pPr>
                  <w:r>
                    <w:rPr>
                      <w:rFonts w:cs="Times New Roman"/>
                      <w:sz w:val="21"/>
                      <w:szCs w:val="21"/>
                    </w:rPr>
                    <w:t>SS</w:t>
                  </w:r>
                </w:p>
              </w:tc>
              <w:tc>
                <w:tcPr>
                  <w:tcW w:w="1894" w:type="pct"/>
                  <w:tcBorders>
                    <w:top w:val="single" w:color="auto" w:sz="4" w:space="0"/>
                    <w:left w:val="single" w:color="auto" w:sz="4" w:space="0"/>
                    <w:bottom w:val="single" w:color="auto" w:sz="4" w:space="0"/>
                    <w:right w:val="single" w:color="auto" w:sz="4" w:space="0"/>
                  </w:tcBorders>
                  <w:vAlign w:val="center"/>
                </w:tcPr>
                <w:p w14:paraId="535F75FB">
                  <w:pPr>
                    <w:spacing w:line="240" w:lineRule="auto"/>
                    <w:ind w:firstLine="0" w:firstLineChars="0"/>
                    <w:jc w:val="center"/>
                    <w:rPr>
                      <w:rFonts w:cs="Times New Roman"/>
                      <w:sz w:val="21"/>
                      <w:szCs w:val="21"/>
                    </w:rPr>
                  </w:pPr>
                  <w:r>
                    <w:rPr>
                      <w:rFonts w:hint="eastAsia" w:cs="Times New Roman"/>
                      <w:sz w:val="21"/>
                      <w:szCs w:val="21"/>
                    </w:rPr>
                    <w:t>0.432</w:t>
                  </w:r>
                  <w:r>
                    <w:rPr>
                      <w:rFonts w:cs="Times New Roman"/>
                      <w:sz w:val="21"/>
                      <w:szCs w:val="21"/>
                    </w:rPr>
                    <w:t>t/a</w:t>
                  </w:r>
                </w:p>
              </w:tc>
            </w:tr>
            <w:tr w14:paraId="55D7A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1197" w:type="pct"/>
                  <w:tcBorders>
                    <w:left w:val="single" w:color="auto" w:sz="4" w:space="0"/>
                    <w:bottom w:val="single" w:color="auto" w:sz="4" w:space="0"/>
                    <w:right w:val="single" w:color="auto" w:sz="4" w:space="0"/>
                  </w:tcBorders>
                  <w:vAlign w:val="center"/>
                </w:tcPr>
                <w:p w14:paraId="37632D31">
                  <w:pPr>
                    <w:tabs>
                      <w:tab w:val="left" w:pos="5250"/>
                    </w:tabs>
                    <w:spacing w:line="240" w:lineRule="auto"/>
                    <w:ind w:firstLine="0" w:firstLineChars="0"/>
                    <w:jc w:val="center"/>
                    <w:rPr>
                      <w:rFonts w:cs="Times New Roman"/>
                      <w:sz w:val="21"/>
                      <w:szCs w:val="21"/>
                    </w:rPr>
                  </w:pPr>
                  <w:r>
                    <w:rPr>
                      <w:rFonts w:hint="eastAsia" w:cs="Times New Roman"/>
                      <w:sz w:val="21"/>
                      <w:szCs w:val="21"/>
                    </w:rPr>
                    <w:t>噪声</w:t>
                  </w:r>
                </w:p>
              </w:tc>
              <w:tc>
                <w:tcPr>
                  <w:tcW w:w="1908" w:type="pct"/>
                  <w:gridSpan w:val="2"/>
                  <w:tcBorders>
                    <w:top w:val="single" w:color="auto" w:sz="4" w:space="0"/>
                    <w:left w:val="single" w:color="auto" w:sz="4" w:space="0"/>
                    <w:bottom w:val="single" w:color="auto" w:sz="4" w:space="0"/>
                    <w:right w:val="single" w:color="auto" w:sz="4" w:space="0"/>
                  </w:tcBorders>
                  <w:vAlign w:val="center"/>
                </w:tcPr>
                <w:p w14:paraId="72C99248">
                  <w:pPr>
                    <w:spacing w:line="240" w:lineRule="auto"/>
                    <w:ind w:firstLine="0" w:firstLineChars="0"/>
                    <w:jc w:val="center"/>
                    <w:rPr>
                      <w:rFonts w:cs="Times New Roman"/>
                      <w:sz w:val="21"/>
                      <w:szCs w:val="21"/>
                    </w:rPr>
                  </w:pPr>
                  <w:r>
                    <w:rPr>
                      <w:rFonts w:hint="eastAsia" w:cs="Times New Roman"/>
                      <w:sz w:val="21"/>
                      <w:szCs w:val="21"/>
                    </w:rPr>
                    <w:t>合理安排生产时间，采取隔声、吸声、消声、减振等降噪措施。</w:t>
                  </w:r>
                </w:p>
              </w:tc>
              <w:tc>
                <w:tcPr>
                  <w:tcW w:w="1894" w:type="pct"/>
                  <w:tcBorders>
                    <w:top w:val="single" w:color="auto" w:sz="4" w:space="0"/>
                    <w:left w:val="single" w:color="auto" w:sz="4" w:space="0"/>
                    <w:bottom w:val="single" w:color="auto" w:sz="4" w:space="0"/>
                    <w:right w:val="single" w:color="auto" w:sz="4" w:space="0"/>
                  </w:tcBorders>
                  <w:vAlign w:val="center"/>
                </w:tcPr>
                <w:p w14:paraId="39FDBA0F">
                  <w:pPr>
                    <w:spacing w:line="240" w:lineRule="auto"/>
                    <w:ind w:firstLine="0" w:firstLineChars="0"/>
                    <w:jc w:val="center"/>
                    <w:rPr>
                      <w:rFonts w:cs="Times New Roman"/>
                      <w:kern w:val="0"/>
                      <w:sz w:val="21"/>
                      <w:szCs w:val="21"/>
                    </w:rPr>
                  </w:pPr>
                  <w:r>
                    <w:rPr>
                      <w:rFonts w:hint="eastAsia" w:cs="Times New Roman"/>
                      <w:kern w:val="0"/>
                      <w:sz w:val="21"/>
                      <w:szCs w:val="21"/>
                    </w:rPr>
                    <w:t>厂界噪声达标</w:t>
                  </w:r>
                </w:p>
              </w:tc>
            </w:tr>
            <w:tr w14:paraId="74800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1197" w:type="pct"/>
                  <w:vMerge w:val="restart"/>
                  <w:tcBorders>
                    <w:top w:val="single" w:color="auto" w:sz="4" w:space="0"/>
                    <w:left w:val="single" w:color="auto" w:sz="4" w:space="0"/>
                    <w:bottom w:val="single" w:color="auto" w:sz="4" w:space="0"/>
                    <w:right w:val="single" w:color="auto" w:sz="4" w:space="0"/>
                  </w:tcBorders>
                  <w:vAlign w:val="center"/>
                </w:tcPr>
                <w:p w14:paraId="4E01057C">
                  <w:pPr>
                    <w:tabs>
                      <w:tab w:val="left" w:pos="5250"/>
                    </w:tabs>
                    <w:spacing w:line="240" w:lineRule="auto"/>
                    <w:ind w:firstLine="0" w:firstLineChars="0"/>
                    <w:jc w:val="center"/>
                    <w:rPr>
                      <w:rFonts w:cs="Times New Roman"/>
                      <w:sz w:val="21"/>
                      <w:szCs w:val="21"/>
                    </w:rPr>
                  </w:pPr>
                  <w:r>
                    <w:rPr>
                      <w:rFonts w:cs="Times New Roman"/>
                      <w:sz w:val="21"/>
                      <w:szCs w:val="21"/>
                    </w:rPr>
                    <w:t>固体废物</w:t>
                  </w:r>
                </w:p>
              </w:tc>
              <w:tc>
                <w:tcPr>
                  <w:tcW w:w="888" w:type="pct"/>
                  <w:vMerge w:val="restart"/>
                  <w:tcBorders>
                    <w:top w:val="single" w:color="auto" w:sz="4" w:space="0"/>
                    <w:left w:val="single" w:color="auto" w:sz="4" w:space="0"/>
                    <w:right w:val="single" w:color="auto" w:sz="4" w:space="0"/>
                  </w:tcBorders>
                  <w:vAlign w:val="center"/>
                </w:tcPr>
                <w:p w14:paraId="183C4A3B">
                  <w:pPr>
                    <w:tabs>
                      <w:tab w:val="left" w:pos="5250"/>
                    </w:tabs>
                    <w:spacing w:line="240" w:lineRule="auto"/>
                    <w:ind w:firstLine="0" w:firstLineChars="0"/>
                    <w:jc w:val="center"/>
                    <w:rPr>
                      <w:rFonts w:cs="Times New Roman"/>
                      <w:sz w:val="21"/>
                      <w:szCs w:val="21"/>
                    </w:rPr>
                  </w:pPr>
                  <w:r>
                    <w:rPr>
                      <w:rFonts w:cs="Times New Roman"/>
                      <w:sz w:val="21"/>
                      <w:szCs w:val="21"/>
                    </w:rPr>
                    <w:t>一般固废</w:t>
                  </w:r>
                </w:p>
              </w:tc>
              <w:tc>
                <w:tcPr>
                  <w:tcW w:w="1020" w:type="pct"/>
                  <w:tcBorders>
                    <w:top w:val="single" w:color="auto" w:sz="4" w:space="0"/>
                    <w:left w:val="single" w:color="auto" w:sz="4" w:space="0"/>
                    <w:bottom w:val="single" w:color="auto" w:sz="4" w:space="0"/>
                    <w:right w:val="single" w:color="auto" w:sz="4" w:space="0"/>
                  </w:tcBorders>
                  <w:vAlign w:val="center"/>
                </w:tcPr>
                <w:p w14:paraId="5BF8674A">
                  <w:pPr>
                    <w:tabs>
                      <w:tab w:val="left" w:pos="5250"/>
                    </w:tabs>
                    <w:spacing w:line="240" w:lineRule="auto"/>
                    <w:ind w:firstLine="0" w:firstLineChars="0"/>
                    <w:jc w:val="center"/>
                    <w:rPr>
                      <w:rFonts w:cs="Times New Roman"/>
                      <w:sz w:val="21"/>
                      <w:szCs w:val="21"/>
                    </w:rPr>
                  </w:pPr>
                  <w:r>
                    <w:rPr>
                      <w:rFonts w:cs="Times New Roman"/>
                      <w:sz w:val="21"/>
                      <w:szCs w:val="21"/>
                    </w:rPr>
                    <w:t>生活垃圾</w:t>
                  </w:r>
                </w:p>
              </w:tc>
              <w:tc>
                <w:tcPr>
                  <w:tcW w:w="1894" w:type="pct"/>
                  <w:tcBorders>
                    <w:top w:val="single" w:color="auto" w:sz="4" w:space="0"/>
                    <w:left w:val="single" w:color="auto" w:sz="4" w:space="0"/>
                    <w:bottom w:val="single" w:color="auto" w:sz="4" w:space="0"/>
                    <w:right w:val="single" w:color="auto" w:sz="4" w:space="0"/>
                  </w:tcBorders>
                  <w:vAlign w:val="center"/>
                </w:tcPr>
                <w:p w14:paraId="639F6204">
                  <w:pPr>
                    <w:spacing w:line="240" w:lineRule="auto"/>
                    <w:ind w:firstLine="0" w:firstLineChars="0"/>
                    <w:jc w:val="center"/>
                    <w:rPr>
                      <w:rFonts w:cs="Times New Roman"/>
                      <w:snapToGrid w:val="0"/>
                      <w:kern w:val="0"/>
                      <w:sz w:val="21"/>
                      <w:szCs w:val="21"/>
                    </w:rPr>
                  </w:pPr>
                  <w:r>
                    <w:rPr>
                      <w:rFonts w:hint="eastAsia" w:cs="Times New Roman"/>
                      <w:sz w:val="21"/>
                      <w:szCs w:val="21"/>
                    </w:rPr>
                    <w:t>6</w:t>
                  </w:r>
                  <w:r>
                    <w:rPr>
                      <w:rFonts w:cs="Times New Roman"/>
                      <w:sz w:val="21"/>
                      <w:szCs w:val="21"/>
                    </w:rPr>
                    <w:t>t/a</w:t>
                  </w:r>
                </w:p>
              </w:tc>
            </w:tr>
            <w:tr w14:paraId="48681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1197" w:type="pct"/>
                  <w:vMerge w:val="continue"/>
                  <w:tcBorders>
                    <w:top w:val="single" w:color="auto" w:sz="4" w:space="0"/>
                    <w:left w:val="single" w:color="auto" w:sz="4" w:space="0"/>
                    <w:bottom w:val="single" w:color="auto" w:sz="4" w:space="0"/>
                    <w:right w:val="single" w:color="auto" w:sz="4" w:space="0"/>
                  </w:tcBorders>
                  <w:vAlign w:val="center"/>
                </w:tcPr>
                <w:p w14:paraId="6FCCE4F1">
                  <w:pPr>
                    <w:tabs>
                      <w:tab w:val="left" w:pos="5250"/>
                    </w:tabs>
                    <w:spacing w:line="240" w:lineRule="auto"/>
                    <w:ind w:firstLine="0" w:firstLineChars="0"/>
                    <w:jc w:val="center"/>
                    <w:rPr>
                      <w:rFonts w:cs="Times New Roman"/>
                      <w:sz w:val="21"/>
                      <w:szCs w:val="21"/>
                    </w:rPr>
                  </w:pPr>
                </w:p>
              </w:tc>
              <w:tc>
                <w:tcPr>
                  <w:tcW w:w="888" w:type="pct"/>
                  <w:vMerge w:val="continue"/>
                  <w:tcBorders>
                    <w:left w:val="single" w:color="auto" w:sz="4" w:space="0"/>
                    <w:bottom w:val="single" w:color="auto" w:sz="4" w:space="0"/>
                    <w:right w:val="single" w:color="auto" w:sz="4" w:space="0"/>
                  </w:tcBorders>
                  <w:vAlign w:val="center"/>
                </w:tcPr>
                <w:p w14:paraId="2277DF53">
                  <w:pPr>
                    <w:tabs>
                      <w:tab w:val="left" w:pos="5250"/>
                    </w:tabs>
                    <w:spacing w:line="240" w:lineRule="auto"/>
                    <w:ind w:firstLine="0" w:firstLineChars="0"/>
                    <w:jc w:val="center"/>
                    <w:rPr>
                      <w:rFonts w:cs="Times New Roman"/>
                      <w:sz w:val="21"/>
                      <w:szCs w:val="21"/>
                    </w:rPr>
                  </w:pPr>
                </w:p>
              </w:tc>
              <w:tc>
                <w:tcPr>
                  <w:tcW w:w="1020" w:type="pct"/>
                  <w:tcBorders>
                    <w:top w:val="single" w:color="auto" w:sz="4" w:space="0"/>
                    <w:left w:val="single" w:color="auto" w:sz="4" w:space="0"/>
                    <w:bottom w:val="single" w:color="auto" w:sz="4" w:space="0"/>
                    <w:right w:val="single" w:color="auto" w:sz="4" w:space="0"/>
                  </w:tcBorders>
                  <w:vAlign w:val="center"/>
                </w:tcPr>
                <w:p w14:paraId="6BBF2AAC">
                  <w:pPr>
                    <w:tabs>
                      <w:tab w:val="left" w:pos="5250"/>
                    </w:tabs>
                    <w:spacing w:line="240" w:lineRule="auto"/>
                    <w:ind w:firstLine="0" w:firstLineChars="0"/>
                    <w:jc w:val="center"/>
                    <w:rPr>
                      <w:rFonts w:cs="Times New Roman"/>
                      <w:sz w:val="21"/>
                      <w:szCs w:val="21"/>
                    </w:rPr>
                  </w:pPr>
                  <w:r>
                    <w:rPr>
                      <w:rFonts w:cs="Times New Roman"/>
                      <w:sz w:val="21"/>
                      <w:szCs w:val="21"/>
                    </w:rPr>
                    <w:t>纸箱废包装材料</w:t>
                  </w:r>
                </w:p>
              </w:tc>
              <w:tc>
                <w:tcPr>
                  <w:tcW w:w="1894" w:type="pct"/>
                  <w:tcBorders>
                    <w:top w:val="single" w:color="auto" w:sz="4" w:space="0"/>
                    <w:left w:val="single" w:color="auto" w:sz="4" w:space="0"/>
                    <w:bottom w:val="single" w:color="auto" w:sz="4" w:space="0"/>
                    <w:right w:val="single" w:color="auto" w:sz="4" w:space="0"/>
                  </w:tcBorders>
                  <w:vAlign w:val="center"/>
                </w:tcPr>
                <w:p w14:paraId="1FD4F92E">
                  <w:pPr>
                    <w:spacing w:line="240" w:lineRule="auto"/>
                    <w:ind w:firstLine="0" w:firstLineChars="0"/>
                    <w:jc w:val="center"/>
                    <w:rPr>
                      <w:rFonts w:cs="Times New Roman"/>
                      <w:sz w:val="21"/>
                      <w:szCs w:val="21"/>
                    </w:rPr>
                  </w:pPr>
                  <w:r>
                    <w:rPr>
                      <w:rFonts w:cs="Times New Roman"/>
                      <w:sz w:val="21"/>
                      <w:szCs w:val="21"/>
                    </w:rPr>
                    <w:t>1t/a</w:t>
                  </w:r>
                </w:p>
              </w:tc>
            </w:tr>
            <w:bookmarkEnd w:id="50"/>
          </w:tbl>
          <w:p w14:paraId="5BE2AFB1">
            <w:pPr>
              <w:ind w:firstLine="0" w:firstLineChars="0"/>
              <w:rPr>
                <w:rFonts w:cs="Times New Roman"/>
                <w:b/>
                <w:szCs w:val="24"/>
              </w:rPr>
            </w:pPr>
            <w:r>
              <w:rPr>
                <w:rFonts w:cs="Times New Roman"/>
                <w:b/>
                <w:szCs w:val="24"/>
              </w:rPr>
              <w:t>六、</w:t>
            </w:r>
            <w:r>
              <w:rPr>
                <w:rFonts w:hint="eastAsia" w:cs="Times New Roman"/>
                <w:b/>
                <w:szCs w:val="24"/>
              </w:rPr>
              <w:t>原有</w:t>
            </w:r>
            <w:r>
              <w:rPr>
                <w:rFonts w:cs="Times New Roman"/>
                <w:b/>
                <w:szCs w:val="24"/>
              </w:rPr>
              <w:t>项目存在的主要环境问题</w:t>
            </w:r>
          </w:p>
          <w:p w14:paraId="227B0D11">
            <w:pPr>
              <w:ind w:firstLine="480"/>
              <w:rPr>
                <w:rFonts w:cs="Times New Roman"/>
                <w:szCs w:val="24"/>
              </w:rPr>
            </w:pPr>
            <w:r>
              <w:rPr>
                <w:rFonts w:hint="eastAsia" w:cs="Times New Roman"/>
                <w:szCs w:val="24"/>
              </w:rPr>
              <w:t>厂区原有</w:t>
            </w:r>
            <w:r>
              <w:rPr>
                <w:rFonts w:cs="Times New Roman"/>
                <w:szCs w:val="24"/>
              </w:rPr>
              <w:t>项目运行多年，运行以来未收到任何形式的环保投诉；</w:t>
            </w:r>
            <w:r>
              <w:rPr>
                <w:rFonts w:hint="eastAsia" w:cs="Times New Roman"/>
                <w:szCs w:val="24"/>
              </w:rPr>
              <w:t>原有</w:t>
            </w:r>
            <w:r>
              <w:rPr>
                <w:rFonts w:cs="Times New Roman"/>
                <w:szCs w:val="24"/>
              </w:rPr>
              <w:t>项目目前</w:t>
            </w:r>
            <w:r>
              <w:rPr>
                <w:rFonts w:hint="eastAsia" w:cs="Times New Roman"/>
                <w:szCs w:val="24"/>
              </w:rPr>
              <w:t>不</w:t>
            </w:r>
            <w:r>
              <w:rPr>
                <w:rFonts w:cs="Times New Roman"/>
                <w:szCs w:val="24"/>
              </w:rPr>
              <w:t>存在主要环境问题</w:t>
            </w:r>
            <w:r>
              <w:rPr>
                <w:rFonts w:hint="eastAsia" w:cs="Times New Roman"/>
                <w:szCs w:val="24"/>
              </w:rPr>
              <w:t>。</w:t>
            </w:r>
          </w:p>
          <w:p w14:paraId="65B11100">
            <w:pPr>
              <w:ind w:firstLine="482"/>
              <w:rPr>
                <w:b/>
                <w:bCs/>
                <w:szCs w:val="21"/>
              </w:rPr>
            </w:pPr>
            <w:r>
              <w:rPr>
                <w:b/>
                <w:bCs/>
                <w:szCs w:val="21"/>
              </w:rPr>
              <w:t>4、原有项目环境问题及本次技改“以新带老”措施</w:t>
            </w:r>
          </w:p>
          <w:p w14:paraId="54E6264F">
            <w:pPr>
              <w:ind w:firstLine="482"/>
              <w:rPr>
                <w:b/>
                <w:bCs/>
                <w:szCs w:val="21"/>
              </w:rPr>
            </w:pPr>
            <w:r>
              <w:rPr>
                <w:b/>
                <w:bCs/>
                <w:szCs w:val="21"/>
              </w:rPr>
              <w:t>（1）原有项目环境问题</w:t>
            </w:r>
          </w:p>
          <w:p w14:paraId="1C588177">
            <w:pPr>
              <w:ind w:firstLine="480"/>
              <w:rPr>
                <w:b/>
                <w:bCs/>
                <w:szCs w:val="21"/>
              </w:rPr>
            </w:pPr>
            <w:r>
              <w:rPr>
                <w:szCs w:val="21"/>
              </w:rPr>
              <w:t>无。</w:t>
            </w:r>
          </w:p>
          <w:p w14:paraId="0A6B60C4">
            <w:pPr>
              <w:ind w:firstLine="482"/>
              <w:rPr>
                <w:b/>
                <w:bCs/>
                <w:szCs w:val="21"/>
              </w:rPr>
            </w:pPr>
            <w:r>
              <w:rPr>
                <w:b/>
                <w:bCs/>
                <w:szCs w:val="21"/>
              </w:rPr>
              <w:t>本次技改“以新带老”整改措施：</w:t>
            </w:r>
          </w:p>
          <w:p w14:paraId="546BEAF6">
            <w:pPr>
              <w:ind w:firstLine="480"/>
            </w:pPr>
            <w:r>
              <w:rPr>
                <w:szCs w:val="21"/>
              </w:rPr>
              <w:t>无。</w:t>
            </w:r>
          </w:p>
          <w:p w14:paraId="4B21BC34">
            <w:pPr>
              <w:ind w:firstLine="480"/>
            </w:pPr>
          </w:p>
        </w:tc>
      </w:tr>
    </w:tbl>
    <w:p w14:paraId="2B96A41D">
      <w:pPr>
        <w:ind w:firstLine="0" w:firstLineChars="0"/>
        <w:rPr>
          <w:rFonts w:cs="Times New Roman"/>
        </w:rPr>
        <w:sectPr>
          <w:pgSz w:w="11906" w:h="16838"/>
          <w:pgMar w:top="1440" w:right="1080" w:bottom="1440" w:left="1080" w:header="851" w:footer="567" w:gutter="0"/>
          <w:cols w:space="425" w:num="1"/>
          <w:docGrid w:type="lines" w:linePitch="326" w:charSpace="0"/>
        </w:sectPr>
      </w:pPr>
    </w:p>
    <w:p w14:paraId="4D22C9BF">
      <w:pPr>
        <w:pStyle w:val="2"/>
        <w:rPr>
          <w:rFonts w:ascii="Times New Roman" w:hAnsi="Times New Roman"/>
        </w:rPr>
      </w:pPr>
      <w:bookmarkStart w:id="51" w:name="OLE_LINK81"/>
      <w:bookmarkStart w:id="52" w:name="OLE_LINK84"/>
      <w:r>
        <w:rPr>
          <w:rFonts w:ascii="Times New Roman" w:hAnsi="Times New Roman"/>
        </w:rPr>
        <w:fldChar w:fldCharType="begin"/>
      </w:r>
      <w:r>
        <w:rPr>
          <w:rFonts w:ascii="Times New Roman" w:hAnsi="Times New Roman"/>
        </w:rPr>
        <w:instrText xml:space="preserve"> SEQ seq \h </w:instrText>
      </w:r>
      <w:r>
        <w:rPr>
          <w:rFonts w:ascii="Times New Roman" w:hAnsi="Times New Roman"/>
        </w:rPr>
        <w:fldChar w:fldCharType="end"/>
      </w:r>
      <w:bookmarkEnd w:id="51"/>
      <w:bookmarkEnd w:id="52"/>
      <w:r>
        <w:rPr>
          <w:rFonts w:ascii="Times New Roman" w:hAnsi="Times New Roman"/>
        </w:rPr>
        <w:t>区域环境质量现状、环境保护目标及评价标准</w:t>
      </w:r>
    </w:p>
    <w:tbl>
      <w:tblPr>
        <w:tblStyle w:val="33"/>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57" w:type="dxa"/>
          <w:bottom w:w="0" w:type="dxa"/>
          <w:right w:w="57" w:type="dxa"/>
        </w:tblCellMar>
      </w:tblPr>
      <w:tblGrid>
        <w:gridCol w:w="556"/>
        <w:gridCol w:w="9170"/>
      </w:tblGrid>
      <w:tr w14:paraId="0CBC619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737" w:hRule="atLeast"/>
          <w:jc w:val="center"/>
        </w:trPr>
        <w:tc>
          <w:tcPr>
            <w:tcW w:w="286" w:type="pct"/>
            <w:tcMar>
              <w:top w:w="16" w:type="dxa"/>
              <w:left w:w="16" w:type="dxa"/>
              <w:right w:w="16" w:type="dxa"/>
            </w:tcMar>
            <w:vAlign w:val="center"/>
          </w:tcPr>
          <w:p w14:paraId="4AA27CBA">
            <w:pPr>
              <w:pStyle w:val="30"/>
              <w:rPr>
                <w:rFonts w:cs="Times New Roman"/>
              </w:rPr>
            </w:pPr>
            <w:r>
              <w:rPr>
                <w:rFonts w:cs="Times New Roman"/>
              </w:rPr>
              <w:t>区域环境质量现在</w:t>
            </w:r>
          </w:p>
        </w:tc>
        <w:tc>
          <w:tcPr>
            <w:tcW w:w="4714" w:type="pct"/>
            <w:vAlign w:val="center"/>
          </w:tcPr>
          <w:p w14:paraId="5697CB54">
            <w:pPr>
              <w:pStyle w:val="3"/>
              <w:spacing w:before="163"/>
            </w:pPr>
            <w:r>
              <w:t>1、环境空气</w:t>
            </w:r>
          </w:p>
          <w:p w14:paraId="1860349A">
            <w:pPr>
              <w:ind w:firstLine="482"/>
              <w:rPr>
                <w:rFonts w:cs="Times New Roman"/>
                <w:b/>
              </w:rPr>
            </w:pPr>
            <w:r>
              <w:rPr>
                <w:rFonts w:cs="Times New Roman"/>
                <w:b/>
              </w:rPr>
              <w:t>（1）达标区判定</w:t>
            </w:r>
          </w:p>
          <w:p w14:paraId="3DCEBEAE">
            <w:pPr>
              <w:ind w:firstLine="480"/>
              <w:rPr>
                <w:rFonts w:cs="Times New Roman"/>
              </w:rPr>
            </w:pPr>
            <w:r>
              <w:rPr>
                <w:rFonts w:cs="Times New Roman"/>
              </w:rPr>
              <w:t>根据《建设项目环境影响报告表编制技术指南（污染影响类）》（试行），</w:t>
            </w:r>
            <w:r>
              <w:rPr>
                <w:rFonts w:eastAsia="TimesNewRomanPSMT" w:cs="Times New Roman"/>
              </w:rPr>
              <w:t>“</w:t>
            </w:r>
            <w:r>
              <w:rPr>
                <w:rFonts w:cs="Times New Roman"/>
              </w:rPr>
              <w:t>常规污染物引用与建设项目距离近的有效数据，包括近</w:t>
            </w:r>
            <w:r>
              <w:rPr>
                <w:rFonts w:eastAsia="TimesNewRomanPSMT" w:cs="Times New Roman"/>
              </w:rPr>
              <w:t>3</w:t>
            </w:r>
            <w:r>
              <w:rPr>
                <w:rFonts w:cs="Times New Roman"/>
              </w:rPr>
              <w:t>年的规划环境影响评价的监测数据，国家、地方环境空气质量监测网数据或生态环境主管部门公开发布的质量数据等</w:t>
            </w:r>
            <w:r>
              <w:rPr>
                <w:rFonts w:eastAsia="TimesNewRomanPSMT" w:cs="Times New Roman"/>
              </w:rPr>
              <w:t>”</w:t>
            </w:r>
            <w:r>
              <w:rPr>
                <w:rFonts w:cs="Times New Roman"/>
              </w:rPr>
              <w:t>，为了解项目所在区域环境空气常规指标的达标情况，本次环评引用巴中市生态环境局公布的《202</w:t>
            </w:r>
            <w:r>
              <w:rPr>
                <w:rFonts w:hint="eastAsia" w:cs="Times New Roman"/>
              </w:rPr>
              <w:t>5</w:t>
            </w:r>
            <w:r>
              <w:rPr>
                <w:rFonts w:cs="Times New Roman"/>
              </w:rPr>
              <w:t>年巴中市</w:t>
            </w:r>
            <w:r>
              <w:rPr>
                <w:rFonts w:hint="eastAsia" w:cs="Times New Roman"/>
              </w:rPr>
              <w:t>生态</w:t>
            </w:r>
            <w:r>
              <w:rPr>
                <w:rFonts w:cs="Times New Roman"/>
              </w:rPr>
              <w:t>环境</w:t>
            </w:r>
            <w:r>
              <w:rPr>
                <w:rFonts w:hint="eastAsia" w:cs="Times New Roman"/>
              </w:rPr>
              <w:t>状况</w:t>
            </w:r>
            <w:r>
              <w:rPr>
                <w:rFonts w:cs="Times New Roman"/>
              </w:rPr>
              <w:t>公报》（https://sthjj.cnbz.gov.cn/group4/M00/0E/E4/rBUtI2og0y-AXkikBNZx1FwpdL8558.pdf）相关数据。</w:t>
            </w:r>
          </w:p>
          <w:p w14:paraId="3F75DEAB">
            <w:pPr>
              <w:ind w:firstLine="480"/>
              <w:rPr>
                <w:rFonts w:cs="Times New Roman"/>
              </w:rPr>
            </w:pPr>
            <w:r>
              <w:rPr>
                <w:rFonts w:cs="Times New Roman"/>
              </w:rPr>
              <w:t>本项目位于巴中市巴州区，区域环境空气质量现在情况如下：</w:t>
            </w:r>
          </w:p>
          <w:p w14:paraId="27EC2E93">
            <w:pPr>
              <w:pStyle w:val="13"/>
              <w:keepNext/>
              <w:rPr>
                <w:rFonts w:cs="Times New Roman"/>
              </w:rPr>
            </w:pPr>
            <w:bookmarkStart w:id="53" w:name="OLE_LINK176"/>
            <w:bookmarkStart w:id="54" w:name="OLE_LINK177"/>
            <w:r>
              <w:rPr>
                <w:rFonts w:cs="Times New Roman"/>
              </w:rPr>
              <w:t xml:space="preserve">表 </w:t>
            </w:r>
            <w:r>
              <w:rPr>
                <w:rFonts w:cs="Times New Roman"/>
              </w:rPr>
              <w:fldChar w:fldCharType="begin"/>
            </w:r>
            <w:r>
              <w:rPr>
                <w:rFonts w:cs="Times New Roman"/>
              </w:rPr>
              <w:instrText xml:space="preserve"> SEQ seq \c </w:instrText>
            </w:r>
            <w:r>
              <w:rPr>
                <w:rFonts w:cs="Times New Roman"/>
              </w:rPr>
              <w:fldChar w:fldCharType="separate"/>
            </w:r>
            <w:r>
              <w:rPr>
                <w:rFonts w:cs="Times New Roman"/>
              </w:rPr>
              <w:t>3</w:t>
            </w:r>
            <w:r>
              <w:rPr>
                <w:rFonts w:cs="Times New Roman"/>
              </w:rPr>
              <w:fldChar w:fldCharType="end"/>
            </w:r>
            <w:r>
              <w:rPr>
                <w:rFonts w:cs="Times New Roman"/>
              </w:rPr>
              <w:noBreakHyphen/>
            </w:r>
            <w:r>
              <w:rPr>
                <w:rFonts w:cs="Times New Roman"/>
              </w:rPr>
              <w:fldChar w:fldCharType="begin"/>
            </w:r>
            <w:r>
              <w:rPr>
                <w:rFonts w:cs="Times New Roman"/>
              </w:rPr>
              <w:instrText xml:space="preserve"> SEQ 表 \* ARABIC \s 1 </w:instrText>
            </w:r>
            <w:r>
              <w:rPr>
                <w:rFonts w:cs="Times New Roman"/>
              </w:rPr>
              <w:fldChar w:fldCharType="separate"/>
            </w:r>
            <w:r>
              <w:rPr>
                <w:rFonts w:cs="Times New Roman"/>
              </w:rPr>
              <w:t>1</w:t>
            </w:r>
            <w:r>
              <w:rPr>
                <w:rFonts w:cs="Times New Roman"/>
              </w:rPr>
              <w:fldChar w:fldCharType="end"/>
            </w:r>
            <w:r>
              <w:rPr>
                <w:rFonts w:cs="Times New Roman"/>
              </w:rPr>
              <w:t xml:space="preserve"> </w:t>
            </w:r>
            <w:r>
              <w:rPr>
                <w:rFonts w:hint="eastAsia" w:cs="Times New Roman"/>
              </w:rPr>
              <w:t xml:space="preserve"> </w:t>
            </w:r>
            <w:r>
              <w:rPr>
                <w:rFonts w:cs="Times New Roman"/>
              </w:rPr>
              <w:t>202</w:t>
            </w:r>
            <w:r>
              <w:rPr>
                <w:rFonts w:hint="eastAsia" w:cs="Times New Roman"/>
              </w:rPr>
              <w:t>5</w:t>
            </w:r>
            <w:r>
              <w:rPr>
                <w:rFonts w:cs="Times New Roman"/>
              </w:rPr>
              <w:t>年巴中市基本污染物空气质量现状评价表</w:t>
            </w:r>
          </w:p>
          <w:bookmarkEnd w:id="53"/>
          <w:bookmarkEnd w:id="54"/>
          <w:tbl>
            <w:tblPr>
              <w:tblStyle w:val="3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101"/>
              <w:gridCol w:w="2262"/>
              <w:gridCol w:w="1956"/>
              <w:gridCol w:w="1657"/>
              <w:gridCol w:w="1053"/>
              <w:gridCol w:w="1017"/>
            </w:tblGrid>
            <w:tr w14:paraId="68A94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609" w:type="pct"/>
                  <w:vAlign w:val="center"/>
                </w:tcPr>
                <w:p w14:paraId="2AC378D2">
                  <w:pPr>
                    <w:pStyle w:val="53"/>
                    <w:rPr>
                      <w:rFonts w:cs="Times New Roman"/>
                    </w:rPr>
                  </w:pPr>
                  <w:r>
                    <w:rPr>
                      <w:rFonts w:cs="Times New Roman"/>
                    </w:rPr>
                    <w:t>污染物</w:t>
                  </w:r>
                </w:p>
              </w:tc>
              <w:tc>
                <w:tcPr>
                  <w:tcW w:w="1250" w:type="pct"/>
                  <w:vAlign w:val="center"/>
                </w:tcPr>
                <w:p w14:paraId="27FEEBB4">
                  <w:pPr>
                    <w:pStyle w:val="53"/>
                    <w:rPr>
                      <w:rFonts w:cs="Times New Roman"/>
                    </w:rPr>
                  </w:pPr>
                  <w:r>
                    <w:rPr>
                      <w:rFonts w:cs="Times New Roman"/>
                    </w:rPr>
                    <w:t>评价指标</w:t>
                  </w:r>
                </w:p>
              </w:tc>
              <w:tc>
                <w:tcPr>
                  <w:tcW w:w="1081" w:type="pct"/>
                  <w:vAlign w:val="center"/>
                </w:tcPr>
                <w:p w14:paraId="79A522F1">
                  <w:pPr>
                    <w:pStyle w:val="53"/>
                    <w:rPr>
                      <w:rFonts w:cs="Times New Roman"/>
                    </w:rPr>
                  </w:pPr>
                  <w:r>
                    <w:rPr>
                      <w:rFonts w:cs="Times New Roman"/>
                    </w:rPr>
                    <w:t>年均浓度（µg/m3）</w:t>
                  </w:r>
                </w:p>
              </w:tc>
              <w:tc>
                <w:tcPr>
                  <w:tcW w:w="916" w:type="pct"/>
                  <w:vAlign w:val="center"/>
                </w:tcPr>
                <w:p w14:paraId="4F3A6D7D">
                  <w:pPr>
                    <w:pStyle w:val="53"/>
                    <w:rPr>
                      <w:rFonts w:cs="Times New Roman"/>
                    </w:rPr>
                  </w:pPr>
                  <w:r>
                    <w:rPr>
                      <w:rFonts w:cs="Times New Roman"/>
                    </w:rPr>
                    <w:t>标准值（µg/m</w:t>
                  </w:r>
                  <w:r>
                    <w:rPr>
                      <w:rFonts w:cs="Times New Roman"/>
                      <w:vertAlign w:val="superscript"/>
                    </w:rPr>
                    <w:t>3</w:t>
                  </w:r>
                  <w:r>
                    <w:rPr>
                      <w:rFonts w:cs="Times New Roman"/>
                    </w:rPr>
                    <w:t>）</w:t>
                  </w:r>
                </w:p>
              </w:tc>
              <w:tc>
                <w:tcPr>
                  <w:tcW w:w="582" w:type="pct"/>
                  <w:vAlign w:val="center"/>
                </w:tcPr>
                <w:p w14:paraId="0F872AA8">
                  <w:pPr>
                    <w:pStyle w:val="53"/>
                    <w:rPr>
                      <w:rFonts w:cs="Times New Roman"/>
                    </w:rPr>
                  </w:pPr>
                  <w:r>
                    <w:rPr>
                      <w:rFonts w:cs="Times New Roman"/>
                    </w:rPr>
                    <w:t>占标率</w:t>
                  </w:r>
                </w:p>
              </w:tc>
              <w:tc>
                <w:tcPr>
                  <w:tcW w:w="562" w:type="pct"/>
                  <w:vAlign w:val="center"/>
                </w:tcPr>
                <w:p w14:paraId="4F7C2521">
                  <w:pPr>
                    <w:pStyle w:val="53"/>
                    <w:rPr>
                      <w:rFonts w:cs="Times New Roman"/>
                    </w:rPr>
                  </w:pPr>
                  <w:r>
                    <w:rPr>
                      <w:rFonts w:cs="Times New Roman"/>
                    </w:rPr>
                    <w:t>达标情况</w:t>
                  </w:r>
                </w:p>
              </w:tc>
            </w:tr>
            <w:tr w14:paraId="3A1F9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609" w:type="pct"/>
                  <w:vAlign w:val="center"/>
                </w:tcPr>
                <w:p w14:paraId="4064191E">
                  <w:pPr>
                    <w:pStyle w:val="14"/>
                    <w:rPr>
                      <w:rFonts w:cs="Times New Roman"/>
                    </w:rPr>
                  </w:pPr>
                  <w:bookmarkStart w:id="55" w:name="_Hlk206430742"/>
                  <w:r>
                    <w:rPr>
                      <w:rFonts w:cs="Times New Roman"/>
                    </w:rPr>
                    <w:t>SO</w:t>
                  </w:r>
                  <w:r>
                    <w:rPr>
                      <w:rFonts w:cs="Times New Roman"/>
                      <w:vertAlign w:val="subscript"/>
                    </w:rPr>
                    <w:t>2</w:t>
                  </w:r>
                </w:p>
              </w:tc>
              <w:tc>
                <w:tcPr>
                  <w:tcW w:w="1250" w:type="pct"/>
                  <w:vAlign w:val="center"/>
                </w:tcPr>
                <w:p w14:paraId="5B246F3C">
                  <w:pPr>
                    <w:pStyle w:val="14"/>
                    <w:rPr>
                      <w:rFonts w:cs="Times New Roman"/>
                    </w:rPr>
                  </w:pPr>
                  <w:r>
                    <w:rPr>
                      <w:rFonts w:cs="Times New Roman"/>
                    </w:rPr>
                    <w:t>年平均质量浓度</w:t>
                  </w:r>
                </w:p>
              </w:tc>
              <w:tc>
                <w:tcPr>
                  <w:tcW w:w="1081" w:type="pct"/>
                  <w:vAlign w:val="center"/>
                </w:tcPr>
                <w:p w14:paraId="1FCC3ABF">
                  <w:pPr>
                    <w:pStyle w:val="14"/>
                    <w:rPr>
                      <w:rFonts w:cs="Times New Roman"/>
                    </w:rPr>
                  </w:pPr>
                  <w:r>
                    <w:rPr>
                      <w:rFonts w:hint="eastAsia" w:cs="Times New Roman"/>
                    </w:rPr>
                    <w:t>6.2</w:t>
                  </w:r>
                </w:p>
              </w:tc>
              <w:tc>
                <w:tcPr>
                  <w:tcW w:w="916" w:type="pct"/>
                  <w:vAlign w:val="center"/>
                </w:tcPr>
                <w:p w14:paraId="78F68514">
                  <w:pPr>
                    <w:pStyle w:val="14"/>
                    <w:rPr>
                      <w:rFonts w:cs="Times New Roman"/>
                    </w:rPr>
                  </w:pPr>
                  <w:r>
                    <w:rPr>
                      <w:rFonts w:cs="Times New Roman"/>
                    </w:rPr>
                    <w:t>60</w:t>
                  </w:r>
                </w:p>
              </w:tc>
              <w:tc>
                <w:tcPr>
                  <w:tcW w:w="582" w:type="pct"/>
                  <w:vAlign w:val="center"/>
                </w:tcPr>
                <w:p w14:paraId="245C4C59">
                  <w:pPr>
                    <w:pStyle w:val="14"/>
                    <w:rPr>
                      <w:rFonts w:cs="Times New Roman"/>
                    </w:rPr>
                  </w:pPr>
                  <w:r>
                    <w:rPr>
                      <w:rFonts w:hint="eastAsia" w:cs="Times New Roman"/>
                    </w:rPr>
                    <w:t>10.3</w:t>
                  </w:r>
                  <w:r>
                    <w:rPr>
                      <w:rFonts w:cs="Times New Roman"/>
                    </w:rPr>
                    <w:t>%</w:t>
                  </w:r>
                </w:p>
              </w:tc>
              <w:tc>
                <w:tcPr>
                  <w:tcW w:w="562" w:type="pct"/>
                  <w:vAlign w:val="center"/>
                </w:tcPr>
                <w:p w14:paraId="03E9C462">
                  <w:pPr>
                    <w:pStyle w:val="14"/>
                    <w:rPr>
                      <w:rFonts w:cs="Times New Roman"/>
                    </w:rPr>
                  </w:pPr>
                  <w:r>
                    <w:rPr>
                      <w:rFonts w:cs="Times New Roman"/>
                    </w:rPr>
                    <w:t>达标</w:t>
                  </w:r>
                </w:p>
              </w:tc>
            </w:tr>
            <w:tr w14:paraId="6E74C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609" w:type="pct"/>
                  <w:vAlign w:val="center"/>
                </w:tcPr>
                <w:p w14:paraId="685B52CA">
                  <w:pPr>
                    <w:pStyle w:val="14"/>
                    <w:rPr>
                      <w:rFonts w:cs="Times New Roman"/>
                    </w:rPr>
                  </w:pPr>
                  <w:r>
                    <w:rPr>
                      <w:rFonts w:cs="Times New Roman"/>
                    </w:rPr>
                    <w:t>NO</w:t>
                  </w:r>
                  <w:r>
                    <w:rPr>
                      <w:rFonts w:cs="Times New Roman"/>
                      <w:vertAlign w:val="subscript"/>
                    </w:rPr>
                    <w:t>2</w:t>
                  </w:r>
                </w:p>
              </w:tc>
              <w:tc>
                <w:tcPr>
                  <w:tcW w:w="1250" w:type="pct"/>
                  <w:vAlign w:val="center"/>
                </w:tcPr>
                <w:p w14:paraId="12840360">
                  <w:pPr>
                    <w:pStyle w:val="14"/>
                    <w:rPr>
                      <w:rFonts w:cs="Times New Roman"/>
                    </w:rPr>
                  </w:pPr>
                  <w:r>
                    <w:rPr>
                      <w:rFonts w:cs="Times New Roman"/>
                    </w:rPr>
                    <w:t>年平均质量浓度</w:t>
                  </w:r>
                </w:p>
              </w:tc>
              <w:tc>
                <w:tcPr>
                  <w:tcW w:w="1081" w:type="pct"/>
                  <w:vAlign w:val="center"/>
                </w:tcPr>
                <w:p w14:paraId="6D82343E">
                  <w:pPr>
                    <w:pStyle w:val="14"/>
                    <w:rPr>
                      <w:rFonts w:cs="Times New Roman"/>
                    </w:rPr>
                  </w:pPr>
                  <w:r>
                    <w:rPr>
                      <w:rFonts w:hint="eastAsia" w:cs="Times New Roman"/>
                    </w:rPr>
                    <w:t>17.6</w:t>
                  </w:r>
                </w:p>
              </w:tc>
              <w:tc>
                <w:tcPr>
                  <w:tcW w:w="916" w:type="pct"/>
                  <w:vAlign w:val="center"/>
                </w:tcPr>
                <w:p w14:paraId="371B1B78">
                  <w:pPr>
                    <w:pStyle w:val="14"/>
                    <w:rPr>
                      <w:rFonts w:cs="Times New Roman"/>
                    </w:rPr>
                  </w:pPr>
                  <w:r>
                    <w:rPr>
                      <w:rFonts w:cs="Times New Roman"/>
                    </w:rPr>
                    <w:t>40</w:t>
                  </w:r>
                </w:p>
              </w:tc>
              <w:tc>
                <w:tcPr>
                  <w:tcW w:w="582" w:type="pct"/>
                  <w:vAlign w:val="center"/>
                </w:tcPr>
                <w:p w14:paraId="25F9A8A1">
                  <w:pPr>
                    <w:pStyle w:val="14"/>
                    <w:rPr>
                      <w:rFonts w:cs="Times New Roman"/>
                    </w:rPr>
                  </w:pPr>
                  <w:r>
                    <w:rPr>
                      <w:rFonts w:hint="eastAsia" w:cs="Times New Roman"/>
                    </w:rPr>
                    <w:t>44</w:t>
                  </w:r>
                  <w:r>
                    <w:rPr>
                      <w:rFonts w:cs="Times New Roman"/>
                    </w:rPr>
                    <w:t>%</w:t>
                  </w:r>
                </w:p>
              </w:tc>
              <w:tc>
                <w:tcPr>
                  <w:tcW w:w="562" w:type="pct"/>
                  <w:vAlign w:val="center"/>
                </w:tcPr>
                <w:p w14:paraId="75C700C0">
                  <w:pPr>
                    <w:pStyle w:val="14"/>
                    <w:rPr>
                      <w:rFonts w:cs="Times New Roman"/>
                    </w:rPr>
                  </w:pPr>
                  <w:r>
                    <w:rPr>
                      <w:rFonts w:cs="Times New Roman"/>
                    </w:rPr>
                    <w:t>达标</w:t>
                  </w:r>
                </w:p>
              </w:tc>
            </w:tr>
            <w:tr w14:paraId="29400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609" w:type="pct"/>
                  <w:vAlign w:val="center"/>
                </w:tcPr>
                <w:p w14:paraId="10B2B534">
                  <w:pPr>
                    <w:pStyle w:val="14"/>
                    <w:rPr>
                      <w:rFonts w:cs="Times New Roman"/>
                    </w:rPr>
                  </w:pPr>
                  <w:r>
                    <w:rPr>
                      <w:rFonts w:cs="Times New Roman"/>
                    </w:rPr>
                    <w:t>PM</w:t>
                  </w:r>
                  <w:r>
                    <w:rPr>
                      <w:rFonts w:cs="Times New Roman"/>
                      <w:vertAlign w:val="subscript"/>
                    </w:rPr>
                    <w:t>10</w:t>
                  </w:r>
                </w:p>
              </w:tc>
              <w:tc>
                <w:tcPr>
                  <w:tcW w:w="1250" w:type="pct"/>
                  <w:vAlign w:val="center"/>
                </w:tcPr>
                <w:p w14:paraId="32DE32EE">
                  <w:pPr>
                    <w:pStyle w:val="14"/>
                    <w:rPr>
                      <w:rFonts w:cs="Times New Roman"/>
                    </w:rPr>
                  </w:pPr>
                  <w:r>
                    <w:rPr>
                      <w:rFonts w:cs="Times New Roman"/>
                    </w:rPr>
                    <w:t>年平均质量浓度</w:t>
                  </w:r>
                </w:p>
              </w:tc>
              <w:tc>
                <w:tcPr>
                  <w:tcW w:w="1081" w:type="pct"/>
                  <w:vAlign w:val="center"/>
                </w:tcPr>
                <w:p w14:paraId="1154A04B">
                  <w:pPr>
                    <w:pStyle w:val="14"/>
                    <w:rPr>
                      <w:rFonts w:cs="Times New Roman"/>
                    </w:rPr>
                  </w:pPr>
                  <w:r>
                    <w:rPr>
                      <w:rFonts w:cs="Times New Roman"/>
                    </w:rPr>
                    <w:t>40.</w:t>
                  </w:r>
                  <w:r>
                    <w:rPr>
                      <w:rFonts w:hint="eastAsia" w:cs="Times New Roman"/>
                    </w:rPr>
                    <w:t>9</w:t>
                  </w:r>
                </w:p>
              </w:tc>
              <w:tc>
                <w:tcPr>
                  <w:tcW w:w="916" w:type="pct"/>
                  <w:vAlign w:val="center"/>
                </w:tcPr>
                <w:p w14:paraId="769609D3">
                  <w:pPr>
                    <w:pStyle w:val="14"/>
                    <w:rPr>
                      <w:rFonts w:cs="Times New Roman"/>
                    </w:rPr>
                  </w:pPr>
                  <w:r>
                    <w:rPr>
                      <w:rFonts w:hint="eastAsia" w:cs="Times New Roman"/>
                    </w:rPr>
                    <w:t>60</w:t>
                  </w:r>
                </w:p>
              </w:tc>
              <w:tc>
                <w:tcPr>
                  <w:tcW w:w="582" w:type="pct"/>
                  <w:vAlign w:val="center"/>
                </w:tcPr>
                <w:p w14:paraId="7503E6C6">
                  <w:pPr>
                    <w:pStyle w:val="14"/>
                    <w:rPr>
                      <w:rFonts w:cs="Times New Roman"/>
                    </w:rPr>
                  </w:pPr>
                  <w:r>
                    <w:rPr>
                      <w:rFonts w:hint="eastAsia" w:cs="Times New Roman"/>
                    </w:rPr>
                    <w:t>68.2</w:t>
                  </w:r>
                  <w:r>
                    <w:rPr>
                      <w:rFonts w:cs="Times New Roman"/>
                    </w:rPr>
                    <w:t>%</w:t>
                  </w:r>
                </w:p>
              </w:tc>
              <w:tc>
                <w:tcPr>
                  <w:tcW w:w="562" w:type="pct"/>
                  <w:vAlign w:val="center"/>
                </w:tcPr>
                <w:p w14:paraId="31B93556">
                  <w:pPr>
                    <w:pStyle w:val="14"/>
                    <w:rPr>
                      <w:rFonts w:cs="Times New Roman"/>
                    </w:rPr>
                  </w:pPr>
                  <w:r>
                    <w:rPr>
                      <w:rFonts w:cs="Times New Roman"/>
                    </w:rPr>
                    <w:t>达标</w:t>
                  </w:r>
                </w:p>
              </w:tc>
            </w:tr>
            <w:tr w14:paraId="0442F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609" w:type="pct"/>
                  <w:vAlign w:val="center"/>
                </w:tcPr>
                <w:p w14:paraId="17F4B271">
                  <w:pPr>
                    <w:pStyle w:val="14"/>
                    <w:rPr>
                      <w:rFonts w:cs="Times New Roman"/>
                    </w:rPr>
                  </w:pPr>
                  <w:r>
                    <w:rPr>
                      <w:rFonts w:cs="Times New Roman"/>
                    </w:rPr>
                    <w:t>PM</w:t>
                  </w:r>
                  <w:r>
                    <w:rPr>
                      <w:rFonts w:cs="Times New Roman"/>
                      <w:vertAlign w:val="subscript"/>
                    </w:rPr>
                    <w:t>2.5</w:t>
                  </w:r>
                </w:p>
              </w:tc>
              <w:tc>
                <w:tcPr>
                  <w:tcW w:w="1250" w:type="pct"/>
                  <w:vAlign w:val="center"/>
                </w:tcPr>
                <w:p w14:paraId="216E4B2E">
                  <w:pPr>
                    <w:pStyle w:val="14"/>
                    <w:rPr>
                      <w:rFonts w:cs="Times New Roman"/>
                    </w:rPr>
                  </w:pPr>
                  <w:r>
                    <w:rPr>
                      <w:rFonts w:cs="Times New Roman"/>
                    </w:rPr>
                    <w:t>年平均质量浓度</w:t>
                  </w:r>
                </w:p>
              </w:tc>
              <w:tc>
                <w:tcPr>
                  <w:tcW w:w="1081" w:type="pct"/>
                  <w:vAlign w:val="center"/>
                </w:tcPr>
                <w:p w14:paraId="1F46EB0C">
                  <w:pPr>
                    <w:pStyle w:val="14"/>
                    <w:rPr>
                      <w:rFonts w:cs="Times New Roman"/>
                    </w:rPr>
                  </w:pPr>
                  <w:r>
                    <w:rPr>
                      <w:rFonts w:cs="Times New Roman"/>
                    </w:rPr>
                    <w:t>2</w:t>
                  </w:r>
                  <w:r>
                    <w:rPr>
                      <w:rFonts w:hint="eastAsia" w:cs="Times New Roman"/>
                    </w:rPr>
                    <w:t>7.8</w:t>
                  </w:r>
                </w:p>
              </w:tc>
              <w:tc>
                <w:tcPr>
                  <w:tcW w:w="916" w:type="pct"/>
                  <w:vAlign w:val="center"/>
                </w:tcPr>
                <w:p w14:paraId="7EB3DBD6">
                  <w:pPr>
                    <w:pStyle w:val="14"/>
                    <w:rPr>
                      <w:rFonts w:cs="Times New Roman"/>
                    </w:rPr>
                  </w:pPr>
                  <w:r>
                    <w:rPr>
                      <w:rFonts w:cs="Times New Roman"/>
                    </w:rPr>
                    <w:t>3</w:t>
                  </w:r>
                  <w:r>
                    <w:rPr>
                      <w:rFonts w:hint="eastAsia" w:cs="Times New Roman"/>
                    </w:rPr>
                    <w:t>0</w:t>
                  </w:r>
                </w:p>
              </w:tc>
              <w:tc>
                <w:tcPr>
                  <w:tcW w:w="582" w:type="pct"/>
                  <w:vAlign w:val="center"/>
                </w:tcPr>
                <w:p w14:paraId="55058E96">
                  <w:pPr>
                    <w:pStyle w:val="14"/>
                    <w:rPr>
                      <w:rFonts w:cs="Times New Roman"/>
                    </w:rPr>
                  </w:pPr>
                  <w:r>
                    <w:rPr>
                      <w:rFonts w:hint="eastAsia" w:cs="Times New Roman"/>
                    </w:rPr>
                    <w:t>92.7</w:t>
                  </w:r>
                  <w:r>
                    <w:rPr>
                      <w:rFonts w:cs="Times New Roman"/>
                    </w:rPr>
                    <w:t>%</w:t>
                  </w:r>
                </w:p>
              </w:tc>
              <w:tc>
                <w:tcPr>
                  <w:tcW w:w="562" w:type="pct"/>
                  <w:vAlign w:val="center"/>
                </w:tcPr>
                <w:p w14:paraId="513BF56B">
                  <w:pPr>
                    <w:pStyle w:val="14"/>
                    <w:rPr>
                      <w:rFonts w:cs="Times New Roman"/>
                    </w:rPr>
                  </w:pPr>
                  <w:r>
                    <w:rPr>
                      <w:rFonts w:cs="Times New Roman"/>
                    </w:rPr>
                    <w:t>达标</w:t>
                  </w:r>
                </w:p>
              </w:tc>
            </w:tr>
            <w:tr w14:paraId="6AB2B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609" w:type="pct"/>
                  <w:vAlign w:val="center"/>
                </w:tcPr>
                <w:p w14:paraId="1900826F">
                  <w:pPr>
                    <w:pStyle w:val="14"/>
                    <w:rPr>
                      <w:rFonts w:cs="Times New Roman"/>
                    </w:rPr>
                  </w:pPr>
                  <w:r>
                    <w:rPr>
                      <w:rFonts w:cs="Times New Roman"/>
                    </w:rPr>
                    <w:t>CO</w:t>
                  </w:r>
                </w:p>
              </w:tc>
              <w:tc>
                <w:tcPr>
                  <w:tcW w:w="1250" w:type="pct"/>
                  <w:vAlign w:val="center"/>
                </w:tcPr>
                <w:p w14:paraId="43989545">
                  <w:pPr>
                    <w:pStyle w:val="14"/>
                    <w:rPr>
                      <w:rFonts w:cs="Times New Roman"/>
                    </w:rPr>
                  </w:pPr>
                  <w:r>
                    <w:rPr>
                      <w:rFonts w:cs="Times New Roman"/>
                    </w:rPr>
                    <w:t>日均第95百分位数</w:t>
                  </w:r>
                </w:p>
              </w:tc>
              <w:tc>
                <w:tcPr>
                  <w:tcW w:w="1081" w:type="pct"/>
                  <w:vAlign w:val="center"/>
                </w:tcPr>
                <w:p w14:paraId="4FA353B4">
                  <w:pPr>
                    <w:pStyle w:val="14"/>
                    <w:rPr>
                      <w:rFonts w:cs="Times New Roman"/>
                    </w:rPr>
                  </w:pPr>
                  <w:r>
                    <w:rPr>
                      <w:rFonts w:hint="eastAsia" w:cs="Times New Roman"/>
                    </w:rPr>
                    <w:t>1.0</w:t>
                  </w:r>
                  <w:r>
                    <w:rPr>
                      <w:rFonts w:cs="Times New Roman"/>
                    </w:rPr>
                    <w:t>mg/m</w:t>
                  </w:r>
                  <w:r>
                    <w:rPr>
                      <w:rFonts w:cs="Times New Roman"/>
                      <w:vertAlign w:val="superscript"/>
                    </w:rPr>
                    <w:t>3</w:t>
                  </w:r>
                </w:p>
              </w:tc>
              <w:tc>
                <w:tcPr>
                  <w:tcW w:w="916" w:type="pct"/>
                  <w:vAlign w:val="center"/>
                </w:tcPr>
                <w:p w14:paraId="47CEFFD9">
                  <w:pPr>
                    <w:pStyle w:val="14"/>
                    <w:rPr>
                      <w:rFonts w:cs="Times New Roman"/>
                    </w:rPr>
                  </w:pPr>
                  <w:r>
                    <w:rPr>
                      <w:rFonts w:cs="Times New Roman"/>
                    </w:rPr>
                    <w:t>4mg/m</w:t>
                  </w:r>
                  <w:r>
                    <w:rPr>
                      <w:rFonts w:cs="Times New Roman"/>
                      <w:vertAlign w:val="superscript"/>
                    </w:rPr>
                    <w:t>3</w:t>
                  </w:r>
                </w:p>
              </w:tc>
              <w:tc>
                <w:tcPr>
                  <w:tcW w:w="582" w:type="pct"/>
                  <w:vAlign w:val="center"/>
                </w:tcPr>
                <w:p w14:paraId="6B3A1167">
                  <w:pPr>
                    <w:pStyle w:val="14"/>
                    <w:rPr>
                      <w:rFonts w:cs="Times New Roman"/>
                    </w:rPr>
                  </w:pPr>
                  <w:r>
                    <w:rPr>
                      <w:rFonts w:cs="Times New Roman"/>
                    </w:rPr>
                    <w:t>2</w:t>
                  </w:r>
                  <w:r>
                    <w:rPr>
                      <w:rFonts w:hint="eastAsia" w:cs="Times New Roman"/>
                    </w:rPr>
                    <w:t>5</w:t>
                  </w:r>
                  <w:r>
                    <w:rPr>
                      <w:rFonts w:cs="Times New Roman"/>
                    </w:rPr>
                    <w:t>%</w:t>
                  </w:r>
                </w:p>
              </w:tc>
              <w:tc>
                <w:tcPr>
                  <w:tcW w:w="562" w:type="pct"/>
                  <w:vAlign w:val="center"/>
                </w:tcPr>
                <w:p w14:paraId="2DBA9A00">
                  <w:pPr>
                    <w:pStyle w:val="14"/>
                    <w:rPr>
                      <w:rFonts w:cs="Times New Roman"/>
                    </w:rPr>
                  </w:pPr>
                  <w:r>
                    <w:rPr>
                      <w:rFonts w:cs="Times New Roman"/>
                    </w:rPr>
                    <w:t>达标</w:t>
                  </w:r>
                </w:p>
              </w:tc>
            </w:tr>
            <w:tr w14:paraId="72676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609" w:type="pct"/>
                  <w:vAlign w:val="center"/>
                </w:tcPr>
                <w:p w14:paraId="64FB6E8A">
                  <w:pPr>
                    <w:pStyle w:val="14"/>
                    <w:rPr>
                      <w:rFonts w:cs="Times New Roman"/>
                    </w:rPr>
                  </w:pPr>
                  <w:r>
                    <w:rPr>
                      <w:rFonts w:cs="Times New Roman"/>
                    </w:rPr>
                    <w:t>O</w:t>
                  </w:r>
                  <w:r>
                    <w:rPr>
                      <w:rFonts w:cs="Times New Roman"/>
                      <w:vertAlign w:val="subscript"/>
                    </w:rPr>
                    <w:t>3</w:t>
                  </w:r>
                </w:p>
              </w:tc>
              <w:tc>
                <w:tcPr>
                  <w:tcW w:w="1250" w:type="pct"/>
                  <w:vAlign w:val="center"/>
                </w:tcPr>
                <w:p w14:paraId="1CCC8B9C">
                  <w:pPr>
                    <w:pStyle w:val="14"/>
                    <w:rPr>
                      <w:rFonts w:cs="Times New Roman"/>
                    </w:rPr>
                  </w:pPr>
                  <w:r>
                    <w:rPr>
                      <w:rFonts w:cs="Times New Roman"/>
                    </w:rPr>
                    <w:t>日最大8小时均值</w:t>
                  </w:r>
                </w:p>
              </w:tc>
              <w:tc>
                <w:tcPr>
                  <w:tcW w:w="1081" w:type="pct"/>
                  <w:vAlign w:val="center"/>
                </w:tcPr>
                <w:p w14:paraId="6E14B397">
                  <w:pPr>
                    <w:pStyle w:val="14"/>
                    <w:rPr>
                      <w:rFonts w:cs="Times New Roman"/>
                    </w:rPr>
                  </w:pPr>
                  <w:r>
                    <w:rPr>
                      <w:rFonts w:cs="Times New Roman"/>
                    </w:rPr>
                    <w:t>1</w:t>
                  </w:r>
                  <w:r>
                    <w:rPr>
                      <w:rFonts w:hint="eastAsia" w:cs="Times New Roman"/>
                    </w:rPr>
                    <w:t>31.0</w:t>
                  </w:r>
                </w:p>
              </w:tc>
              <w:tc>
                <w:tcPr>
                  <w:tcW w:w="916" w:type="pct"/>
                  <w:vAlign w:val="center"/>
                </w:tcPr>
                <w:p w14:paraId="2B3A927B">
                  <w:pPr>
                    <w:pStyle w:val="14"/>
                    <w:rPr>
                      <w:rFonts w:cs="Times New Roman"/>
                    </w:rPr>
                  </w:pPr>
                  <w:r>
                    <w:rPr>
                      <w:rFonts w:cs="Times New Roman"/>
                    </w:rPr>
                    <w:t>160</w:t>
                  </w:r>
                </w:p>
              </w:tc>
              <w:tc>
                <w:tcPr>
                  <w:tcW w:w="582" w:type="pct"/>
                  <w:vAlign w:val="center"/>
                </w:tcPr>
                <w:p w14:paraId="01123E72">
                  <w:pPr>
                    <w:pStyle w:val="14"/>
                    <w:rPr>
                      <w:rFonts w:cs="Times New Roman"/>
                    </w:rPr>
                  </w:pPr>
                  <w:r>
                    <w:rPr>
                      <w:rFonts w:hint="eastAsia" w:cs="Times New Roman"/>
                    </w:rPr>
                    <w:t>81.9</w:t>
                  </w:r>
                  <w:r>
                    <w:rPr>
                      <w:rFonts w:cs="Times New Roman"/>
                    </w:rPr>
                    <w:t>%</w:t>
                  </w:r>
                </w:p>
              </w:tc>
              <w:tc>
                <w:tcPr>
                  <w:tcW w:w="562" w:type="pct"/>
                  <w:vAlign w:val="center"/>
                </w:tcPr>
                <w:p w14:paraId="33F25303">
                  <w:pPr>
                    <w:pStyle w:val="14"/>
                    <w:rPr>
                      <w:rFonts w:cs="Times New Roman"/>
                    </w:rPr>
                  </w:pPr>
                  <w:r>
                    <w:rPr>
                      <w:rFonts w:cs="Times New Roman"/>
                    </w:rPr>
                    <w:t>达标</w:t>
                  </w:r>
                </w:p>
              </w:tc>
            </w:tr>
            <w:bookmarkEnd w:id="55"/>
          </w:tbl>
          <w:p w14:paraId="048F9D62">
            <w:pPr>
              <w:ind w:firstLine="480"/>
              <w:rPr>
                <w:rFonts w:cs="Times New Roman"/>
                <w:bCs/>
              </w:rPr>
            </w:pPr>
            <w:r>
              <w:rPr>
                <w:rFonts w:hint="eastAsia" w:cs="Times New Roman"/>
                <w:bCs/>
              </w:rPr>
              <w:t>根据</w:t>
            </w:r>
            <w:r>
              <w:rPr>
                <w:rFonts w:cs="Times New Roman"/>
                <w:bCs/>
              </w:rPr>
              <w:t>《202</w:t>
            </w:r>
            <w:r>
              <w:rPr>
                <w:rFonts w:hint="eastAsia" w:cs="Times New Roman"/>
                <w:bCs/>
              </w:rPr>
              <w:t>5</w:t>
            </w:r>
            <w:r>
              <w:rPr>
                <w:rFonts w:cs="Times New Roman"/>
                <w:bCs/>
              </w:rPr>
              <w:t>巴中市年生态环境状况公报》</w:t>
            </w:r>
            <w:r>
              <w:rPr>
                <w:rFonts w:hint="eastAsia" w:cs="Times New Roman"/>
                <w:bCs/>
              </w:rPr>
              <w:t>，2025年，巴城环境空气质量优良率为94.2%(未扣除异常沙尘和异常高温低湿臭氧超标影响)，同比下降1.4个百分点，污染天数同比增加5天，中度污染增加1天，其中轻度污染增加4天。环境空气六项主要污染物年均浓度全部达到国家环境空气质量二级标准，空气质量综合指数为2.99，同比下降0.16。巴城环境空气六项主要污染物浓度同比变化率，其中二氧化硫大幅上升，二氧化氮有所下降，一氧化碳有所上升，臭氧略有上升，细颗粒物和可吸入颗粒物变化不大。全市县(区)环境空气六项主要污染物浓度保持为全部达标。县(区)各项污染物浓度同比变化率在-15.8~44.2%之间。</w:t>
            </w:r>
          </w:p>
          <w:p w14:paraId="14955D65">
            <w:pPr>
              <w:ind w:firstLine="480"/>
              <w:rPr>
                <w:rFonts w:cs="Times New Roman"/>
                <w:bCs/>
              </w:rPr>
            </w:pPr>
            <w:r>
              <w:rPr>
                <w:rFonts w:hint="eastAsia" w:cs="Times New Roman"/>
                <w:bCs/>
              </w:rPr>
              <w:t>区域环境空气质量良好。</w:t>
            </w:r>
            <w:r>
              <w:rPr>
                <w:rFonts w:cs="Times New Roman"/>
              </w:rPr>
              <w:t>项目所在区域大气环境为达标区</w:t>
            </w:r>
            <w:r>
              <w:rPr>
                <w:rFonts w:cs="Times New Roman"/>
                <w:szCs w:val="24"/>
              </w:rPr>
              <w:t>。</w:t>
            </w:r>
          </w:p>
          <w:p w14:paraId="412CA649">
            <w:pPr>
              <w:pStyle w:val="57"/>
              <w:numPr>
                <w:ilvl w:val="0"/>
                <w:numId w:val="2"/>
              </w:numPr>
              <w:ind w:firstLineChars="0"/>
              <w:rPr>
                <w:rFonts w:cs="Times New Roman"/>
                <w:b/>
              </w:rPr>
            </w:pPr>
            <w:r>
              <w:rPr>
                <w:rFonts w:cs="Times New Roman"/>
                <w:b/>
              </w:rPr>
              <w:t>其他污染物环境质量现状</w:t>
            </w:r>
          </w:p>
          <w:p w14:paraId="68F41A01">
            <w:pPr>
              <w:ind w:firstLine="480"/>
              <w:rPr>
                <w:rFonts w:cs="Times New Roman"/>
                <w:bCs/>
              </w:rPr>
            </w:pPr>
            <w:r>
              <w:rPr>
                <w:rFonts w:cs="Times New Roman"/>
              </w:rPr>
              <w:t>为了解项目所在地特征污染物环境质量现状，根据《建设项目环境影响报告表编制技术指南》（污染影响类），常规污染物引用与建设项目距离近的有效数据，包括近3年的规划环境影响评价的监测数据，国家、地方环境</w:t>
            </w:r>
            <w:r>
              <w:rPr>
                <w:rFonts w:cs="Times New Roman"/>
                <w:kern w:val="0"/>
                <w:szCs w:val="24"/>
              </w:rPr>
              <w:t>空气质量监测网数据或生态环境主管部门公开发布的质量数据等。排放国家</w:t>
            </w:r>
            <w:r>
              <w:rPr>
                <w:rFonts w:cs="Times New Roman"/>
              </w:rPr>
              <w:t>地方环境空气质量标准中有标准限值要求的特征污染物时，引用建设项目周边5千米范围内近3年的现有监测数据，因此，本环评TSP、TVOC</w:t>
            </w:r>
            <w:r>
              <w:rPr>
                <w:rFonts w:hint="eastAsia" w:cs="Times New Roman"/>
              </w:rPr>
              <w:t>、N</w:t>
            </w:r>
            <w:r>
              <w:rPr>
                <w:rFonts w:cs="Times New Roman"/>
              </w:rPr>
              <w:t>O</w:t>
            </w:r>
            <w:r>
              <w:rPr>
                <w:rFonts w:cs="Times New Roman"/>
                <w:vertAlign w:val="subscript"/>
              </w:rPr>
              <w:t>X</w:t>
            </w:r>
            <w:r>
              <w:rPr>
                <w:rFonts w:cs="Times New Roman"/>
              </w:rPr>
              <w:t>引用</w:t>
            </w:r>
            <w:r>
              <w:rPr>
                <w:rFonts w:hint="eastAsia" w:cs="Times New Roman"/>
              </w:rPr>
              <w:t>四川省川环源创检测科技有限公司</w:t>
            </w:r>
            <w:r>
              <w:rPr>
                <w:rFonts w:cs="Times New Roman"/>
              </w:rPr>
              <w:t>2024年8月</w:t>
            </w:r>
            <w:r>
              <w:rPr>
                <w:rFonts w:hint="eastAsia" w:cs="Times New Roman"/>
              </w:rPr>
              <w:t>9</w:t>
            </w:r>
            <w:r>
              <w:rPr>
                <w:rFonts w:cs="Times New Roman"/>
              </w:rPr>
              <w:t>日-16日对《</w:t>
            </w:r>
            <w:bookmarkStart w:id="56" w:name="OLE_LINK274"/>
            <w:bookmarkStart w:id="57" w:name="OLE_LINK275"/>
            <w:r>
              <w:rPr>
                <w:rFonts w:hint="eastAsia" w:cs="Times New Roman"/>
              </w:rPr>
              <w:t>四川佰思格新材料科技有限公司钠离子电池硬炭负极材料生产项目</w:t>
            </w:r>
            <w:bookmarkEnd w:id="56"/>
            <w:bookmarkEnd w:id="57"/>
            <w:r>
              <w:rPr>
                <w:rFonts w:cs="Times New Roman"/>
              </w:rPr>
              <w:t>》所在地TSP、</w:t>
            </w:r>
            <w:r>
              <w:rPr>
                <w:rFonts w:hint="eastAsia" w:cs="Times New Roman"/>
              </w:rPr>
              <w:t>非甲烷总烃、氮氧化物</w:t>
            </w:r>
            <w:r>
              <w:rPr>
                <w:rFonts w:cs="Times New Roman"/>
              </w:rPr>
              <w:t>（项目编号：SCHDHHBKJYXGS839-0001）的监测数据，</w:t>
            </w:r>
            <w:r>
              <w:rPr>
                <w:rFonts w:cs="Times New Roman"/>
                <w:bCs/>
              </w:rPr>
              <w:t>距离本项目约</w:t>
            </w:r>
            <w:r>
              <w:rPr>
                <w:rFonts w:hint="eastAsia" w:cs="Times New Roman"/>
                <w:bCs/>
              </w:rPr>
              <w:t>2330</w:t>
            </w:r>
            <w:r>
              <w:rPr>
                <w:rFonts w:cs="Times New Roman"/>
                <w:bCs/>
              </w:rPr>
              <w:t>m（</w:t>
            </w:r>
            <w:r>
              <w:rPr>
                <w:rFonts w:hint="eastAsia" w:cs="Times New Roman"/>
                <w:bCs/>
              </w:rPr>
              <w:t>东北侧，地块现状为待建空地</w:t>
            </w:r>
            <w:r>
              <w:rPr>
                <w:rFonts w:cs="Times New Roman"/>
                <w:bCs/>
              </w:rPr>
              <w:t>），位于评价范围内，</w:t>
            </w:r>
            <w:r>
              <w:rPr>
                <w:rFonts w:hint="eastAsia" w:cs="Times New Roman"/>
                <w:bCs/>
              </w:rPr>
              <w:t>监测时间为2</w:t>
            </w:r>
            <w:r>
              <w:rPr>
                <w:rFonts w:cs="Times New Roman"/>
                <w:bCs/>
              </w:rPr>
              <w:t>024</w:t>
            </w:r>
            <w:r>
              <w:rPr>
                <w:rFonts w:hint="eastAsia" w:cs="Times New Roman"/>
                <w:bCs/>
              </w:rPr>
              <w:t>年8月，属于5km范围内近3年内的现有监测数据，</w:t>
            </w:r>
            <w:r>
              <w:rPr>
                <w:rFonts w:cs="Times New Roman"/>
                <w:bCs/>
              </w:rPr>
              <w:t>引用数据有效。</w:t>
            </w:r>
          </w:p>
          <w:p w14:paraId="7796903F">
            <w:pPr>
              <w:ind w:firstLine="0" w:firstLineChars="0"/>
              <w:rPr>
                <w:rFonts w:cs="Times New Roman"/>
              </w:rPr>
            </w:pPr>
            <w:r>
              <w:rPr>
                <w:rFonts w:hint="eastAsia" w:cs="Times New Roman"/>
                <w:bCs/>
              </w:rPr>
              <w:drawing>
                <wp:inline distT="0" distB="0" distL="0" distR="0">
                  <wp:extent cx="5633085" cy="3538220"/>
                  <wp:effectExtent l="0" t="0" r="5715" b="5080"/>
                  <wp:docPr id="84709604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096041" name="图片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a:xfrm>
                            <a:off x="0" y="0"/>
                            <a:ext cx="5639182" cy="3542094"/>
                          </a:xfrm>
                          <a:prstGeom prst="rect">
                            <a:avLst/>
                          </a:prstGeom>
                          <a:noFill/>
                          <a:ln>
                            <a:noFill/>
                          </a:ln>
                        </pic:spPr>
                      </pic:pic>
                    </a:graphicData>
                  </a:graphic>
                </wp:inline>
              </w:drawing>
            </w:r>
          </w:p>
          <w:p w14:paraId="6628B2B3">
            <w:pPr>
              <w:ind w:firstLine="0" w:firstLineChars="0"/>
              <w:jc w:val="center"/>
              <w:rPr>
                <w:rFonts w:cs="Times New Roman"/>
                <w:b/>
                <w:bCs/>
              </w:rPr>
            </w:pPr>
            <w:r>
              <w:rPr>
                <w:rFonts w:hint="eastAsia" w:cs="Times New Roman"/>
                <w:b/>
                <w:bCs/>
              </w:rPr>
              <w:t>图3-1  引用监测点位位置图</w:t>
            </w:r>
          </w:p>
          <w:p w14:paraId="425C79EF">
            <w:pPr>
              <w:pStyle w:val="57"/>
              <w:numPr>
                <w:ilvl w:val="0"/>
                <w:numId w:val="3"/>
              </w:numPr>
              <w:ind w:firstLineChars="0"/>
              <w:rPr>
                <w:rFonts w:cs="Times New Roman"/>
              </w:rPr>
            </w:pPr>
            <w:r>
              <w:rPr>
                <w:rFonts w:cs="Times New Roman"/>
              </w:rPr>
              <w:t>现状监测</w:t>
            </w:r>
          </w:p>
          <w:p w14:paraId="70BE97CB">
            <w:pPr>
              <w:pStyle w:val="13"/>
              <w:keepNext/>
              <w:rPr>
                <w:rFonts w:cs="Times New Roman"/>
              </w:rPr>
            </w:pPr>
            <w:r>
              <w:rPr>
                <w:rFonts w:cs="Times New Roman"/>
              </w:rPr>
              <w:t xml:space="preserve">表 </w:t>
            </w:r>
            <w:r>
              <w:rPr>
                <w:rFonts w:cs="Times New Roman"/>
              </w:rPr>
              <w:fldChar w:fldCharType="begin"/>
            </w:r>
            <w:r>
              <w:rPr>
                <w:rFonts w:cs="Times New Roman"/>
              </w:rPr>
              <w:instrText xml:space="preserve"> SEQ seq \c </w:instrText>
            </w:r>
            <w:r>
              <w:rPr>
                <w:rFonts w:cs="Times New Roman"/>
              </w:rPr>
              <w:fldChar w:fldCharType="separate"/>
            </w:r>
            <w:r>
              <w:rPr>
                <w:rFonts w:cs="Times New Roman"/>
              </w:rPr>
              <w:t>3</w:t>
            </w:r>
            <w:r>
              <w:rPr>
                <w:rFonts w:cs="Times New Roman"/>
              </w:rPr>
              <w:fldChar w:fldCharType="end"/>
            </w:r>
            <w:r>
              <w:rPr>
                <w:rFonts w:cs="Times New Roman"/>
              </w:rPr>
              <w:noBreakHyphen/>
            </w:r>
            <w:r>
              <w:rPr>
                <w:rFonts w:cs="Times New Roman"/>
              </w:rPr>
              <w:fldChar w:fldCharType="begin"/>
            </w:r>
            <w:r>
              <w:rPr>
                <w:rFonts w:cs="Times New Roman"/>
              </w:rPr>
              <w:instrText xml:space="preserve"> SEQ 表 \* ARABIC \s 1 </w:instrText>
            </w:r>
            <w:r>
              <w:rPr>
                <w:rFonts w:cs="Times New Roman"/>
              </w:rPr>
              <w:fldChar w:fldCharType="separate"/>
            </w:r>
            <w:r>
              <w:rPr>
                <w:rFonts w:cs="Times New Roman"/>
              </w:rPr>
              <w:t>2</w:t>
            </w:r>
            <w:r>
              <w:rPr>
                <w:rFonts w:cs="Times New Roman"/>
              </w:rPr>
              <w:fldChar w:fldCharType="end"/>
            </w:r>
            <w:r>
              <w:rPr>
                <w:rFonts w:cs="Times New Roman"/>
              </w:rPr>
              <w:t xml:space="preserve"> 引用监测布点情况表</w:t>
            </w:r>
          </w:p>
          <w:tbl>
            <w:tblPr>
              <w:tblStyle w:val="3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6"/>
              <w:gridCol w:w="2552"/>
              <w:gridCol w:w="1809"/>
              <w:gridCol w:w="1809"/>
              <w:gridCol w:w="1810"/>
            </w:tblGrid>
            <w:tr w14:paraId="069AC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6" w:type="dxa"/>
                  <w:vAlign w:val="center"/>
                </w:tcPr>
                <w:p w14:paraId="5AD23C02">
                  <w:pPr>
                    <w:pStyle w:val="53"/>
                    <w:rPr>
                      <w:rFonts w:cs="Times New Roman"/>
                    </w:rPr>
                  </w:pPr>
                  <w:r>
                    <w:rPr>
                      <w:rFonts w:cs="Times New Roman"/>
                    </w:rPr>
                    <w:t>编号</w:t>
                  </w:r>
                </w:p>
              </w:tc>
              <w:tc>
                <w:tcPr>
                  <w:tcW w:w="2552" w:type="dxa"/>
                  <w:vAlign w:val="center"/>
                </w:tcPr>
                <w:p w14:paraId="4E54FCE8">
                  <w:pPr>
                    <w:pStyle w:val="53"/>
                    <w:rPr>
                      <w:rFonts w:cs="Times New Roman"/>
                    </w:rPr>
                  </w:pPr>
                  <w:r>
                    <w:rPr>
                      <w:rFonts w:cs="Times New Roman"/>
                    </w:rPr>
                    <w:t>监测点位</w:t>
                  </w:r>
                </w:p>
              </w:tc>
              <w:tc>
                <w:tcPr>
                  <w:tcW w:w="1809" w:type="dxa"/>
                  <w:vAlign w:val="center"/>
                </w:tcPr>
                <w:p w14:paraId="2D772481">
                  <w:pPr>
                    <w:pStyle w:val="53"/>
                    <w:rPr>
                      <w:rFonts w:cs="Times New Roman"/>
                    </w:rPr>
                  </w:pPr>
                  <w:r>
                    <w:rPr>
                      <w:rFonts w:cs="Times New Roman"/>
                    </w:rPr>
                    <w:t>监测时间</w:t>
                  </w:r>
                </w:p>
              </w:tc>
              <w:tc>
                <w:tcPr>
                  <w:tcW w:w="1809" w:type="dxa"/>
                  <w:vAlign w:val="center"/>
                </w:tcPr>
                <w:p w14:paraId="4EC022A2">
                  <w:pPr>
                    <w:pStyle w:val="53"/>
                    <w:rPr>
                      <w:rFonts w:cs="Times New Roman"/>
                    </w:rPr>
                  </w:pPr>
                  <w:r>
                    <w:rPr>
                      <w:rFonts w:cs="Times New Roman"/>
                    </w:rPr>
                    <w:t>监测因子</w:t>
                  </w:r>
                </w:p>
              </w:tc>
              <w:tc>
                <w:tcPr>
                  <w:tcW w:w="1810" w:type="dxa"/>
                  <w:vAlign w:val="center"/>
                </w:tcPr>
                <w:p w14:paraId="3BFD7C6A">
                  <w:pPr>
                    <w:pStyle w:val="53"/>
                    <w:rPr>
                      <w:rFonts w:cs="Times New Roman"/>
                    </w:rPr>
                  </w:pPr>
                  <w:r>
                    <w:rPr>
                      <w:rFonts w:cs="Times New Roman"/>
                    </w:rPr>
                    <w:t>与本项目距离</w:t>
                  </w:r>
                </w:p>
              </w:tc>
            </w:tr>
            <w:tr w14:paraId="71D27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6" w:type="dxa"/>
                  <w:vAlign w:val="center"/>
                </w:tcPr>
                <w:p w14:paraId="7AD11254">
                  <w:pPr>
                    <w:pStyle w:val="14"/>
                    <w:rPr>
                      <w:rFonts w:cs="Times New Roman"/>
                    </w:rPr>
                  </w:pPr>
                  <w:r>
                    <w:rPr>
                      <w:rFonts w:cs="Times New Roman"/>
                    </w:rPr>
                    <w:t>1#</w:t>
                  </w:r>
                </w:p>
              </w:tc>
              <w:tc>
                <w:tcPr>
                  <w:tcW w:w="2552" w:type="dxa"/>
                  <w:vMerge w:val="restart"/>
                  <w:vAlign w:val="center"/>
                </w:tcPr>
                <w:p w14:paraId="41B91DB9">
                  <w:pPr>
                    <w:pStyle w:val="14"/>
                    <w:rPr>
                      <w:rFonts w:cs="Times New Roman"/>
                    </w:rPr>
                  </w:pPr>
                  <w:r>
                    <w:rPr>
                      <w:rFonts w:hint="eastAsia" w:cs="Times New Roman"/>
                    </w:rPr>
                    <w:t>四川佰思格新材料科技有限公司钠离子电池硬炭负极材料生产项目场地内</w:t>
                  </w:r>
                </w:p>
              </w:tc>
              <w:tc>
                <w:tcPr>
                  <w:tcW w:w="1809" w:type="dxa"/>
                  <w:vMerge w:val="restart"/>
                  <w:vAlign w:val="center"/>
                </w:tcPr>
                <w:p w14:paraId="75B609C3">
                  <w:pPr>
                    <w:pStyle w:val="14"/>
                    <w:rPr>
                      <w:rFonts w:cs="Times New Roman"/>
                    </w:rPr>
                  </w:pPr>
                  <w:r>
                    <w:rPr>
                      <w:rFonts w:cs="Times New Roman"/>
                    </w:rPr>
                    <w:t>2024年8月9日-16日</w:t>
                  </w:r>
                </w:p>
              </w:tc>
              <w:tc>
                <w:tcPr>
                  <w:tcW w:w="1809" w:type="dxa"/>
                  <w:vAlign w:val="center"/>
                </w:tcPr>
                <w:p w14:paraId="63A16996">
                  <w:pPr>
                    <w:pStyle w:val="14"/>
                    <w:rPr>
                      <w:rFonts w:cs="Times New Roman"/>
                    </w:rPr>
                  </w:pPr>
                  <w:r>
                    <w:rPr>
                      <w:rFonts w:cs="Times New Roman"/>
                    </w:rPr>
                    <w:t>TSP</w:t>
                  </w:r>
                </w:p>
              </w:tc>
              <w:tc>
                <w:tcPr>
                  <w:tcW w:w="1810" w:type="dxa"/>
                  <w:vMerge w:val="restart"/>
                  <w:vAlign w:val="center"/>
                </w:tcPr>
                <w:p w14:paraId="425C8120">
                  <w:pPr>
                    <w:pStyle w:val="14"/>
                    <w:rPr>
                      <w:rFonts w:cs="Times New Roman"/>
                    </w:rPr>
                  </w:pPr>
                  <w:r>
                    <w:rPr>
                      <w:rFonts w:hint="eastAsia" w:cs="Times New Roman"/>
                    </w:rPr>
                    <w:t>本项目东北侧2km处</w:t>
                  </w:r>
                </w:p>
              </w:tc>
            </w:tr>
            <w:tr w14:paraId="21767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6" w:type="dxa"/>
                  <w:vAlign w:val="center"/>
                </w:tcPr>
                <w:p w14:paraId="3209963E">
                  <w:pPr>
                    <w:pStyle w:val="14"/>
                    <w:rPr>
                      <w:rFonts w:cs="Times New Roman"/>
                    </w:rPr>
                  </w:pPr>
                  <w:r>
                    <w:rPr>
                      <w:rFonts w:cs="Times New Roman"/>
                    </w:rPr>
                    <w:t>2#</w:t>
                  </w:r>
                </w:p>
              </w:tc>
              <w:tc>
                <w:tcPr>
                  <w:tcW w:w="2552" w:type="dxa"/>
                  <w:vMerge w:val="continue"/>
                  <w:vAlign w:val="center"/>
                </w:tcPr>
                <w:p w14:paraId="34D5976D">
                  <w:pPr>
                    <w:pStyle w:val="14"/>
                    <w:rPr>
                      <w:rFonts w:cs="Times New Roman"/>
                    </w:rPr>
                  </w:pPr>
                </w:p>
              </w:tc>
              <w:tc>
                <w:tcPr>
                  <w:tcW w:w="1809" w:type="dxa"/>
                  <w:vMerge w:val="continue"/>
                  <w:vAlign w:val="center"/>
                </w:tcPr>
                <w:p w14:paraId="011EEE58">
                  <w:pPr>
                    <w:pStyle w:val="14"/>
                    <w:rPr>
                      <w:rFonts w:cs="Times New Roman"/>
                    </w:rPr>
                  </w:pPr>
                </w:p>
              </w:tc>
              <w:tc>
                <w:tcPr>
                  <w:tcW w:w="1809" w:type="dxa"/>
                  <w:vAlign w:val="center"/>
                </w:tcPr>
                <w:p w14:paraId="1AAA4CDC">
                  <w:pPr>
                    <w:pStyle w:val="14"/>
                    <w:rPr>
                      <w:rFonts w:cs="Times New Roman"/>
                      <w:b/>
                    </w:rPr>
                  </w:pPr>
                  <w:r>
                    <w:rPr>
                      <w:rFonts w:hint="eastAsia" w:cs="Times New Roman"/>
                      <w:b/>
                    </w:rPr>
                    <w:t>非甲烷总烃</w:t>
                  </w:r>
                </w:p>
              </w:tc>
              <w:tc>
                <w:tcPr>
                  <w:tcW w:w="1810" w:type="dxa"/>
                  <w:vMerge w:val="continue"/>
                  <w:vAlign w:val="center"/>
                </w:tcPr>
                <w:p w14:paraId="125351D1">
                  <w:pPr>
                    <w:pStyle w:val="14"/>
                    <w:rPr>
                      <w:rFonts w:cs="Times New Roman"/>
                    </w:rPr>
                  </w:pPr>
                </w:p>
              </w:tc>
            </w:tr>
            <w:tr w14:paraId="66E7C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6" w:type="dxa"/>
                  <w:vAlign w:val="center"/>
                </w:tcPr>
                <w:p w14:paraId="59FCA4E9">
                  <w:pPr>
                    <w:pStyle w:val="14"/>
                    <w:rPr>
                      <w:rFonts w:cs="Times New Roman"/>
                    </w:rPr>
                  </w:pPr>
                  <w:r>
                    <w:rPr>
                      <w:rFonts w:hint="eastAsia" w:cs="Times New Roman"/>
                    </w:rPr>
                    <w:t>3#</w:t>
                  </w:r>
                </w:p>
              </w:tc>
              <w:tc>
                <w:tcPr>
                  <w:tcW w:w="2552" w:type="dxa"/>
                  <w:vMerge w:val="continue"/>
                  <w:vAlign w:val="center"/>
                </w:tcPr>
                <w:p w14:paraId="4C4F5AFE">
                  <w:pPr>
                    <w:pStyle w:val="14"/>
                    <w:rPr>
                      <w:rFonts w:cs="Times New Roman"/>
                    </w:rPr>
                  </w:pPr>
                </w:p>
              </w:tc>
              <w:tc>
                <w:tcPr>
                  <w:tcW w:w="1809" w:type="dxa"/>
                  <w:vMerge w:val="continue"/>
                  <w:vAlign w:val="center"/>
                </w:tcPr>
                <w:p w14:paraId="1B62AA6D">
                  <w:pPr>
                    <w:pStyle w:val="14"/>
                    <w:rPr>
                      <w:rFonts w:cs="Times New Roman"/>
                    </w:rPr>
                  </w:pPr>
                </w:p>
              </w:tc>
              <w:tc>
                <w:tcPr>
                  <w:tcW w:w="1809" w:type="dxa"/>
                  <w:vAlign w:val="center"/>
                </w:tcPr>
                <w:p w14:paraId="3330DD82">
                  <w:pPr>
                    <w:pStyle w:val="14"/>
                    <w:rPr>
                      <w:rFonts w:cs="Times New Roman"/>
                    </w:rPr>
                  </w:pPr>
                  <w:r>
                    <w:rPr>
                      <w:rFonts w:hint="eastAsia" w:cs="Times New Roman"/>
                    </w:rPr>
                    <w:t>N</w:t>
                  </w:r>
                  <w:r>
                    <w:rPr>
                      <w:rFonts w:cs="Times New Roman"/>
                    </w:rPr>
                    <w:t>O</w:t>
                  </w:r>
                  <w:r>
                    <w:rPr>
                      <w:rFonts w:hint="eastAsia" w:cs="Times New Roman"/>
                      <w:vertAlign w:val="subscript"/>
                    </w:rPr>
                    <w:t>x</w:t>
                  </w:r>
                </w:p>
              </w:tc>
              <w:tc>
                <w:tcPr>
                  <w:tcW w:w="1810" w:type="dxa"/>
                  <w:vMerge w:val="continue"/>
                  <w:vAlign w:val="center"/>
                </w:tcPr>
                <w:p w14:paraId="74AE89C2">
                  <w:pPr>
                    <w:pStyle w:val="14"/>
                    <w:rPr>
                      <w:rFonts w:cs="Times New Roman"/>
                    </w:rPr>
                  </w:pPr>
                </w:p>
              </w:tc>
            </w:tr>
          </w:tbl>
          <w:p w14:paraId="64C61CED">
            <w:pPr>
              <w:ind w:left="480" w:firstLine="0" w:firstLineChars="0"/>
              <w:rPr>
                <w:rFonts w:cs="Times New Roman"/>
              </w:rPr>
            </w:pPr>
            <w:r>
              <w:rPr>
                <w:rFonts w:cs="Times New Roman"/>
              </w:rPr>
              <w:t>2）现状评价</w:t>
            </w:r>
          </w:p>
          <w:p w14:paraId="1F5092DB">
            <w:pPr>
              <w:ind w:left="480" w:firstLine="0" w:firstLineChars="0"/>
              <w:rPr>
                <w:rFonts w:cs="Times New Roman"/>
                <w:kern w:val="0"/>
                <w:szCs w:val="24"/>
              </w:rPr>
            </w:pPr>
            <w:r>
              <w:rPr>
                <w:rFonts w:cs="Times New Roman"/>
                <w:kern w:val="0"/>
                <w:szCs w:val="24"/>
              </w:rPr>
              <w:t>引用的监测点现状监测值和评价结果见下表。</w:t>
            </w:r>
          </w:p>
          <w:p w14:paraId="711E9E78">
            <w:pPr>
              <w:pStyle w:val="13"/>
              <w:keepNext/>
              <w:ind w:firstLine="480"/>
              <w:rPr>
                <w:rFonts w:cs="Times New Roman"/>
              </w:rPr>
            </w:pPr>
            <w:r>
              <w:rPr>
                <w:rFonts w:cs="Times New Roman"/>
              </w:rPr>
              <w:t xml:space="preserve">表 </w:t>
            </w:r>
            <w:r>
              <w:rPr>
                <w:rFonts w:cs="Times New Roman"/>
              </w:rPr>
              <w:fldChar w:fldCharType="begin"/>
            </w:r>
            <w:r>
              <w:rPr>
                <w:rFonts w:cs="Times New Roman"/>
              </w:rPr>
              <w:instrText xml:space="preserve"> SEQ seq \c </w:instrText>
            </w:r>
            <w:r>
              <w:rPr>
                <w:rFonts w:cs="Times New Roman"/>
              </w:rPr>
              <w:fldChar w:fldCharType="separate"/>
            </w:r>
            <w:r>
              <w:rPr>
                <w:rFonts w:cs="Times New Roman"/>
              </w:rPr>
              <w:t>3</w:t>
            </w:r>
            <w:r>
              <w:rPr>
                <w:rFonts w:cs="Times New Roman"/>
              </w:rPr>
              <w:fldChar w:fldCharType="end"/>
            </w:r>
            <w:r>
              <w:rPr>
                <w:rFonts w:cs="Times New Roman"/>
              </w:rPr>
              <w:noBreakHyphen/>
            </w:r>
            <w:r>
              <w:rPr>
                <w:rFonts w:cs="Times New Roman"/>
              </w:rPr>
              <w:fldChar w:fldCharType="begin"/>
            </w:r>
            <w:r>
              <w:rPr>
                <w:rFonts w:cs="Times New Roman"/>
              </w:rPr>
              <w:instrText xml:space="preserve"> SEQ 表 \* ARABIC \s 1 </w:instrText>
            </w:r>
            <w:r>
              <w:rPr>
                <w:rFonts w:cs="Times New Roman"/>
              </w:rPr>
              <w:fldChar w:fldCharType="separate"/>
            </w:r>
            <w:r>
              <w:rPr>
                <w:rFonts w:cs="Times New Roman"/>
              </w:rPr>
              <w:t>3</w:t>
            </w:r>
            <w:r>
              <w:rPr>
                <w:rFonts w:cs="Times New Roman"/>
              </w:rPr>
              <w:fldChar w:fldCharType="end"/>
            </w:r>
            <w:r>
              <w:rPr>
                <w:rFonts w:cs="Times New Roman"/>
              </w:rPr>
              <w:t xml:space="preserve"> 环境空气质量现状监测结果统计表</w:t>
            </w:r>
            <w:r>
              <w:rPr>
                <w:rFonts w:hint="eastAsia" w:cs="Times New Roman"/>
              </w:rPr>
              <w:t>（日均值）</w:t>
            </w:r>
          </w:p>
          <w:tbl>
            <w:tblPr>
              <w:tblStyle w:val="3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07"/>
              <w:gridCol w:w="1507"/>
              <w:gridCol w:w="1509"/>
              <w:gridCol w:w="1509"/>
              <w:gridCol w:w="1509"/>
              <w:gridCol w:w="1505"/>
            </w:tblGrid>
            <w:tr w14:paraId="6BB2D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833" w:type="pct"/>
                  <w:vAlign w:val="center"/>
                </w:tcPr>
                <w:p w14:paraId="3EB2434D">
                  <w:pPr>
                    <w:pStyle w:val="53"/>
                    <w:rPr>
                      <w:rFonts w:cs="Times New Roman"/>
                    </w:rPr>
                  </w:pPr>
                  <w:r>
                    <w:rPr>
                      <w:rFonts w:cs="Times New Roman"/>
                    </w:rPr>
                    <w:t>监测点位</w:t>
                  </w:r>
                </w:p>
              </w:tc>
              <w:tc>
                <w:tcPr>
                  <w:tcW w:w="833" w:type="pct"/>
                  <w:vAlign w:val="center"/>
                </w:tcPr>
                <w:p w14:paraId="57CCB56A">
                  <w:pPr>
                    <w:pStyle w:val="53"/>
                    <w:rPr>
                      <w:rFonts w:cs="Times New Roman"/>
                    </w:rPr>
                  </w:pPr>
                  <w:r>
                    <w:rPr>
                      <w:rFonts w:cs="Times New Roman"/>
                    </w:rPr>
                    <w:t>监测项目</w:t>
                  </w:r>
                </w:p>
              </w:tc>
              <w:tc>
                <w:tcPr>
                  <w:tcW w:w="834" w:type="pct"/>
                  <w:vAlign w:val="center"/>
                </w:tcPr>
                <w:p w14:paraId="6358988B">
                  <w:pPr>
                    <w:pStyle w:val="53"/>
                    <w:rPr>
                      <w:rFonts w:cs="Times New Roman"/>
                    </w:rPr>
                  </w:pPr>
                  <w:r>
                    <w:rPr>
                      <w:rFonts w:cs="Times New Roman"/>
                    </w:rPr>
                    <w:t>采样时间</w:t>
                  </w:r>
                </w:p>
              </w:tc>
              <w:tc>
                <w:tcPr>
                  <w:tcW w:w="834" w:type="pct"/>
                  <w:vAlign w:val="center"/>
                </w:tcPr>
                <w:p w14:paraId="58E1020F">
                  <w:pPr>
                    <w:pStyle w:val="53"/>
                    <w:rPr>
                      <w:rFonts w:cs="Times New Roman"/>
                    </w:rPr>
                  </w:pPr>
                  <w:r>
                    <w:rPr>
                      <w:rFonts w:cs="Times New Roman"/>
                    </w:rPr>
                    <w:t>监测结果</w:t>
                  </w:r>
                  <w:r>
                    <w:rPr>
                      <w:rFonts w:hint="eastAsia" w:cs="Times New Roman"/>
                    </w:rPr>
                    <w:t>（</w:t>
                  </w:r>
                  <w:bookmarkStart w:id="58" w:name="OLE_LINK278"/>
                  <w:bookmarkStart w:id="59" w:name="OLE_LINK279"/>
                  <w:r>
                    <w:rPr>
                      <w:rFonts w:cs="Times New Roman"/>
                    </w:rPr>
                    <w:t>μ</w:t>
                  </w:r>
                  <w:r>
                    <w:rPr>
                      <w:rFonts w:hint="eastAsia" w:cs="Times New Roman"/>
                    </w:rPr>
                    <w:t>g</w:t>
                  </w:r>
                  <w:bookmarkEnd w:id="58"/>
                  <w:bookmarkEnd w:id="59"/>
                  <w:r>
                    <w:rPr>
                      <w:rFonts w:cs="Times New Roman"/>
                    </w:rPr>
                    <w:t>/m</w:t>
                  </w:r>
                  <w:r>
                    <w:rPr>
                      <w:rFonts w:cs="Times New Roman"/>
                      <w:vertAlign w:val="superscript"/>
                    </w:rPr>
                    <w:t>3</w:t>
                  </w:r>
                  <w:r>
                    <w:rPr>
                      <w:rFonts w:hint="eastAsia" w:cs="Times New Roman"/>
                    </w:rPr>
                    <w:t>）</w:t>
                  </w:r>
                </w:p>
              </w:tc>
              <w:tc>
                <w:tcPr>
                  <w:tcW w:w="834" w:type="pct"/>
                  <w:vAlign w:val="center"/>
                </w:tcPr>
                <w:p w14:paraId="4B18D310">
                  <w:pPr>
                    <w:pStyle w:val="53"/>
                    <w:rPr>
                      <w:rFonts w:cs="Times New Roman"/>
                    </w:rPr>
                  </w:pPr>
                  <w:r>
                    <w:rPr>
                      <w:rFonts w:cs="Times New Roman"/>
                    </w:rPr>
                    <w:t>标准值</w:t>
                  </w:r>
                  <w:r>
                    <w:rPr>
                      <w:rFonts w:hint="eastAsia" w:cs="Times New Roman"/>
                    </w:rPr>
                    <w:t>（</w:t>
                  </w:r>
                  <w:r>
                    <w:rPr>
                      <w:rFonts w:cs="Times New Roman"/>
                    </w:rPr>
                    <w:t>μ</w:t>
                  </w:r>
                  <w:r>
                    <w:rPr>
                      <w:rFonts w:hint="eastAsia" w:cs="Times New Roman"/>
                    </w:rPr>
                    <w:t>g</w:t>
                  </w:r>
                  <w:r>
                    <w:rPr>
                      <w:rFonts w:cs="Times New Roman"/>
                    </w:rPr>
                    <w:t>/m</w:t>
                  </w:r>
                  <w:r>
                    <w:rPr>
                      <w:rFonts w:cs="Times New Roman"/>
                      <w:vertAlign w:val="superscript"/>
                    </w:rPr>
                    <w:t>3</w:t>
                  </w:r>
                  <w:r>
                    <w:rPr>
                      <w:rFonts w:hint="eastAsia" w:cs="Times New Roman"/>
                    </w:rPr>
                    <w:t>）</w:t>
                  </w:r>
                </w:p>
              </w:tc>
              <w:tc>
                <w:tcPr>
                  <w:tcW w:w="832" w:type="pct"/>
                  <w:vAlign w:val="center"/>
                </w:tcPr>
                <w:p w14:paraId="1265EFF2">
                  <w:pPr>
                    <w:pStyle w:val="53"/>
                    <w:rPr>
                      <w:rFonts w:cs="Times New Roman"/>
                    </w:rPr>
                  </w:pPr>
                  <w:r>
                    <w:rPr>
                      <w:rFonts w:cs="Times New Roman"/>
                    </w:rPr>
                    <w:t>达标情况</w:t>
                  </w:r>
                </w:p>
              </w:tc>
            </w:tr>
            <w:tr w14:paraId="79324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3" w:type="pct"/>
                  <w:vMerge w:val="restart"/>
                  <w:vAlign w:val="center"/>
                </w:tcPr>
                <w:p w14:paraId="46D43B70">
                  <w:pPr>
                    <w:pStyle w:val="14"/>
                    <w:rPr>
                      <w:rFonts w:cs="Times New Roman"/>
                    </w:rPr>
                  </w:pPr>
                  <w:r>
                    <w:rPr>
                      <w:rFonts w:hint="eastAsia" w:cs="Times New Roman"/>
                    </w:rPr>
                    <w:t>四川佰思格新材料科技有限公司钠离子电池硬炭负极材料生产项目场地内</w:t>
                  </w:r>
                </w:p>
              </w:tc>
              <w:tc>
                <w:tcPr>
                  <w:tcW w:w="833" w:type="pct"/>
                  <w:vMerge w:val="restart"/>
                  <w:vAlign w:val="center"/>
                </w:tcPr>
                <w:p w14:paraId="56F90E14">
                  <w:pPr>
                    <w:pStyle w:val="14"/>
                    <w:rPr>
                      <w:rFonts w:cs="Times New Roman"/>
                    </w:rPr>
                  </w:pPr>
                  <w:r>
                    <w:rPr>
                      <w:rFonts w:cs="Times New Roman"/>
                    </w:rPr>
                    <w:t>TSP</w:t>
                  </w:r>
                </w:p>
              </w:tc>
              <w:tc>
                <w:tcPr>
                  <w:tcW w:w="834" w:type="pct"/>
                  <w:vAlign w:val="center"/>
                </w:tcPr>
                <w:p w14:paraId="2B9DFFAA">
                  <w:pPr>
                    <w:pStyle w:val="14"/>
                    <w:rPr>
                      <w:rFonts w:cs="Times New Roman"/>
                    </w:rPr>
                  </w:pPr>
                  <w:bookmarkStart w:id="60" w:name="OLE_LINK277"/>
                  <w:bookmarkStart w:id="61" w:name="OLE_LINK276"/>
                  <w:r>
                    <w:rPr>
                      <w:rFonts w:cs="Times New Roman"/>
                    </w:rPr>
                    <w:t>2024.08.09-10</w:t>
                  </w:r>
                  <w:bookmarkEnd w:id="60"/>
                  <w:bookmarkEnd w:id="61"/>
                </w:p>
              </w:tc>
              <w:tc>
                <w:tcPr>
                  <w:tcW w:w="834" w:type="pct"/>
                  <w:vAlign w:val="center"/>
                </w:tcPr>
                <w:p w14:paraId="6765F3E6">
                  <w:pPr>
                    <w:pStyle w:val="14"/>
                    <w:rPr>
                      <w:rFonts w:cs="Times New Roman"/>
                    </w:rPr>
                  </w:pPr>
                  <w:r>
                    <w:rPr>
                      <w:rFonts w:hint="eastAsia" w:cs="Times New Roman"/>
                    </w:rPr>
                    <w:t>1</w:t>
                  </w:r>
                  <w:r>
                    <w:rPr>
                      <w:rFonts w:cs="Times New Roman"/>
                    </w:rPr>
                    <w:t>24</w:t>
                  </w:r>
                </w:p>
              </w:tc>
              <w:tc>
                <w:tcPr>
                  <w:tcW w:w="834" w:type="pct"/>
                  <w:vMerge w:val="restart"/>
                  <w:vAlign w:val="center"/>
                </w:tcPr>
                <w:p w14:paraId="4D4AA1E9">
                  <w:pPr>
                    <w:pStyle w:val="14"/>
                    <w:rPr>
                      <w:rFonts w:cs="Times New Roman"/>
                    </w:rPr>
                  </w:pPr>
                  <w:r>
                    <w:rPr>
                      <w:rFonts w:cs="Times New Roman"/>
                    </w:rPr>
                    <w:t>300</w:t>
                  </w:r>
                </w:p>
              </w:tc>
              <w:tc>
                <w:tcPr>
                  <w:tcW w:w="832" w:type="pct"/>
                  <w:vAlign w:val="center"/>
                </w:tcPr>
                <w:p w14:paraId="43323BF0">
                  <w:pPr>
                    <w:pStyle w:val="14"/>
                    <w:rPr>
                      <w:rFonts w:cs="Times New Roman"/>
                    </w:rPr>
                  </w:pPr>
                  <w:bookmarkStart w:id="62" w:name="OLE_LINK180"/>
                  <w:bookmarkStart w:id="63" w:name="OLE_LINK181"/>
                  <w:r>
                    <w:rPr>
                      <w:rFonts w:cs="Times New Roman"/>
                    </w:rPr>
                    <w:t>达标</w:t>
                  </w:r>
                  <w:bookmarkEnd w:id="62"/>
                  <w:bookmarkEnd w:id="63"/>
                </w:p>
              </w:tc>
            </w:tr>
            <w:tr w14:paraId="1D8E6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3" w:type="pct"/>
                  <w:vMerge w:val="continue"/>
                  <w:vAlign w:val="center"/>
                </w:tcPr>
                <w:p w14:paraId="19CBE754">
                  <w:pPr>
                    <w:pStyle w:val="14"/>
                    <w:rPr>
                      <w:rFonts w:cs="Times New Roman"/>
                    </w:rPr>
                  </w:pPr>
                </w:p>
              </w:tc>
              <w:tc>
                <w:tcPr>
                  <w:tcW w:w="833" w:type="pct"/>
                  <w:vMerge w:val="continue"/>
                  <w:vAlign w:val="center"/>
                </w:tcPr>
                <w:p w14:paraId="3E763418">
                  <w:pPr>
                    <w:pStyle w:val="14"/>
                    <w:rPr>
                      <w:rFonts w:cs="Times New Roman"/>
                    </w:rPr>
                  </w:pPr>
                </w:p>
              </w:tc>
              <w:tc>
                <w:tcPr>
                  <w:tcW w:w="834" w:type="pct"/>
                </w:tcPr>
                <w:p w14:paraId="57B9477F">
                  <w:pPr>
                    <w:pStyle w:val="14"/>
                    <w:rPr>
                      <w:rFonts w:cs="Times New Roman"/>
                    </w:rPr>
                  </w:pPr>
                  <w:r>
                    <w:rPr>
                      <w:rFonts w:cs="Times New Roman"/>
                    </w:rPr>
                    <w:t>2024.08.10-11</w:t>
                  </w:r>
                </w:p>
              </w:tc>
              <w:tc>
                <w:tcPr>
                  <w:tcW w:w="834" w:type="pct"/>
                  <w:vAlign w:val="center"/>
                </w:tcPr>
                <w:p w14:paraId="79F8B79D">
                  <w:pPr>
                    <w:pStyle w:val="14"/>
                    <w:rPr>
                      <w:rFonts w:cs="Times New Roman"/>
                    </w:rPr>
                  </w:pPr>
                  <w:r>
                    <w:rPr>
                      <w:rFonts w:hint="eastAsia" w:cs="Times New Roman"/>
                    </w:rPr>
                    <w:t>1</w:t>
                  </w:r>
                  <w:r>
                    <w:rPr>
                      <w:rFonts w:cs="Times New Roman"/>
                    </w:rPr>
                    <w:t>23</w:t>
                  </w:r>
                </w:p>
              </w:tc>
              <w:tc>
                <w:tcPr>
                  <w:tcW w:w="834" w:type="pct"/>
                  <w:vMerge w:val="continue"/>
                  <w:vAlign w:val="center"/>
                </w:tcPr>
                <w:p w14:paraId="55A8F220">
                  <w:pPr>
                    <w:pStyle w:val="14"/>
                    <w:rPr>
                      <w:rFonts w:cs="Times New Roman"/>
                    </w:rPr>
                  </w:pPr>
                </w:p>
              </w:tc>
              <w:tc>
                <w:tcPr>
                  <w:tcW w:w="832" w:type="pct"/>
                  <w:vAlign w:val="center"/>
                </w:tcPr>
                <w:p w14:paraId="4D5DABA3">
                  <w:pPr>
                    <w:pStyle w:val="14"/>
                    <w:rPr>
                      <w:rFonts w:cs="Times New Roman"/>
                    </w:rPr>
                  </w:pPr>
                  <w:r>
                    <w:rPr>
                      <w:rFonts w:cs="Times New Roman"/>
                    </w:rPr>
                    <w:t>达标</w:t>
                  </w:r>
                </w:p>
              </w:tc>
            </w:tr>
            <w:tr w14:paraId="754BB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3" w:type="pct"/>
                  <w:vMerge w:val="continue"/>
                  <w:vAlign w:val="center"/>
                </w:tcPr>
                <w:p w14:paraId="7B699332">
                  <w:pPr>
                    <w:pStyle w:val="14"/>
                    <w:rPr>
                      <w:rFonts w:cs="Times New Roman"/>
                    </w:rPr>
                  </w:pPr>
                </w:p>
              </w:tc>
              <w:tc>
                <w:tcPr>
                  <w:tcW w:w="833" w:type="pct"/>
                  <w:vMerge w:val="continue"/>
                  <w:vAlign w:val="center"/>
                </w:tcPr>
                <w:p w14:paraId="1C40CD2B">
                  <w:pPr>
                    <w:pStyle w:val="14"/>
                    <w:rPr>
                      <w:rFonts w:cs="Times New Roman"/>
                    </w:rPr>
                  </w:pPr>
                </w:p>
              </w:tc>
              <w:tc>
                <w:tcPr>
                  <w:tcW w:w="834" w:type="pct"/>
                </w:tcPr>
                <w:p w14:paraId="7D0BA297">
                  <w:pPr>
                    <w:pStyle w:val="14"/>
                    <w:rPr>
                      <w:rFonts w:cs="Times New Roman"/>
                    </w:rPr>
                  </w:pPr>
                  <w:r>
                    <w:rPr>
                      <w:rFonts w:cs="Times New Roman"/>
                    </w:rPr>
                    <w:t>2024.08.11-12</w:t>
                  </w:r>
                </w:p>
              </w:tc>
              <w:tc>
                <w:tcPr>
                  <w:tcW w:w="834" w:type="pct"/>
                  <w:vAlign w:val="center"/>
                </w:tcPr>
                <w:p w14:paraId="42696EFF">
                  <w:pPr>
                    <w:pStyle w:val="14"/>
                    <w:rPr>
                      <w:rFonts w:cs="Times New Roman"/>
                    </w:rPr>
                  </w:pPr>
                  <w:r>
                    <w:rPr>
                      <w:rFonts w:hint="eastAsia" w:cs="Times New Roman"/>
                    </w:rPr>
                    <w:t>1</w:t>
                  </w:r>
                  <w:r>
                    <w:rPr>
                      <w:rFonts w:cs="Times New Roman"/>
                    </w:rPr>
                    <w:t>21</w:t>
                  </w:r>
                </w:p>
              </w:tc>
              <w:tc>
                <w:tcPr>
                  <w:tcW w:w="834" w:type="pct"/>
                  <w:vMerge w:val="continue"/>
                  <w:vAlign w:val="center"/>
                </w:tcPr>
                <w:p w14:paraId="61D3F517">
                  <w:pPr>
                    <w:pStyle w:val="14"/>
                    <w:rPr>
                      <w:rFonts w:cs="Times New Roman"/>
                    </w:rPr>
                  </w:pPr>
                </w:p>
              </w:tc>
              <w:tc>
                <w:tcPr>
                  <w:tcW w:w="832" w:type="pct"/>
                  <w:vAlign w:val="center"/>
                </w:tcPr>
                <w:p w14:paraId="1B6E6600">
                  <w:pPr>
                    <w:pStyle w:val="14"/>
                    <w:rPr>
                      <w:rFonts w:cs="Times New Roman"/>
                    </w:rPr>
                  </w:pPr>
                  <w:r>
                    <w:rPr>
                      <w:rFonts w:cs="Times New Roman"/>
                    </w:rPr>
                    <w:t>达标</w:t>
                  </w:r>
                </w:p>
              </w:tc>
            </w:tr>
            <w:tr w14:paraId="2AAB7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3" w:type="pct"/>
                  <w:vMerge w:val="continue"/>
                  <w:vAlign w:val="center"/>
                </w:tcPr>
                <w:p w14:paraId="75C5FCF0">
                  <w:pPr>
                    <w:pStyle w:val="14"/>
                    <w:rPr>
                      <w:rFonts w:cs="Times New Roman"/>
                    </w:rPr>
                  </w:pPr>
                </w:p>
              </w:tc>
              <w:tc>
                <w:tcPr>
                  <w:tcW w:w="833" w:type="pct"/>
                  <w:vMerge w:val="continue"/>
                  <w:vAlign w:val="center"/>
                </w:tcPr>
                <w:p w14:paraId="478580B1">
                  <w:pPr>
                    <w:pStyle w:val="14"/>
                    <w:rPr>
                      <w:rFonts w:cs="Times New Roman"/>
                    </w:rPr>
                  </w:pPr>
                </w:p>
              </w:tc>
              <w:tc>
                <w:tcPr>
                  <w:tcW w:w="834" w:type="pct"/>
                </w:tcPr>
                <w:p w14:paraId="67A6E9BB">
                  <w:pPr>
                    <w:pStyle w:val="14"/>
                    <w:rPr>
                      <w:rFonts w:cs="Times New Roman"/>
                    </w:rPr>
                  </w:pPr>
                  <w:r>
                    <w:rPr>
                      <w:rFonts w:cs="Times New Roman"/>
                    </w:rPr>
                    <w:t>2024.08.12-13</w:t>
                  </w:r>
                </w:p>
              </w:tc>
              <w:tc>
                <w:tcPr>
                  <w:tcW w:w="834" w:type="pct"/>
                  <w:vAlign w:val="center"/>
                </w:tcPr>
                <w:p w14:paraId="09618633">
                  <w:pPr>
                    <w:pStyle w:val="14"/>
                    <w:rPr>
                      <w:rFonts w:cs="Times New Roman"/>
                    </w:rPr>
                  </w:pPr>
                  <w:r>
                    <w:rPr>
                      <w:rFonts w:hint="eastAsia" w:cs="Times New Roman"/>
                    </w:rPr>
                    <w:t>1</w:t>
                  </w:r>
                  <w:r>
                    <w:rPr>
                      <w:rFonts w:cs="Times New Roman"/>
                    </w:rPr>
                    <w:t>17</w:t>
                  </w:r>
                </w:p>
              </w:tc>
              <w:tc>
                <w:tcPr>
                  <w:tcW w:w="834" w:type="pct"/>
                  <w:vMerge w:val="continue"/>
                  <w:vAlign w:val="center"/>
                </w:tcPr>
                <w:p w14:paraId="7D660F24">
                  <w:pPr>
                    <w:pStyle w:val="14"/>
                    <w:rPr>
                      <w:rFonts w:cs="Times New Roman"/>
                    </w:rPr>
                  </w:pPr>
                </w:p>
              </w:tc>
              <w:tc>
                <w:tcPr>
                  <w:tcW w:w="832" w:type="pct"/>
                  <w:vAlign w:val="center"/>
                </w:tcPr>
                <w:p w14:paraId="4F5FD642">
                  <w:pPr>
                    <w:pStyle w:val="14"/>
                    <w:rPr>
                      <w:rFonts w:cs="Times New Roman"/>
                    </w:rPr>
                  </w:pPr>
                  <w:r>
                    <w:rPr>
                      <w:rFonts w:cs="Times New Roman"/>
                    </w:rPr>
                    <w:t>达标</w:t>
                  </w:r>
                </w:p>
              </w:tc>
            </w:tr>
            <w:tr w14:paraId="0F0A4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3" w:type="pct"/>
                  <w:vMerge w:val="continue"/>
                  <w:vAlign w:val="center"/>
                </w:tcPr>
                <w:p w14:paraId="0F0D5A5C">
                  <w:pPr>
                    <w:pStyle w:val="14"/>
                    <w:rPr>
                      <w:rFonts w:cs="Times New Roman"/>
                    </w:rPr>
                  </w:pPr>
                </w:p>
              </w:tc>
              <w:tc>
                <w:tcPr>
                  <w:tcW w:w="833" w:type="pct"/>
                  <w:vMerge w:val="continue"/>
                  <w:vAlign w:val="center"/>
                </w:tcPr>
                <w:p w14:paraId="0E503F89">
                  <w:pPr>
                    <w:pStyle w:val="14"/>
                    <w:rPr>
                      <w:rFonts w:cs="Times New Roman"/>
                    </w:rPr>
                  </w:pPr>
                </w:p>
              </w:tc>
              <w:tc>
                <w:tcPr>
                  <w:tcW w:w="834" w:type="pct"/>
                </w:tcPr>
                <w:p w14:paraId="37A22284">
                  <w:pPr>
                    <w:pStyle w:val="14"/>
                    <w:rPr>
                      <w:rFonts w:cs="Times New Roman"/>
                    </w:rPr>
                  </w:pPr>
                  <w:r>
                    <w:rPr>
                      <w:rFonts w:cs="Times New Roman"/>
                    </w:rPr>
                    <w:t>2024.08.13-14</w:t>
                  </w:r>
                </w:p>
              </w:tc>
              <w:tc>
                <w:tcPr>
                  <w:tcW w:w="834" w:type="pct"/>
                  <w:vAlign w:val="center"/>
                </w:tcPr>
                <w:p w14:paraId="6213012F">
                  <w:pPr>
                    <w:pStyle w:val="14"/>
                    <w:rPr>
                      <w:rFonts w:cs="Times New Roman"/>
                    </w:rPr>
                  </w:pPr>
                  <w:r>
                    <w:rPr>
                      <w:rFonts w:hint="eastAsia" w:cs="Times New Roman"/>
                    </w:rPr>
                    <w:t>1</w:t>
                  </w:r>
                  <w:r>
                    <w:rPr>
                      <w:rFonts w:cs="Times New Roman"/>
                    </w:rPr>
                    <w:t>21</w:t>
                  </w:r>
                </w:p>
              </w:tc>
              <w:tc>
                <w:tcPr>
                  <w:tcW w:w="834" w:type="pct"/>
                  <w:vMerge w:val="continue"/>
                  <w:vAlign w:val="center"/>
                </w:tcPr>
                <w:p w14:paraId="0E21631C">
                  <w:pPr>
                    <w:pStyle w:val="14"/>
                    <w:rPr>
                      <w:rFonts w:cs="Times New Roman"/>
                    </w:rPr>
                  </w:pPr>
                </w:p>
              </w:tc>
              <w:tc>
                <w:tcPr>
                  <w:tcW w:w="832" w:type="pct"/>
                  <w:vAlign w:val="center"/>
                </w:tcPr>
                <w:p w14:paraId="31E3E664">
                  <w:pPr>
                    <w:pStyle w:val="14"/>
                    <w:rPr>
                      <w:rFonts w:cs="Times New Roman"/>
                    </w:rPr>
                  </w:pPr>
                  <w:r>
                    <w:rPr>
                      <w:rFonts w:cs="Times New Roman"/>
                    </w:rPr>
                    <w:t>达标</w:t>
                  </w:r>
                </w:p>
              </w:tc>
            </w:tr>
            <w:tr w14:paraId="3F674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3" w:type="pct"/>
                  <w:vMerge w:val="continue"/>
                  <w:vAlign w:val="center"/>
                </w:tcPr>
                <w:p w14:paraId="193F1F00">
                  <w:pPr>
                    <w:pStyle w:val="14"/>
                    <w:rPr>
                      <w:rFonts w:cs="Times New Roman"/>
                    </w:rPr>
                  </w:pPr>
                </w:p>
              </w:tc>
              <w:tc>
                <w:tcPr>
                  <w:tcW w:w="833" w:type="pct"/>
                  <w:vMerge w:val="continue"/>
                  <w:vAlign w:val="center"/>
                </w:tcPr>
                <w:p w14:paraId="2594F534">
                  <w:pPr>
                    <w:pStyle w:val="14"/>
                    <w:rPr>
                      <w:rFonts w:cs="Times New Roman"/>
                    </w:rPr>
                  </w:pPr>
                </w:p>
              </w:tc>
              <w:tc>
                <w:tcPr>
                  <w:tcW w:w="834" w:type="pct"/>
                </w:tcPr>
                <w:p w14:paraId="5E8F9A30">
                  <w:pPr>
                    <w:pStyle w:val="14"/>
                    <w:rPr>
                      <w:rFonts w:cs="Times New Roman"/>
                    </w:rPr>
                  </w:pPr>
                  <w:r>
                    <w:rPr>
                      <w:rFonts w:cs="Times New Roman"/>
                    </w:rPr>
                    <w:t>2024.08.14-15</w:t>
                  </w:r>
                </w:p>
              </w:tc>
              <w:tc>
                <w:tcPr>
                  <w:tcW w:w="834" w:type="pct"/>
                  <w:vAlign w:val="center"/>
                </w:tcPr>
                <w:p w14:paraId="461B1C86">
                  <w:pPr>
                    <w:pStyle w:val="14"/>
                    <w:rPr>
                      <w:rFonts w:cs="Times New Roman"/>
                    </w:rPr>
                  </w:pPr>
                  <w:r>
                    <w:rPr>
                      <w:rFonts w:hint="eastAsia" w:cs="Times New Roman"/>
                    </w:rPr>
                    <w:t>1</w:t>
                  </w:r>
                  <w:r>
                    <w:rPr>
                      <w:rFonts w:cs="Times New Roman"/>
                    </w:rPr>
                    <w:t>23</w:t>
                  </w:r>
                </w:p>
              </w:tc>
              <w:tc>
                <w:tcPr>
                  <w:tcW w:w="834" w:type="pct"/>
                  <w:vMerge w:val="continue"/>
                  <w:vAlign w:val="center"/>
                </w:tcPr>
                <w:p w14:paraId="1922088A">
                  <w:pPr>
                    <w:pStyle w:val="14"/>
                    <w:rPr>
                      <w:rFonts w:cs="Times New Roman"/>
                    </w:rPr>
                  </w:pPr>
                </w:p>
              </w:tc>
              <w:tc>
                <w:tcPr>
                  <w:tcW w:w="832" w:type="pct"/>
                  <w:vAlign w:val="center"/>
                </w:tcPr>
                <w:p w14:paraId="49AE5107">
                  <w:pPr>
                    <w:pStyle w:val="14"/>
                    <w:rPr>
                      <w:rFonts w:cs="Times New Roman"/>
                    </w:rPr>
                  </w:pPr>
                  <w:r>
                    <w:rPr>
                      <w:rFonts w:cs="Times New Roman"/>
                    </w:rPr>
                    <w:t>达标</w:t>
                  </w:r>
                </w:p>
              </w:tc>
            </w:tr>
            <w:tr w14:paraId="408C6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3" w:type="pct"/>
                  <w:vMerge w:val="continue"/>
                  <w:vAlign w:val="center"/>
                </w:tcPr>
                <w:p w14:paraId="78A37788">
                  <w:pPr>
                    <w:pStyle w:val="14"/>
                    <w:rPr>
                      <w:rFonts w:cs="Times New Roman"/>
                    </w:rPr>
                  </w:pPr>
                </w:p>
              </w:tc>
              <w:tc>
                <w:tcPr>
                  <w:tcW w:w="833" w:type="pct"/>
                  <w:vMerge w:val="continue"/>
                  <w:vAlign w:val="center"/>
                </w:tcPr>
                <w:p w14:paraId="322D8FB9">
                  <w:pPr>
                    <w:pStyle w:val="14"/>
                    <w:rPr>
                      <w:rFonts w:cs="Times New Roman"/>
                    </w:rPr>
                  </w:pPr>
                </w:p>
              </w:tc>
              <w:tc>
                <w:tcPr>
                  <w:tcW w:w="834" w:type="pct"/>
                </w:tcPr>
                <w:p w14:paraId="18EF74AA">
                  <w:pPr>
                    <w:pStyle w:val="14"/>
                    <w:rPr>
                      <w:rFonts w:cs="Times New Roman"/>
                    </w:rPr>
                  </w:pPr>
                  <w:r>
                    <w:rPr>
                      <w:rFonts w:cs="Times New Roman"/>
                    </w:rPr>
                    <w:t>2024.08.15-16</w:t>
                  </w:r>
                </w:p>
              </w:tc>
              <w:tc>
                <w:tcPr>
                  <w:tcW w:w="834" w:type="pct"/>
                  <w:vAlign w:val="center"/>
                </w:tcPr>
                <w:p w14:paraId="355B6A09">
                  <w:pPr>
                    <w:pStyle w:val="14"/>
                    <w:rPr>
                      <w:rFonts w:cs="Times New Roman"/>
                    </w:rPr>
                  </w:pPr>
                  <w:r>
                    <w:rPr>
                      <w:rFonts w:hint="eastAsia" w:cs="Times New Roman"/>
                    </w:rPr>
                    <w:t>1</w:t>
                  </w:r>
                  <w:r>
                    <w:rPr>
                      <w:rFonts w:cs="Times New Roman"/>
                    </w:rPr>
                    <w:t>21</w:t>
                  </w:r>
                </w:p>
              </w:tc>
              <w:tc>
                <w:tcPr>
                  <w:tcW w:w="834" w:type="pct"/>
                  <w:vMerge w:val="continue"/>
                  <w:vAlign w:val="center"/>
                </w:tcPr>
                <w:p w14:paraId="0EFFB1AA">
                  <w:pPr>
                    <w:pStyle w:val="14"/>
                    <w:rPr>
                      <w:rFonts w:cs="Times New Roman"/>
                    </w:rPr>
                  </w:pPr>
                </w:p>
              </w:tc>
              <w:tc>
                <w:tcPr>
                  <w:tcW w:w="832" w:type="pct"/>
                  <w:vAlign w:val="center"/>
                </w:tcPr>
                <w:p w14:paraId="024F8ACC">
                  <w:pPr>
                    <w:pStyle w:val="14"/>
                    <w:rPr>
                      <w:rFonts w:cs="Times New Roman"/>
                    </w:rPr>
                  </w:pPr>
                  <w:r>
                    <w:rPr>
                      <w:rFonts w:cs="Times New Roman"/>
                    </w:rPr>
                    <w:t>达标</w:t>
                  </w:r>
                </w:p>
              </w:tc>
            </w:tr>
            <w:tr w14:paraId="0EDCC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3" w:type="pct"/>
                  <w:vMerge w:val="continue"/>
                  <w:vAlign w:val="center"/>
                </w:tcPr>
                <w:p w14:paraId="65073BD2">
                  <w:pPr>
                    <w:pStyle w:val="14"/>
                    <w:rPr>
                      <w:rFonts w:cs="Times New Roman"/>
                    </w:rPr>
                  </w:pPr>
                  <w:bookmarkStart w:id="64" w:name="_Hlk208418452"/>
                </w:p>
              </w:tc>
              <w:tc>
                <w:tcPr>
                  <w:tcW w:w="833" w:type="pct"/>
                  <w:vMerge w:val="restart"/>
                  <w:vAlign w:val="center"/>
                </w:tcPr>
                <w:p w14:paraId="618ED296">
                  <w:pPr>
                    <w:pStyle w:val="14"/>
                    <w:rPr>
                      <w:rFonts w:cs="Times New Roman"/>
                    </w:rPr>
                  </w:pPr>
                  <w:r>
                    <w:rPr>
                      <w:rFonts w:hint="eastAsia" w:cs="Times New Roman"/>
                    </w:rPr>
                    <w:t>氮氧化物</w:t>
                  </w:r>
                </w:p>
              </w:tc>
              <w:tc>
                <w:tcPr>
                  <w:tcW w:w="834" w:type="pct"/>
                  <w:vAlign w:val="center"/>
                </w:tcPr>
                <w:p w14:paraId="3F31A287">
                  <w:pPr>
                    <w:pStyle w:val="14"/>
                    <w:rPr>
                      <w:rFonts w:cs="Times New Roman"/>
                    </w:rPr>
                  </w:pPr>
                  <w:r>
                    <w:rPr>
                      <w:rFonts w:cs="Times New Roman"/>
                    </w:rPr>
                    <w:t>2024.08.09-10</w:t>
                  </w:r>
                </w:p>
              </w:tc>
              <w:tc>
                <w:tcPr>
                  <w:tcW w:w="834" w:type="pct"/>
                  <w:vAlign w:val="center"/>
                </w:tcPr>
                <w:p w14:paraId="6E34ED4E">
                  <w:pPr>
                    <w:pStyle w:val="14"/>
                    <w:rPr>
                      <w:rFonts w:cs="Times New Roman"/>
                    </w:rPr>
                  </w:pPr>
                  <w:r>
                    <w:rPr>
                      <w:rFonts w:hint="eastAsia" w:cs="Times New Roman"/>
                    </w:rPr>
                    <w:t>3</w:t>
                  </w:r>
                  <w:r>
                    <w:rPr>
                      <w:rFonts w:cs="Times New Roman"/>
                    </w:rPr>
                    <w:t>2</w:t>
                  </w:r>
                </w:p>
              </w:tc>
              <w:tc>
                <w:tcPr>
                  <w:tcW w:w="834" w:type="pct"/>
                  <w:vMerge w:val="restart"/>
                  <w:vAlign w:val="center"/>
                </w:tcPr>
                <w:p w14:paraId="7F80C87C">
                  <w:pPr>
                    <w:pStyle w:val="14"/>
                    <w:rPr>
                      <w:rFonts w:cs="Times New Roman"/>
                    </w:rPr>
                  </w:pPr>
                  <w:r>
                    <w:rPr>
                      <w:rFonts w:hint="eastAsia" w:cs="Times New Roman"/>
                    </w:rPr>
                    <w:t>1</w:t>
                  </w:r>
                  <w:r>
                    <w:rPr>
                      <w:rFonts w:cs="Times New Roman"/>
                    </w:rPr>
                    <w:t>00</w:t>
                  </w:r>
                </w:p>
              </w:tc>
              <w:tc>
                <w:tcPr>
                  <w:tcW w:w="832" w:type="pct"/>
                  <w:vAlign w:val="center"/>
                </w:tcPr>
                <w:p w14:paraId="0A9846B2">
                  <w:pPr>
                    <w:pStyle w:val="14"/>
                    <w:rPr>
                      <w:rFonts w:cs="Times New Roman"/>
                    </w:rPr>
                  </w:pPr>
                  <w:r>
                    <w:rPr>
                      <w:rFonts w:cs="Times New Roman"/>
                    </w:rPr>
                    <w:t>达标</w:t>
                  </w:r>
                </w:p>
              </w:tc>
            </w:tr>
            <w:tr w14:paraId="5F801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3" w:type="pct"/>
                  <w:vMerge w:val="continue"/>
                  <w:vAlign w:val="center"/>
                </w:tcPr>
                <w:p w14:paraId="45FFE238">
                  <w:pPr>
                    <w:pStyle w:val="14"/>
                    <w:rPr>
                      <w:rFonts w:cs="Times New Roman"/>
                    </w:rPr>
                  </w:pPr>
                </w:p>
              </w:tc>
              <w:tc>
                <w:tcPr>
                  <w:tcW w:w="833" w:type="pct"/>
                  <w:vMerge w:val="continue"/>
                  <w:vAlign w:val="center"/>
                </w:tcPr>
                <w:p w14:paraId="0496514B">
                  <w:pPr>
                    <w:pStyle w:val="14"/>
                    <w:rPr>
                      <w:rFonts w:cs="Times New Roman"/>
                    </w:rPr>
                  </w:pPr>
                </w:p>
              </w:tc>
              <w:tc>
                <w:tcPr>
                  <w:tcW w:w="834" w:type="pct"/>
                </w:tcPr>
                <w:p w14:paraId="15B960A6">
                  <w:pPr>
                    <w:pStyle w:val="14"/>
                    <w:rPr>
                      <w:rFonts w:cs="Times New Roman"/>
                    </w:rPr>
                  </w:pPr>
                  <w:r>
                    <w:rPr>
                      <w:rFonts w:cs="Times New Roman"/>
                    </w:rPr>
                    <w:t>2024.08.10-11</w:t>
                  </w:r>
                </w:p>
              </w:tc>
              <w:tc>
                <w:tcPr>
                  <w:tcW w:w="834" w:type="pct"/>
                  <w:vAlign w:val="center"/>
                </w:tcPr>
                <w:p w14:paraId="03BD6ED7">
                  <w:pPr>
                    <w:pStyle w:val="14"/>
                    <w:rPr>
                      <w:rFonts w:cs="Times New Roman"/>
                    </w:rPr>
                  </w:pPr>
                  <w:r>
                    <w:rPr>
                      <w:rFonts w:hint="eastAsia" w:cs="Times New Roman"/>
                    </w:rPr>
                    <w:t>3</w:t>
                  </w:r>
                  <w:r>
                    <w:rPr>
                      <w:rFonts w:cs="Times New Roman"/>
                    </w:rPr>
                    <w:t>1</w:t>
                  </w:r>
                </w:p>
              </w:tc>
              <w:tc>
                <w:tcPr>
                  <w:tcW w:w="834" w:type="pct"/>
                  <w:vMerge w:val="continue"/>
                  <w:vAlign w:val="center"/>
                </w:tcPr>
                <w:p w14:paraId="1551D9DE">
                  <w:pPr>
                    <w:pStyle w:val="14"/>
                    <w:rPr>
                      <w:rFonts w:cs="Times New Roman"/>
                    </w:rPr>
                  </w:pPr>
                </w:p>
              </w:tc>
              <w:tc>
                <w:tcPr>
                  <w:tcW w:w="832" w:type="pct"/>
                  <w:vAlign w:val="center"/>
                </w:tcPr>
                <w:p w14:paraId="001FD020">
                  <w:pPr>
                    <w:pStyle w:val="14"/>
                    <w:rPr>
                      <w:rFonts w:cs="Times New Roman"/>
                    </w:rPr>
                  </w:pPr>
                  <w:r>
                    <w:rPr>
                      <w:rFonts w:cs="Times New Roman"/>
                    </w:rPr>
                    <w:t>达标</w:t>
                  </w:r>
                </w:p>
              </w:tc>
            </w:tr>
            <w:tr w14:paraId="2273D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3" w:type="pct"/>
                  <w:vMerge w:val="continue"/>
                  <w:vAlign w:val="center"/>
                </w:tcPr>
                <w:p w14:paraId="4F1DC6A0">
                  <w:pPr>
                    <w:pStyle w:val="14"/>
                    <w:rPr>
                      <w:rFonts w:cs="Times New Roman"/>
                    </w:rPr>
                  </w:pPr>
                </w:p>
              </w:tc>
              <w:tc>
                <w:tcPr>
                  <w:tcW w:w="833" w:type="pct"/>
                  <w:vMerge w:val="continue"/>
                  <w:vAlign w:val="center"/>
                </w:tcPr>
                <w:p w14:paraId="4459D3B9">
                  <w:pPr>
                    <w:pStyle w:val="14"/>
                    <w:rPr>
                      <w:rFonts w:cs="Times New Roman"/>
                    </w:rPr>
                  </w:pPr>
                </w:p>
              </w:tc>
              <w:tc>
                <w:tcPr>
                  <w:tcW w:w="834" w:type="pct"/>
                </w:tcPr>
                <w:p w14:paraId="451C33C1">
                  <w:pPr>
                    <w:pStyle w:val="14"/>
                    <w:rPr>
                      <w:rFonts w:cs="Times New Roman"/>
                    </w:rPr>
                  </w:pPr>
                  <w:r>
                    <w:rPr>
                      <w:rFonts w:cs="Times New Roman"/>
                    </w:rPr>
                    <w:t>2024.08.11-12</w:t>
                  </w:r>
                </w:p>
              </w:tc>
              <w:tc>
                <w:tcPr>
                  <w:tcW w:w="834" w:type="pct"/>
                  <w:vAlign w:val="center"/>
                </w:tcPr>
                <w:p w14:paraId="65FA3AE5">
                  <w:pPr>
                    <w:pStyle w:val="14"/>
                    <w:rPr>
                      <w:rFonts w:cs="Times New Roman"/>
                    </w:rPr>
                  </w:pPr>
                  <w:r>
                    <w:rPr>
                      <w:rFonts w:hint="eastAsia" w:cs="Times New Roman"/>
                    </w:rPr>
                    <w:t>2</w:t>
                  </w:r>
                  <w:r>
                    <w:rPr>
                      <w:rFonts w:cs="Times New Roman"/>
                    </w:rPr>
                    <w:t>9</w:t>
                  </w:r>
                </w:p>
              </w:tc>
              <w:tc>
                <w:tcPr>
                  <w:tcW w:w="834" w:type="pct"/>
                  <w:vMerge w:val="continue"/>
                  <w:vAlign w:val="center"/>
                </w:tcPr>
                <w:p w14:paraId="4BB23D7B">
                  <w:pPr>
                    <w:pStyle w:val="14"/>
                    <w:rPr>
                      <w:rFonts w:cs="Times New Roman"/>
                    </w:rPr>
                  </w:pPr>
                </w:p>
              </w:tc>
              <w:tc>
                <w:tcPr>
                  <w:tcW w:w="832" w:type="pct"/>
                  <w:vAlign w:val="center"/>
                </w:tcPr>
                <w:p w14:paraId="0FED6CCE">
                  <w:pPr>
                    <w:pStyle w:val="14"/>
                    <w:rPr>
                      <w:rFonts w:cs="Times New Roman"/>
                    </w:rPr>
                  </w:pPr>
                  <w:r>
                    <w:rPr>
                      <w:rFonts w:cs="Times New Roman"/>
                    </w:rPr>
                    <w:t>达标</w:t>
                  </w:r>
                </w:p>
              </w:tc>
            </w:tr>
            <w:tr w14:paraId="7CE1A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3" w:type="pct"/>
                  <w:vMerge w:val="continue"/>
                  <w:vAlign w:val="center"/>
                </w:tcPr>
                <w:p w14:paraId="51B88DF9">
                  <w:pPr>
                    <w:pStyle w:val="14"/>
                    <w:rPr>
                      <w:rFonts w:cs="Times New Roman"/>
                    </w:rPr>
                  </w:pPr>
                </w:p>
              </w:tc>
              <w:tc>
                <w:tcPr>
                  <w:tcW w:w="833" w:type="pct"/>
                  <w:vMerge w:val="continue"/>
                  <w:vAlign w:val="center"/>
                </w:tcPr>
                <w:p w14:paraId="302B6672">
                  <w:pPr>
                    <w:pStyle w:val="14"/>
                    <w:rPr>
                      <w:rFonts w:cs="Times New Roman"/>
                    </w:rPr>
                  </w:pPr>
                </w:p>
              </w:tc>
              <w:tc>
                <w:tcPr>
                  <w:tcW w:w="834" w:type="pct"/>
                </w:tcPr>
                <w:p w14:paraId="0C05E6DA">
                  <w:pPr>
                    <w:pStyle w:val="14"/>
                    <w:rPr>
                      <w:rFonts w:cs="Times New Roman"/>
                    </w:rPr>
                  </w:pPr>
                  <w:r>
                    <w:rPr>
                      <w:rFonts w:cs="Times New Roman"/>
                    </w:rPr>
                    <w:t>2024.08.12-13</w:t>
                  </w:r>
                </w:p>
              </w:tc>
              <w:tc>
                <w:tcPr>
                  <w:tcW w:w="834" w:type="pct"/>
                  <w:vAlign w:val="center"/>
                </w:tcPr>
                <w:p w14:paraId="5975FEF4">
                  <w:pPr>
                    <w:pStyle w:val="14"/>
                    <w:rPr>
                      <w:rFonts w:cs="Times New Roman"/>
                    </w:rPr>
                  </w:pPr>
                  <w:r>
                    <w:rPr>
                      <w:rFonts w:hint="eastAsia" w:cs="Times New Roman"/>
                    </w:rPr>
                    <w:t>2</w:t>
                  </w:r>
                  <w:r>
                    <w:rPr>
                      <w:rFonts w:cs="Times New Roman"/>
                    </w:rPr>
                    <w:t>8</w:t>
                  </w:r>
                </w:p>
              </w:tc>
              <w:tc>
                <w:tcPr>
                  <w:tcW w:w="834" w:type="pct"/>
                  <w:vMerge w:val="continue"/>
                  <w:vAlign w:val="center"/>
                </w:tcPr>
                <w:p w14:paraId="1EC2B49A">
                  <w:pPr>
                    <w:pStyle w:val="14"/>
                    <w:rPr>
                      <w:rFonts w:cs="Times New Roman"/>
                    </w:rPr>
                  </w:pPr>
                </w:p>
              </w:tc>
              <w:tc>
                <w:tcPr>
                  <w:tcW w:w="832" w:type="pct"/>
                  <w:vAlign w:val="center"/>
                </w:tcPr>
                <w:p w14:paraId="2E97493E">
                  <w:pPr>
                    <w:pStyle w:val="14"/>
                    <w:rPr>
                      <w:rFonts w:cs="Times New Roman"/>
                    </w:rPr>
                  </w:pPr>
                  <w:r>
                    <w:rPr>
                      <w:rFonts w:cs="Times New Roman"/>
                    </w:rPr>
                    <w:t>达标</w:t>
                  </w:r>
                </w:p>
              </w:tc>
            </w:tr>
            <w:tr w14:paraId="23C37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3" w:type="pct"/>
                  <w:vMerge w:val="continue"/>
                  <w:vAlign w:val="center"/>
                </w:tcPr>
                <w:p w14:paraId="78A10127">
                  <w:pPr>
                    <w:pStyle w:val="14"/>
                    <w:rPr>
                      <w:rFonts w:cs="Times New Roman"/>
                    </w:rPr>
                  </w:pPr>
                </w:p>
              </w:tc>
              <w:tc>
                <w:tcPr>
                  <w:tcW w:w="833" w:type="pct"/>
                  <w:vMerge w:val="continue"/>
                  <w:vAlign w:val="center"/>
                </w:tcPr>
                <w:p w14:paraId="53B6257C">
                  <w:pPr>
                    <w:pStyle w:val="14"/>
                    <w:rPr>
                      <w:rFonts w:cs="Times New Roman"/>
                    </w:rPr>
                  </w:pPr>
                </w:p>
              </w:tc>
              <w:tc>
                <w:tcPr>
                  <w:tcW w:w="834" w:type="pct"/>
                </w:tcPr>
                <w:p w14:paraId="0DC8EAAE">
                  <w:pPr>
                    <w:pStyle w:val="14"/>
                    <w:rPr>
                      <w:rFonts w:cs="Times New Roman"/>
                    </w:rPr>
                  </w:pPr>
                  <w:r>
                    <w:rPr>
                      <w:rFonts w:cs="Times New Roman"/>
                    </w:rPr>
                    <w:t>2024.08.13-14</w:t>
                  </w:r>
                </w:p>
              </w:tc>
              <w:tc>
                <w:tcPr>
                  <w:tcW w:w="834" w:type="pct"/>
                  <w:vAlign w:val="center"/>
                </w:tcPr>
                <w:p w14:paraId="6FDFC683">
                  <w:pPr>
                    <w:pStyle w:val="14"/>
                    <w:rPr>
                      <w:rFonts w:cs="Times New Roman"/>
                    </w:rPr>
                  </w:pPr>
                  <w:r>
                    <w:rPr>
                      <w:rFonts w:hint="eastAsia" w:cs="Times New Roman"/>
                    </w:rPr>
                    <w:t>3</w:t>
                  </w:r>
                  <w:r>
                    <w:rPr>
                      <w:rFonts w:cs="Times New Roman"/>
                    </w:rPr>
                    <w:t>2</w:t>
                  </w:r>
                </w:p>
              </w:tc>
              <w:tc>
                <w:tcPr>
                  <w:tcW w:w="834" w:type="pct"/>
                  <w:vMerge w:val="continue"/>
                  <w:vAlign w:val="center"/>
                </w:tcPr>
                <w:p w14:paraId="76CF7D5B">
                  <w:pPr>
                    <w:pStyle w:val="14"/>
                    <w:rPr>
                      <w:rFonts w:cs="Times New Roman"/>
                    </w:rPr>
                  </w:pPr>
                </w:p>
              </w:tc>
              <w:tc>
                <w:tcPr>
                  <w:tcW w:w="832" w:type="pct"/>
                  <w:vAlign w:val="center"/>
                </w:tcPr>
                <w:p w14:paraId="1109104F">
                  <w:pPr>
                    <w:pStyle w:val="14"/>
                    <w:rPr>
                      <w:rFonts w:cs="Times New Roman"/>
                    </w:rPr>
                  </w:pPr>
                  <w:r>
                    <w:rPr>
                      <w:rFonts w:cs="Times New Roman"/>
                    </w:rPr>
                    <w:t>达标</w:t>
                  </w:r>
                </w:p>
              </w:tc>
            </w:tr>
            <w:tr w14:paraId="16072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3" w:type="pct"/>
                  <w:vMerge w:val="continue"/>
                  <w:vAlign w:val="center"/>
                </w:tcPr>
                <w:p w14:paraId="1BD6DA73">
                  <w:pPr>
                    <w:pStyle w:val="14"/>
                    <w:rPr>
                      <w:rFonts w:cs="Times New Roman"/>
                    </w:rPr>
                  </w:pPr>
                </w:p>
              </w:tc>
              <w:tc>
                <w:tcPr>
                  <w:tcW w:w="833" w:type="pct"/>
                  <w:vMerge w:val="continue"/>
                  <w:vAlign w:val="center"/>
                </w:tcPr>
                <w:p w14:paraId="1C8725C0">
                  <w:pPr>
                    <w:pStyle w:val="14"/>
                    <w:rPr>
                      <w:rFonts w:cs="Times New Roman"/>
                    </w:rPr>
                  </w:pPr>
                </w:p>
              </w:tc>
              <w:tc>
                <w:tcPr>
                  <w:tcW w:w="834" w:type="pct"/>
                </w:tcPr>
                <w:p w14:paraId="07C00488">
                  <w:pPr>
                    <w:pStyle w:val="14"/>
                    <w:rPr>
                      <w:rFonts w:cs="Times New Roman"/>
                    </w:rPr>
                  </w:pPr>
                  <w:r>
                    <w:rPr>
                      <w:rFonts w:cs="Times New Roman"/>
                    </w:rPr>
                    <w:t>2024.08.14-15</w:t>
                  </w:r>
                </w:p>
              </w:tc>
              <w:tc>
                <w:tcPr>
                  <w:tcW w:w="834" w:type="pct"/>
                  <w:vAlign w:val="center"/>
                </w:tcPr>
                <w:p w14:paraId="6C7A7759">
                  <w:pPr>
                    <w:pStyle w:val="14"/>
                    <w:rPr>
                      <w:rFonts w:cs="Times New Roman"/>
                    </w:rPr>
                  </w:pPr>
                  <w:r>
                    <w:rPr>
                      <w:rFonts w:hint="eastAsia" w:cs="Times New Roman"/>
                    </w:rPr>
                    <w:t>3</w:t>
                  </w:r>
                  <w:r>
                    <w:rPr>
                      <w:rFonts w:cs="Times New Roman"/>
                    </w:rPr>
                    <w:t>5</w:t>
                  </w:r>
                </w:p>
              </w:tc>
              <w:tc>
                <w:tcPr>
                  <w:tcW w:w="834" w:type="pct"/>
                  <w:vMerge w:val="continue"/>
                  <w:vAlign w:val="center"/>
                </w:tcPr>
                <w:p w14:paraId="31417609">
                  <w:pPr>
                    <w:pStyle w:val="14"/>
                    <w:rPr>
                      <w:rFonts w:cs="Times New Roman"/>
                    </w:rPr>
                  </w:pPr>
                </w:p>
              </w:tc>
              <w:tc>
                <w:tcPr>
                  <w:tcW w:w="832" w:type="pct"/>
                  <w:vAlign w:val="center"/>
                </w:tcPr>
                <w:p w14:paraId="375A15E8">
                  <w:pPr>
                    <w:pStyle w:val="14"/>
                    <w:rPr>
                      <w:rFonts w:cs="Times New Roman"/>
                    </w:rPr>
                  </w:pPr>
                  <w:r>
                    <w:rPr>
                      <w:rFonts w:cs="Times New Roman"/>
                    </w:rPr>
                    <w:t>达标</w:t>
                  </w:r>
                </w:p>
              </w:tc>
            </w:tr>
            <w:tr w14:paraId="2A149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3" w:type="pct"/>
                  <w:vMerge w:val="continue"/>
                  <w:vAlign w:val="center"/>
                </w:tcPr>
                <w:p w14:paraId="2BAC20DD">
                  <w:pPr>
                    <w:pStyle w:val="14"/>
                    <w:rPr>
                      <w:rFonts w:cs="Times New Roman"/>
                    </w:rPr>
                  </w:pPr>
                </w:p>
              </w:tc>
              <w:tc>
                <w:tcPr>
                  <w:tcW w:w="833" w:type="pct"/>
                  <w:vMerge w:val="continue"/>
                  <w:vAlign w:val="center"/>
                </w:tcPr>
                <w:p w14:paraId="05757E21">
                  <w:pPr>
                    <w:pStyle w:val="14"/>
                    <w:rPr>
                      <w:rFonts w:cs="Times New Roman"/>
                    </w:rPr>
                  </w:pPr>
                </w:p>
              </w:tc>
              <w:tc>
                <w:tcPr>
                  <w:tcW w:w="834" w:type="pct"/>
                </w:tcPr>
                <w:p w14:paraId="0774622D">
                  <w:pPr>
                    <w:pStyle w:val="14"/>
                    <w:rPr>
                      <w:rFonts w:cs="Times New Roman"/>
                    </w:rPr>
                  </w:pPr>
                  <w:r>
                    <w:rPr>
                      <w:rFonts w:cs="Times New Roman"/>
                    </w:rPr>
                    <w:t>2024.08.15-16</w:t>
                  </w:r>
                </w:p>
              </w:tc>
              <w:tc>
                <w:tcPr>
                  <w:tcW w:w="834" w:type="pct"/>
                  <w:vAlign w:val="center"/>
                </w:tcPr>
                <w:p w14:paraId="16E715F1">
                  <w:pPr>
                    <w:pStyle w:val="14"/>
                    <w:rPr>
                      <w:rFonts w:cs="Times New Roman"/>
                    </w:rPr>
                  </w:pPr>
                  <w:r>
                    <w:rPr>
                      <w:rFonts w:hint="eastAsia" w:cs="Times New Roman"/>
                    </w:rPr>
                    <w:t>3</w:t>
                  </w:r>
                  <w:r>
                    <w:rPr>
                      <w:rFonts w:cs="Times New Roman"/>
                    </w:rPr>
                    <w:t>2</w:t>
                  </w:r>
                </w:p>
              </w:tc>
              <w:tc>
                <w:tcPr>
                  <w:tcW w:w="834" w:type="pct"/>
                  <w:vMerge w:val="continue"/>
                  <w:vAlign w:val="center"/>
                </w:tcPr>
                <w:p w14:paraId="3A417DDE">
                  <w:pPr>
                    <w:pStyle w:val="14"/>
                    <w:rPr>
                      <w:rFonts w:cs="Times New Roman"/>
                    </w:rPr>
                  </w:pPr>
                </w:p>
              </w:tc>
              <w:tc>
                <w:tcPr>
                  <w:tcW w:w="832" w:type="pct"/>
                  <w:vAlign w:val="center"/>
                </w:tcPr>
                <w:p w14:paraId="7D8673C7">
                  <w:pPr>
                    <w:pStyle w:val="14"/>
                    <w:rPr>
                      <w:rFonts w:cs="Times New Roman"/>
                    </w:rPr>
                  </w:pPr>
                  <w:r>
                    <w:rPr>
                      <w:rFonts w:cs="Times New Roman"/>
                    </w:rPr>
                    <w:t>达标</w:t>
                  </w:r>
                </w:p>
              </w:tc>
            </w:tr>
            <w:bookmarkEnd w:id="64"/>
          </w:tbl>
          <w:p w14:paraId="73686DD9">
            <w:pPr>
              <w:pStyle w:val="13"/>
              <w:keepNext/>
              <w:ind w:firstLine="480"/>
              <w:rPr>
                <w:rFonts w:cs="Times New Roman"/>
              </w:rPr>
            </w:pPr>
            <w:r>
              <w:rPr>
                <w:rFonts w:cs="Times New Roman"/>
              </w:rPr>
              <w:t xml:space="preserve">表 </w:t>
            </w:r>
            <w:r>
              <w:rPr>
                <w:rFonts w:cs="Times New Roman"/>
              </w:rPr>
              <w:fldChar w:fldCharType="begin"/>
            </w:r>
            <w:r>
              <w:rPr>
                <w:rFonts w:cs="Times New Roman"/>
              </w:rPr>
              <w:instrText xml:space="preserve"> SEQ seq \c </w:instrText>
            </w:r>
            <w:r>
              <w:rPr>
                <w:rFonts w:cs="Times New Roman"/>
              </w:rPr>
              <w:fldChar w:fldCharType="separate"/>
            </w:r>
            <w:r>
              <w:rPr>
                <w:rFonts w:cs="Times New Roman"/>
              </w:rPr>
              <w:t>3</w:t>
            </w:r>
            <w:r>
              <w:rPr>
                <w:rFonts w:cs="Times New Roman"/>
              </w:rPr>
              <w:fldChar w:fldCharType="end"/>
            </w:r>
            <w:r>
              <w:rPr>
                <w:rFonts w:cs="Times New Roman"/>
              </w:rPr>
              <w:noBreakHyphen/>
            </w:r>
            <w:r>
              <w:rPr>
                <w:rFonts w:cs="Times New Roman"/>
              </w:rPr>
              <w:fldChar w:fldCharType="begin"/>
            </w:r>
            <w:r>
              <w:rPr>
                <w:rFonts w:cs="Times New Roman"/>
              </w:rPr>
              <w:instrText xml:space="preserve"> SEQ 表 \* ARABIC \s 1 </w:instrText>
            </w:r>
            <w:r>
              <w:rPr>
                <w:rFonts w:cs="Times New Roman"/>
              </w:rPr>
              <w:fldChar w:fldCharType="separate"/>
            </w:r>
            <w:r>
              <w:rPr>
                <w:rFonts w:cs="Times New Roman"/>
              </w:rPr>
              <w:t>4</w:t>
            </w:r>
            <w:r>
              <w:rPr>
                <w:rFonts w:cs="Times New Roman"/>
              </w:rPr>
              <w:fldChar w:fldCharType="end"/>
            </w:r>
            <w:r>
              <w:rPr>
                <w:rFonts w:cs="Times New Roman"/>
              </w:rPr>
              <w:t xml:space="preserve"> 环境空气质量现状监测结果统计表</w:t>
            </w:r>
            <w:r>
              <w:rPr>
                <w:rFonts w:hint="eastAsia" w:cs="Times New Roman"/>
              </w:rPr>
              <w:t>（小时值）</w:t>
            </w:r>
          </w:p>
          <w:tbl>
            <w:tblPr>
              <w:tblStyle w:val="3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1"/>
              <w:gridCol w:w="650"/>
              <w:gridCol w:w="1496"/>
              <w:gridCol w:w="760"/>
              <w:gridCol w:w="762"/>
              <w:gridCol w:w="760"/>
              <w:gridCol w:w="762"/>
              <w:gridCol w:w="1431"/>
              <w:gridCol w:w="1424"/>
            </w:tblGrid>
            <w:tr w14:paraId="236CD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554" w:type="pct"/>
                  <w:vMerge w:val="restart"/>
                  <w:vAlign w:val="center"/>
                </w:tcPr>
                <w:p w14:paraId="084B0397">
                  <w:pPr>
                    <w:pStyle w:val="53"/>
                    <w:rPr>
                      <w:rFonts w:cs="Times New Roman"/>
                    </w:rPr>
                  </w:pPr>
                  <w:r>
                    <w:rPr>
                      <w:rFonts w:cs="Times New Roman"/>
                    </w:rPr>
                    <w:t>监测点位</w:t>
                  </w:r>
                </w:p>
              </w:tc>
              <w:tc>
                <w:tcPr>
                  <w:tcW w:w="359" w:type="pct"/>
                  <w:vMerge w:val="restart"/>
                  <w:vAlign w:val="center"/>
                </w:tcPr>
                <w:p w14:paraId="40D55EBE">
                  <w:pPr>
                    <w:pStyle w:val="53"/>
                    <w:rPr>
                      <w:rFonts w:cs="Times New Roman"/>
                    </w:rPr>
                  </w:pPr>
                  <w:r>
                    <w:rPr>
                      <w:rFonts w:cs="Times New Roman"/>
                    </w:rPr>
                    <w:t>监测项目</w:t>
                  </w:r>
                </w:p>
              </w:tc>
              <w:tc>
                <w:tcPr>
                  <w:tcW w:w="827" w:type="pct"/>
                  <w:vMerge w:val="restart"/>
                  <w:vAlign w:val="center"/>
                </w:tcPr>
                <w:p w14:paraId="54A08347">
                  <w:pPr>
                    <w:pStyle w:val="53"/>
                    <w:rPr>
                      <w:rFonts w:cs="Times New Roman"/>
                    </w:rPr>
                  </w:pPr>
                  <w:r>
                    <w:rPr>
                      <w:rFonts w:hint="eastAsia" w:cs="Times New Roman"/>
                    </w:rPr>
                    <w:t>检测日期</w:t>
                  </w:r>
                </w:p>
              </w:tc>
              <w:tc>
                <w:tcPr>
                  <w:tcW w:w="1681" w:type="pct"/>
                  <w:gridSpan w:val="4"/>
                  <w:vAlign w:val="center"/>
                </w:tcPr>
                <w:p w14:paraId="2CD915FB">
                  <w:pPr>
                    <w:pStyle w:val="53"/>
                    <w:rPr>
                      <w:rFonts w:cs="Times New Roman"/>
                    </w:rPr>
                  </w:pPr>
                  <w:r>
                    <w:rPr>
                      <w:rFonts w:cs="Times New Roman"/>
                    </w:rPr>
                    <w:t>监测结果</w:t>
                  </w:r>
                  <w:r>
                    <w:rPr>
                      <w:rFonts w:hint="eastAsia" w:cs="Times New Roman"/>
                    </w:rPr>
                    <w:t>（mg</w:t>
                  </w:r>
                  <w:r>
                    <w:rPr>
                      <w:rFonts w:cs="Times New Roman"/>
                    </w:rPr>
                    <w:t>/m</w:t>
                  </w:r>
                  <w:r>
                    <w:rPr>
                      <w:rFonts w:cs="Times New Roman"/>
                      <w:vertAlign w:val="superscript"/>
                    </w:rPr>
                    <w:t>3</w:t>
                  </w:r>
                  <w:r>
                    <w:rPr>
                      <w:rFonts w:hint="eastAsia" w:cs="Times New Roman"/>
                    </w:rPr>
                    <w:t>）</w:t>
                  </w:r>
                </w:p>
              </w:tc>
              <w:tc>
                <w:tcPr>
                  <w:tcW w:w="791" w:type="pct"/>
                  <w:vMerge w:val="restart"/>
                  <w:vAlign w:val="center"/>
                </w:tcPr>
                <w:p w14:paraId="1F2D1A33">
                  <w:pPr>
                    <w:pStyle w:val="53"/>
                    <w:rPr>
                      <w:rFonts w:cs="Times New Roman"/>
                    </w:rPr>
                  </w:pPr>
                  <w:r>
                    <w:rPr>
                      <w:rFonts w:cs="Times New Roman"/>
                    </w:rPr>
                    <w:t>标准值</w:t>
                  </w:r>
                  <w:r>
                    <w:rPr>
                      <w:rFonts w:hint="eastAsia" w:cs="Times New Roman"/>
                    </w:rPr>
                    <w:t>（</w:t>
                  </w:r>
                  <w:r>
                    <w:rPr>
                      <w:rFonts w:cs="Times New Roman"/>
                    </w:rPr>
                    <w:t>m</w:t>
                  </w:r>
                  <w:r>
                    <w:rPr>
                      <w:rFonts w:hint="eastAsia" w:cs="Times New Roman"/>
                    </w:rPr>
                    <w:t>g</w:t>
                  </w:r>
                  <w:r>
                    <w:rPr>
                      <w:rFonts w:cs="Times New Roman"/>
                    </w:rPr>
                    <w:t>/m</w:t>
                  </w:r>
                  <w:r>
                    <w:rPr>
                      <w:rFonts w:cs="Times New Roman"/>
                      <w:vertAlign w:val="superscript"/>
                    </w:rPr>
                    <w:t>3</w:t>
                  </w:r>
                  <w:r>
                    <w:rPr>
                      <w:rFonts w:hint="eastAsia" w:cs="Times New Roman"/>
                    </w:rPr>
                    <w:t>）</w:t>
                  </w:r>
                </w:p>
              </w:tc>
              <w:tc>
                <w:tcPr>
                  <w:tcW w:w="787" w:type="pct"/>
                  <w:vMerge w:val="restart"/>
                  <w:vAlign w:val="center"/>
                </w:tcPr>
                <w:p w14:paraId="2052CC1A">
                  <w:pPr>
                    <w:pStyle w:val="53"/>
                    <w:rPr>
                      <w:rFonts w:cs="Times New Roman"/>
                    </w:rPr>
                  </w:pPr>
                  <w:r>
                    <w:rPr>
                      <w:rFonts w:cs="Times New Roman"/>
                    </w:rPr>
                    <w:t>达标情况</w:t>
                  </w:r>
                </w:p>
              </w:tc>
            </w:tr>
            <w:tr w14:paraId="15045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554" w:type="pct"/>
                  <w:vMerge w:val="continue"/>
                  <w:vAlign w:val="center"/>
                </w:tcPr>
                <w:p w14:paraId="216A799A">
                  <w:pPr>
                    <w:pStyle w:val="53"/>
                    <w:rPr>
                      <w:rFonts w:cs="Times New Roman"/>
                    </w:rPr>
                  </w:pPr>
                </w:p>
              </w:tc>
              <w:tc>
                <w:tcPr>
                  <w:tcW w:w="359" w:type="pct"/>
                  <w:vMerge w:val="continue"/>
                  <w:vAlign w:val="center"/>
                </w:tcPr>
                <w:p w14:paraId="0CC7BB4D">
                  <w:pPr>
                    <w:pStyle w:val="53"/>
                    <w:rPr>
                      <w:rFonts w:cs="Times New Roman"/>
                    </w:rPr>
                  </w:pPr>
                </w:p>
              </w:tc>
              <w:tc>
                <w:tcPr>
                  <w:tcW w:w="827" w:type="pct"/>
                  <w:vMerge w:val="continue"/>
                  <w:vAlign w:val="center"/>
                </w:tcPr>
                <w:p w14:paraId="65692ED8">
                  <w:pPr>
                    <w:pStyle w:val="53"/>
                    <w:rPr>
                      <w:rFonts w:cs="Times New Roman"/>
                    </w:rPr>
                  </w:pPr>
                </w:p>
              </w:tc>
              <w:tc>
                <w:tcPr>
                  <w:tcW w:w="420" w:type="pct"/>
                  <w:vAlign w:val="center"/>
                </w:tcPr>
                <w:p w14:paraId="0F370550">
                  <w:pPr>
                    <w:pStyle w:val="53"/>
                    <w:rPr>
                      <w:rFonts w:cs="Times New Roman"/>
                    </w:rPr>
                  </w:pPr>
                  <w:r>
                    <w:rPr>
                      <w:rFonts w:hint="eastAsia" w:cs="Times New Roman"/>
                    </w:rPr>
                    <w:t>第一次</w:t>
                  </w:r>
                </w:p>
              </w:tc>
              <w:tc>
                <w:tcPr>
                  <w:tcW w:w="420" w:type="pct"/>
                  <w:vAlign w:val="center"/>
                </w:tcPr>
                <w:p w14:paraId="4CD396AB">
                  <w:pPr>
                    <w:pStyle w:val="53"/>
                    <w:rPr>
                      <w:rFonts w:cs="Times New Roman"/>
                    </w:rPr>
                  </w:pPr>
                  <w:r>
                    <w:rPr>
                      <w:rFonts w:hint="eastAsia" w:cs="Times New Roman"/>
                    </w:rPr>
                    <w:t>第二次</w:t>
                  </w:r>
                </w:p>
              </w:tc>
              <w:tc>
                <w:tcPr>
                  <w:tcW w:w="420" w:type="pct"/>
                  <w:vAlign w:val="center"/>
                </w:tcPr>
                <w:p w14:paraId="6C47F855">
                  <w:pPr>
                    <w:pStyle w:val="53"/>
                    <w:rPr>
                      <w:rFonts w:cs="Times New Roman"/>
                    </w:rPr>
                  </w:pPr>
                  <w:r>
                    <w:rPr>
                      <w:rFonts w:hint="eastAsia" w:cs="Times New Roman"/>
                    </w:rPr>
                    <w:t>第三次</w:t>
                  </w:r>
                </w:p>
              </w:tc>
              <w:tc>
                <w:tcPr>
                  <w:tcW w:w="421" w:type="pct"/>
                  <w:vAlign w:val="center"/>
                </w:tcPr>
                <w:p w14:paraId="200EC965">
                  <w:pPr>
                    <w:pStyle w:val="53"/>
                    <w:rPr>
                      <w:rFonts w:cs="Times New Roman"/>
                    </w:rPr>
                  </w:pPr>
                  <w:r>
                    <w:rPr>
                      <w:rFonts w:hint="eastAsia" w:cs="Times New Roman"/>
                    </w:rPr>
                    <w:t>第四次</w:t>
                  </w:r>
                </w:p>
              </w:tc>
              <w:tc>
                <w:tcPr>
                  <w:tcW w:w="791" w:type="pct"/>
                  <w:vMerge w:val="continue"/>
                  <w:vAlign w:val="center"/>
                </w:tcPr>
                <w:p w14:paraId="7250EC8C">
                  <w:pPr>
                    <w:pStyle w:val="53"/>
                    <w:rPr>
                      <w:rFonts w:cs="Times New Roman"/>
                    </w:rPr>
                  </w:pPr>
                </w:p>
              </w:tc>
              <w:tc>
                <w:tcPr>
                  <w:tcW w:w="787" w:type="pct"/>
                  <w:vMerge w:val="continue"/>
                  <w:vAlign w:val="center"/>
                </w:tcPr>
                <w:p w14:paraId="258FB44B">
                  <w:pPr>
                    <w:pStyle w:val="53"/>
                    <w:rPr>
                      <w:rFonts w:cs="Times New Roman"/>
                    </w:rPr>
                  </w:pPr>
                </w:p>
              </w:tc>
            </w:tr>
            <w:tr w14:paraId="27E90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4" w:type="pct"/>
                  <w:vMerge w:val="restart"/>
                  <w:vAlign w:val="center"/>
                </w:tcPr>
                <w:p w14:paraId="629A8A39">
                  <w:pPr>
                    <w:pStyle w:val="14"/>
                    <w:rPr>
                      <w:rFonts w:cs="Times New Roman"/>
                    </w:rPr>
                  </w:pPr>
                  <w:r>
                    <w:rPr>
                      <w:rFonts w:hint="eastAsia" w:cs="Times New Roman"/>
                    </w:rPr>
                    <w:t>四川佰思格新材料科技有限公司钠离子电池硬炭负极材料生产项目场地内</w:t>
                  </w:r>
                </w:p>
              </w:tc>
              <w:tc>
                <w:tcPr>
                  <w:tcW w:w="359" w:type="pct"/>
                  <w:vMerge w:val="restart"/>
                  <w:vAlign w:val="center"/>
                </w:tcPr>
                <w:p w14:paraId="5DB58B31">
                  <w:pPr>
                    <w:pStyle w:val="14"/>
                    <w:rPr>
                      <w:rFonts w:cs="Times New Roman"/>
                    </w:rPr>
                  </w:pPr>
                  <w:r>
                    <w:rPr>
                      <w:rFonts w:hint="eastAsia" w:cs="Times New Roman"/>
                    </w:rPr>
                    <w:t>非甲烷总烃</w:t>
                  </w:r>
                </w:p>
              </w:tc>
              <w:tc>
                <w:tcPr>
                  <w:tcW w:w="827" w:type="pct"/>
                  <w:vAlign w:val="center"/>
                </w:tcPr>
                <w:p w14:paraId="18A9B284">
                  <w:pPr>
                    <w:pStyle w:val="14"/>
                    <w:rPr>
                      <w:rFonts w:cs="Times New Roman"/>
                    </w:rPr>
                  </w:pPr>
                  <w:r>
                    <w:rPr>
                      <w:rFonts w:cs="Times New Roman"/>
                    </w:rPr>
                    <w:t>2024.08.09-10</w:t>
                  </w:r>
                </w:p>
              </w:tc>
              <w:tc>
                <w:tcPr>
                  <w:tcW w:w="420" w:type="pct"/>
                  <w:vAlign w:val="center"/>
                </w:tcPr>
                <w:p w14:paraId="41323204">
                  <w:pPr>
                    <w:pStyle w:val="14"/>
                    <w:rPr>
                      <w:rFonts w:cs="Times New Roman"/>
                    </w:rPr>
                  </w:pPr>
                  <w:r>
                    <w:rPr>
                      <w:rFonts w:cs="Times New Roman"/>
                    </w:rPr>
                    <w:t>0.75</w:t>
                  </w:r>
                </w:p>
              </w:tc>
              <w:tc>
                <w:tcPr>
                  <w:tcW w:w="420" w:type="pct"/>
                  <w:vAlign w:val="center"/>
                </w:tcPr>
                <w:p w14:paraId="3DB5A8E8">
                  <w:pPr>
                    <w:pStyle w:val="14"/>
                    <w:rPr>
                      <w:rFonts w:cs="Times New Roman"/>
                    </w:rPr>
                  </w:pPr>
                  <w:r>
                    <w:rPr>
                      <w:rFonts w:hint="eastAsia" w:cs="Times New Roman"/>
                    </w:rPr>
                    <w:t>0</w:t>
                  </w:r>
                  <w:r>
                    <w:rPr>
                      <w:rFonts w:cs="Times New Roman"/>
                    </w:rPr>
                    <w:t>.5</w:t>
                  </w:r>
                </w:p>
              </w:tc>
              <w:tc>
                <w:tcPr>
                  <w:tcW w:w="420" w:type="pct"/>
                  <w:vAlign w:val="center"/>
                </w:tcPr>
                <w:p w14:paraId="7D1DA3DE">
                  <w:pPr>
                    <w:pStyle w:val="14"/>
                    <w:rPr>
                      <w:rFonts w:cs="Times New Roman"/>
                    </w:rPr>
                  </w:pPr>
                  <w:r>
                    <w:rPr>
                      <w:rFonts w:hint="eastAsia" w:cs="Times New Roman"/>
                    </w:rPr>
                    <w:t>0</w:t>
                  </w:r>
                  <w:r>
                    <w:rPr>
                      <w:rFonts w:cs="Times New Roman"/>
                    </w:rPr>
                    <w:t>.61</w:t>
                  </w:r>
                </w:p>
              </w:tc>
              <w:tc>
                <w:tcPr>
                  <w:tcW w:w="421" w:type="pct"/>
                  <w:vAlign w:val="center"/>
                </w:tcPr>
                <w:p w14:paraId="752488CF">
                  <w:pPr>
                    <w:pStyle w:val="14"/>
                    <w:rPr>
                      <w:rFonts w:cs="Times New Roman"/>
                    </w:rPr>
                  </w:pPr>
                  <w:r>
                    <w:rPr>
                      <w:rFonts w:hint="eastAsia" w:cs="Times New Roman"/>
                    </w:rPr>
                    <w:t>0</w:t>
                  </w:r>
                  <w:r>
                    <w:rPr>
                      <w:rFonts w:cs="Times New Roman"/>
                    </w:rPr>
                    <w:t>.47</w:t>
                  </w:r>
                </w:p>
              </w:tc>
              <w:tc>
                <w:tcPr>
                  <w:tcW w:w="791" w:type="pct"/>
                  <w:vMerge w:val="restart"/>
                  <w:vAlign w:val="center"/>
                </w:tcPr>
                <w:p w14:paraId="15A1757F">
                  <w:pPr>
                    <w:pStyle w:val="14"/>
                    <w:rPr>
                      <w:rFonts w:cs="Times New Roman"/>
                    </w:rPr>
                  </w:pPr>
                  <w:r>
                    <w:rPr>
                      <w:rFonts w:cs="Times New Roman"/>
                    </w:rPr>
                    <w:t>2.0</w:t>
                  </w:r>
                </w:p>
              </w:tc>
              <w:tc>
                <w:tcPr>
                  <w:tcW w:w="787" w:type="pct"/>
                  <w:vAlign w:val="center"/>
                </w:tcPr>
                <w:p w14:paraId="6E254C32">
                  <w:pPr>
                    <w:pStyle w:val="14"/>
                    <w:rPr>
                      <w:rFonts w:cs="Times New Roman"/>
                    </w:rPr>
                  </w:pPr>
                  <w:r>
                    <w:rPr>
                      <w:rFonts w:cs="Times New Roman"/>
                    </w:rPr>
                    <w:t>达标</w:t>
                  </w:r>
                </w:p>
              </w:tc>
            </w:tr>
            <w:tr w14:paraId="497A1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4" w:type="pct"/>
                  <w:vMerge w:val="continue"/>
                  <w:vAlign w:val="center"/>
                </w:tcPr>
                <w:p w14:paraId="322A168D">
                  <w:pPr>
                    <w:pStyle w:val="14"/>
                    <w:rPr>
                      <w:rFonts w:cs="Times New Roman"/>
                    </w:rPr>
                  </w:pPr>
                </w:p>
              </w:tc>
              <w:tc>
                <w:tcPr>
                  <w:tcW w:w="359" w:type="pct"/>
                  <w:vMerge w:val="continue"/>
                  <w:vAlign w:val="center"/>
                </w:tcPr>
                <w:p w14:paraId="13AFFC96">
                  <w:pPr>
                    <w:pStyle w:val="14"/>
                    <w:rPr>
                      <w:rFonts w:cs="Times New Roman"/>
                    </w:rPr>
                  </w:pPr>
                </w:p>
              </w:tc>
              <w:tc>
                <w:tcPr>
                  <w:tcW w:w="827" w:type="pct"/>
                </w:tcPr>
                <w:p w14:paraId="6179C668">
                  <w:pPr>
                    <w:pStyle w:val="14"/>
                    <w:rPr>
                      <w:rFonts w:cs="Times New Roman"/>
                    </w:rPr>
                  </w:pPr>
                  <w:r>
                    <w:rPr>
                      <w:rFonts w:cs="Times New Roman"/>
                    </w:rPr>
                    <w:t>2024.08.10-11</w:t>
                  </w:r>
                </w:p>
              </w:tc>
              <w:tc>
                <w:tcPr>
                  <w:tcW w:w="420" w:type="pct"/>
                  <w:vAlign w:val="center"/>
                </w:tcPr>
                <w:p w14:paraId="17BD5B4D">
                  <w:pPr>
                    <w:pStyle w:val="14"/>
                    <w:rPr>
                      <w:rFonts w:cs="Times New Roman"/>
                    </w:rPr>
                  </w:pPr>
                  <w:r>
                    <w:rPr>
                      <w:rFonts w:hint="eastAsia" w:cs="Times New Roman"/>
                    </w:rPr>
                    <w:t>0</w:t>
                  </w:r>
                  <w:r>
                    <w:rPr>
                      <w:rFonts w:cs="Times New Roman"/>
                    </w:rPr>
                    <w:t>.68</w:t>
                  </w:r>
                </w:p>
              </w:tc>
              <w:tc>
                <w:tcPr>
                  <w:tcW w:w="421" w:type="pct"/>
                  <w:vAlign w:val="center"/>
                </w:tcPr>
                <w:p w14:paraId="56645271">
                  <w:pPr>
                    <w:pStyle w:val="14"/>
                    <w:rPr>
                      <w:rFonts w:cs="Times New Roman"/>
                    </w:rPr>
                  </w:pPr>
                  <w:r>
                    <w:rPr>
                      <w:rFonts w:hint="eastAsia" w:cs="Times New Roman"/>
                    </w:rPr>
                    <w:t>0</w:t>
                  </w:r>
                  <w:r>
                    <w:rPr>
                      <w:rFonts w:cs="Times New Roman"/>
                    </w:rPr>
                    <w:t>.42</w:t>
                  </w:r>
                </w:p>
              </w:tc>
              <w:tc>
                <w:tcPr>
                  <w:tcW w:w="420" w:type="pct"/>
                  <w:vAlign w:val="center"/>
                </w:tcPr>
                <w:p w14:paraId="61BB9F1A">
                  <w:pPr>
                    <w:pStyle w:val="14"/>
                    <w:rPr>
                      <w:rFonts w:cs="Times New Roman"/>
                    </w:rPr>
                  </w:pPr>
                  <w:r>
                    <w:rPr>
                      <w:rFonts w:hint="eastAsia" w:cs="Times New Roman"/>
                    </w:rPr>
                    <w:t>0</w:t>
                  </w:r>
                  <w:r>
                    <w:rPr>
                      <w:rFonts w:cs="Times New Roman"/>
                    </w:rPr>
                    <w:t>.62</w:t>
                  </w:r>
                </w:p>
              </w:tc>
              <w:tc>
                <w:tcPr>
                  <w:tcW w:w="421" w:type="pct"/>
                  <w:vAlign w:val="center"/>
                </w:tcPr>
                <w:p w14:paraId="75D3916B">
                  <w:pPr>
                    <w:pStyle w:val="14"/>
                    <w:rPr>
                      <w:rFonts w:cs="Times New Roman"/>
                    </w:rPr>
                  </w:pPr>
                  <w:r>
                    <w:rPr>
                      <w:rFonts w:hint="eastAsia" w:cs="Times New Roman"/>
                    </w:rPr>
                    <w:t>0</w:t>
                  </w:r>
                  <w:r>
                    <w:rPr>
                      <w:rFonts w:cs="Times New Roman"/>
                    </w:rPr>
                    <w:t>.46</w:t>
                  </w:r>
                </w:p>
              </w:tc>
              <w:tc>
                <w:tcPr>
                  <w:tcW w:w="791" w:type="pct"/>
                  <w:vMerge w:val="continue"/>
                  <w:vAlign w:val="center"/>
                </w:tcPr>
                <w:p w14:paraId="507EA211">
                  <w:pPr>
                    <w:pStyle w:val="14"/>
                    <w:rPr>
                      <w:rFonts w:cs="Times New Roman"/>
                    </w:rPr>
                  </w:pPr>
                </w:p>
              </w:tc>
              <w:tc>
                <w:tcPr>
                  <w:tcW w:w="787" w:type="pct"/>
                  <w:vAlign w:val="center"/>
                </w:tcPr>
                <w:p w14:paraId="251C4B1B">
                  <w:pPr>
                    <w:pStyle w:val="14"/>
                    <w:rPr>
                      <w:rFonts w:cs="Times New Roman"/>
                    </w:rPr>
                  </w:pPr>
                  <w:r>
                    <w:rPr>
                      <w:rFonts w:cs="Times New Roman"/>
                    </w:rPr>
                    <w:t>达标</w:t>
                  </w:r>
                </w:p>
              </w:tc>
            </w:tr>
            <w:tr w14:paraId="6D659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4" w:type="pct"/>
                  <w:vMerge w:val="continue"/>
                  <w:vAlign w:val="center"/>
                </w:tcPr>
                <w:p w14:paraId="6BF6FBD5">
                  <w:pPr>
                    <w:pStyle w:val="14"/>
                    <w:rPr>
                      <w:rFonts w:cs="Times New Roman"/>
                    </w:rPr>
                  </w:pPr>
                </w:p>
              </w:tc>
              <w:tc>
                <w:tcPr>
                  <w:tcW w:w="359" w:type="pct"/>
                  <w:vMerge w:val="continue"/>
                  <w:vAlign w:val="center"/>
                </w:tcPr>
                <w:p w14:paraId="7D27F9AF">
                  <w:pPr>
                    <w:pStyle w:val="14"/>
                    <w:rPr>
                      <w:rFonts w:cs="Times New Roman"/>
                    </w:rPr>
                  </w:pPr>
                </w:p>
              </w:tc>
              <w:tc>
                <w:tcPr>
                  <w:tcW w:w="827" w:type="pct"/>
                </w:tcPr>
                <w:p w14:paraId="01A2B094">
                  <w:pPr>
                    <w:pStyle w:val="14"/>
                    <w:rPr>
                      <w:rFonts w:cs="Times New Roman"/>
                    </w:rPr>
                  </w:pPr>
                  <w:r>
                    <w:rPr>
                      <w:rFonts w:cs="Times New Roman"/>
                    </w:rPr>
                    <w:t>2024.08.11-12</w:t>
                  </w:r>
                </w:p>
              </w:tc>
              <w:tc>
                <w:tcPr>
                  <w:tcW w:w="420" w:type="pct"/>
                  <w:vAlign w:val="center"/>
                </w:tcPr>
                <w:p w14:paraId="595CD6EF">
                  <w:pPr>
                    <w:pStyle w:val="14"/>
                    <w:rPr>
                      <w:rFonts w:cs="Times New Roman"/>
                    </w:rPr>
                  </w:pPr>
                  <w:r>
                    <w:rPr>
                      <w:rFonts w:hint="eastAsia" w:cs="Times New Roman"/>
                    </w:rPr>
                    <w:t>0</w:t>
                  </w:r>
                  <w:r>
                    <w:rPr>
                      <w:rFonts w:cs="Times New Roman"/>
                    </w:rPr>
                    <w:t>.44</w:t>
                  </w:r>
                </w:p>
              </w:tc>
              <w:tc>
                <w:tcPr>
                  <w:tcW w:w="421" w:type="pct"/>
                  <w:vAlign w:val="center"/>
                </w:tcPr>
                <w:p w14:paraId="59AE7F5E">
                  <w:pPr>
                    <w:pStyle w:val="14"/>
                    <w:rPr>
                      <w:rFonts w:cs="Times New Roman"/>
                    </w:rPr>
                  </w:pPr>
                  <w:r>
                    <w:rPr>
                      <w:rFonts w:hint="eastAsia" w:cs="Times New Roman"/>
                    </w:rPr>
                    <w:t>0</w:t>
                  </w:r>
                  <w:r>
                    <w:rPr>
                      <w:rFonts w:cs="Times New Roman"/>
                    </w:rPr>
                    <w:t>.5</w:t>
                  </w:r>
                </w:p>
              </w:tc>
              <w:tc>
                <w:tcPr>
                  <w:tcW w:w="420" w:type="pct"/>
                  <w:vAlign w:val="center"/>
                </w:tcPr>
                <w:p w14:paraId="165917B6">
                  <w:pPr>
                    <w:pStyle w:val="14"/>
                    <w:rPr>
                      <w:rFonts w:cs="Times New Roman"/>
                    </w:rPr>
                  </w:pPr>
                  <w:r>
                    <w:rPr>
                      <w:rFonts w:hint="eastAsia" w:cs="Times New Roman"/>
                    </w:rPr>
                    <w:t>0</w:t>
                  </w:r>
                  <w:r>
                    <w:rPr>
                      <w:rFonts w:cs="Times New Roman"/>
                    </w:rPr>
                    <w:t>.56</w:t>
                  </w:r>
                </w:p>
              </w:tc>
              <w:tc>
                <w:tcPr>
                  <w:tcW w:w="421" w:type="pct"/>
                  <w:vAlign w:val="center"/>
                </w:tcPr>
                <w:p w14:paraId="72EF5D6F">
                  <w:pPr>
                    <w:pStyle w:val="14"/>
                    <w:rPr>
                      <w:rFonts w:cs="Times New Roman"/>
                    </w:rPr>
                  </w:pPr>
                  <w:r>
                    <w:rPr>
                      <w:rFonts w:hint="eastAsia" w:cs="Times New Roman"/>
                    </w:rPr>
                    <w:t>0</w:t>
                  </w:r>
                  <w:r>
                    <w:rPr>
                      <w:rFonts w:cs="Times New Roman"/>
                    </w:rPr>
                    <w:t>.6</w:t>
                  </w:r>
                </w:p>
              </w:tc>
              <w:tc>
                <w:tcPr>
                  <w:tcW w:w="791" w:type="pct"/>
                  <w:vMerge w:val="continue"/>
                  <w:vAlign w:val="center"/>
                </w:tcPr>
                <w:p w14:paraId="63E04DA1">
                  <w:pPr>
                    <w:pStyle w:val="14"/>
                    <w:rPr>
                      <w:rFonts w:cs="Times New Roman"/>
                    </w:rPr>
                  </w:pPr>
                </w:p>
              </w:tc>
              <w:tc>
                <w:tcPr>
                  <w:tcW w:w="787" w:type="pct"/>
                  <w:vAlign w:val="center"/>
                </w:tcPr>
                <w:p w14:paraId="2F0EFF51">
                  <w:pPr>
                    <w:pStyle w:val="14"/>
                    <w:rPr>
                      <w:rFonts w:cs="Times New Roman"/>
                    </w:rPr>
                  </w:pPr>
                  <w:r>
                    <w:rPr>
                      <w:rFonts w:cs="Times New Roman"/>
                    </w:rPr>
                    <w:t>达标</w:t>
                  </w:r>
                </w:p>
              </w:tc>
            </w:tr>
            <w:tr w14:paraId="0AE50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4" w:type="pct"/>
                  <w:vMerge w:val="continue"/>
                  <w:vAlign w:val="center"/>
                </w:tcPr>
                <w:p w14:paraId="6DE4CC55">
                  <w:pPr>
                    <w:pStyle w:val="14"/>
                    <w:rPr>
                      <w:rFonts w:cs="Times New Roman"/>
                    </w:rPr>
                  </w:pPr>
                </w:p>
              </w:tc>
              <w:tc>
                <w:tcPr>
                  <w:tcW w:w="359" w:type="pct"/>
                  <w:vMerge w:val="continue"/>
                  <w:vAlign w:val="center"/>
                </w:tcPr>
                <w:p w14:paraId="7D7FBCC1">
                  <w:pPr>
                    <w:pStyle w:val="14"/>
                    <w:rPr>
                      <w:rFonts w:cs="Times New Roman"/>
                    </w:rPr>
                  </w:pPr>
                </w:p>
              </w:tc>
              <w:tc>
                <w:tcPr>
                  <w:tcW w:w="827" w:type="pct"/>
                </w:tcPr>
                <w:p w14:paraId="28793D43">
                  <w:pPr>
                    <w:pStyle w:val="14"/>
                    <w:rPr>
                      <w:rFonts w:cs="Times New Roman"/>
                    </w:rPr>
                  </w:pPr>
                  <w:r>
                    <w:rPr>
                      <w:rFonts w:cs="Times New Roman"/>
                    </w:rPr>
                    <w:t>2024.08.12-13</w:t>
                  </w:r>
                </w:p>
              </w:tc>
              <w:tc>
                <w:tcPr>
                  <w:tcW w:w="420" w:type="pct"/>
                  <w:vAlign w:val="center"/>
                </w:tcPr>
                <w:p w14:paraId="4E3004A3">
                  <w:pPr>
                    <w:pStyle w:val="14"/>
                    <w:rPr>
                      <w:rFonts w:cs="Times New Roman"/>
                    </w:rPr>
                  </w:pPr>
                  <w:r>
                    <w:rPr>
                      <w:rFonts w:hint="eastAsia" w:cs="Times New Roman"/>
                    </w:rPr>
                    <w:t>0</w:t>
                  </w:r>
                  <w:r>
                    <w:rPr>
                      <w:rFonts w:cs="Times New Roman"/>
                    </w:rPr>
                    <w:t>.98</w:t>
                  </w:r>
                </w:p>
              </w:tc>
              <w:tc>
                <w:tcPr>
                  <w:tcW w:w="421" w:type="pct"/>
                  <w:vAlign w:val="center"/>
                </w:tcPr>
                <w:p w14:paraId="232EBE21">
                  <w:pPr>
                    <w:pStyle w:val="14"/>
                    <w:rPr>
                      <w:rFonts w:cs="Times New Roman"/>
                    </w:rPr>
                  </w:pPr>
                  <w:r>
                    <w:rPr>
                      <w:rFonts w:hint="eastAsia" w:cs="Times New Roman"/>
                    </w:rPr>
                    <w:t>0</w:t>
                  </w:r>
                  <w:r>
                    <w:rPr>
                      <w:rFonts w:cs="Times New Roman"/>
                    </w:rPr>
                    <w:t>.96</w:t>
                  </w:r>
                </w:p>
              </w:tc>
              <w:tc>
                <w:tcPr>
                  <w:tcW w:w="420" w:type="pct"/>
                  <w:vAlign w:val="center"/>
                </w:tcPr>
                <w:p w14:paraId="5340B474">
                  <w:pPr>
                    <w:pStyle w:val="14"/>
                    <w:rPr>
                      <w:rFonts w:cs="Times New Roman"/>
                    </w:rPr>
                  </w:pPr>
                  <w:r>
                    <w:rPr>
                      <w:rFonts w:hint="eastAsia" w:cs="Times New Roman"/>
                    </w:rPr>
                    <w:t>1</w:t>
                  </w:r>
                  <w:r>
                    <w:rPr>
                      <w:rFonts w:cs="Times New Roman"/>
                    </w:rPr>
                    <w:t>.09</w:t>
                  </w:r>
                </w:p>
              </w:tc>
              <w:tc>
                <w:tcPr>
                  <w:tcW w:w="421" w:type="pct"/>
                  <w:vAlign w:val="center"/>
                </w:tcPr>
                <w:p w14:paraId="7457B661">
                  <w:pPr>
                    <w:pStyle w:val="14"/>
                    <w:rPr>
                      <w:rFonts w:cs="Times New Roman"/>
                    </w:rPr>
                  </w:pPr>
                  <w:r>
                    <w:rPr>
                      <w:rFonts w:hint="eastAsia" w:cs="Times New Roman"/>
                    </w:rPr>
                    <w:t>0</w:t>
                  </w:r>
                  <w:r>
                    <w:rPr>
                      <w:rFonts w:cs="Times New Roman"/>
                    </w:rPr>
                    <w:t>.99</w:t>
                  </w:r>
                </w:p>
              </w:tc>
              <w:tc>
                <w:tcPr>
                  <w:tcW w:w="791" w:type="pct"/>
                  <w:vMerge w:val="continue"/>
                  <w:vAlign w:val="center"/>
                </w:tcPr>
                <w:p w14:paraId="63FCAB2F">
                  <w:pPr>
                    <w:pStyle w:val="14"/>
                    <w:rPr>
                      <w:rFonts w:cs="Times New Roman"/>
                    </w:rPr>
                  </w:pPr>
                </w:p>
              </w:tc>
              <w:tc>
                <w:tcPr>
                  <w:tcW w:w="787" w:type="pct"/>
                  <w:vAlign w:val="center"/>
                </w:tcPr>
                <w:p w14:paraId="6F402554">
                  <w:pPr>
                    <w:pStyle w:val="14"/>
                    <w:rPr>
                      <w:rFonts w:cs="Times New Roman"/>
                    </w:rPr>
                  </w:pPr>
                  <w:r>
                    <w:rPr>
                      <w:rFonts w:cs="Times New Roman"/>
                    </w:rPr>
                    <w:t>达标</w:t>
                  </w:r>
                </w:p>
              </w:tc>
            </w:tr>
            <w:tr w14:paraId="10DF5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4" w:type="pct"/>
                  <w:vMerge w:val="continue"/>
                  <w:vAlign w:val="center"/>
                </w:tcPr>
                <w:p w14:paraId="0E3DDCD7">
                  <w:pPr>
                    <w:pStyle w:val="14"/>
                    <w:rPr>
                      <w:rFonts w:cs="Times New Roman"/>
                    </w:rPr>
                  </w:pPr>
                </w:p>
              </w:tc>
              <w:tc>
                <w:tcPr>
                  <w:tcW w:w="359" w:type="pct"/>
                  <w:vMerge w:val="continue"/>
                  <w:vAlign w:val="center"/>
                </w:tcPr>
                <w:p w14:paraId="764DD99A">
                  <w:pPr>
                    <w:pStyle w:val="14"/>
                    <w:rPr>
                      <w:rFonts w:cs="Times New Roman"/>
                    </w:rPr>
                  </w:pPr>
                </w:p>
              </w:tc>
              <w:tc>
                <w:tcPr>
                  <w:tcW w:w="827" w:type="pct"/>
                </w:tcPr>
                <w:p w14:paraId="23A1DD50">
                  <w:pPr>
                    <w:pStyle w:val="14"/>
                    <w:rPr>
                      <w:rFonts w:cs="Times New Roman"/>
                    </w:rPr>
                  </w:pPr>
                  <w:r>
                    <w:rPr>
                      <w:rFonts w:cs="Times New Roman"/>
                    </w:rPr>
                    <w:t>2024.08.13-14</w:t>
                  </w:r>
                </w:p>
              </w:tc>
              <w:tc>
                <w:tcPr>
                  <w:tcW w:w="420" w:type="pct"/>
                  <w:vAlign w:val="center"/>
                </w:tcPr>
                <w:p w14:paraId="13B3FCFD">
                  <w:pPr>
                    <w:pStyle w:val="14"/>
                    <w:rPr>
                      <w:rFonts w:cs="Times New Roman"/>
                    </w:rPr>
                  </w:pPr>
                  <w:r>
                    <w:rPr>
                      <w:rFonts w:hint="eastAsia" w:cs="Times New Roman"/>
                    </w:rPr>
                    <w:t>0</w:t>
                  </w:r>
                  <w:r>
                    <w:rPr>
                      <w:rFonts w:cs="Times New Roman"/>
                    </w:rPr>
                    <w:t>.63</w:t>
                  </w:r>
                </w:p>
              </w:tc>
              <w:tc>
                <w:tcPr>
                  <w:tcW w:w="421" w:type="pct"/>
                  <w:vAlign w:val="center"/>
                </w:tcPr>
                <w:p w14:paraId="7AFD2EDA">
                  <w:pPr>
                    <w:pStyle w:val="14"/>
                    <w:rPr>
                      <w:rFonts w:cs="Times New Roman"/>
                    </w:rPr>
                  </w:pPr>
                  <w:r>
                    <w:rPr>
                      <w:rFonts w:hint="eastAsia" w:cs="Times New Roman"/>
                    </w:rPr>
                    <w:t>0</w:t>
                  </w:r>
                  <w:r>
                    <w:rPr>
                      <w:rFonts w:cs="Times New Roman"/>
                    </w:rPr>
                    <w:t>.59</w:t>
                  </w:r>
                </w:p>
              </w:tc>
              <w:tc>
                <w:tcPr>
                  <w:tcW w:w="420" w:type="pct"/>
                  <w:vAlign w:val="center"/>
                </w:tcPr>
                <w:p w14:paraId="5DFB6332">
                  <w:pPr>
                    <w:pStyle w:val="14"/>
                    <w:rPr>
                      <w:rFonts w:cs="Times New Roman"/>
                    </w:rPr>
                  </w:pPr>
                  <w:r>
                    <w:rPr>
                      <w:rFonts w:hint="eastAsia" w:cs="Times New Roman"/>
                    </w:rPr>
                    <w:t>0</w:t>
                  </w:r>
                  <w:r>
                    <w:rPr>
                      <w:rFonts w:cs="Times New Roman"/>
                    </w:rPr>
                    <w:t>.58</w:t>
                  </w:r>
                </w:p>
              </w:tc>
              <w:tc>
                <w:tcPr>
                  <w:tcW w:w="421" w:type="pct"/>
                  <w:vAlign w:val="center"/>
                </w:tcPr>
                <w:p w14:paraId="101954B3">
                  <w:pPr>
                    <w:pStyle w:val="14"/>
                    <w:rPr>
                      <w:rFonts w:cs="Times New Roman"/>
                    </w:rPr>
                  </w:pPr>
                  <w:r>
                    <w:rPr>
                      <w:rFonts w:hint="eastAsia" w:cs="Times New Roman"/>
                    </w:rPr>
                    <w:t>0</w:t>
                  </w:r>
                  <w:r>
                    <w:rPr>
                      <w:rFonts w:cs="Times New Roman"/>
                    </w:rPr>
                    <w:t>.68</w:t>
                  </w:r>
                </w:p>
              </w:tc>
              <w:tc>
                <w:tcPr>
                  <w:tcW w:w="791" w:type="pct"/>
                  <w:vMerge w:val="continue"/>
                  <w:vAlign w:val="center"/>
                </w:tcPr>
                <w:p w14:paraId="36D32135">
                  <w:pPr>
                    <w:pStyle w:val="14"/>
                    <w:rPr>
                      <w:rFonts w:cs="Times New Roman"/>
                    </w:rPr>
                  </w:pPr>
                </w:p>
              </w:tc>
              <w:tc>
                <w:tcPr>
                  <w:tcW w:w="787" w:type="pct"/>
                  <w:vAlign w:val="center"/>
                </w:tcPr>
                <w:p w14:paraId="5CADC159">
                  <w:pPr>
                    <w:pStyle w:val="14"/>
                    <w:rPr>
                      <w:rFonts w:cs="Times New Roman"/>
                    </w:rPr>
                  </w:pPr>
                  <w:r>
                    <w:rPr>
                      <w:rFonts w:cs="Times New Roman"/>
                    </w:rPr>
                    <w:t>达标</w:t>
                  </w:r>
                </w:p>
              </w:tc>
            </w:tr>
            <w:tr w14:paraId="7F5CC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4" w:type="pct"/>
                  <w:vMerge w:val="continue"/>
                  <w:vAlign w:val="center"/>
                </w:tcPr>
                <w:p w14:paraId="6427258E">
                  <w:pPr>
                    <w:pStyle w:val="14"/>
                    <w:rPr>
                      <w:rFonts w:cs="Times New Roman"/>
                    </w:rPr>
                  </w:pPr>
                </w:p>
              </w:tc>
              <w:tc>
                <w:tcPr>
                  <w:tcW w:w="359" w:type="pct"/>
                  <w:vMerge w:val="continue"/>
                  <w:vAlign w:val="center"/>
                </w:tcPr>
                <w:p w14:paraId="4CD8B1D2">
                  <w:pPr>
                    <w:pStyle w:val="14"/>
                    <w:rPr>
                      <w:rFonts w:cs="Times New Roman"/>
                    </w:rPr>
                  </w:pPr>
                </w:p>
              </w:tc>
              <w:tc>
                <w:tcPr>
                  <w:tcW w:w="827" w:type="pct"/>
                </w:tcPr>
                <w:p w14:paraId="302A9B15">
                  <w:pPr>
                    <w:pStyle w:val="14"/>
                    <w:rPr>
                      <w:rFonts w:cs="Times New Roman"/>
                    </w:rPr>
                  </w:pPr>
                  <w:r>
                    <w:rPr>
                      <w:rFonts w:cs="Times New Roman"/>
                    </w:rPr>
                    <w:t>2024.08.14-15</w:t>
                  </w:r>
                </w:p>
              </w:tc>
              <w:tc>
                <w:tcPr>
                  <w:tcW w:w="420" w:type="pct"/>
                  <w:vAlign w:val="center"/>
                </w:tcPr>
                <w:p w14:paraId="6D8C4DA4">
                  <w:pPr>
                    <w:pStyle w:val="14"/>
                    <w:rPr>
                      <w:rFonts w:cs="Times New Roman"/>
                    </w:rPr>
                  </w:pPr>
                  <w:r>
                    <w:rPr>
                      <w:rFonts w:hint="eastAsia" w:cs="Times New Roman"/>
                    </w:rPr>
                    <w:t>0</w:t>
                  </w:r>
                  <w:r>
                    <w:rPr>
                      <w:rFonts w:cs="Times New Roman"/>
                    </w:rPr>
                    <w:t>.8</w:t>
                  </w:r>
                </w:p>
              </w:tc>
              <w:tc>
                <w:tcPr>
                  <w:tcW w:w="421" w:type="pct"/>
                  <w:vAlign w:val="center"/>
                </w:tcPr>
                <w:p w14:paraId="3A8B84B0">
                  <w:pPr>
                    <w:pStyle w:val="14"/>
                    <w:rPr>
                      <w:rFonts w:cs="Times New Roman"/>
                    </w:rPr>
                  </w:pPr>
                  <w:r>
                    <w:rPr>
                      <w:rFonts w:hint="eastAsia" w:cs="Times New Roman"/>
                    </w:rPr>
                    <w:t>0</w:t>
                  </w:r>
                  <w:r>
                    <w:rPr>
                      <w:rFonts w:cs="Times New Roman"/>
                    </w:rPr>
                    <w:t>.87</w:t>
                  </w:r>
                </w:p>
              </w:tc>
              <w:tc>
                <w:tcPr>
                  <w:tcW w:w="420" w:type="pct"/>
                  <w:vAlign w:val="center"/>
                </w:tcPr>
                <w:p w14:paraId="156E3460">
                  <w:pPr>
                    <w:pStyle w:val="14"/>
                    <w:rPr>
                      <w:rFonts w:cs="Times New Roman"/>
                    </w:rPr>
                  </w:pPr>
                  <w:r>
                    <w:rPr>
                      <w:rFonts w:hint="eastAsia" w:cs="Times New Roman"/>
                    </w:rPr>
                    <w:t>0</w:t>
                  </w:r>
                  <w:r>
                    <w:rPr>
                      <w:rFonts w:cs="Times New Roman"/>
                    </w:rPr>
                    <w:t>.86</w:t>
                  </w:r>
                </w:p>
              </w:tc>
              <w:tc>
                <w:tcPr>
                  <w:tcW w:w="421" w:type="pct"/>
                  <w:vAlign w:val="center"/>
                </w:tcPr>
                <w:p w14:paraId="3FDBF196">
                  <w:pPr>
                    <w:pStyle w:val="14"/>
                    <w:rPr>
                      <w:rFonts w:cs="Times New Roman"/>
                    </w:rPr>
                  </w:pPr>
                  <w:r>
                    <w:rPr>
                      <w:rFonts w:hint="eastAsia" w:cs="Times New Roman"/>
                    </w:rPr>
                    <w:t>0</w:t>
                  </w:r>
                  <w:r>
                    <w:rPr>
                      <w:rFonts w:cs="Times New Roman"/>
                    </w:rPr>
                    <w:t>.91</w:t>
                  </w:r>
                </w:p>
              </w:tc>
              <w:tc>
                <w:tcPr>
                  <w:tcW w:w="791" w:type="pct"/>
                  <w:vMerge w:val="continue"/>
                  <w:vAlign w:val="center"/>
                </w:tcPr>
                <w:p w14:paraId="73CFCF7F">
                  <w:pPr>
                    <w:pStyle w:val="14"/>
                    <w:rPr>
                      <w:rFonts w:cs="Times New Roman"/>
                    </w:rPr>
                  </w:pPr>
                </w:p>
              </w:tc>
              <w:tc>
                <w:tcPr>
                  <w:tcW w:w="787" w:type="pct"/>
                  <w:vAlign w:val="center"/>
                </w:tcPr>
                <w:p w14:paraId="06582A56">
                  <w:pPr>
                    <w:pStyle w:val="14"/>
                    <w:rPr>
                      <w:rFonts w:cs="Times New Roman"/>
                    </w:rPr>
                  </w:pPr>
                  <w:r>
                    <w:rPr>
                      <w:rFonts w:cs="Times New Roman"/>
                    </w:rPr>
                    <w:t>达标</w:t>
                  </w:r>
                </w:p>
              </w:tc>
            </w:tr>
            <w:tr w14:paraId="2DD6D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4" w:type="pct"/>
                  <w:vMerge w:val="continue"/>
                  <w:vAlign w:val="center"/>
                </w:tcPr>
                <w:p w14:paraId="25637A01">
                  <w:pPr>
                    <w:pStyle w:val="14"/>
                    <w:rPr>
                      <w:rFonts w:cs="Times New Roman"/>
                    </w:rPr>
                  </w:pPr>
                </w:p>
              </w:tc>
              <w:tc>
                <w:tcPr>
                  <w:tcW w:w="359" w:type="pct"/>
                  <w:vMerge w:val="continue"/>
                  <w:vAlign w:val="center"/>
                </w:tcPr>
                <w:p w14:paraId="744C3E6B">
                  <w:pPr>
                    <w:pStyle w:val="14"/>
                    <w:rPr>
                      <w:rFonts w:cs="Times New Roman"/>
                    </w:rPr>
                  </w:pPr>
                </w:p>
              </w:tc>
              <w:tc>
                <w:tcPr>
                  <w:tcW w:w="827" w:type="pct"/>
                </w:tcPr>
                <w:p w14:paraId="2C0388B5">
                  <w:pPr>
                    <w:pStyle w:val="14"/>
                    <w:rPr>
                      <w:rFonts w:cs="Times New Roman"/>
                    </w:rPr>
                  </w:pPr>
                  <w:r>
                    <w:rPr>
                      <w:rFonts w:cs="Times New Roman"/>
                    </w:rPr>
                    <w:t>2024.08.15-16</w:t>
                  </w:r>
                </w:p>
              </w:tc>
              <w:tc>
                <w:tcPr>
                  <w:tcW w:w="420" w:type="pct"/>
                  <w:vAlign w:val="center"/>
                </w:tcPr>
                <w:p w14:paraId="1EA048B8">
                  <w:pPr>
                    <w:pStyle w:val="14"/>
                    <w:rPr>
                      <w:rFonts w:cs="Times New Roman"/>
                    </w:rPr>
                  </w:pPr>
                  <w:r>
                    <w:rPr>
                      <w:rFonts w:hint="eastAsia" w:cs="Times New Roman"/>
                    </w:rPr>
                    <w:t>0</w:t>
                  </w:r>
                  <w:r>
                    <w:rPr>
                      <w:rFonts w:cs="Times New Roman"/>
                    </w:rPr>
                    <w:t>.6</w:t>
                  </w:r>
                </w:p>
              </w:tc>
              <w:tc>
                <w:tcPr>
                  <w:tcW w:w="421" w:type="pct"/>
                  <w:vAlign w:val="center"/>
                </w:tcPr>
                <w:p w14:paraId="061280D5">
                  <w:pPr>
                    <w:pStyle w:val="14"/>
                    <w:rPr>
                      <w:rFonts w:cs="Times New Roman"/>
                    </w:rPr>
                  </w:pPr>
                  <w:r>
                    <w:rPr>
                      <w:rFonts w:hint="eastAsia" w:cs="Times New Roman"/>
                    </w:rPr>
                    <w:t>0</w:t>
                  </w:r>
                  <w:r>
                    <w:rPr>
                      <w:rFonts w:cs="Times New Roman"/>
                    </w:rPr>
                    <w:t>.79</w:t>
                  </w:r>
                </w:p>
              </w:tc>
              <w:tc>
                <w:tcPr>
                  <w:tcW w:w="420" w:type="pct"/>
                  <w:vAlign w:val="center"/>
                </w:tcPr>
                <w:p w14:paraId="0EE51185">
                  <w:pPr>
                    <w:pStyle w:val="14"/>
                    <w:rPr>
                      <w:rFonts w:cs="Times New Roman"/>
                    </w:rPr>
                  </w:pPr>
                  <w:r>
                    <w:rPr>
                      <w:rFonts w:hint="eastAsia" w:cs="Times New Roman"/>
                    </w:rPr>
                    <w:t>0</w:t>
                  </w:r>
                  <w:r>
                    <w:rPr>
                      <w:rFonts w:cs="Times New Roman"/>
                    </w:rPr>
                    <w:t>.61</w:t>
                  </w:r>
                </w:p>
              </w:tc>
              <w:tc>
                <w:tcPr>
                  <w:tcW w:w="421" w:type="pct"/>
                  <w:vAlign w:val="center"/>
                </w:tcPr>
                <w:p w14:paraId="04DDE041">
                  <w:pPr>
                    <w:pStyle w:val="14"/>
                    <w:rPr>
                      <w:rFonts w:cs="Times New Roman"/>
                    </w:rPr>
                  </w:pPr>
                  <w:r>
                    <w:rPr>
                      <w:rFonts w:hint="eastAsia" w:cs="Times New Roman"/>
                    </w:rPr>
                    <w:t>0</w:t>
                  </w:r>
                  <w:r>
                    <w:rPr>
                      <w:rFonts w:cs="Times New Roman"/>
                    </w:rPr>
                    <w:t>.96</w:t>
                  </w:r>
                </w:p>
              </w:tc>
              <w:tc>
                <w:tcPr>
                  <w:tcW w:w="791" w:type="pct"/>
                  <w:vMerge w:val="continue"/>
                  <w:vAlign w:val="center"/>
                </w:tcPr>
                <w:p w14:paraId="4EF0D549">
                  <w:pPr>
                    <w:pStyle w:val="14"/>
                    <w:rPr>
                      <w:rFonts w:cs="Times New Roman"/>
                    </w:rPr>
                  </w:pPr>
                </w:p>
              </w:tc>
              <w:tc>
                <w:tcPr>
                  <w:tcW w:w="787" w:type="pct"/>
                  <w:vAlign w:val="center"/>
                </w:tcPr>
                <w:p w14:paraId="083329CA">
                  <w:pPr>
                    <w:pStyle w:val="14"/>
                    <w:rPr>
                      <w:rFonts w:cs="Times New Roman"/>
                    </w:rPr>
                  </w:pPr>
                  <w:r>
                    <w:rPr>
                      <w:rFonts w:cs="Times New Roman"/>
                    </w:rPr>
                    <w:t>达标</w:t>
                  </w:r>
                </w:p>
              </w:tc>
            </w:tr>
            <w:tr w14:paraId="78301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4" w:type="pct"/>
                  <w:vMerge w:val="continue"/>
                  <w:vAlign w:val="center"/>
                </w:tcPr>
                <w:p w14:paraId="26E1D468">
                  <w:pPr>
                    <w:pStyle w:val="14"/>
                    <w:rPr>
                      <w:rFonts w:cs="Times New Roman"/>
                    </w:rPr>
                  </w:pPr>
                </w:p>
              </w:tc>
              <w:tc>
                <w:tcPr>
                  <w:tcW w:w="359" w:type="pct"/>
                  <w:vMerge w:val="restart"/>
                  <w:vAlign w:val="center"/>
                </w:tcPr>
                <w:p w14:paraId="409E6024">
                  <w:pPr>
                    <w:pStyle w:val="14"/>
                    <w:rPr>
                      <w:rFonts w:cs="Times New Roman"/>
                    </w:rPr>
                  </w:pPr>
                  <w:r>
                    <w:rPr>
                      <w:rFonts w:hint="eastAsia" w:cs="Times New Roman"/>
                    </w:rPr>
                    <w:t>氮氧化物</w:t>
                  </w:r>
                </w:p>
              </w:tc>
              <w:tc>
                <w:tcPr>
                  <w:tcW w:w="827" w:type="pct"/>
                  <w:vAlign w:val="center"/>
                </w:tcPr>
                <w:p w14:paraId="16DB0E10">
                  <w:pPr>
                    <w:pStyle w:val="14"/>
                    <w:rPr>
                      <w:rFonts w:cs="Times New Roman"/>
                    </w:rPr>
                  </w:pPr>
                  <w:r>
                    <w:rPr>
                      <w:rFonts w:cs="Times New Roman"/>
                    </w:rPr>
                    <w:t>2024.08.09-10</w:t>
                  </w:r>
                </w:p>
              </w:tc>
              <w:tc>
                <w:tcPr>
                  <w:tcW w:w="420" w:type="pct"/>
                  <w:vAlign w:val="center"/>
                </w:tcPr>
                <w:p w14:paraId="6CB72C24">
                  <w:pPr>
                    <w:pStyle w:val="14"/>
                    <w:rPr>
                      <w:rFonts w:cs="Times New Roman"/>
                    </w:rPr>
                  </w:pPr>
                  <w:r>
                    <w:rPr>
                      <w:rFonts w:cs="Times New Roman"/>
                    </w:rPr>
                    <w:t>0.0</w:t>
                  </w:r>
                  <w:r>
                    <w:rPr>
                      <w:rFonts w:hint="eastAsia" w:cs="Times New Roman"/>
                    </w:rPr>
                    <w:t>2</w:t>
                  </w:r>
                  <w:r>
                    <w:rPr>
                      <w:rFonts w:cs="Times New Roman"/>
                    </w:rPr>
                    <w:t>8</w:t>
                  </w:r>
                </w:p>
              </w:tc>
              <w:tc>
                <w:tcPr>
                  <w:tcW w:w="421" w:type="pct"/>
                  <w:vAlign w:val="center"/>
                </w:tcPr>
                <w:p w14:paraId="4A2540FC">
                  <w:pPr>
                    <w:pStyle w:val="14"/>
                    <w:rPr>
                      <w:rFonts w:cs="Times New Roman"/>
                    </w:rPr>
                  </w:pPr>
                  <w:r>
                    <w:rPr>
                      <w:rFonts w:cs="Times New Roman"/>
                    </w:rPr>
                    <w:t>0.0</w:t>
                  </w:r>
                  <w:r>
                    <w:rPr>
                      <w:rFonts w:hint="eastAsia" w:cs="Times New Roman"/>
                    </w:rPr>
                    <w:t>3</w:t>
                  </w:r>
                  <w:r>
                    <w:rPr>
                      <w:rFonts w:cs="Times New Roman"/>
                    </w:rPr>
                    <w:t>1</w:t>
                  </w:r>
                </w:p>
              </w:tc>
              <w:tc>
                <w:tcPr>
                  <w:tcW w:w="420" w:type="pct"/>
                  <w:vAlign w:val="center"/>
                </w:tcPr>
                <w:p w14:paraId="123AF092">
                  <w:pPr>
                    <w:pStyle w:val="14"/>
                    <w:rPr>
                      <w:rFonts w:cs="Times New Roman"/>
                    </w:rPr>
                  </w:pPr>
                  <w:r>
                    <w:rPr>
                      <w:rFonts w:cs="Times New Roman"/>
                    </w:rPr>
                    <w:t>0.0</w:t>
                  </w:r>
                  <w:r>
                    <w:rPr>
                      <w:rFonts w:hint="eastAsia" w:cs="Times New Roman"/>
                    </w:rPr>
                    <w:t>3</w:t>
                  </w:r>
                  <w:r>
                    <w:rPr>
                      <w:rFonts w:cs="Times New Roman"/>
                    </w:rPr>
                    <w:t>0</w:t>
                  </w:r>
                </w:p>
              </w:tc>
              <w:tc>
                <w:tcPr>
                  <w:tcW w:w="421" w:type="pct"/>
                  <w:vAlign w:val="center"/>
                </w:tcPr>
                <w:p w14:paraId="7A2BCF87">
                  <w:pPr>
                    <w:pStyle w:val="14"/>
                    <w:rPr>
                      <w:rFonts w:cs="Times New Roman"/>
                    </w:rPr>
                  </w:pPr>
                  <w:r>
                    <w:rPr>
                      <w:rFonts w:cs="Times New Roman"/>
                    </w:rPr>
                    <w:t>0.0</w:t>
                  </w:r>
                  <w:r>
                    <w:rPr>
                      <w:rFonts w:hint="eastAsia" w:cs="Times New Roman"/>
                    </w:rPr>
                    <w:t>4</w:t>
                  </w:r>
                  <w:r>
                    <w:rPr>
                      <w:rFonts w:cs="Times New Roman"/>
                    </w:rPr>
                    <w:t>4</w:t>
                  </w:r>
                </w:p>
              </w:tc>
              <w:tc>
                <w:tcPr>
                  <w:tcW w:w="791" w:type="pct"/>
                  <w:vMerge w:val="restart"/>
                  <w:vAlign w:val="center"/>
                </w:tcPr>
                <w:p w14:paraId="7DC55A9C">
                  <w:pPr>
                    <w:pStyle w:val="14"/>
                    <w:rPr>
                      <w:rFonts w:cs="Times New Roman"/>
                    </w:rPr>
                  </w:pPr>
                  <w:r>
                    <w:rPr>
                      <w:rFonts w:cs="Times New Roman"/>
                    </w:rPr>
                    <w:t>0.25</w:t>
                  </w:r>
                </w:p>
              </w:tc>
              <w:tc>
                <w:tcPr>
                  <w:tcW w:w="787" w:type="pct"/>
                  <w:vAlign w:val="center"/>
                </w:tcPr>
                <w:p w14:paraId="17321A85">
                  <w:pPr>
                    <w:pStyle w:val="14"/>
                    <w:rPr>
                      <w:rFonts w:cs="Times New Roman"/>
                    </w:rPr>
                  </w:pPr>
                  <w:r>
                    <w:rPr>
                      <w:rFonts w:cs="Times New Roman"/>
                    </w:rPr>
                    <w:t>达标</w:t>
                  </w:r>
                </w:p>
              </w:tc>
            </w:tr>
            <w:tr w14:paraId="772E4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4" w:type="pct"/>
                  <w:vMerge w:val="continue"/>
                  <w:vAlign w:val="center"/>
                </w:tcPr>
                <w:p w14:paraId="6945CF77">
                  <w:pPr>
                    <w:pStyle w:val="14"/>
                    <w:rPr>
                      <w:rFonts w:cs="Times New Roman"/>
                    </w:rPr>
                  </w:pPr>
                </w:p>
              </w:tc>
              <w:tc>
                <w:tcPr>
                  <w:tcW w:w="359" w:type="pct"/>
                  <w:vMerge w:val="continue"/>
                  <w:vAlign w:val="center"/>
                </w:tcPr>
                <w:p w14:paraId="3634F88D">
                  <w:pPr>
                    <w:pStyle w:val="14"/>
                    <w:rPr>
                      <w:rFonts w:cs="Times New Roman"/>
                    </w:rPr>
                  </w:pPr>
                </w:p>
              </w:tc>
              <w:tc>
                <w:tcPr>
                  <w:tcW w:w="827" w:type="pct"/>
                </w:tcPr>
                <w:p w14:paraId="292FF76A">
                  <w:pPr>
                    <w:pStyle w:val="14"/>
                    <w:rPr>
                      <w:rFonts w:cs="Times New Roman"/>
                    </w:rPr>
                  </w:pPr>
                  <w:r>
                    <w:rPr>
                      <w:rFonts w:cs="Times New Roman"/>
                    </w:rPr>
                    <w:t>2024.08.10-11</w:t>
                  </w:r>
                </w:p>
              </w:tc>
              <w:tc>
                <w:tcPr>
                  <w:tcW w:w="420" w:type="pct"/>
                  <w:vAlign w:val="center"/>
                </w:tcPr>
                <w:p w14:paraId="30336E35">
                  <w:pPr>
                    <w:pStyle w:val="14"/>
                    <w:rPr>
                      <w:rFonts w:cs="Times New Roman"/>
                    </w:rPr>
                  </w:pPr>
                  <w:r>
                    <w:rPr>
                      <w:rFonts w:cs="Times New Roman"/>
                    </w:rPr>
                    <w:t>0.0</w:t>
                  </w:r>
                  <w:r>
                    <w:rPr>
                      <w:rFonts w:hint="eastAsia" w:cs="Times New Roman"/>
                    </w:rPr>
                    <w:t>3</w:t>
                  </w:r>
                  <w:r>
                    <w:rPr>
                      <w:rFonts w:cs="Times New Roman"/>
                    </w:rPr>
                    <w:t>9</w:t>
                  </w:r>
                </w:p>
              </w:tc>
              <w:tc>
                <w:tcPr>
                  <w:tcW w:w="421" w:type="pct"/>
                  <w:vAlign w:val="center"/>
                </w:tcPr>
                <w:p w14:paraId="4017B2C8">
                  <w:pPr>
                    <w:pStyle w:val="14"/>
                    <w:rPr>
                      <w:rFonts w:cs="Times New Roman"/>
                    </w:rPr>
                  </w:pPr>
                  <w:r>
                    <w:rPr>
                      <w:rFonts w:cs="Times New Roman"/>
                    </w:rPr>
                    <w:t>0.0</w:t>
                  </w:r>
                  <w:r>
                    <w:rPr>
                      <w:rFonts w:hint="eastAsia" w:cs="Times New Roman"/>
                    </w:rPr>
                    <w:t>4</w:t>
                  </w:r>
                  <w:r>
                    <w:rPr>
                      <w:rFonts w:cs="Times New Roman"/>
                    </w:rPr>
                    <w:t>3</w:t>
                  </w:r>
                </w:p>
              </w:tc>
              <w:tc>
                <w:tcPr>
                  <w:tcW w:w="420" w:type="pct"/>
                  <w:vAlign w:val="center"/>
                </w:tcPr>
                <w:p w14:paraId="68328017">
                  <w:pPr>
                    <w:pStyle w:val="14"/>
                    <w:rPr>
                      <w:rFonts w:cs="Times New Roman"/>
                    </w:rPr>
                  </w:pPr>
                  <w:r>
                    <w:rPr>
                      <w:rFonts w:cs="Times New Roman"/>
                    </w:rPr>
                    <w:t>0.0</w:t>
                  </w:r>
                  <w:r>
                    <w:rPr>
                      <w:rFonts w:hint="eastAsia" w:cs="Times New Roman"/>
                    </w:rPr>
                    <w:t>2</w:t>
                  </w:r>
                  <w:r>
                    <w:rPr>
                      <w:rFonts w:cs="Times New Roman"/>
                    </w:rPr>
                    <w:t>6</w:t>
                  </w:r>
                </w:p>
              </w:tc>
              <w:tc>
                <w:tcPr>
                  <w:tcW w:w="421" w:type="pct"/>
                  <w:vAlign w:val="center"/>
                </w:tcPr>
                <w:p w14:paraId="7468DF99">
                  <w:pPr>
                    <w:pStyle w:val="14"/>
                    <w:rPr>
                      <w:rFonts w:cs="Times New Roman"/>
                    </w:rPr>
                  </w:pPr>
                  <w:r>
                    <w:rPr>
                      <w:rFonts w:cs="Times New Roman"/>
                    </w:rPr>
                    <w:t>0.0</w:t>
                  </w:r>
                  <w:r>
                    <w:rPr>
                      <w:rFonts w:hint="eastAsia" w:cs="Times New Roman"/>
                    </w:rPr>
                    <w:t>4</w:t>
                  </w:r>
                  <w:r>
                    <w:rPr>
                      <w:rFonts w:cs="Times New Roman"/>
                    </w:rPr>
                    <w:t>6</w:t>
                  </w:r>
                </w:p>
              </w:tc>
              <w:tc>
                <w:tcPr>
                  <w:tcW w:w="791" w:type="pct"/>
                  <w:vMerge w:val="continue"/>
                  <w:vAlign w:val="center"/>
                </w:tcPr>
                <w:p w14:paraId="7656EA56">
                  <w:pPr>
                    <w:pStyle w:val="14"/>
                    <w:rPr>
                      <w:rFonts w:cs="Times New Roman"/>
                    </w:rPr>
                  </w:pPr>
                </w:p>
              </w:tc>
              <w:tc>
                <w:tcPr>
                  <w:tcW w:w="787" w:type="pct"/>
                  <w:vAlign w:val="center"/>
                </w:tcPr>
                <w:p w14:paraId="7F68EBE3">
                  <w:pPr>
                    <w:pStyle w:val="14"/>
                    <w:rPr>
                      <w:rFonts w:cs="Times New Roman"/>
                    </w:rPr>
                  </w:pPr>
                  <w:r>
                    <w:rPr>
                      <w:rFonts w:cs="Times New Roman"/>
                    </w:rPr>
                    <w:t>达标</w:t>
                  </w:r>
                </w:p>
              </w:tc>
            </w:tr>
            <w:tr w14:paraId="2F732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4" w:type="pct"/>
                  <w:vMerge w:val="continue"/>
                  <w:vAlign w:val="center"/>
                </w:tcPr>
                <w:p w14:paraId="464E4FED">
                  <w:pPr>
                    <w:pStyle w:val="14"/>
                    <w:rPr>
                      <w:rFonts w:cs="Times New Roman"/>
                    </w:rPr>
                  </w:pPr>
                </w:p>
              </w:tc>
              <w:tc>
                <w:tcPr>
                  <w:tcW w:w="359" w:type="pct"/>
                  <w:vMerge w:val="continue"/>
                  <w:vAlign w:val="center"/>
                </w:tcPr>
                <w:p w14:paraId="455D021A">
                  <w:pPr>
                    <w:pStyle w:val="14"/>
                    <w:rPr>
                      <w:rFonts w:cs="Times New Roman"/>
                    </w:rPr>
                  </w:pPr>
                </w:p>
              </w:tc>
              <w:tc>
                <w:tcPr>
                  <w:tcW w:w="827" w:type="pct"/>
                </w:tcPr>
                <w:p w14:paraId="1C267278">
                  <w:pPr>
                    <w:pStyle w:val="14"/>
                    <w:rPr>
                      <w:rFonts w:cs="Times New Roman"/>
                    </w:rPr>
                  </w:pPr>
                  <w:r>
                    <w:rPr>
                      <w:rFonts w:cs="Times New Roman"/>
                    </w:rPr>
                    <w:t>2024.08.11-12</w:t>
                  </w:r>
                </w:p>
              </w:tc>
              <w:tc>
                <w:tcPr>
                  <w:tcW w:w="420" w:type="pct"/>
                  <w:vAlign w:val="center"/>
                </w:tcPr>
                <w:p w14:paraId="0A0222F7">
                  <w:pPr>
                    <w:pStyle w:val="14"/>
                    <w:rPr>
                      <w:rFonts w:cs="Times New Roman"/>
                    </w:rPr>
                  </w:pPr>
                  <w:bookmarkStart w:id="65" w:name="OLE_LINK282"/>
                  <w:bookmarkStart w:id="66" w:name="OLE_LINK283"/>
                  <w:r>
                    <w:rPr>
                      <w:rFonts w:cs="Times New Roman"/>
                    </w:rPr>
                    <w:t>0.0</w:t>
                  </w:r>
                  <w:bookmarkEnd w:id="65"/>
                  <w:bookmarkEnd w:id="66"/>
                  <w:r>
                    <w:rPr>
                      <w:rFonts w:hint="eastAsia" w:cs="Times New Roman"/>
                    </w:rPr>
                    <w:t>3</w:t>
                  </w:r>
                  <w:r>
                    <w:rPr>
                      <w:rFonts w:cs="Times New Roman"/>
                    </w:rPr>
                    <w:t>5</w:t>
                  </w:r>
                </w:p>
              </w:tc>
              <w:tc>
                <w:tcPr>
                  <w:tcW w:w="421" w:type="pct"/>
                  <w:vAlign w:val="center"/>
                </w:tcPr>
                <w:p w14:paraId="0F040825">
                  <w:pPr>
                    <w:pStyle w:val="14"/>
                    <w:rPr>
                      <w:rFonts w:cs="Times New Roman"/>
                    </w:rPr>
                  </w:pPr>
                  <w:r>
                    <w:rPr>
                      <w:rFonts w:cs="Times New Roman"/>
                    </w:rPr>
                    <w:t>0.0</w:t>
                  </w:r>
                  <w:r>
                    <w:rPr>
                      <w:rFonts w:hint="eastAsia" w:cs="Times New Roman"/>
                    </w:rPr>
                    <w:t>2</w:t>
                  </w:r>
                  <w:r>
                    <w:rPr>
                      <w:rFonts w:cs="Times New Roman"/>
                    </w:rPr>
                    <w:t>8</w:t>
                  </w:r>
                </w:p>
              </w:tc>
              <w:tc>
                <w:tcPr>
                  <w:tcW w:w="420" w:type="pct"/>
                  <w:vAlign w:val="center"/>
                </w:tcPr>
                <w:p w14:paraId="28B91F93">
                  <w:pPr>
                    <w:pStyle w:val="14"/>
                    <w:rPr>
                      <w:rFonts w:cs="Times New Roman"/>
                    </w:rPr>
                  </w:pPr>
                  <w:r>
                    <w:rPr>
                      <w:rFonts w:cs="Times New Roman"/>
                    </w:rPr>
                    <w:t>0.0</w:t>
                  </w:r>
                  <w:r>
                    <w:rPr>
                      <w:rFonts w:hint="eastAsia" w:cs="Times New Roman"/>
                    </w:rPr>
                    <w:t>4</w:t>
                  </w:r>
                  <w:r>
                    <w:rPr>
                      <w:rFonts w:cs="Times New Roman"/>
                    </w:rPr>
                    <w:t>3</w:t>
                  </w:r>
                </w:p>
              </w:tc>
              <w:tc>
                <w:tcPr>
                  <w:tcW w:w="421" w:type="pct"/>
                  <w:vAlign w:val="center"/>
                </w:tcPr>
                <w:p w14:paraId="60FD23B7">
                  <w:pPr>
                    <w:pStyle w:val="14"/>
                    <w:rPr>
                      <w:rFonts w:cs="Times New Roman"/>
                    </w:rPr>
                  </w:pPr>
                  <w:r>
                    <w:rPr>
                      <w:rFonts w:cs="Times New Roman"/>
                    </w:rPr>
                    <w:t>0.0</w:t>
                  </w:r>
                  <w:r>
                    <w:rPr>
                      <w:rFonts w:hint="eastAsia" w:cs="Times New Roman"/>
                    </w:rPr>
                    <w:t>3</w:t>
                  </w:r>
                  <w:r>
                    <w:rPr>
                      <w:rFonts w:cs="Times New Roman"/>
                    </w:rPr>
                    <w:t>7</w:t>
                  </w:r>
                </w:p>
              </w:tc>
              <w:tc>
                <w:tcPr>
                  <w:tcW w:w="791" w:type="pct"/>
                  <w:vMerge w:val="continue"/>
                  <w:vAlign w:val="center"/>
                </w:tcPr>
                <w:p w14:paraId="6A501119">
                  <w:pPr>
                    <w:pStyle w:val="14"/>
                    <w:rPr>
                      <w:rFonts w:cs="Times New Roman"/>
                    </w:rPr>
                  </w:pPr>
                </w:p>
              </w:tc>
              <w:tc>
                <w:tcPr>
                  <w:tcW w:w="787" w:type="pct"/>
                  <w:vAlign w:val="center"/>
                </w:tcPr>
                <w:p w14:paraId="1CACE252">
                  <w:pPr>
                    <w:pStyle w:val="14"/>
                    <w:rPr>
                      <w:rFonts w:cs="Times New Roman"/>
                    </w:rPr>
                  </w:pPr>
                  <w:r>
                    <w:rPr>
                      <w:rFonts w:cs="Times New Roman"/>
                    </w:rPr>
                    <w:t>达标</w:t>
                  </w:r>
                </w:p>
              </w:tc>
            </w:tr>
            <w:tr w14:paraId="20497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4" w:type="pct"/>
                  <w:vMerge w:val="continue"/>
                  <w:vAlign w:val="center"/>
                </w:tcPr>
                <w:p w14:paraId="70EDF3BB">
                  <w:pPr>
                    <w:pStyle w:val="14"/>
                    <w:rPr>
                      <w:rFonts w:cs="Times New Roman"/>
                    </w:rPr>
                  </w:pPr>
                </w:p>
              </w:tc>
              <w:tc>
                <w:tcPr>
                  <w:tcW w:w="359" w:type="pct"/>
                  <w:vMerge w:val="continue"/>
                  <w:vAlign w:val="center"/>
                </w:tcPr>
                <w:p w14:paraId="73AC360E">
                  <w:pPr>
                    <w:pStyle w:val="14"/>
                    <w:rPr>
                      <w:rFonts w:cs="Times New Roman"/>
                    </w:rPr>
                  </w:pPr>
                </w:p>
              </w:tc>
              <w:tc>
                <w:tcPr>
                  <w:tcW w:w="827" w:type="pct"/>
                </w:tcPr>
                <w:p w14:paraId="30A2B14C">
                  <w:pPr>
                    <w:pStyle w:val="14"/>
                    <w:rPr>
                      <w:rFonts w:cs="Times New Roman"/>
                    </w:rPr>
                  </w:pPr>
                  <w:r>
                    <w:rPr>
                      <w:rFonts w:cs="Times New Roman"/>
                    </w:rPr>
                    <w:t>2024.08.12-13</w:t>
                  </w:r>
                </w:p>
              </w:tc>
              <w:tc>
                <w:tcPr>
                  <w:tcW w:w="420" w:type="pct"/>
                  <w:vAlign w:val="center"/>
                </w:tcPr>
                <w:p w14:paraId="6C786DF9">
                  <w:pPr>
                    <w:pStyle w:val="14"/>
                    <w:rPr>
                      <w:rFonts w:cs="Times New Roman"/>
                    </w:rPr>
                  </w:pPr>
                  <w:r>
                    <w:rPr>
                      <w:rFonts w:cs="Times New Roman"/>
                    </w:rPr>
                    <w:t>0.0</w:t>
                  </w:r>
                  <w:r>
                    <w:rPr>
                      <w:rFonts w:hint="eastAsia" w:cs="Times New Roman"/>
                    </w:rPr>
                    <w:t>3</w:t>
                  </w:r>
                  <w:r>
                    <w:rPr>
                      <w:rFonts w:cs="Times New Roman"/>
                    </w:rPr>
                    <w:t>9</w:t>
                  </w:r>
                </w:p>
              </w:tc>
              <w:tc>
                <w:tcPr>
                  <w:tcW w:w="421" w:type="pct"/>
                  <w:vAlign w:val="center"/>
                </w:tcPr>
                <w:p w14:paraId="631FE097">
                  <w:pPr>
                    <w:pStyle w:val="14"/>
                    <w:rPr>
                      <w:rFonts w:cs="Times New Roman"/>
                    </w:rPr>
                  </w:pPr>
                  <w:r>
                    <w:rPr>
                      <w:rFonts w:cs="Times New Roman"/>
                    </w:rPr>
                    <w:t>0.0</w:t>
                  </w:r>
                  <w:r>
                    <w:rPr>
                      <w:rFonts w:hint="eastAsia" w:cs="Times New Roman"/>
                    </w:rPr>
                    <w:t>4</w:t>
                  </w:r>
                  <w:r>
                    <w:rPr>
                      <w:rFonts w:cs="Times New Roman"/>
                    </w:rPr>
                    <w:t>4</w:t>
                  </w:r>
                </w:p>
              </w:tc>
              <w:tc>
                <w:tcPr>
                  <w:tcW w:w="420" w:type="pct"/>
                  <w:vAlign w:val="center"/>
                </w:tcPr>
                <w:p w14:paraId="58F7F9DD">
                  <w:pPr>
                    <w:pStyle w:val="14"/>
                    <w:rPr>
                      <w:rFonts w:cs="Times New Roman"/>
                    </w:rPr>
                  </w:pPr>
                  <w:r>
                    <w:rPr>
                      <w:rFonts w:cs="Times New Roman"/>
                    </w:rPr>
                    <w:t>0.0</w:t>
                  </w:r>
                  <w:r>
                    <w:rPr>
                      <w:rFonts w:hint="eastAsia" w:cs="Times New Roman"/>
                    </w:rPr>
                    <w:t>2</w:t>
                  </w:r>
                  <w:r>
                    <w:rPr>
                      <w:rFonts w:cs="Times New Roman"/>
                    </w:rPr>
                    <w:t>8</w:t>
                  </w:r>
                </w:p>
              </w:tc>
              <w:tc>
                <w:tcPr>
                  <w:tcW w:w="421" w:type="pct"/>
                  <w:vAlign w:val="center"/>
                </w:tcPr>
                <w:p w14:paraId="3C397A89">
                  <w:pPr>
                    <w:pStyle w:val="14"/>
                    <w:rPr>
                      <w:rFonts w:cs="Times New Roman"/>
                    </w:rPr>
                  </w:pPr>
                  <w:r>
                    <w:rPr>
                      <w:rFonts w:cs="Times New Roman"/>
                    </w:rPr>
                    <w:t>0.0</w:t>
                  </w:r>
                  <w:r>
                    <w:rPr>
                      <w:rFonts w:hint="eastAsia" w:cs="Times New Roman"/>
                    </w:rPr>
                    <w:t>4</w:t>
                  </w:r>
                  <w:r>
                    <w:rPr>
                      <w:rFonts w:cs="Times New Roman"/>
                    </w:rPr>
                    <w:t>6</w:t>
                  </w:r>
                </w:p>
              </w:tc>
              <w:tc>
                <w:tcPr>
                  <w:tcW w:w="791" w:type="pct"/>
                  <w:vMerge w:val="continue"/>
                  <w:vAlign w:val="center"/>
                </w:tcPr>
                <w:p w14:paraId="041EBF27">
                  <w:pPr>
                    <w:pStyle w:val="14"/>
                    <w:rPr>
                      <w:rFonts w:cs="Times New Roman"/>
                    </w:rPr>
                  </w:pPr>
                </w:p>
              </w:tc>
              <w:tc>
                <w:tcPr>
                  <w:tcW w:w="787" w:type="pct"/>
                  <w:vAlign w:val="center"/>
                </w:tcPr>
                <w:p w14:paraId="2A97E56E">
                  <w:pPr>
                    <w:pStyle w:val="14"/>
                    <w:rPr>
                      <w:rFonts w:cs="Times New Roman"/>
                    </w:rPr>
                  </w:pPr>
                  <w:r>
                    <w:rPr>
                      <w:rFonts w:cs="Times New Roman"/>
                    </w:rPr>
                    <w:t>达标</w:t>
                  </w:r>
                </w:p>
              </w:tc>
            </w:tr>
            <w:tr w14:paraId="45E7B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4" w:type="pct"/>
                  <w:vMerge w:val="continue"/>
                  <w:vAlign w:val="center"/>
                </w:tcPr>
                <w:p w14:paraId="3C94DCE0">
                  <w:pPr>
                    <w:pStyle w:val="14"/>
                    <w:rPr>
                      <w:rFonts w:cs="Times New Roman"/>
                    </w:rPr>
                  </w:pPr>
                </w:p>
              </w:tc>
              <w:tc>
                <w:tcPr>
                  <w:tcW w:w="359" w:type="pct"/>
                  <w:vMerge w:val="continue"/>
                  <w:vAlign w:val="center"/>
                </w:tcPr>
                <w:p w14:paraId="35EA43E2">
                  <w:pPr>
                    <w:pStyle w:val="14"/>
                    <w:rPr>
                      <w:rFonts w:cs="Times New Roman"/>
                    </w:rPr>
                  </w:pPr>
                </w:p>
              </w:tc>
              <w:tc>
                <w:tcPr>
                  <w:tcW w:w="827" w:type="pct"/>
                </w:tcPr>
                <w:p w14:paraId="773B0C04">
                  <w:pPr>
                    <w:pStyle w:val="14"/>
                    <w:rPr>
                      <w:rFonts w:cs="Times New Roman"/>
                    </w:rPr>
                  </w:pPr>
                  <w:r>
                    <w:rPr>
                      <w:rFonts w:cs="Times New Roman"/>
                    </w:rPr>
                    <w:t>2024.08.13-14</w:t>
                  </w:r>
                </w:p>
              </w:tc>
              <w:tc>
                <w:tcPr>
                  <w:tcW w:w="420" w:type="pct"/>
                  <w:vAlign w:val="center"/>
                </w:tcPr>
                <w:p w14:paraId="2F48EA45">
                  <w:pPr>
                    <w:pStyle w:val="14"/>
                    <w:rPr>
                      <w:rFonts w:cs="Times New Roman"/>
                    </w:rPr>
                  </w:pPr>
                  <w:r>
                    <w:rPr>
                      <w:rFonts w:cs="Times New Roman"/>
                    </w:rPr>
                    <w:t>0.0</w:t>
                  </w:r>
                  <w:r>
                    <w:rPr>
                      <w:rFonts w:hint="eastAsia" w:cs="Times New Roman"/>
                    </w:rPr>
                    <w:t>4</w:t>
                  </w:r>
                  <w:r>
                    <w:rPr>
                      <w:rFonts w:cs="Times New Roman"/>
                    </w:rPr>
                    <w:t>4</w:t>
                  </w:r>
                </w:p>
              </w:tc>
              <w:tc>
                <w:tcPr>
                  <w:tcW w:w="421" w:type="pct"/>
                  <w:vAlign w:val="center"/>
                </w:tcPr>
                <w:p w14:paraId="1B501370">
                  <w:pPr>
                    <w:pStyle w:val="14"/>
                    <w:rPr>
                      <w:rFonts w:cs="Times New Roman"/>
                    </w:rPr>
                  </w:pPr>
                  <w:r>
                    <w:rPr>
                      <w:rFonts w:cs="Times New Roman"/>
                    </w:rPr>
                    <w:t>0.0</w:t>
                  </w:r>
                  <w:r>
                    <w:rPr>
                      <w:rFonts w:hint="eastAsia" w:cs="Times New Roman"/>
                    </w:rPr>
                    <w:t>2</w:t>
                  </w:r>
                  <w:r>
                    <w:rPr>
                      <w:rFonts w:cs="Times New Roman"/>
                    </w:rPr>
                    <w:t>9</w:t>
                  </w:r>
                </w:p>
              </w:tc>
              <w:tc>
                <w:tcPr>
                  <w:tcW w:w="420" w:type="pct"/>
                  <w:vAlign w:val="center"/>
                </w:tcPr>
                <w:p w14:paraId="6A067645">
                  <w:pPr>
                    <w:pStyle w:val="14"/>
                    <w:rPr>
                      <w:rFonts w:cs="Times New Roman"/>
                    </w:rPr>
                  </w:pPr>
                  <w:r>
                    <w:rPr>
                      <w:rFonts w:cs="Times New Roman"/>
                    </w:rPr>
                    <w:t>0.0</w:t>
                  </w:r>
                  <w:r>
                    <w:rPr>
                      <w:rFonts w:hint="eastAsia" w:cs="Times New Roman"/>
                    </w:rPr>
                    <w:t>4</w:t>
                  </w:r>
                  <w:r>
                    <w:rPr>
                      <w:rFonts w:cs="Times New Roman"/>
                    </w:rPr>
                    <w:t>6</w:t>
                  </w:r>
                </w:p>
              </w:tc>
              <w:tc>
                <w:tcPr>
                  <w:tcW w:w="421" w:type="pct"/>
                  <w:vAlign w:val="center"/>
                </w:tcPr>
                <w:p w14:paraId="14F412F4">
                  <w:pPr>
                    <w:pStyle w:val="14"/>
                    <w:rPr>
                      <w:rFonts w:cs="Times New Roman"/>
                    </w:rPr>
                  </w:pPr>
                  <w:r>
                    <w:rPr>
                      <w:rFonts w:cs="Times New Roman"/>
                    </w:rPr>
                    <w:t>0.0</w:t>
                  </w:r>
                  <w:r>
                    <w:rPr>
                      <w:rFonts w:hint="eastAsia" w:cs="Times New Roman"/>
                    </w:rPr>
                    <w:t>3</w:t>
                  </w:r>
                  <w:r>
                    <w:rPr>
                      <w:rFonts w:cs="Times New Roman"/>
                    </w:rPr>
                    <w:t>0</w:t>
                  </w:r>
                </w:p>
              </w:tc>
              <w:tc>
                <w:tcPr>
                  <w:tcW w:w="791" w:type="pct"/>
                  <w:vMerge w:val="continue"/>
                  <w:vAlign w:val="center"/>
                </w:tcPr>
                <w:p w14:paraId="7287E4F7">
                  <w:pPr>
                    <w:pStyle w:val="14"/>
                    <w:rPr>
                      <w:rFonts w:cs="Times New Roman"/>
                    </w:rPr>
                  </w:pPr>
                </w:p>
              </w:tc>
              <w:tc>
                <w:tcPr>
                  <w:tcW w:w="787" w:type="pct"/>
                  <w:vAlign w:val="center"/>
                </w:tcPr>
                <w:p w14:paraId="6267DF20">
                  <w:pPr>
                    <w:pStyle w:val="14"/>
                    <w:rPr>
                      <w:rFonts w:cs="Times New Roman"/>
                    </w:rPr>
                  </w:pPr>
                  <w:r>
                    <w:rPr>
                      <w:rFonts w:cs="Times New Roman"/>
                    </w:rPr>
                    <w:t>达标</w:t>
                  </w:r>
                </w:p>
              </w:tc>
            </w:tr>
            <w:tr w14:paraId="487CA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4" w:type="pct"/>
                  <w:vMerge w:val="continue"/>
                  <w:vAlign w:val="center"/>
                </w:tcPr>
                <w:p w14:paraId="64841FE6">
                  <w:pPr>
                    <w:pStyle w:val="14"/>
                    <w:rPr>
                      <w:rFonts w:cs="Times New Roman"/>
                    </w:rPr>
                  </w:pPr>
                </w:p>
              </w:tc>
              <w:tc>
                <w:tcPr>
                  <w:tcW w:w="359" w:type="pct"/>
                  <w:vMerge w:val="continue"/>
                  <w:vAlign w:val="center"/>
                </w:tcPr>
                <w:p w14:paraId="3BC8A8A0">
                  <w:pPr>
                    <w:pStyle w:val="14"/>
                    <w:rPr>
                      <w:rFonts w:cs="Times New Roman"/>
                    </w:rPr>
                  </w:pPr>
                </w:p>
              </w:tc>
              <w:tc>
                <w:tcPr>
                  <w:tcW w:w="827" w:type="pct"/>
                </w:tcPr>
                <w:p w14:paraId="1BF9D573">
                  <w:pPr>
                    <w:pStyle w:val="14"/>
                    <w:rPr>
                      <w:rFonts w:cs="Times New Roman"/>
                    </w:rPr>
                  </w:pPr>
                  <w:r>
                    <w:rPr>
                      <w:rFonts w:cs="Times New Roman"/>
                    </w:rPr>
                    <w:t>2024.08.14-15</w:t>
                  </w:r>
                </w:p>
              </w:tc>
              <w:tc>
                <w:tcPr>
                  <w:tcW w:w="420" w:type="pct"/>
                  <w:vAlign w:val="center"/>
                </w:tcPr>
                <w:p w14:paraId="5A7E4FA7">
                  <w:pPr>
                    <w:pStyle w:val="14"/>
                    <w:rPr>
                      <w:rFonts w:cs="Times New Roman"/>
                    </w:rPr>
                  </w:pPr>
                  <w:r>
                    <w:rPr>
                      <w:rFonts w:cs="Times New Roman"/>
                    </w:rPr>
                    <w:t>0.0</w:t>
                  </w:r>
                  <w:r>
                    <w:rPr>
                      <w:rFonts w:hint="eastAsia" w:cs="Times New Roman"/>
                    </w:rPr>
                    <w:t>3</w:t>
                  </w:r>
                  <w:r>
                    <w:rPr>
                      <w:rFonts w:cs="Times New Roman"/>
                    </w:rPr>
                    <w:t>1</w:t>
                  </w:r>
                </w:p>
              </w:tc>
              <w:tc>
                <w:tcPr>
                  <w:tcW w:w="421" w:type="pct"/>
                  <w:vAlign w:val="center"/>
                </w:tcPr>
                <w:p w14:paraId="3AC2A052">
                  <w:pPr>
                    <w:pStyle w:val="14"/>
                    <w:rPr>
                      <w:rFonts w:cs="Times New Roman"/>
                    </w:rPr>
                  </w:pPr>
                  <w:r>
                    <w:rPr>
                      <w:rFonts w:cs="Times New Roman"/>
                    </w:rPr>
                    <w:t>0.0</w:t>
                  </w:r>
                  <w:r>
                    <w:rPr>
                      <w:rFonts w:hint="eastAsia" w:cs="Times New Roman"/>
                    </w:rPr>
                    <w:t>3</w:t>
                  </w:r>
                  <w:r>
                    <w:rPr>
                      <w:rFonts w:cs="Times New Roman"/>
                    </w:rPr>
                    <w:t>9</w:t>
                  </w:r>
                </w:p>
              </w:tc>
              <w:tc>
                <w:tcPr>
                  <w:tcW w:w="420" w:type="pct"/>
                  <w:vAlign w:val="center"/>
                </w:tcPr>
                <w:p w14:paraId="578D3DC8">
                  <w:pPr>
                    <w:pStyle w:val="14"/>
                    <w:rPr>
                      <w:rFonts w:cs="Times New Roman"/>
                    </w:rPr>
                  </w:pPr>
                  <w:r>
                    <w:rPr>
                      <w:rFonts w:cs="Times New Roman"/>
                    </w:rPr>
                    <w:t>0.0</w:t>
                  </w:r>
                  <w:r>
                    <w:rPr>
                      <w:rFonts w:hint="eastAsia" w:cs="Times New Roman"/>
                    </w:rPr>
                    <w:t>4</w:t>
                  </w:r>
                  <w:r>
                    <w:rPr>
                      <w:rFonts w:cs="Times New Roman"/>
                    </w:rPr>
                    <w:t>4</w:t>
                  </w:r>
                </w:p>
              </w:tc>
              <w:tc>
                <w:tcPr>
                  <w:tcW w:w="421" w:type="pct"/>
                  <w:vAlign w:val="center"/>
                </w:tcPr>
                <w:p w14:paraId="6088133F">
                  <w:pPr>
                    <w:pStyle w:val="14"/>
                    <w:rPr>
                      <w:rFonts w:cs="Times New Roman"/>
                    </w:rPr>
                  </w:pPr>
                  <w:r>
                    <w:rPr>
                      <w:rFonts w:cs="Times New Roman"/>
                    </w:rPr>
                    <w:t>0.0</w:t>
                  </w:r>
                  <w:r>
                    <w:rPr>
                      <w:rFonts w:hint="eastAsia" w:cs="Times New Roman"/>
                    </w:rPr>
                    <w:t>4</w:t>
                  </w:r>
                  <w:r>
                    <w:rPr>
                      <w:rFonts w:cs="Times New Roman"/>
                    </w:rPr>
                    <w:t>7</w:t>
                  </w:r>
                </w:p>
              </w:tc>
              <w:tc>
                <w:tcPr>
                  <w:tcW w:w="791" w:type="pct"/>
                  <w:vMerge w:val="continue"/>
                  <w:vAlign w:val="center"/>
                </w:tcPr>
                <w:p w14:paraId="5F573FD0">
                  <w:pPr>
                    <w:pStyle w:val="14"/>
                    <w:rPr>
                      <w:rFonts w:cs="Times New Roman"/>
                    </w:rPr>
                  </w:pPr>
                </w:p>
              </w:tc>
              <w:tc>
                <w:tcPr>
                  <w:tcW w:w="787" w:type="pct"/>
                  <w:vAlign w:val="center"/>
                </w:tcPr>
                <w:p w14:paraId="3137E5EE">
                  <w:pPr>
                    <w:pStyle w:val="14"/>
                    <w:rPr>
                      <w:rFonts w:cs="Times New Roman"/>
                    </w:rPr>
                  </w:pPr>
                  <w:r>
                    <w:rPr>
                      <w:rFonts w:cs="Times New Roman"/>
                    </w:rPr>
                    <w:t>达标</w:t>
                  </w:r>
                </w:p>
              </w:tc>
            </w:tr>
            <w:tr w14:paraId="337B5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4" w:type="pct"/>
                  <w:vMerge w:val="continue"/>
                  <w:vAlign w:val="center"/>
                </w:tcPr>
                <w:p w14:paraId="72136A5A">
                  <w:pPr>
                    <w:pStyle w:val="14"/>
                    <w:rPr>
                      <w:rFonts w:cs="Times New Roman"/>
                    </w:rPr>
                  </w:pPr>
                </w:p>
              </w:tc>
              <w:tc>
                <w:tcPr>
                  <w:tcW w:w="359" w:type="pct"/>
                  <w:vMerge w:val="continue"/>
                  <w:vAlign w:val="center"/>
                </w:tcPr>
                <w:p w14:paraId="6DE3E6EB">
                  <w:pPr>
                    <w:pStyle w:val="14"/>
                    <w:rPr>
                      <w:rFonts w:cs="Times New Roman"/>
                    </w:rPr>
                  </w:pPr>
                </w:p>
              </w:tc>
              <w:tc>
                <w:tcPr>
                  <w:tcW w:w="827" w:type="pct"/>
                </w:tcPr>
                <w:p w14:paraId="5B1EB8AF">
                  <w:pPr>
                    <w:pStyle w:val="14"/>
                    <w:rPr>
                      <w:rFonts w:cs="Times New Roman"/>
                    </w:rPr>
                  </w:pPr>
                  <w:r>
                    <w:rPr>
                      <w:rFonts w:cs="Times New Roman"/>
                    </w:rPr>
                    <w:t>2024.08.15-16</w:t>
                  </w:r>
                </w:p>
              </w:tc>
              <w:tc>
                <w:tcPr>
                  <w:tcW w:w="420" w:type="pct"/>
                  <w:vAlign w:val="center"/>
                </w:tcPr>
                <w:p w14:paraId="44A00065">
                  <w:pPr>
                    <w:pStyle w:val="14"/>
                    <w:rPr>
                      <w:rFonts w:cs="Times New Roman"/>
                    </w:rPr>
                  </w:pPr>
                  <w:r>
                    <w:rPr>
                      <w:rFonts w:cs="Times New Roman"/>
                    </w:rPr>
                    <w:t>0.0</w:t>
                  </w:r>
                  <w:r>
                    <w:rPr>
                      <w:rFonts w:hint="eastAsia" w:cs="Times New Roman"/>
                    </w:rPr>
                    <w:t>4</w:t>
                  </w:r>
                  <w:r>
                    <w:rPr>
                      <w:rFonts w:cs="Times New Roman"/>
                    </w:rPr>
                    <w:t>1</w:t>
                  </w:r>
                </w:p>
              </w:tc>
              <w:tc>
                <w:tcPr>
                  <w:tcW w:w="421" w:type="pct"/>
                  <w:vAlign w:val="center"/>
                </w:tcPr>
                <w:p w14:paraId="493BEEF8">
                  <w:pPr>
                    <w:pStyle w:val="14"/>
                    <w:rPr>
                      <w:rFonts w:cs="Times New Roman"/>
                    </w:rPr>
                  </w:pPr>
                  <w:r>
                    <w:rPr>
                      <w:rFonts w:cs="Times New Roman"/>
                    </w:rPr>
                    <w:t>0.0</w:t>
                  </w:r>
                  <w:r>
                    <w:rPr>
                      <w:rFonts w:hint="eastAsia" w:cs="Times New Roman"/>
                    </w:rPr>
                    <w:t>3</w:t>
                  </w:r>
                  <w:r>
                    <w:rPr>
                      <w:rFonts w:cs="Times New Roman"/>
                    </w:rPr>
                    <w:t>2</w:t>
                  </w:r>
                </w:p>
              </w:tc>
              <w:tc>
                <w:tcPr>
                  <w:tcW w:w="420" w:type="pct"/>
                  <w:vAlign w:val="center"/>
                </w:tcPr>
                <w:p w14:paraId="1B4B767D">
                  <w:pPr>
                    <w:pStyle w:val="14"/>
                    <w:rPr>
                      <w:rFonts w:cs="Times New Roman"/>
                    </w:rPr>
                  </w:pPr>
                  <w:r>
                    <w:rPr>
                      <w:rFonts w:cs="Times New Roman"/>
                    </w:rPr>
                    <w:t>0.0</w:t>
                  </w:r>
                  <w:r>
                    <w:rPr>
                      <w:rFonts w:hint="eastAsia" w:cs="Times New Roman"/>
                    </w:rPr>
                    <w:t>4</w:t>
                  </w:r>
                  <w:r>
                    <w:rPr>
                      <w:rFonts w:cs="Times New Roman"/>
                    </w:rPr>
                    <w:t>4</w:t>
                  </w:r>
                </w:p>
              </w:tc>
              <w:tc>
                <w:tcPr>
                  <w:tcW w:w="421" w:type="pct"/>
                  <w:vAlign w:val="center"/>
                </w:tcPr>
                <w:p w14:paraId="390D5D72">
                  <w:pPr>
                    <w:pStyle w:val="14"/>
                    <w:rPr>
                      <w:rFonts w:cs="Times New Roman"/>
                    </w:rPr>
                  </w:pPr>
                  <w:r>
                    <w:rPr>
                      <w:rFonts w:cs="Times New Roman"/>
                    </w:rPr>
                    <w:t>0.0</w:t>
                  </w:r>
                  <w:r>
                    <w:rPr>
                      <w:rFonts w:hint="eastAsia" w:cs="Times New Roman"/>
                    </w:rPr>
                    <w:t>3</w:t>
                  </w:r>
                  <w:r>
                    <w:rPr>
                      <w:rFonts w:cs="Times New Roman"/>
                    </w:rPr>
                    <w:t>2</w:t>
                  </w:r>
                </w:p>
              </w:tc>
              <w:tc>
                <w:tcPr>
                  <w:tcW w:w="791" w:type="pct"/>
                  <w:vMerge w:val="continue"/>
                  <w:vAlign w:val="center"/>
                </w:tcPr>
                <w:p w14:paraId="50C6B58E">
                  <w:pPr>
                    <w:pStyle w:val="14"/>
                    <w:rPr>
                      <w:rFonts w:cs="Times New Roman"/>
                    </w:rPr>
                  </w:pPr>
                </w:p>
              </w:tc>
              <w:tc>
                <w:tcPr>
                  <w:tcW w:w="787" w:type="pct"/>
                  <w:vAlign w:val="center"/>
                </w:tcPr>
                <w:p w14:paraId="722FEBF0">
                  <w:pPr>
                    <w:pStyle w:val="14"/>
                    <w:rPr>
                      <w:rFonts w:cs="Times New Roman"/>
                    </w:rPr>
                  </w:pPr>
                  <w:r>
                    <w:rPr>
                      <w:rFonts w:cs="Times New Roman"/>
                    </w:rPr>
                    <w:t>达标</w:t>
                  </w:r>
                </w:p>
              </w:tc>
            </w:tr>
          </w:tbl>
          <w:p w14:paraId="1CD955A6">
            <w:pPr>
              <w:kinsoku w:val="0"/>
              <w:overflowPunct w:val="0"/>
              <w:spacing w:before="163" w:beforeLines="50"/>
              <w:ind w:firstLine="480"/>
              <w:jc w:val="left"/>
              <w:rPr>
                <w:b/>
                <w:bCs/>
                <w:kern w:val="0"/>
              </w:rPr>
            </w:pPr>
            <w:r>
              <w:rPr>
                <w:rFonts w:cs="Times New Roman"/>
              </w:rPr>
              <w:t>由</w:t>
            </w:r>
            <w:r>
              <w:rPr>
                <w:rFonts w:hint="eastAsia" w:cs="Times New Roman"/>
              </w:rPr>
              <w:t>上述表格</w:t>
            </w:r>
            <w:r>
              <w:rPr>
                <w:rFonts w:cs="Times New Roman"/>
              </w:rPr>
              <w:t>的监测评价结果可以得出，本次引用环境空气现状监测点位</w:t>
            </w:r>
            <w:r>
              <w:t>总悬浮颗粒物</w:t>
            </w:r>
            <w:r>
              <w:rPr>
                <w:rFonts w:hint="eastAsia"/>
              </w:rPr>
              <w:t>、氮氧化物满足</w:t>
            </w:r>
            <w:r>
              <w:t>《环境空气质量标准》（GB3095-2012）中的二级标准</w:t>
            </w:r>
            <w:r>
              <w:rPr>
                <w:rFonts w:hint="eastAsia"/>
              </w:rPr>
              <w:t>，非甲烷总烃满足《大气污染物综合排放标准详解》中相关标准</w:t>
            </w:r>
            <w:r>
              <w:t>。本项目所在区域环境空气质量良好。</w:t>
            </w:r>
          </w:p>
          <w:p w14:paraId="58B7795A">
            <w:pPr>
              <w:pStyle w:val="3"/>
              <w:spacing w:before="163"/>
            </w:pPr>
            <w:r>
              <w:t>2、地表水环境质量现状</w:t>
            </w:r>
          </w:p>
          <w:p w14:paraId="11B74671">
            <w:pPr>
              <w:ind w:firstLine="480"/>
              <w:rPr>
                <w:rFonts w:cs="Times New Roman"/>
              </w:rPr>
            </w:pPr>
            <w:r>
              <w:rPr>
                <w:rFonts w:cs="Times New Roman"/>
              </w:rPr>
              <w:t>本项目废水主要为</w:t>
            </w:r>
            <w:r>
              <w:rPr>
                <w:rFonts w:hint="eastAsia" w:cs="Times New Roman"/>
              </w:rPr>
              <w:t>员工</w:t>
            </w:r>
            <w:r>
              <w:rPr>
                <w:rFonts w:cs="Times New Roman"/>
              </w:rPr>
              <w:t>生活污水</w:t>
            </w:r>
            <w:r>
              <w:rPr>
                <w:rFonts w:hint="eastAsia" w:cs="Times New Roman"/>
              </w:rPr>
              <w:t>。</w:t>
            </w:r>
            <w:r>
              <w:rPr>
                <w:rFonts w:hint="eastAsia" w:cs="Times New Roman"/>
                <w:bCs/>
              </w:rPr>
              <w:t>生活污水排入预处理池，</w:t>
            </w:r>
            <w:r>
              <w:rPr>
                <w:rFonts w:cs="Times New Roman"/>
                <w:bCs/>
              </w:rPr>
              <w:t>预处理池</w:t>
            </w:r>
            <w:r>
              <w:rPr>
                <w:rFonts w:hint="eastAsia" w:cs="Times New Roman"/>
                <w:bCs/>
              </w:rPr>
              <w:t>处理后出水</w:t>
            </w:r>
            <w:r>
              <w:rPr>
                <w:rFonts w:cs="Times New Roman"/>
              </w:rPr>
              <w:t>通过园区污水管网送至巴中经开区污水处理厂处理，处理达标后排入巴河。</w:t>
            </w:r>
          </w:p>
          <w:p w14:paraId="3F16213C">
            <w:pPr>
              <w:ind w:firstLine="480"/>
              <w:rPr>
                <w:rFonts w:cs="Times New Roman"/>
              </w:rPr>
            </w:pPr>
            <w:r>
              <w:rPr>
                <w:rFonts w:cs="Times New Roman"/>
              </w:rPr>
              <w:t>根据《环境影响评价技术导则-地面水环境》（HJ/2.3-2018）中水质调查时期要求：“三级B 评价，可不考虑评价时期”。根据《建设项目环境影响报告表编制技术指南（污染影响类）（试行）》，区域地表水环境常规污染物引用与建设项目距离近的有效数据，包括近3年的规划环境影响评价的监测数据，所在流域控制单元内国家、地方控制断面监测数据，生态环境主管部门发布的水环境质量数据或地表水达标情况的结论。本项目位于四川巴中经济开发区</w:t>
            </w:r>
            <w:r>
              <w:rPr>
                <w:rFonts w:hint="eastAsia" w:cs="Times New Roman"/>
              </w:rPr>
              <w:t>核心区</w:t>
            </w:r>
            <w:r>
              <w:rPr>
                <w:rFonts w:cs="Times New Roman"/>
              </w:rPr>
              <w:t>，因此，本次评价引用《巴中市2024年生态环境状况公报》满足指南要求。</w:t>
            </w:r>
          </w:p>
          <w:p w14:paraId="4F05DFE0">
            <w:pPr>
              <w:wordWrap w:val="0"/>
              <w:ind w:firstLine="480"/>
              <w:rPr>
                <w:rFonts w:cs="Times New Roman"/>
              </w:rPr>
            </w:pPr>
            <w:r>
              <w:rPr>
                <w:rFonts w:cs="Times New Roman"/>
              </w:rPr>
              <w:t>为了解区域地表水环境质量状况，本次评价采用巴中市生态环境局于202</w:t>
            </w:r>
            <w:r>
              <w:rPr>
                <w:rFonts w:hint="eastAsia" w:cs="Times New Roman"/>
              </w:rPr>
              <w:t>6</w:t>
            </w:r>
            <w:r>
              <w:rPr>
                <w:rFonts w:cs="Times New Roman"/>
              </w:rPr>
              <w:t>年</w:t>
            </w:r>
            <w:r>
              <w:rPr>
                <w:rFonts w:hint="eastAsia" w:cs="Times New Roman"/>
              </w:rPr>
              <w:t>5</w:t>
            </w:r>
            <w:r>
              <w:rPr>
                <w:rFonts w:cs="Times New Roman"/>
              </w:rPr>
              <w:t>月发布的</w:t>
            </w:r>
            <w:bookmarkStart w:id="67" w:name="OLE_LINK25"/>
            <w:r>
              <w:rPr>
                <w:rFonts w:cs="Times New Roman"/>
              </w:rPr>
              <w:t>《202</w:t>
            </w:r>
            <w:r>
              <w:rPr>
                <w:rFonts w:hint="eastAsia" w:cs="Times New Roman"/>
              </w:rPr>
              <w:t>5</w:t>
            </w:r>
            <w:r>
              <w:rPr>
                <w:rFonts w:cs="Times New Roman"/>
              </w:rPr>
              <w:t>年巴中市</w:t>
            </w:r>
            <w:r>
              <w:rPr>
                <w:rFonts w:hint="eastAsia" w:cs="Times New Roman"/>
              </w:rPr>
              <w:t>生态</w:t>
            </w:r>
            <w:r>
              <w:rPr>
                <w:rFonts w:cs="Times New Roman"/>
              </w:rPr>
              <w:t>环境</w:t>
            </w:r>
            <w:r>
              <w:rPr>
                <w:rFonts w:hint="eastAsia" w:cs="Times New Roman"/>
              </w:rPr>
              <w:t>状况</w:t>
            </w:r>
            <w:r>
              <w:rPr>
                <w:rFonts w:cs="Times New Roman"/>
              </w:rPr>
              <w:t>公报》</w:t>
            </w:r>
            <w:bookmarkEnd w:id="67"/>
            <w:r>
              <w:rPr>
                <w:rFonts w:cs="Times New Roman"/>
              </w:rPr>
              <w:t>（https://sthjj.cnbz.gov.cn/group4/M00/0E/E4/rBUtI2og0y-AXkikBNZx1FwpdL8558.pdf）。</w:t>
            </w:r>
          </w:p>
          <w:p w14:paraId="2F6A6F7D">
            <w:pPr>
              <w:ind w:firstLine="480"/>
              <w:rPr>
                <w:rFonts w:cs="Times New Roman"/>
              </w:rPr>
            </w:pPr>
            <w:r>
              <w:rPr>
                <w:rFonts w:cs="Times New Roman"/>
              </w:rPr>
              <w:t>根据《202</w:t>
            </w:r>
            <w:r>
              <w:rPr>
                <w:rFonts w:hint="eastAsia" w:cs="Times New Roman"/>
              </w:rPr>
              <w:t>5</w:t>
            </w:r>
            <w:r>
              <w:rPr>
                <w:rFonts w:cs="Times New Roman"/>
              </w:rPr>
              <w:t>年巴中市</w:t>
            </w:r>
            <w:r>
              <w:rPr>
                <w:rFonts w:hint="eastAsia" w:cs="Times New Roman"/>
              </w:rPr>
              <w:t>生态</w:t>
            </w:r>
            <w:r>
              <w:rPr>
                <w:rFonts w:cs="Times New Roman"/>
              </w:rPr>
              <w:t>环境</w:t>
            </w:r>
            <w:r>
              <w:rPr>
                <w:rFonts w:hint="eastAsia" w:cs="Times New Roman"/>
              </w:rPr>
              <w:t>状况</w:t>
            </w:r>
            <w:r>
              <w:rPr>
                <w:rFonts w:cs="Times New Roman"/>
              </w:rPr>
              <w:t>公报》，</w:t>
            </w:r>
            <w:r>
              <w:rPr>
                <w:rFonts w:hint="eastAsia" w:cs="Times New Roman"/>
              </w:rPr>
              <w:t>2025年，巴河总体水质为优，10个国省控断面和2个入境断面均达到或优于I类水质。6个国控断面I-I类水质占比100%，4个省控断面|-I类水质占比75%，仅徐家河断面水质为I类。与上年相比，巴河总体水质不变，保持为优，I-I类水质占比100%，各断面水质类别均无明显变化。徐家河断面频次达标率下降8.3个百分点。</w:t>
            </w:r>
          </w:p>
          <w:p w14:paraId="2143E375">
            <w:pPr>
              <w:ind w:firstLine="480"/>
              <w:rPr>
                <w:rFonts w:cs="Times New Roman"/>
              </w:rPr>
            </w:pPr>
            <w:r>
              <w:rPr>
                <w:rFonts w:cs="Times New Roman"/>
              </w:rPr>
              <w:t>综上，本项目所在区域地表水水环境质量良好。</w:t>
            </w:r>
          </w:p>
          <w:p w14:paraId="4479B933">
            <w:pPr>
              <w:pStyle w:val="3"/>
              <w:spacing w:before="0" w:beforeLines="0"/>
            </w:pPr>
            <w:r>
              <w:t>3、声环境质量</w:t>
            </w:r>
          </w:p>
          <w:p w14:paraId="0CC2AE20">
            <w:pPr>
              <w:ind w:firstLine="480"/>
              <w:rPr>
                <w:rFonts w:cs="Times New Roman"/>
              </w:rPr>
            </w:pPr>
            <w:r>
              <w:rPr>
                <w:rFonts w:cs="Times New Roman"/>
              </w:rPr>
              <w:t>本项目周边50m范围内为</w:t>
            </w:r>
            <w:r>
              <w:rPr>
                <w:rFonts w:hint="eastAsia" w:cs="Times New Roman"/>
              </w:rPr>
              <w:t>池塘、山体</w:t>
            </w:r>
            <w:r>
              <w:rPr>
                <w:rFonts w:cs="Times New Roman"/>
              </w:rPr>
              <w:t>、道路或</w:t>
            </w:r>
            <w:r>
              <w:rPr>
                <w:rFonts w:hint="eastAsia" w:cs="Times New Roman"/>
              </w:rPr>
              <w:t>工厂</w:t>
            </w:r>
            <w:r>
              <w:rPr>
                <w:rFonts w:cs="Times New Roman"/>
              </w:rPr>
              <w:t>企业，无</w:t>
            </w:r>
            <w:r>
              <w:rPr>
                <w:rFonts w:hint="eastAsia" w:cs="Times New Roman"/>
              </w:rPr>
              <w:t>声</w:t>
            </w:r>
            <w:r>
              <w:rPr>
                <w:rFonts w:cs="Times New Roman"/>
              </w:rPr>
              <w:t>环境敏感点，因此根据《建设项目环境影响报告表编制技术指南》（2021试行）要求，本项目无需进行声环境质量监测。</w:t>
            </w:r>
          </w:p>
          <w:p w14:paraId="239EB7E0">
            <w:pPr>
              <w:pStyle w:val="3"/>
              <w:spacing w:before="0" w:beforeLines="0"/>
            </w:pPr>
            <w:r>
              <w:t>4、生态环境</w:t>
            </w:r>
          </w:p>
          <w:p w14:paraId="1B00D356">
            <w:pPr>
              <w:ind w:firstLine="480"/>
              <w:rPr>
                <w:rFonts w:cs="Times New Roman"/>
              </w:rPr>
            </w:pPr>
            <w:r>
              <w:rPr>
                <w:rFonts w:cs="Times New Roman"/>
              </w:rPr>
              <w:t>根据《建设项目环境影响报告表编制技术指南》（污染影响类）（试行），“产业园区外建设项目新增用地且用地范围内含有生态环境保护目标时，应进行生态现状调查”。</w:t>
            </w:r>
          </w:p>
          <w:p w14:paraId="09B83E3F">
            <w:pPr>
              <w:ind w:firstLine="480"/>
              <w:rPr>
                <w:rFonts w:cs="Times New Roman"/>
              </w:rPr>
            </w:pPr>
            <w:r>
              <w:rPr>
                <w:rFonts w:cs="Times New Roman"/>
              </w:rPr>
              <w:t>本项目位于巴中经开区核心区内，</w:t>
            </w:r>
            <w:r>
              <w:rPr>
                <w:rFonts w:hint="eastAsia" w:cs="Times New Roman"/>
              </w:rPr>
              <w:t>在原有</w:t>
            </w:r>
            <w:r>
              <w:rPr>
                <w:rFonts w:cs="Times New Roman"/>
              </w:rPr>
              <w:t>已建成厂房（</w:t>
            </w:r>
            <w:r>
              <w:rPr>
                <w:rFonts w:hint="eastAsia" w:cs="Times New Roman"/>
              </w:rPr>
              <w:t>二</w:t>
            </w:r>
            <w:r>
              <w:rPr>
                <w:rFonts w:cs="Times New Roman"/>
              </w:rPr>
              <w:t>号车间）进行建设，用地范围内不含有生态环境保护目标，因此可不进行生态现状调查。</w:t>
            </w:r>
          </w:p>
          <w:p w14:paraId="7C38AC9B">
            <w:pPr>
              <w:pStyle w:val="3"/>
              <w:spacing w:before="0" w:beforeLines="0"/>
            </w:pPr>
            <w:r>
              <w:t>5、地下水及土壤</w:t>
            </w:r>
          </w:p>
          <w:p w14:paraId="2542BF94">
            <w:pPr>
              <w:ind w:firstLine="480"/>
              <w:rPr>
                <w:rFonts w:cs="Times New Roman"/>
              </w:rPr>
            </w:pPr>
            <w:r>
              <w:rPr>
                <w:rFonts w:cs="Times New Roman"/>
              </w:rPr>
              <w:t>本项目位于</w:t>
            </w:r>
            <w:r>
              <w:rPr>
                <w:rFonts w:hint="eastAsia" w:cs="Times New Roman"/>
              </w:rPr>
              <w:t>巴中市经济开发区兴文街道办事处中山北路21号附1号</w:t>
            </w:r>
            <w:r>
              <w:rPr>
                <w:rFonts w:cs="Times New Roman"/>
              </w:rPr>
              <w:t>，根据现场调查，项目厂界外500m 范围内无地下水集中式饮用水源和热水、矿泉水、温泉等特殊地下水资源。本项目不取用地下水，不向地下注水和排水，在采取分区防渗等相关保护措施后，项目不存在明显土壤、地下水环境污染途径。依据《建设项目环境影响报告表编制技术指南（污染影响类）（试行）》（环办环评〔2020〕33号），本次评价不开展地下水、土壤环境质量现状调查。</w:t>
            </w:r>
          </w:p>
        </w:tc>
      </w:tr>
      <w:tr w14:paraId="1266923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737" w:hRule="atLeast"/>
          <w:jc w:val="center"/>
        </w:trPr>
        <w:tc>
          <w:tcPr>
            <w:tcW w:w="286" w:type="pct"/>
            <w:tcMar>
              <w:top w:w="16" w:type="dxa"/>
              <w:left w:w="16" w:type="dxa"/>
              <w:right w:w="16" w:type="dxa"/>
            </w:tcMar>
            <w:vAlign w:val="center"/>
          </w:tcPr>
          <w:p w14:paraId="31F99D80">
            <w:pPr>
              <w:pStyle w:val="30"/>
              <w:rPr>
                <w:rFonts w:cs="Times New Roman"/>
              </w:rPr>
            </w:pPr>
            <w:r>
              <w:rPr>
                <w:rFonts w:cs="Times New Roman"/>
              </w:rPr>
              <w:t>环境保护目标</w:t>
            </w:r>
          </w:p>
        </w:tc>
        <w:tc>
          <w:tcPr>
            <w:tcW w:w="4714" w:type="pct"/>
            <w:vAlign w:val="center"/>
          </w:tcPr>
          <w:p w14:paraId="501C0CB1">
            <w:pPr>
              <w:pStyle w:val="3"/>
              <w:spacing w:before="163"/>
            </w:pPr>
            <w:r>
              <w:t>1、主要环境保护目标</w:t>
            </w:r>
          </w:p>
          <w:p w14:paraId="5F1FD04B">
            <w:pPr>
              <w:ind w:firstLine="480"/>
              <w:rPr>
                <w:rFonts w:cs="Times New Roman"/>
              </w:rPr>
            </w:pPr>
            <w:r>
              <w:rPr>
                <w:rFonts w:cs="Times New Roman"/>
              </w:rPr>
              <w:t>项目区域范围内不涉及自然保护区、风景名胜区等重要的生态环境区域。根据工程性质、污染物排放特征及所在地区情况，项目区周边环境保护目标与项目的位置关系以及环境保护要求如下。</w:t>
            </w:r>
          </w:p>
          <w:p w14:paraId="6286BFF6">
            <w:pPr>
              <w:pStyle w:val="13"/>
              <w:keepNext/>
              <w:rPr>
                <w:rFonts w:cs="Times New Roman"/>
              </w:rPr>
            </w:pPr>
            <w:r>
              <w:rPr>
                <w:rFonts w:cs="Times New Roman"/>
              </w:rPr>
              <w:t xml:space="preserve">表 </w:t>
            </w:r>
            <w:r>
              <w:rPr>
                <w:rFonts w:cs="Times New Roman"/>
              </w:rPr>
              <w:fldChar w:fldCharType="begin"/>
            </w:r>
            <w:r>
              <w:rPr>
                <w:rFonts w:cs="Times New Roman"/>
              </w:rPr>
              <w:instrText xml:space="preserve"> SEQ seq \c </w:instrText>
            </w:r>
            <w:r>
              <w:rPr>
                <w:rFonts w:cs="Times New Roman"/>
              </w:rPr>
              <w:fldChar w:fldCharType="separate"/>
            </w:r>
            <w:r>
              <w:rPr>
                <w:rFonts w:cs="Times New Roman"/>
              </w:rPr>
              <w:t>3</w:t>
            </w:r>
            <w:r>
              <w:rPr>
                <w:rFonts w:cs="Times New Roman"/>
              </w:rPr>
              <w:fldChar w:fldCharType="end"/>
            </w:r>
            <w:r>
              <w:rPr>
                <w:rFonts w:cs="Times New Roman"/>
              </w:rPr>
              <w:noBreakHyphen/>
            </w:r>
            <w:r>
              <w:rPr>
                <w:rFonts w:cs="Times New Roman"/>
              </w:rPr>
              <w:fldChar w:fldCharType="begin"/>
            </w:r>
            <w:r>
              <w:rPr>
                <w:rFonts w:cs="Times New Roman"/>
              </w:rPr>
              <w:instrText xml:space="preserve"> SEQ 表 \* ARABIC \s 1 </w:instrText>
            </w:r>
            <w:r>
              <w:rPr>
                <w:rFonts w:cs="Times New Roman"/>
              </w:rPr>
              <w:fldChar w:fldCharType="separate"/>
            </w:r>
            <w:r>
              <w:rPr>
                <w:rFonts w:cs="Times New Roman"/>
              </w:rPr>
              <w:t>5</w:t>
            </w:r>
            <w:r>
              <w:rPr>
                <w:rFonts w:cs="Times New Roman"/>
              </w:rPr>
              <w:fldChar w:fldCharType="end"/>
            </w:r>
            <w:r>
              <w:rPr>
                <w:rFonts w:cs="Times New Roman"/>
              </w:rPr>
              <w:t xml:space="preserve"> 环境保护目标一览表</w:t>
            </w:r>
          </w:p>
          <w:tbl>
            <w:tblPr>
              <w:tblStyle w:val="33"/>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918"/>
              <w:gridCol w:w="1484"/>
              <w:gridCol w:w="1600"/>
              <w:gridCol w:w="864"/>
              <w:gridCol w:w="636"/>
              <w:gridCol w:w="940"/>
              <w:gridCol w:w="1162"/>
              <w:gridCol w:w="1435"/>
            </w:tblGrid>
            <w:tr w14:paraId="21239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80" w:hRule="atLeast"/>
              </w:trPr>
              <w:tc>
                <w:tcPr>
                  <w:tcW w:w="508" w:type="pct"/>
                  <w:vAlign w:val="center"/>
                </w:tcPr>
                <w:p w14:paraId="667F1DBA">
                  <w:pPr>
                    <w:pStyle w:val="53"/>
                    <w:rPr>
                      <w:rFonts w:cs="Times New Roman"/>
                      <w:lang w:val="zh-CN"/>
                    </w:rPr>
                  </w:pPr>
                  <w:r>
                    <w:rPr>
                      <w:rFonts w:cs="Times New Roman"/>
                      <w:lang w:val="zh-CN"/>
                    </w:rPr>
                    <w:t>环境要素</w:t>
                  </w:r>
                </w:p>
              </w:tc>
              <w:tc>
                <w:tcPr>
                  <w:tcW w:w="821" w:type="pct"/>
                  <w:vAlign w:val="center"/>
                </w:tcPr>
                <w:p w14:paraId="35A44ED9">
                  <w:pPr>
                    <w:pStyle w:val="53"/>
                    <w:rPr>
                      <w:rFonts w:cs="Times New Roman"/>
                      <w:lang w:val="zh-CN"/>
                    </w:rPr>
                  </w:pPr>
                  <w:r>
                    <w:rPr>
                      <w:rFonts w:cs="Times New Roman"/>
                      <w:lang w:val="zh-CN"/>
                    </w:rPr>
                    <w:t>保护目标</w:t>
                  </w:r>
                </w:p>
              </w:tc>
              <w:tc>
                <w:tcPr>
                  <w:tcW w:w="885" w:type="pct"/>
                  <w:vAlign w:val="center"/>
                </w:tcPr>
                <w:p w14:paraId="7B71B258">
                  <w:pPr>
                    <w:pStyle w:val="53"/>
                    <w:rPr>
                      <w:rFonts w:cs="Times New Roman"/>
                    </w:rPr>
                  </w:pPr>
                  <w:r>
                    <w:rPr>
                      <w:rFonts w:cs="Times New Roman"/>
                    </w:rPr>
                    <w:t>中心地理坐标</w:t>
                  </w:r>
                </w:p>
              </w:tc>
              <w:tc>
                <w:tcPr>
                  <w:tcW w:w="478" w:type="pct"/>
                  <w:vAlign w:val="center"/>
                </w:tcPr>
                <w:p w14:paraId="53D3E02A">
                  <w:pPr>
                    <w:pStyle w:val="53"/>
                    <w:rPr>
                      <w:rFonts w:cs="Times New Roman"/>
                      <w:lang w:val="zh-CN"/>
                    </w:rPr>
                  </w:pPr>
                  <w:r>
                    <w:rPr>
                      <w:rFonts w:cs="Times New Roman"/>
                      <w:lang w:val="zh-CN"/>
                    </w:rPr>
                    <w:t>类型</w:t>
                  </w:r>
                </w:p>
              </w:tc>
              <w:tc>
                <w:tcPr>
                  <w:tcW w:w="352" w:type="pct"/>
                  <w:vAlign w:val="center"/>
                </w:tcPr>
                <w:p w14:paraId="024B9164">
                  <w:pPr>
                    <w:pStyle w:val="53"/>
                    <w:rPr>
                      <w:rFonts w:cs="Times New Roman"/>
                      <w:lang w:val="zh-CN"/>
                    </w:rPr>
                  </w:pPr>
                  <w:r>
                    <w:rPr>
                      <w:rFonts w:cs="Times New Roman"/>
                      <w:lang w:val="zh-CN"/>
                    </w:rPr>
                    <w:t>方位</w:t>
                  </w:r>
                </w:p>
              </w:tc>
              <w:tc>
                <w:tcPr>
                  <w:tcW w:w="520" w:type="pct"/>
                  <w:vAlign w:val="center"/>
                </w:tcPr>
                <w:p w14:paraId="28154C8C">
                  <w:pPr>
                    <w:pStyle w:val="53"/>
                    <w:rPr>
                      <w:rFonts w:cs="Times New Roman"/>
                      <w:lang w:val="zh-CN"/>
                    </w:rPr>
                  </w:pPr>
                  <w:r>
                    <w:rPr>
                      <w:rFonts w:cs="Times New Roman"/>
                      <w:lang w:val="zh-CN"/>
                    </w:rPr>
                    <w:t>与本项目</w:t>
                  </w:r>
                </w:p>
                <w:p w14:paraId="54265893">
                  <w:pPr>
                    <w:pStyle w:val="53"/>
                    <w:rPr>
                      <w:rFonts w:cs="Times New Roman"/>
                      <w:lang w:val="zh-CN"/>
                    </w:rPr>
                  </w:pPr>
                  <w:r>
                    <w:rPr>
                      <w:rFonts w:cs="Times New Roman"/>
                      <w:lang w:val="zh-CN"/>
                    </w:rPr>
                    <w:t>厂界的距离（m）</w:t>
                  </w:r>
                </w:p>
              </w:tc>
              <w:tc>
                <w:tcPr>
                  <w:tcW w:w="643" w:type="pct"/>
                  <w:vAlign w:val="center"/>
                </w:tcPr>
                <w:p w14:paraId="5E20D558">
                  <w:pPr>
                    <w:pStyle w:val="53"/>
                    <w:rPr>
                      <w:rFonts w:cs="Times New Roman"/>
                      <w:lang w:val="zh-CN"/>
                    </w:rPr>
                  </w:pPr>
                  <w:r>
                    <w:rPr>
                      <w:rFonts w:cs="Times New Roman"/>
                    </w:rPr>
                    <w:t>保护目标</w:t>
                  </w:r>
                  <w:r>
                    <w:rPr>
                      <w:rFonts w:cs="Times New Roman"/>
                      <w:lang w:val="zh-CN"/>
                    </w:rPr>
                    <w:t>人口数</w:t>
                  </w:r>
                </w:p>
              </w:tc>
              <w:tc>
                <w:tcPr>
                  <w:tcW w:w="793" w:type="pct"/>
                  <w:vAlign w:val="center"/>
                </w:tcPr>
                <w:p w14:paraId="2CA577EC">
                  <w:pPr>
                    <w:pStyle w:val="53"/>
                    <w:rPr>
                      <w:rFonts w:cs="Times New Roman"/>
                      <w:lang w:val="zh-CN"/>
                    </w:rPr>
                  </w:pPr>
                  <w:r>
                    <w:rPr>
                      <w:rFonts w:cs="Times New Roman"/>
                      <w:lang w:val="zh-CN"/>
                    </w:rPr>
                    <w:t>保护级别</w:t>
                  </w:r>
                </w:p>
                <w:p w14:paraId="62F6623D">
                  <w:pPr>
                    <w:pStyle w:val="53"/>
                    <w:rPr>
                      <w:rFonts w:cs="Times New Roman"/>
                      <w:lang w:val="zh-CN"/>
                    </w:rPr>
                  </w:pPr>
                  <w:r>
                    <w:rPr>
                      <w:rFonts w:cs="Times New Roman"/>
                      <w:lang w:val="zh-CN"/>
                    </w:rPr>
                    <w:t>（环境功能）</w:t>
                  </w:r>
                </w:p>
              </w:tc>
            </w:tr>
            <w:tr w14:paraId="5C5F2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508" w:type="pct"/>
                  <w:vAlign w:val="center"/>
                </w:tcPr>
                <w:p w14:paraId="6EA1DD20">
                  <w:pPr>
                    <w:pStyle w:val="14"/>
                    <w:rPr>
                      <w:rFonts w:cs="Times New Roman"/>
                      <w:lang w:val="zh-CN"/>
                    </w:rPr>
                  </w:pPr>
                  <w:r>
                    <w:rPr>
                      <w:rFonts w:cs="Times New Roman"/>
                      <w:lang w:val="zh-CN"/>
                    </w:rPr>
                    <w:t>环境空气</w:t>
                  </w:r>
                </w:p>
              </w:tc>
              <w:tc>
                <w:tcPr>
                  <w:tcW w:w="821" w:type="pct"/>
                  <w:vAlign w:val="center"/>
                </w:tcPr>
                <w:p w14:paraId="52AD0444">
                  <w:pPr>
                    <w:pStyle w:val="14"/>
                    <w:rPr>
                      <w:rFonts w:cs="Times New Roman"/>
                      <w:lang w:val="zh-CN"/>
                    </w:rPr>
                  </w:pPr>
                  <w:r>
                    <w:rPr>
                      <w:rFonts w:hint="eastAsia" w:cs="Times New Roman"/>
                      <w:lang w:val="zh-CN"/>
                    </w:rPr>
                    <w:t>巴中市经开区消防救援大队</w:t>
                  </w:r>
                </w:p>
              </w:tc>
              <w:tc>
                <w:tcPr>
                  <w:tcW w:w="885" w:type="pct"/>
                  <w:vAlign w:val="center"/>
                </w:tcPr>
                <w:p w14:paraId="5289976B">
                  <w:pPr>
                    <w:pStyle w:val="14"/>
                    <w:rPr>
                      <w:rFonts w:cs="Times New Roman"/>
                    </w:rPr>
                  </w:pPr>
                  <w:r>
                    <w:t>106.888652</w:t>
                  </w:r>
                  <w:r>
                    <w:rPr>
                      <w:rFonts w:cs="Times New Roman"/>
                    </w:rPr>
                    <w:t xml:space="preserve">°E </w:t>
                  </w:r>
                </w:p>
                <w:p w14:paraId="0382C13C">
                  <w:pPr>
                    <w:pStyle w:val="14"/>
                  </w:pPr>
                  <w:r>
                    <w:t>31.861732</w:t>
                  </w:r>
                  <w:r>
                    <w:rPr>
                      <w:rFonts w:cs="Times New Roman"/>
                    </w:rPr>
                    <w:t>°N</w:t>
                  </w:r>
                </w:p>
              </w:tc>
              <w:tc>
                <w:tcPr>
                  <w:tcW w:w="478" w:type="pct"/>
                  <w:vAlign w:val="center"/>
                </w:tcPr>
                <w:p w14:paraId="4A3BDAB6">
                  <w:pPr>
                    <w:pStyle w:val="14"/>
                    <w:rPr>
                      <w:rFonts w:cs="Times New Roman"/>
                      <w:lang w:val="zh-CN"/>
                    </w:rPr>
                  </w:pPr>
                  <w:r>
                    <w:rPr>
                      <w:rFonts w:hint="eastAsia" w:cs="Times New Roman"/>
                      <w:lang w:val="zh-CN"/>
                    </w:rPr>
                    <w:t>办公</w:t>
                  </w:r>
                </w:p>
              </w:tc>
              <w:tc>
                <w:tcPr>
                  <w:tcW w:w="352" w:type="pct"/>
                  <w:vAlign w:val="center"/>
                </w:tcPr>
                <w:p w14:paraId="75424FA1">
                  <w:pPr>
                    <w:pStyle w:val="14"/>
                    <w:rPr>
                      <w:rFonts w:cs="Times New Roman"/>
                    </w:rPr>
                  </w:pPr>
                  <w:r>
                    <w:rPr>
                      <w:rFonts w:hint="eastAsia" w:cs="Times New Roman"/>
                    </w:rPr>
                    <w:t>东侧</w:t>
                  </w:r>
                </w:p>
              </w:tc>
              <w:tc>
                <w:tcPr>
                  <w:tcW w:w="520" w:type="pct"/>
                  <w:vAlign w:val="center"/>
                </w:tcPr>
                <w:p w14:paraId="0BF5D9B0">
                  <w:pPr>
                    <w:pStyle w:val="14"/>
                    <w:rPr>
                      <w:rFonts w:cs="Times New Roman"/>
                    </w:rPr>
                  </w:pPr>
                  <w:r>
                    <w:rPr>
                      <w:rFonts w:hint="eastAsia" w:cs="Times New Roman"/>
                    </w:rPr>
                    <w:t>27</w:t>
                  </w:r>
                  <w:r>
                    <w:rPr>
                      <w:rFonts w:cs="Times New Roman"/>
                    </w:rPr>
                    <w:t>0-</w:t>
                  </w:r>
                  <w:r>
                    <w:rPr>
                      <w:rFonts w:hint="eastAsia" w:cs="Times New Roman"/>
                    </w:rPr>
                    <w:t>410</w:t>
                  </w:r>
                </w:p>
              </w:tc>
              <w:tc>
                <w:tcPr>
                  <w:tcW w:w="643" w:type="pct"/>
                  <w:vAlign w:val="center"/>
                </w:tcPr>
                <w:p w14:paraId="71ACF4B3">
                  <w:pPr>
                    <w:pStyle w:val="14"/>
                    <w:rPr>
                      <w:rFonts w:cs="Times New Roman"/>
                      <w:lang w:val="zh-CN"/>
                    </w:rPr>
                  </w:pPr>
                  <w:r>
                    <w:rPr>
                      <w:rFonts w:cs="Times New Roman"/>
                      <w:lang w:val="zh-CN"/>
                    </w:rPr>
                    <w:t>约3</w:t>
                  </w:r>
                  <w:r>
                    <w:rPr>
                      <w:rFonts w:hint="eastAsia" w:cs="Times New Roman"/>
                      <w:lang w:val="zh-CN"/>
                    </w:rPr>
                    <w:t>0</w:t>
                  </w:r>
                  <w:r>
                    <w:rPr>
                      <w:rFonts w:cs="Times New Roman"/>
                      <w:lang w:val="zh-CN"/>
                    </w:rPr>
                    <w:t>人</w:t>
                  </w:r>
                </w:p>
              </w:tc>
              <w:tc>
                <w:tcPr>
                  <w:tcW w:w="793" w:type="pct"/>
                  <w:vAlign w:val="center"/>
                </w:tcPr>
                <w:p w14:paraId="133466F9">
                  <w:pPr>
                    <w:pStyle w:val="14"/>
                    <w:rPr>
                      <w:rFonts w:cs="Times New Roman"/>
                    </w:rPr>
                  </w:pPr>
                  <w:r>
                    <w:rPr>
                      <w:rFonts w:cs="Times New Roman"/>
                    </w:rPr>
                    <w:t>大气环境质量二类功能区</w:t>
                  </w:r>
                </w:p>
              </w:tc>
            </w:tr>
            <w:tr w14:paraId="63124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80" w:hRule="atLeast"/>
              </w:trPr>
              <w:tc>
                <w:tcPr>
                  <w:tcW w:w="508" w:type="pct"/>
                  <w:vMerge w:val="restart"/>
                  <w:vAlign w:val="center"/>
                </w:tcPr>
                <w:p w14:paraId="4867B6AA">
                  <w:pPr>
                    <w:pStyle w:val="14"/>
                    <w:rPr>
                      <w:rFonts w:cs="Times New Roman"/>
                      <w:lang w:val="zh-CN"/>
                    </w:rPr>
                  </w:pPr>
                  <w:r>
                    <w:rPr>
                      <w:rFonts w:cs="Times New Roman"/>
                      <w:lang w:val="zh-CN"/>
                    </w:rPr>
                    <w:t>水环境</w:t>
                  </w:r>
                </w:p>
              </w:tc>
              <w:tc>
                <w:tcPr>
                  <w:tcW w:w="821" w:type="pct"/>
                  <w:vAlign w:val="center"/>
                </w:tcPr>
                <w:p w14:paraId="4DD77F88">
                  <w:pPr>
                    <w:pStyle w:val="14"/>
                    <w:rPr>
                      <w:rFonts w:cs="Times New Roman"/>
                      <w:lang w:val="zh-CN"/>
                    </w:rPr>
                  </w:pPr>
                  <w:r>
                    <w:rPr>
                      <w:rFonts w:cs="Times New Roman"/>
                      <w:lang w:val="zh-CN"/>
                    </w:rPr>
                    <w:t>阳台河</w:t>
                  </w:r>
                </w:p>
              </w:tc>
              <w:tc>
                <w:tcPr>
                  <w:tcW w:w="885" w:type="pct"/>
                  <w:vAlign w:val="center"/>
                </w:tcPr>
                <w:p w14:paraId="5F447433">
                  <w:pPr>
                    <w:pStyle w:val="14"/>
                    <w:rPr>
                      <w:rFonts w:cs="Times New Roman"/>
                      <w:lang w:val="zh-CN"/>
                    </w:rPr>
                  </w:pPr>
                  <w:r>
                    <w:rPr>
                      <w:rFonts w:cs="Times New Roman"/>
                    </w:rPr>
                    <w:t>/</w:t>
                  </w:r>
                </w:p>
              </w:tc>
              <w:tc>
                <w:tcPr>
                  <w:tcW w:w="478" w:type="pct"/>
                  <w:vAlign w:val="center"/>
                </w:tcPr>
                <w:p w14:paraId="602AA2AA">
                  <w:pPr>
                    <w:pStyle w:val="14"/>
                    <w:rPr>
                      <w:rFonts w:cs="Times New Roman"/>
                      <w:lang w:val="zh-CN"/>
                    </w:rPr>
                  </w:pPr>
                  <w:r>
                    <w:rPr>
                      <w:rFonts w:cs="Times New Roman"/>
                      <w:lang w:val="zh-CN"/>
                    </w:rPr>
                    <w:t>河流</w:t>
                  </w:r>
                </w:p>
              </w:tc>
              <w:tc>
                <w:tcPr>
                  <w:tcW w:w="352" w:type="pct"/>
                  <w:vAlign w:val="center"/>
                </w:tcPr>
                <w:p w14:paraId="5EAF414D">
                  <w:pPr>
                    <w:pStyle w:val="14"/>
                    <w:rPr>
                      <w:rFonts w:cs="Times New Roman"/>
                      <w:lang w:val="zh-CN"/>
                    </w:rPr>
                  </w:pPr>
                  <w:r>
                    <w:rPr>
                      <w:rFonts w:hint="eastAsia" w:cs="Times New Roman"/>
                    </w:rPr>
                    <w:t>东侧</w:t>
                  </w:r>
                </w:p>
              </w:tc>
              <w:tc>
                <w:tcPr>
                  <w:tcW w:w="520" w:type="pct"/>
                  <w:vAlign w:val="center"/>
                </w:tcPr>
                <w:p w14:paraId="0469163F">
                  <w:pPr>
                    <w:pStyle w:val="14"/>
                    <w:rPr>
                      <w:rFonts w:cs="Times New Roman"/>
                    </w:rPr>
                  </w:pPr>
                  <w:r>
                    <w:rPr>
                      <w:rFonts w:cs="Times New Roman"/>
                    </w:rPr>
                    <w:t>860</w:t>
                  </w:r>
                </w:p>
              </w:tc>
              <w:tc>
                <w:tcPr>
                  <w:tcW w:w="643" w:type="pct"/>
                  <w:vAlign w:val="center"/>
                </w:tcPr>
                <w:p w14:paraId="4E87183F">
                  <w:pPr>
                    <w:pStyle w:val="14"/>
                    <w:rPr>
                      <w:rFonts w:cs="Times New Roman"/>
                      <w:lang w:val="zh-CN"/>
                    </w:rPr>
                  </w:pPr>
                  <w:r>
                    <w:rPr>
                      <w:rFonts w:cs="Times New Roman"/>
                      <w:lang w:val="zh-CN"/>
                    </w:rPr>
                    <w:t>/</w:t>
                  </w:r>
                </w:p>
              </w:tc>
              <w:tc>
                <w:tcPr>
                  <w:tcW w:w="793" w:type="pct"/>
                  <w:vMerge w:val="restart"/>
                  <w:vAlign w:val="center"/>
                </w:tcPr>
                <w:p w14:paraId="2FBA0CEB">
                  <w:pPr>
                    <w:pStyle w:val="14"/>
                    <w:rPr>
                      <w:rFonts w:cs="Times New Roman"/>
                    </w:rPr>
                  </w:pPr>
                  <w:r>
                    <w:rPr>
                      <w:rFonts w:cs="Times New Roman"/>
                    </w:rPr>
                    <w:t>GB3838-2002</w:t>
                  </w:r>
                </w:p>
                <w:p w14:paraId="0F8E59A8">
                  <w:pPr>
                    <w:pStyle w:val="14"/>
                    <w:rPr>
                      <w:rFonts w:cs="Times New Roman"/>
                    </w:rPr>
                  </w:pPr>
                  <w:r>
                    <w:rPr>
                      <w:rFonts w:cs="Times New Roman"/>
                    </w:rPr>
                    <w:t>Ⅲ类水体</w:t>
                  </w:r>
                </w:p>
              </w:tc>
            </w:tr>
            <w:tr w14:paraId="2FFF1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80" w:hRule="atLeast"/>
              </w:trPr>
              <w:tc>
                <w:tcPr>
                  <w:tcW w:w="508" w:type="pct"/>
                  <w:vMerge w:val="continue"/>
                  <w:vAlign w:val="center"/>
                </w:tcPr>
                <w:p w14:paraId="4EC934CF">
                  <w:pPr>
                    <w:pStyle w:val="14"/>
                    <w:rPr>
                      <w:rFonts w:cs="Times New Roman"/>
                      <w:lang w:val="zh-CN"/>
                    </w:rPr>
                  </w:pPr>
                </w:p>
              </w:tc>
              <w:tc>
                <w:tcPr>
                  <w:tcW w:w="821" w:type="pct"/>
                  <w:vAlign w:val="center"/>
                </w:tcPr>
                <w:p w14:paraId="17FBC8BC">
                  <w:pPr>
                    <w:pStyle w:val="14"/>
                    <w:rPr>
                      <w:rFonts w:cs="Times New Roman"/>
                      <w:lang w:val="zh-CN"/>
                    </w:rPr>
                  </w:pPr>
                  <w:r>
                    <w:rPr>
                      <w:rFonts w:hint="eastAsia" w:cs="Times New Roman"/>
                      <w:lang w:val="zh-CN"/>
                    </w:rPr>
                    <w:t>古井河池塘</w:t>
                  </w:r>
                </w:p>
              </w:tc>
              <w:tc>
                <w:tcPr>
                  <w:tcW w:w="885" w:type="pct"/>
                  <w:vAlign w:val="center"/>
                </w:tcPr>
                <w:p w14:paraId="31509E7A">
                  <w:pPr>
                    <w:pStyle w:val="14"/>
                    <w:rPr>
                      <w:rFonts w:cs="Times New Roman"/>
                    </w:rPr>
                  </w:pPr>
                  <w:r>
                    <w:rPr>
                      <w:rFonts w:cs="Times New Roman"/>
                    </w:rPr>
                    <w:t xml:space="preserve">106.882902°E </w:t>
                  </w:r>
                </w:p>
                <w:p w14:paraId="7CDC816A">
                  <w:pPr>
                    <w:pStyle w:val="14"/>
                    <w:rPr>
                      <w:rFonts w:cs="Times New Roman"/>
                    </w:rPr>
                  </w:pPr>
                  <w:r>
                    <w:rPr>
                      <w:rFonts w:cs="Times New Roman"/>
                    </w:rPr>
                    <w:t xml:space="preserve">31.862419°N </w:t>
                  </w:r>
                </w:p>
              </w:tc>
              <w:tc>
                <w:tcPr>
                  <w:tcW w:w="478" w:type="pct"/>
                  <w:vAlign w:val="center"/>
                </w:tcPr>
                <w:p w14:paraId="325DAA35">
                  <w:pPr>
                    <w:pStyle w:val="14"/>
                    <w:rPr>
                      <w:rFonts w:cs="Times New Roman"/>
                      <w:lang w:val="zh-CN"/>
                    </w:rPr>
                  </w:pPr>
                  <w:r>
                    <w:rPr>
                      <w:rFonts w:hint="eastAsia" w:cs="Times New Roman"/>
                      <w:lang w:val="zh-CN"/>
                    </w:rPr>
                    <w:t>池塘</w:t>
                  </w:r>
                </w:p>
              </w:tc>
              <w:tc>
                <w:tcPr>
                  <w:tcW w:w="352" w:type="pct"/>
                  <w:vAlign w:val="center"/>
                </w:tcPr>
                <w:p w14:paraId="4E577FE8">
                  <w:pPr>
                    <w:pStyle w:val="14"/>
                    <w:rPr>
                      <w:rFonts w:cs="Times New Roman"/>
                      <w:lang w:val="zh-CN"/>
                    </w:rPr>
                  </w:pPr>
                  <w:r>
                    <w:rPr>
                      <w:rFonts w:hint="eastAsia" w:cs="Times New Roman"/>
                      <w:lang w:val="zh-CN"/>
                    </w:rPr>
                    <w:t>北侧</w:t>
                  </w:r>
                </w:p>
              </w:tc>
              <w:tc>
                <w:tcPr>
                  <w:tcW w:w="520" w:type="pct"/>
                  <w:vAlign w:val="center"/>
                </w:tcPr>
                <w:p w14:paraId="0DD2BA28">
                  <w:pPr>
                    <w:pStyle w:val="14"/>
                    <w:rPr>
                      <w:rFonts w:cs="Times New Roman"/>
                    </w:rPr>
                  </w:pPr>
                  <w:r>
                    <w:rPr>
                      <w:rFonts w:hint="eastAsia" w:cs="Times New Roman"/>
                    </w:rPr>
                    <w:t>20</w:t>
                  </w:r>
                </w:p>
              </w:tc>
              <w:tc>
                <w:tcPr>
                  <w:tcW w:w="643" w:type="pct"/>
                  <w:vAlign w:val="center"/>
                </w:tcPr>
                <w:p w14:paraId="683C3FF5">
                  <w:pPr>
                    <w:pStyle w:val="14"/>
                    <w:rPr>
                      <w:rFonts w:cs="Times New Roman"/>
                      <w:lang w:val="zh-CN"/>
                    </w:rPr>
                  </w:pPr>
                  <w:r>
                    <w:rPr>
                      <w:rFonts w:hint="eastAsia" w:cs="Times New Roman"/>
                      <w:lang w:val="zh-CN"/>
                    </w:rPr>
                    <w:t>/</w:t>
                  </w:r>
                </w:p>
              </w:tc>
              <w:tc>
                <w:tcPr>
                  <w:tcW w:w="793" w:type="pct"/>
                  <w:vMerge w:val="continue"/>
                  <w:vAlign w:val="center"/>
                </w:tcPr>
                <w:p w14:paraId="6A6E9961">
                  <w:pPr>
                    <w:pStyle w:val="14"/>
                    <w:rPr>
                      <w:rFonts w:cs="Times New Roman"/>
                    </w:rPr>
                  </w:pPr>
                </w:p>
              </w:tc>
            </w:tr>
            <w:tr w14:paraId="14E24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508" w:type="pct"/>
                  <w:vAlign w:val="center"/>
                </w:tcPr>
                <w:p w14:paraId="680934B0">
                  <w:pPr>
                    <w:pStyle w:val="14"/>
                    <w:rPr>
                      <w:rFonts w:cs="Times New Roman"/>
                      <w:lang w:val="zh-CN"/>
                    </w:rPr>
                  </w:pPr>
                  <w:r>
                    <w:rPr>
                      <w:rFonts w:cs="Times New Roman"/>
                      <w:lang w:val="zh-CN"/>
                    </w:rPr>
                    <w:t>声环境</w:t>
                  </w:r>
                </w:p>
              </w:tc>
              <w:tc>
                <w:tcPr>
                  <w:tcW w:w="4492" w:type="pct"/>
                  <w:gridSpan w:val="7"/>
                  <w:vAlign w:val="center"/>
                </w:tcPr>
                <w:p w14:paraId="44373468">
                  <w:pPr>
                    <w:pStyle w:val="14"/>
                    <w:rPr>
                      <w:rFonts w:cs="Times New Roman"/>
                      <w:lang w:val="zh-CN"/>
                    </w:rPr>
                  </w:pPr>
                  <w:r>
                    <w:rPr>
                      <w:rFonts w:eastAsia="新宋体" w:cs="Times New Roman"/>
                      <w:szCs w:val="21"/>
                    </w:rPr>
                    <w:t>厂界外50m 范围内无声环境保护目标</w:t>
                  </w:r>
                </w:p>
              </w:tc>
            </w:tr>
            <w:tr w14:paraId="2B259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80" w:hRule="atLeast"/>
              </w:trPr>
              <w:tc>
                <w:tcPr>
                  <w:tcW w:w="508" w:type="pct"/>
                  <w:vAlign w:val="center"/>
                </w:tcPr>
                <w:p w14:paraId="47A0C41A">
                  <w:pPr>
                    <w:pStyle w:val="14"/>
                    <w:rPr>
                      <w:rFonts w:cs="Times New Roman"/>
                      <w:lang w:val="zh-CN"/>
                    </w:rPr>
                  </w:pPr>
                  <w:r>
                    <w:rPr>
                      <w:rFonts w:cs="Times New Roman"/>
                      <w:lang w:val="zh-CN"/>
                    </w:rPr>
                    <w:t>地下水</w:t>
                  </w:r>
                </w:p>
                <w:p w14:paraId="7D8FE5B8">
                  <w:pPr>
                    <w:pStyle w:val="14"/>
                    <w:rPr>
                      <w:rFonts w:cs="Times New Roman"/>
                      <w:lang w:val="zh-CN"/>
                    </w:rPr>
                  </w:pPr>
                  <w:r>
                    <w:rPr>
                      <w:rFonts w:cs="Times New Roman"/>
                      <w:lang w:val="zh-CN"/>
                    </w:rPr>
                    <w:t>环境</w:t>
                  </w:r>
                </w:p>
              </w:tc>
              <w:tc>
                <w:tcPr>
                  <w:tcW w:w="4492" w:type="pct"/>
                  <w:gridSpan w:val="7"/>
                  <w:vAlign w:val="center"/>
                </w:tcPr>
                <w:p w14:paraId="146CC09A">
                  <w:pPr>
                    <w:pStyle w:val="14"/>
                    <w:rPr>
                      <w:rFonts w:cs="Times New Roman"/>
                    </w:rPr>
                  </w:pPr>
                  <w:r>
                    <w:rPr>
                      <w:rFonts w:cs="Times New Roman"/>
                    </w:rPr>
                    <w:t>厂界外500米范围内无地下水集中式饮用水水源和热水、矿泉水、温泉等特殊地下水资源，无特定保护目标</w:t>
                  </w:r>
                </w:p>
              </w:tc>
            </w:tr>
            <w:tr w14:paraId="09E6C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508" w:type="pct"/>
                  <w:vAlign w:val="center"/>
                </w:tcPr>
                <w:p w14:paraId="5C472F32">
                  <w:pPr>
                    <w:pStyle w:val="14"/>
                    <w:rPr>
                      <w:rFonts w:cs="Times New Roman"/>
                      <w:lang w:val="zh-CN"/>
                    </w:rPr>
                  </w:pPr>
                  <w:r>
                    <w:rPr>
                      <w:rFonts w:cs="Times New Roman"/>
                      <w:lang w:val="zh-CN"/>
                    </w:rPr>
                    <w:t>风险环境</w:t>
                  </w:r>
                </w:p>
              </w:tc>
              <w:tc>
                <w:tcPr>
                  <w:tcW w:w="4492" w:type="pct"/>
                  <w:gridSpan w:val="7"/>
                  <w:vAlign w:val="center"/>
                </w:tcPr>
                <w:p w14:paraId="31EA7066">
                  <w:pPr>
                    <w:pStyle w:val="14"/>
                    <w:rPr>
                      <w:rFonts w:cs="Times New Roman"/>
                    </w:rPr>
                  </w:pPr>
                  <w:r>
                    <w:rPr>
                      <w:rFonts w:cs="Times New Roman"/>
                    </w:rPr>
                    <w:t>上述环境空气、地表水、地下水、土壤保护目标</w:t>
                  </w:r>
                </w:p>
              </w:tc>
            </w:tr>
            <w:tr w14:paraId="1EA3A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80" w:hRule="atLeast"/>
              </w:trPr>
              <w:tc>
                <w:tcPr>
                  <w:tcW w:w="5000" w:type="pct"/>
                  <w:gridSpan w:val="8"/>
                  <w:vAlign w:val="center"/>
                </w:tcPr>
                <w:p w14:paraId="766F15C9">
                  <w:pPr>
                    <w:pStyle w:val="14"/>
                    <w:rPr>
                      <w:rFonts w:cs="Times New Roman"/>
                    </w:rPr>
                  </w:pPr>
                  <w:r>
                    <w:rPr>
                      <w:rFonts w:cs="Times New Roman"/>
                    </w:rPr>
                    <w:t>注：根据《建设项目环境影响报告表编制技术指南（污染影响类）（试行）》，本项目不处于产业园区外，且不新增用地，无需明确生态环境保护目标</w:t>
                  </w:r>
                </w:p>
              </w:tc>
            </w:tr>
          </w:tbl>
          <w:p w14:paraId="079FA416">
            <w:pPr>
              <w:ind w:firstLine="480"/>
              <w:jc w:val="center"/>
              <w:rPr>
                <w:rFonts w:cs="Times New Roman"/>
              </w:rPr>
            </w:pPr>
          </w:p>
        </w:tc>
      </w:tr>
      <w:tr w14:paraId="6F36070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737" w:hRule="atLeast"/>
          <w:jc w:val="center"/>
        </w:trPr>
        <w:tc>
          <w:tcPr>
            <w:tcW w:w="286" w:type="pct"/>
            <w:tcMar>
              <w:top w:w="16" w:type="dxa"/>
              <w:left w:w="16" w:type="dxa"/>
              <w:right w:w="16" w:type="dxa"/>
            </w:tcMar>
            <w:vAlign w:val="center"/>
          </w:tcPr>
          <w:p w14:paraId="04035678">
            <w:pPr>
              <w:pStyle w:val="30"/>
              <w:rPr>
                <w:rFonts w:cs="Times New Roman"/>
              </w:rPr>
            </w:pPr>
            <w:r>
              <w:rPr>
                <w:rFonts w:cs="Times New Roman"/>
              </w:rPr>
              <w:t>污染物排放控制标准</w:t>
            </w:r>
          </w:p>
        </w:tc>
        <w:tc>
          <w:tcPr>
            <w:tcW w:w="4714" w:type="pct"/>
            <w:vAlign w:val="center"/>
          </w:tcPr>
          <w:p w14:paraId="0F18E5F4">
            <w:pPr>
              <w:pStyle w:val="3"/>
              <w:spacing w:before="163"/>
            </w:pPr>
            <w:r>
              <w:t>1、废气排放标准</w:t>
            </w:r>
          </w:p>
          <w:p w14:paraId="493A897F">
            <w:pPr>
              <w:ind w:firstLine="482"/>
              <w:rPr>
                <w:rFonts w:cs="Times New Roman"/>
                <w:b/>
              </w:rPr>
            </w:pPr>
            <w:r>
              <w:rPr>
                <w:rFonts w:cs="Times New Roman"/>
                <w:b/>
              </w:rPr>
              <w:t>（1）施工期</w:t>
            </w:r>
          </w:p>
          <w:p w14:paraId="65B9AE64">
            <w:pPr>
              <w:ind w:firstLine="480"/>
              <w:rPr>
                <w:rFonts w:cs="Times New Roman"/>
              </w:rPr>
            </w:pPr>
            <w:r>
              <w:rPr>
                <w:rFonts w:cs="Times New Roman"/>
              </w:rPr>
              <w:t>项目施工期施工场地扬尘执行《四川省施工场地扬尘排放标准》（DB51/2682-2020），</w:t>
            </w:r>
            <w:r>
              <w:rPr>
                <w:rFonts w:cs="Times New Roman"/>
                <w:kern w:val="0"/>
                <w:szCs w:val="21"/>
              </w:rPr>
              <w:t>标准值如下表：</w:t>
            </w:r>
          </w:p>
          <w:p w14:paraId="1F6429B1">
            <w:pPr>
              <w:pStyle w:val="13"/>
              <w:keepNext/>
              <w:rPr>
                <w:rFonts w:cs="Times New Roman"/>
              </w:rPr>
            </w:pPr>
            <w:r>
              <w:rPr>
                <w:rFonts w:cs="Times New Roman"/>
              </w:rPr>
              <w:t xml:space="preserve">表 </w:t>
            </w:r>
            <w:r>
              <w:rPr>
                <w:rFonts w:cs="Times New Roman"/>
              </w:rPr>
              <w:fldChar w:fldCharType="begin"/>
            </w:r>
            <w:r>
              <w:rPr>
                <w:rFonts w:cs="Times New Roman"/>
              </w:rPr>
              <w:instrText xml:space="preserve"> SEQ seq \c </w:instrText>
            </w:r>
            <w:r>
              <w:rPr>
                <w:rFonts w:cs="Times New Roman"/>
              </w:rPr>
              <w:fldChar w:fldCharType="separate"/>
            </w:r>
            <w:r>
              <w:rPr>
                <w:rFonts w:cs="Times New Roman"/>
              </w:rPr>
              <w:t>3</w:t>
            </w:r>
            <w:r>
              <w:rPr>
                <w:rFonts w:cs="Times New Roman"/>
              </w:rPr>
              <w:fldChar w:fldCharType="end"/>
            </w:r>
            <w:r>
              <w:rPr>
                <w:rFonts w:cs="Times New Roman"/>
              </w:rPr>
              <w:noBreakHyphen/>
            </w:r>
            <w:r>
              <w:rPr>
                <w:rFonts w:cs="Times New Roman"/>
              </w:rPr>
              <w:fldChar w:fldCharType="begin"/>
            </w:r>
            <w:r>
              <w:rPr>
                <w:rFonts w:cs="Times New Roman"/>
              </w:rPr>
              <w:instrText xml:space="preserve"> SEQ 表 \* ARABIC \s 1 </w:instrText>
            </w:r>
            <w:r>
              <w:rPr>
                <w:rFonts w:cs="Times New Roman"/>
              </w:rPr>
              <w:fldChar w:fldCharType="separate"/>
            </w:r>
            <w:r>
              <w:rPr>
                <w:rFonts w:cs="Times New Roman"/>
              </w:rPr>
              <w:t>6</w:t>
            </w:r>
            <w:r>
              <w:rPr>
                <w:rFonts w:cs="Times New Roman"/>
              </w:rPr>
              <w:fldChar w:fldCharType="end"/>
            </w:r>
            <w:r>
              <w:rPr>
                <w:rFonts w:cs="Times New Roman"/>
              </w:rPr>
              <w:t xml:space="preserve"> 四川省施工场地扬尘排放限值</w:t>
            </w:r>
          </w:p>
          <w:tbl>
            <w:tblPr>
              <w:tblStyle w:val="5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26"/>
              <w:gridCol w:w="1996"/>
              <w:gridCol w:w="2262"/>
              <w:gridCol w:w="2262"/>
            </w:tblGrid>
            <w:tr w14:paraId="038D8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96" w:type="pct"/>
                  <w:vAlign w:val="center"/>
                </w:tcPr>
                <w:p w14:paraId="60A02C56">
                  <w:pPr>
                    <w:pStyle w:val="53"/>
                    <w:rPr>
                      <w:rFonts w:cs="Times New Roman"/>
                    </w:rPr>
                  </w:pPr>
                  <w:r>
                    <w:rPr>
                      <w:rFonts w:cs="Times New Roman"/>
                    </w:rPr>
                    <w:t>监测项目</w:t>
                  </w:r>
                </w:p>
              </w:tc>
              <w:tc>
                <w:tcPr>
                  <w:tcW w:w="1103" w:type="pct"/>
                  <w:vAlign w:val="center"/>
                </w:tcPr>
                <w:p w14:paraId="7BD1D28E">
                  <w:pPr>
                    <w:pStyle w:val="53"/>
                    <w:rPr>
                      <w:rFonts w:cs="Times New Roman"/>
                    </w:rPr>
                  </w:pPr>
                  <w:r>
                    <w:rPr>
                      <w:rFonts w:cs="Times New Roman"/>
                    </w:rPr>
                    <w:t>施工阶段</w:t>
                  </w:r>
                </w:p>
              </w:tc>
              <w:tc>
                <w:tcPr>
                  <w:tcW w:w="1250" w:type="pct"/>
                  <w:vAlign w:val="center"/>
                </w:tcPr>
                <w:p w14:paraId="3B878055">
                  <w:pPr>
                    <w:pStyle w:val="53"/>
                    <w:rPr>
                      <w:rFonts w:cs="Times New Roman"/>
                    </w:rPr>
                  </w:pPr>
                  <w:r>
                    <w:rPr>
                      <w:rFonts w:cs="Times New Roman"/>
                    </w:rPr>
                    <w:t>监测点排放限值</w:t>
                  </w:r>
                </w:p>
              </w:tc>
              <w:tc>
                <w:tcPr>
                  <w:tcW w:w="1250" w:type="pct"/>
                  <w:vAlign w:val="center"/>
                </w:tcPr>
                <w:p w14:paraId="58530256">
                  <w:pPr>
                    <w:pStyle w:val="53"/>
                    <w:rPr>
                      <w:rFonts w:cs="Times New Roman"/>
                    </w:rPr>
                  </w:pPr>
                  <w:r>
                    <w:rPr>
                      <w:rFonts w:cs="Times New Roman"/>
                    </w:rPr>
                    <w:t>监测时间</w:t>
                  </w:r>
                </w:p>
              </w:tc>
            </w:tr>
            <w:tr w14:paraId="75F19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96" w:type="pct"/>
                  <w:vAlign w:val="center"/>
                </w:tcPr>
                <w:p w14:paraId="674EB915">
                  <w:pPr>
                    <w:pStyle w:val="14"/>
                    <w:rPr>
                      <w:rFonts w:cs="Times New Roman"/>
                    </w:rPr>
                  </w:pPr>
                  <w:r>
                    <w:rPr>
                      <w:rFonts w:cs="Times New Roman"/>
                    </w:rPr>
                    <w:t>总悬浮颗粒物（TSP）</w:t>
                  </w:r>
                </w:p>
              </w:tc>
              <w:tc>
                <w:tcPr>
                  <w:tcW w:w="1103" w:type="pct"/>
                  <w:vAlign w:val="center"/>
                </w:tcPr>
                <w:p w14:paraId="521F360A">
                  <w:pPr>
                    <w:pStyle w:val="14"/>
                    <w:rPr>
                      <w:rFonts w:cs="Times New Roman"/>
                    </w:rPr>
                  </w:pPr>
                  <w:r>
                    <w:rPr>
                      <w:rFonts w:cs="Times New Roman"/>
                    </w:rPr>
                    <w:t>其他工程阶段</w:t>
                  </w:r>
                </w:p>
              </w:tc>
              <w:tc>
                <w:tcPr>
                  <w:tcW w:w="1250" w:type="pct"/>
                  <w:vAlign w:val="center"/>
                </w:tcPr>
                <w:p w14:paraId="12690E8E">
                  <w:pPr>
                    <w:pStyle w:val="14"/>
                    <w:rPr>
                      <w:rFonts w:cs="Times New Roman"/>
                    </w:rPr>
                  </w:pPr>
                  <w:r>
                    <w:rPr>
                      <w:rFonts w:cs="Times New Roman"/>
                    </w:rPr>
                    <w:t>250μg/m</w:t>
                  </w:r>
                  <w:r>
                    <w:rPr>
                      <w:rFonts w:cs="Times New Roman"/>
                      <w:vertAlign w:val="superscript"/>
                    </w:rPr>
                    <w:t>3</w:t>
                  </w:r>
                </w:p>
              </w:tc>
              <w:tc>
                <w:tcPr>
                  <w:tcW w:w="1250" w:type="pct"/>
                  <w:vAlign w:val="center"/>
                </w:tcPr>
                <w:p w14:paraId="636006CB">
                  <w:pPr>
                    <w:pStyle w:val="14"/>
                    <w:rPr>
                      <w:rFonts w:cs="Times New Roman"/>
                    </w:rPr>
                  </w:pPr>
                  <w:r>
                    <w:rPr>
                      <w:rFonts w:cs="Times New Roman"/>
                    </w:rPr>
                    <w:t>自监测起持续15分钟</w:t>
                  </w:r>
                </w:p>
              </w:tc>
            </w:tr>
          </w:tbl>
          <w:p w14:paraId="501C176A">
            <w:pPr>
              <w:ind w:firstLine="482"/>
              <w:rPr>
                <w:rFonts w:cs="Times New Roman"/>
                <w:b/>
              </w:rPr>
            </w:pPr>
            <w:r>
              <w:rPr>
                <w:rFonts w:cs="Times New Roman"/>
                <w:b/>
              </w:rPr>
              <w:t>（2）营运期</w:t>
            </w:r>
          </w:p>
          <w:p w14:paraId="60BB2522">
            <w:pPr>
              <w:ind w:firstLine="480"/>
              <w:rPr>
                <w:rFonts w:cs="Times New Roman"/>
              </w:rPr>
            </w:pPr>
            <w:r>
              <w:rPr>
                <w:rFonts w:cs="Times New Roman"/>
              </w:rPr>
              <w:t>根据生态环境部令〈生态环境标准管理办法〉中“第二十四条污染物排污染放标准按照下列顺序执行：（二）同属国家污染物排放标准的，行业型污染物排放控物排放标准优先于综合型和通用型污染物排放标准；行业型或者综合型污染制标物排放标准</w:t>
            </w:r>
            <w:r>
              <w:rPr>
                <w:rFonts w:hint="eastAsia" w:cs="Times New Roman"/>
              </w:rPr>
              <w:t>未</w:t>
            </w:r>
            <w:r>
              <w:rPr>
                <w:rFonts w:cs="Times New Roman"/>
              </w:rPr>
              <w:t>规定的</w:t>
            </w:r>
            <w:r>
              <w:rPr>
                <w:rFonts w:hint="eastAsia" w:cs="Times New Roman"/>
              </w:rPr>
              <w:t>项目</w:t>
            </w:r>
            <w:r>
              <w:rPr>
                <w:rFonts w:cs="Times New Roman"/>
              </w:rPr>
              <w:t>，应当执行通用型污染物排放标准的相关规定”。</w:t>
            </w:r>
          </w:p>
          <w:p w14:paraId="068C6B36">
            <w:pPr>
              <w:ind w:firstLine="480"/>
              <w:rPr>
                <w:rFonts w:cs="Times New Roman"/>
              </w:rPr>
            </w:pPr>
            <w:r>
              <w:rPr>
                <w:rFonts w:hint="eastAsia" w:cs="Times New Roman"/>
                <w:bCs/>
              </w:rPr>
              <w:t>本项目模温机燃烧天然气加热</w:t>
            </w:r>
            <w:r>
              <w:rPr>
                <w:rFonts w:hint="eastAsia"/>
              </w:rPr>
              <w:t>导热油介质</w:t>
            </w:r>
            <w:r>
              <w:rPr>
                <w:rFonts w:hint="eastAsia" w:cs="Times New Roman"/>
                <w:bCs/>
              </w:rPr>
              <w:t>。</w:t>
            </w:r>
            <w:r>
              <w:rPr>
                <w:rFonts w:cs="Times New Roman"/>
              </w:rPr>
              <w:t>因此，本项目</w:t>
            </w:r>
            <w:r>
              <w:rPr>
                <w:rFonts w:hint="eastAsia" w:cs="Times New Roman"/>
              </w:rPr>
              <w:t>天然气燃烧废气</w:t>
            </w:r>
            <w:r>
              <w:rPr>
                <w:rFonts w:cs="Times New Roman"/>
              </w:rPr>
              <w:t>颗粒物</w:t>
            </w:r>
            <w:r>
              <w:rPr>
                <w:rFonts w:hint="eastAsia" w:cs="Times New Roman"/>
              </w:rPr>
              <w:t>、</w:t>
            </w:r>
            <w:r>
              <w:rPr>
                <w:rFonts w:cs="Times New Roman"/>
              </w:rPr>
              <w:t>二氧化硫、氮氧化物</w:t>
            </w:r>
            <w:r>
              <w:rPr>
                <w:rFonts w:hint="eastAsia" w:cs="Times New Roman"/>
              </w:rPr>
              <w:t>执行</w:t>
            </w:r>
            <w:r>
              <w:t>《锅炉大气污染物排放标准》（GB13271-2014）</w:t>
            </w:r>
            <w:r>
              <w:rPr>
                <w:rFonts w:hint="eastAsia"/>
              </w:rPr>
              <w:t>；该标准适用于以燃煤、燃油和燃气为燃料的单台出力 65th 及以下蒸汽锅炉、各种容量的热水锅炉及</w:t>
            </w:r>
            <w:r>
              <w:rPr>
                <w:rFonts w:hint="eastAsia"/>
                <w:b/>
                <w:bCs/>
              </w:rPr>
              <w:t>有机热载体锅炉</w:t>
            </w:r>
            <w:r>
              <w:rPr>
                <w:rFonts w:hint="eastAsia"/>
              </w:rPr>
              <w:t>；各种容量的层燃炉、抛煤机炉。</w:t>
            </w:r>
          </w:p>
          <w:p w14:paraId="53F9B2A2">
            <w:pPr>
              <w:ind w:firstLine="480"/>
              <w:rPr>
                <w:rFonts w:cs="Times New Roman"/>
              </w:rPr>
            </w:pPr>
            <w:r>
              <w:rPr>
                <w:rFonts w:hint="eastAsia" w:cs="Times New Roman"/>
              </w:rPr>
              <w:t>原项目家具加工排放颗粒物</w:t>
            </w:r>
            <w:r>
              <w:rPr>
                <w:rFonts w:cs="Times New Roman"/>
              </w:rPr>
              <w:t>执行</w:t>
            </w:r>
            <w:bookmarkStart w:id="68" w:name="OLE_LINK382"/>
            <w:bookmarkStart w:id="69" w:name="OLE_LINK381"/>
            <w:bookmarkStart w:id="70" w:name="OLE_LINK99"/>
            <w:bookmarkStart w:id="71" w:name="OLE_LINK102"/>
            <w:r>
              <w:rPr>
                <w:rFonts w:cs="Times New Roman"/>
                <w:szCs w:val="24"/>
              </w:rPr>
              <w:t>《大</w:t>
            </w:r>
            <w:r>
              <w:rPr>
                <w:rFonts w:cs="Times New Roman"/>
              </w:rPr>
              <w:t>气污染物综合排放标准》（GB 16297-1996）</w:t>
            </w:r>
            <w:bookmarkEnd w:id="68"/>
            <w:bookmarkEnd w:id="69"/>
            <w:r>
              <w:rPr>
                <w:rFonts w:cs="Times New Roman"/>
              </w:rPr>
              <w:t>表2的二级标准</w:t>
            </w:r>
            <w:bookmarkEnd w:id="70"/>
            <w:bookmarkEnd w:id="71"/>
            <w:r>
              <w:rPr>
                <w:rFonts w:hint="eastAsia" w:cs="Times New Roman"/>
              </w:rPr>
              <w:t>；</w:t>
            </w:r>
          </w:p>
          <w:p w14:paraId="2D46DDA6">
            <w:pPr>
              <w:ind w:firstLine="480"/>
              <w:rPr>
                <w:rFonts w:cs="Times New Roman"/>
                <w:kern w:val="0"/>
                <w:szCs w:val="24"/>
              </w:rPr>
            </w:pPr>
            <w:r>
              <w:t>贴面热压</w:t>
            </w:r>
            <w:r>
              <w:rPr>
                <w:rFonts w:hint="eastAsia"/>
              </w:rPr>
              <w:t>工序产生的</w:t>
            </w:r>
            <w:r>
              <w:rPr>
                <w:rFonts w:hint="eastAsia" w:cs="Times New Roman"/>
              </w:rPr>
              <w:t>甲醛、</w:t>
            </w:r>
            <w:r>
              <w:rPr>
                <w:rFonts w:cs="Times New Roman"/>
              </w:rPr>
              <w:t>VOCs执行《四川省固定污染源大气挥发性有机物排放标准》（DB51/2377-2017）中表</w:t>
            </w:r>
            <w:r>
              <w:rPr>
                <w:rFonts w:hint="eastAsia" w:cs="Times New Roman"/>
              </w:rPr>
              <w:t>3、</w:t>
            </w:r>
            <w:r>
              <w:rPr>
                <w:rFonts w:cs="Times New Roman"/>
                <w:kern w:val="0"/>
                <w:szCs w:val="24"/>
              </w:rPr>
              <w:t>表</w:t>
            </w:r>
            <w:r>
              <w:rPr>
                <w:rFonts w:hint="eastAsia" w:cs="Times New Roman"/>
                <w:kern w:val="0"/>
                <w:szCs w:val="24"/>
              </w:rPr>
              <w:t>4</w:t>
            </w:r>
            <w:r>
              <w:rPr>
                <w:rFonts w:cs="Times New Roman"/>
                <w:kern w:val="0"/>
                <w:szCs w:val="24"/>
              </w:rPr>
              <w:t>的限值。</w:t>
            </w:r>
          </w:p>
          <w:p w14:paraId="12B1F942">
            <w:pPr>
              <w:pStyle w:val="13"/>
              <w:keepNext/>
              <w:rPr>
                <w:rFonts w:cs="Times New Roman"/>
              </w:rPr>
            </w:pPr>
            <w:r>
              <w:rPr>
                <w:rFonts w:cs="Times New Roman"/>
              </w:rPr>
              <w:t xml:space="preserve">表 </w:t>
            </w:r>
            <w:r>
              <w:rPr>
                <w:rFonts w:cs="Times New Roman"/>
              </w:rPr>
              <w:fldChar w:fldCharType="begin"/>
            </w:r>
            <w:r>
              <w:rPr>
                <w:rFonts w:cs="Times New Roman"/>
              </w:rPr>
              <w:instrText xml:space="preserve"> SEQ seq \c </w:instrText>
            </w:r>
            <w:r>
              <w:rPr>
                <w:rFonts w:cs="Times New Roman"/>
              </w:rPr>
              <w:fldChar w:fldCharType="separate"/>
            </w:r>
            <w:r>
              <w:rPr>
                <w:rFonts w:cs="Times New Roman"/>
              </w:rPr>
              <w:t>3</w:t>
            </w:r>
            <w:r>
              <w:rPr>
                <w:rFonts w:cs="Times New Roman"/>
              </w:rPr>
              <w:fldChar w:fldCharType="end"/>
            </w:r>
            <w:r>
              <w:rPr>
                <w:rFonts w:cs="Times New Roman"/>
              </w:rPr>
              <w:noBreakHyphen/>
            </w:r>
            <w:r>
              <w:rPr>
                <w:rFonts w:cs="Times New Roman"/>
              </w:rPr>
              <w:fldChar w:fldCharType="begin"/>
            </w:r>
            <w:r>
              <w:rPr>
                <w:rFonts w:cs="Times New Roman"/>
              </w:rPr>
              <w:instrText xml:space="preserve"> SEQ 表 \* ARABIC \s 1 </w:instrText>
            </w:r>
            <w:r>
              <w:rPr>
                <w:rFonts w:cs="Times New Roman"/>
              </w:rPr>
              <w:fldChar w:fldCharType="separate"/>
            </w:r>
            <w:r>
              <w:rPr>
                <w:rFonts w:cs="Times New Roman"/>
              </w:rPr>
              <w:t>7</w:t>
            </w:r>
            <w:r>
              <w:rPr>
                <w:rFonts w:cs="Times New Roman"/>
              </w:rPr>
              <w:fldChar w:fldCharType="end"/>
            </w:r>
            <w:r>
              <w:rPr>
                <w:rFonts w:cs="Times New Roman"/>
              </w:rPr>
              <w:t xml:space="preserve"> 废气污染物排放标准</w:t>
            </w:r>
          </w:p>
          <w:tbl>
            <w:tblPr>
              <w:tblStyle w:val="3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876"/>
              <w:gridCol w:w="1332"/>
              <w:gridCol w:w="1701"/>
              <w:gridCol w:w="1417"/>
              <w:gridCol w:w="2410"/>
              <w:gridCol w:w="1310"/>
            </w:tblGrid>
            <w:tr w14:paraId="1CEDB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80" w:hRule="atLeast"/>
              </w:trPr>
              <w:tc>
                <w:tcPr>
                  <w:tcW w:w="485" w:type="pct"/>
                  <w:vMerge w:val="restart"/>
                  <w:vAlign w:val="center"/>
                </w:tcPr>
                <w:p w14:paraId="50B4052F">
                  <w:pPr>
                    <w:pStyle w:val="53"/>
                    <w:rPr>
                      <w:rFonts w:cs="Times New Roman"/>
                    </w:rPr>
                  </w:pPr>
                  <w:r>
                    <w:rPr>
                      <w:rFonts w:cs="Times New Roman"/>
                    </w:rPr>
                    <w:t>污染物名称</w:t>
                  </w:r>
                </w:p>
              </w:tc>
              <w:tc>
                <w:tcPr>
                  <w:tcW w:w="736" w:type="pct"/>
                  <w:vMerge w:val="restart"/>
                  <w:vAlign w:val="center"/>
                </w:tcPr>
                <w:p w14:paraId="2537BC5C">
                  <w:pPr>
                    <w:pStyle w:val="53"/>
                    <w:rPr>
                      <w:rFonts w:cs="Times New Roman"/>
                    </w:rPr>
                  </w:pPr>
                  <w:r>
                    <w:rPr>
                      <w:rFonts w:cs="Times New Roman"/>
                    </w:rPr>
                    <w:t>最高允许排放浓度</w:t>
                  </w:r>
                  <w:r>
                    <w:rPr>
                      <w:rFonts w:cs="Times New Roman"/>
                      <w:bCs/>
                    </w:rPr>
                    <w:t>（mg/m</w:t>
                  </w:r>
                  <w:r>
                    <w:rPr>
                      <w:rFonts w:cs="Times New Roman"/>
                      <w:bCs/>
                      <w:vertAlign w:val="superscript"/>
                    </w:rPr>
                    <w:t>3</w:t>
                  </w:r>
                  <w:r>
                    <w:rPr>
                      <w:rFonts w:cs="Times New Roman"/>
                      <w:bCs/>
                    </w:rPr>
                    <w:t>）</w:t>
                  </w:r>
                </w:p>
              </w:tc>
              <w:tc>
                <w:tcPr>
                  <w:tcW w:w="940" w:type="pct"/>
                  <w:vAlign w:val="center"/>
                </w:tcPr>
                <w:p w14:paraId="6641D88E">
                  <w:pPr>
                    <w:pStyle w:val="53"/>
                    <w:rPr>
                      <w:rFonts w:cs="Times New Roman"/>
                    </w:rPr>
                  </w:pPr>
                  <w:r>
                    <w:rPr>
                      <w:rFonts w:cs="Times New Roman"/>
                      <w:bCs/>
                      <w:caps/>
                      <w:spacing w:val="-4"/>
                    </w:rPr>
                    <w:t>与排气筒对应高度的最高允许排放速率</w:t>
                  </w:r>
                  <w:r>
                    <w:rPr>
                      <w:rFonts w:cs="Times New Roman"/>
                      <w:bCs/>
                      <w:spacing w:val="-4"/>
                    </w:rPr>
                    <w:t>（kg/h）</w:t>
                  </w:r>
                </w:p>
              </w:tc>
              <w:tc>
                <w:tcPr>
                  <w:tcW w:w="783" w:type="pct"/>
                  <w:vMerge w:val="restart"/>
                  <w:vAlign w:val="center"/>
                </w:tcPr>
                <w:p w14:paraId="071DB634">
                  <w:pPr>
                    <w:pStyle w:val="53"/>
                    <w:rPr>
                      <w:rFonts w:cs="Times New Roman"/>
                    </w:rPr>
                  </w:pPr>
                  <w:r>
                    <w:rPr>
                      <w:rFonts w:cs="Times New Roman"/>
                      <w:bCs/>
                      <w:caps/>
                    </w:rPr>
                    <w:t>无组织排放浓度</w:t>
                  </w:r>
                  <w:r>
                    <w:rPr>
                      <w:rFonts w:cs="Times New Roman"/>
                      <w:bCs/>
                    </w:rPr>
                    <w:t>（mg/m</w:t>
                  </w:r>
                  <w:r>
                    <w:rPr>
                      <w:rFonts w:cs="Times New Roman"/>
                      <w:bCs/>
                      <w:vertAlign w:val="superscript"/>
                    </w:rPr>
                    <w:t>3</w:t>
                  </w:r>
                  <w:r>
                    <w:rPr>
                      <w:rFonts w:cs="Times New Roman"/>
                      <w:bCs/>
                    </w:rPr>
                    <w:t>）</w:t>
                  </w:r>
                </w:p>
              </w:tc>
              <w:tc>
                <w:tcPr>
                  <w:tcW w:w="1332" w:type="pct"/>
                  <w:vMerge w:val="restart"/>
                  <w:vAlign w:val="center"/>
                </w:tcPr>
                <w:p w14:paraId="19E38A9C">
                  <w:pPr>
                    <w:pStyle w:val="53"/>
                    <w:rPr>
                      <w:rFonts w:cs="Times New Roman"/>
                    </w:rPr>
                  </w:pPr>
                  <w:r>
                    <w:rPr>
                      <w:rFonts w:cs="Times New Roman"/>
                    </w:rPr>
                    <w:t>排放标准</w:t>
                  </w:r>
                </w:p>
              </w:tc>
              <w:tc>
                <w:tcPr>
                  <w:tcW w:w="724" w:type="pct"/>
                  <w:vMerge w:val="restart"/>
                  <w:vAlign w:val="center"/>
                </w:tcPr>
                <w:p w14:paraId="49495278">
                  <w:pPr>
                    <w:pStyle w:val="53"/>
                    <w:rPr>
                      <w:rFonts w:cs="Times New Roman"/>
                    </w:rPr>
                  </w:pPr>
                  <w:r>
                    <w:rPr>
                      <w:rFonts w:hint="eastAsia" w:cs="Times New Roman"/>
                    </w:rPr>
                    <w:t>对应废气及排气筒</w:t>
                  </w:r>
                </w:p>
              </w:tc>
            </w:tr>
            <w:tr w14:paraId="31273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485" w:type="pct"/>
                  <w:vMerge w:val="continue"/>
                  <w:vAlign w:val="center"/>
                </w:tcPr>
                <w:p w14:paraId="659C7961">
                  <w:pPr>
                    <w:pStyle w:val="14"/>
                    <w:rPr>
                      <w:rFonts w:cs="Times New Roman"/>
                    </w:rPr>
                  </w:pPr>
                </w:p>
              </w:tc>
              <w:tc>
                <w:tcPr>
                  <w:tcW w:w="736" w:type="pct"/>
                  <w:vMerge w:val="continue"/>
                  <w:vAlign w:val="center"/>
                </w:tcPr>
                <w:p w14:paraId="3EE966FD">
                  <w:pPr>
                    <w:pStyle w:val="14"/>
                    <w:rPr>
                      <w:rFonts w:cs="Times New Roman"/>
                    </w:rPr>
                  </w:pPr>
                </w:p>
              </w:tc>
              <w:tc>
                <w:tcPr>
                  <w:tcW w:w="940" w:type="pct"/>
                  <w:vAlign w:val="center"/>
                </w:tcPr>
                <w:p w14:paraId="1B20CF34">
                  <w:pPr>
                    <w:pStyle w:val="14"/>
                    <w:rPr>
                      <w:rFonts w:cs="Times New Roman"/>
                      <w:b/>
                    </w:rPr>
                  </w:pPr>
                  <w:r>
                    <w:rPr>
                      <w:rFonts w:cs="Times New Roman"/>
                      <w:b/>
                    </w:rPr>
                    <w:t>15m</w:t>
                  </w:r>
                </w:p>
              </w:tc>
              <w:tc>
                <w:tcPr>
                  <w:tcW w:w="783" w:type="pct"/>
                  <w:vMerge w:val="continue"/>
                  <w:vAlign w:val="center"/>
                </w:tcPr>
                <w:p w14:paraId="54B9C8D1">
                  <w:pPr>
                    <w:pStyle w:val="14"/>
                    <w:rPr>
                      <w:rFonts w:cs="Times New Roman"/>
                    </w:rPr>
                  </w:pPr>
                </w:p>
              </w:tc>
              <w:tc>
                <w:tcPr>
                  <w:tcW w:w="1332" w:type="pct"/>
                  <w:vMerge w:val="continue"/>
                  <w:vAlign w:val="center"/>
                </w:tcPr>
                <w:p w14:paraId="7659EC57">
                  <w:pPr>
                    <w:pStyle w:val="14"/>
                    <w:rPr>
                      <w:rFonts w:cs="Times New Roman"/>
                    </w:rPr>
                  </w:pPr>
                </w:p>
              </w:tc>
              <w:tc>
                <w:tcPr>
                  <w:tcW w:w="724" w:type="pct"/>
                  <w:vMerge w:val="continue"/>
                  <w:vAlign w:val="center"/>
                </w:tcPr>
                <w:p w14:paraId="72CCAD74">
                  <w:pPr>
                    <w:pStyle w:val="14"/>
                    <w:rPr>
                      <w:rFonts w:cs="Times New Roman"/>
                    </w:rPr>
                  </w:pPr>
                </w:p>
              </w:tc>
            </w:tr>
            <w:tr w14:paraId="40128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485" w:type="pct"/>
                  <w:vAlign w:val="center"/>
                </w:tcPr>
                <w:p w14:paraId="47B800C0">
                  <w:pPr>
                    <w:pStyle w:val="14"/>
                    <w:rPr>
                      <w:rFonts w:cs="Times New Roman"/>
                    </w:rPr>
                  </w:pPr>
                  <w:r>
                    <w:rPr>
                      <w:rFonts w:cs="Times New Roman"/>
                    </w:rPr>
                    <w:t>颗粒物</w:t>
                  </w:r>
                </w:p>
              </w:tc>
              <w:tc>
                <w:tcPr>
                  <w:tcW w:w="736" w:type="pct"/>
                  <w:vAlign w:val="center"/>
                </w:tcPr>
                <w:p w14:paraId="7901B265">
                  <w:pPr>
                    <w:pStyle w:val="14"/>
                    <w:rPr>
                      <w:rFonts w:cs="Times New Roman"/>
                    </w:rPr>
                  </w:pPr>
                  <w:r>
                    <w:rPr>
                      <w:rFonts w:hint="eastAsia" w:cs="Times New Roman"/>
                    </w:rPr>
                    <w:t>120</w:t>
                  </w:r>
                </w:p>
              </w:tc>
              <w:tc>
                <w:tcPr>
                  <w:tcW w:w="940" w:type="pct"/>
                  <w:vAlign w:val="center"/>
                </w:tcPr>
                <w:p w14:paraId="5125B511">
                  <w:pPr>
                    <w:pStyle w:val="14"/>
                    <w:rPr>
                      <w:rFonts w:cs="Times New Roman"/>
                    </w:rPr>
                  </w:pPr>
                  <w:r>
                    <w:rPr>
                      <w:rFonts w:hint="eastAsia" w:cs="Times New Roman"/>
                    </w:rPr>
                    <w:t>3.5</w:t>
                  </w:r>
                </w:p>
              </w:tc>
              <w:tc>
                <w:tcPr>
                  <w:tcW w:w="783" w:type="pct"/>
                  <w:vAlign w:val="center"/>
                </w:tcPr>
                <w:p w14:paraId="2EA02811">
                  <w:pPr>
                    <w:pStyle w:val="14"/>
                    <w:rPr>
                      <w:rFonts w:cs="Times New Roman"/>
                    </w:rPr>
                  </w:pPr>
                  <w:r>
                    <w:rPr>
                      <w:rFonts w:hint="eastAsia" w:cs="Times New Roman"/>
                    </w:rPr>
                    <w:t>1.0</w:t>
                  </w:r>
                </w:p>
              </w:tc>
              <w:tc>
                <w:tcPr>
                  <w:tcW w:w="1332" w:type="pct"/>
                  <w:vAlign w:val="center"/>
                </w:tcPr>
                <w:p w14:paraId="512DD450">
                  <w:pPr>
                    <w:pStyle w:val="14"/>
                    <w:rPr>
                      <w:rFonts w:cs="Times New Roman"/>
                    </w:rPr>
                  </w:pPr>
                  <w:r>
                    <w:rPr>
                      <w:rFonts w:cs="Times New Roman"/>
                    </w:rPr>
                    <w:t>《大气污染物综合排放标准》（GB16297-1996）表2中的二级标准</w:t>
                  </w:r>
                </w:p>
              </w:tc>
              <w:tc>
                <w:tcPr>
                  <w:tcW w:w="724" w:type="pct"/>
                  <w:vAlign w:val="center"/>
                </w:tcPr>
                <w:p w14:paraId="6636ED7B">
                  <w:pPr>
                    <w:pStyle w:val="14"/>
                    <w:rPr>
                      <w:rFonts w:cs="Times New Roman"/>
                    </w:rPr>
                  </w:pPr>
                  <w:bookmarkStart w:id="72" w:name="OLE_LINK328"/>
                  <w:bookmarkStart w:id="73" w:name="OLE_LINK329"/>
                  <w:r>
                    <w:rPr>
                      <w:rFonts w:hint="eastAsia" w:cs="Times New Roman"/>
                    </w:rPr>
                    <w:t>家具加工废气</w:t>
                  </w:r>
                </w:p>
                <w:p w14:paraId="64418184">
                  <w:pPr>
                    <w:pStyle w:val="14"/>
                    <w:rPr>
                      <w:rFonts w:cs="Times New Roman"/>
                    </w:rPr>
                  </w:pPr>
                  <w:r>
                    <w:rPr>
                      <w:rFonts w:hint="eastAsia" w:cs="Times New Roman"/>
                    </w:rPr>
                    <w:t>D</w:t>
                  </w:r>
                  <w:r>
                    <w:rPr>
                      <w:rFonts w:cs="Times New Roman"/>
                    </w:rPr>
                    <w:t>A00</w:t>
                  </w:r>
                  <w:bookmarkEnd w:id="72"/>
                  <w:bookmarkEnd w:id="73"/>
                  <w:r>
                    <w:rPr>
                      <w:rFonts w:hint="eastAsia" w:cs="Times New Roman"/>
                    </w:rPr>
                    <w:t>1</w:t>
                  </w:r>
                </w:p>
              </w:tc>
            </w:tr>
            <w:tr w14:paraId="69FB7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485" w:type="pct"/>
                  <w:vAlign w:val="center"/>
                </w:tcPr>
                <w:p w14:paraId="2296AC66">
                  <w:pPr>
                    <w:pStyle w:val="14"/>
                    <w:rPr>
                      <w:rFonts w:cs="Times New Roman"/>
                    </w:rPr>
                  </w:pPr>
                  <w:r>
                    <w:t>颗粒物</w:t>
                  </w:r>
                </w:p>
              </w:tc>
              <w:tc>
                <w:tcPr>
                  <w:tcW w:w="736" w:type="pct"/>
                  <w:vAlign w:val="center"/>
                </w:tcPr>
                <w:p w14:paraId="096099CD">
                  <w:pPr>
                    <w:pStyle w:val="14"/>
                    <w:rPr>
                      <w:rFonts w:cs="Times New Roman"/>
                    </w:rPr>
                  </w:pPr>
                  <w:r>
                    <w:t>20mg/m³</w:t>
                  </w:r>
                </w:p>
              </w:tc>
              <w:tc>
                <w:tcPr>
                  <w:tcW w:w="940" w:type="pct"/>
                  <w:vAlign w:val="center"/>
                </w:tcPr>
                <w:p w14:paraId="59F911A8">
                  <w:pPr>
                    <w:pStyle w:val="14"/>
                    <w:rPr>
                      <w:rFonts w:cs="Times New Roman"/>
                    </w:rPr>
                  </w:pPr>
                  <w:r>
                    <w:rPr>
                      <w:rFonts w:hint="eastAsia" w:cs="Times New Roman"/>
                    </w:rPr>
                    <w:t>/</w:t>
                  </w:r>
                </w:p>
              </w:tc>
              <w:tc>
                <w:tcPr>
                  <w:tcW w:w="783" w:type="pct"/>
                  <w:vAlign w:val="center"/>
                </w:tcPr>
                <w:p w14:paraId="43273F1C">
                  <w:pPr>
                    <w:pStyle w:val="14"/>
                    <w:rPr>
                      <w:rFonts w:cs="Times New Roman"/>
                    </w:rPr>
                  </w:pPr>
                  <w:r>
                    <w:rPr>
                      <w:rFonts w:hint="eastAsia" w:cs="Times New Roman"/>
                    </w:rPr>
                    <w:t>/</w:t>
                  </w:r>
                </w:p>
              </w:tc>
              <w:tc>
                <w:tcPr>
                  <w:tcW w:w="1332" w:type="pct"/>
                  <w:vMerge w:val="restart"/>
                  <w:vAlign w:val="center"/>
                </w:tcPr>
                <w:p w14:paraId="53ACF049">
                  <w:pPr>
                    <w:pStyle w:val="14"/>
                    <w:rPr>
                      <w:rFonts w:cs="Times New Roman"/>
                    </w:rPr>
                  </w:pPr>
                  <w:r>
                    <w:t>《锅炉大气污染物排放标准》</w:t>
                  </w:r>
                  <w:r>
                    <w:rPr>
                      <w:rFonts w:hint="eastAsia"/>
                    </w:rPr>
                    <w:t>表2浓度限值</w:t>
                  </w:r>
                  <w:r>
                    <w:t>（GB13271-2014）</w:t>
                  </w:r>
                </w:p>
              </w:tc>
              <w:tc>
                <w:tcPr>
                  <w:tcW w:w="724" w:type="pct"/>
                  <w:vMerge w:val="restart"/>
                  <w:vAlign w:val="center"/>
                </w:tcPr>
                <w:p w14:paraId="2C8AF591">
                  <w:pPr>
                    <w:pStyle w:val="14"/>
                    <w:rPr>
                      <w:rFonts w:cs="Times New Roman"/>
                    </w:rPr>
                  </w:pPr>
                  <w:r>
                    <w:rPr>
                      <w:rFonts w:hint="eastAsia" w:cs="Times New Roman"/>
                    </w:rPr>
                    <w:t>燃烧废气D</w:t>
                  </w:r>
                  <w:r>
                    <w:rPr>
                      <w:rFonts w:cs="Times New Roman"/>
                    </w:rPr>
                    <w:t>A00</w:t>
                  </w:r>
                  <w:r>
                    <w:rPr>
                      <w:rFonts w:hint="eastAsia" w:cs="Times New Roman"/>
                    </w:rPr>
                    <w:t>3</w:t>
                  </w:r>
                </w:p>
              </w:tc>
            </w:tr>
            <w:tr w14:paraId="4B726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485" w:type="pct"/>
                  <w:vAlign w:val="center"/>
                </w:tcPr>
                <w:p w14:paraId="6ED2921A">
                  <w:pPr>
                    <w:pStyle w:val="14"/>
                    <w:rPr>
                      <w:rFonts w:cs="Times New Roman"/>
                    </w:rPr>
                  </w:pPr>
                  <w:r>
                    <w:t>SO</w:t>
                  </w:r>
                  <w:r>
                    <w:rPr>
                      <w:vertAlign w:val="subscript"/>
                    </w:rPr>
                    <w:t>2</w:t>
                  </w:r>
                </w:p>
              </w:tc>
              <w:tc>
                <w:tcPr>
                  <w:tcW w:w="736" w:type="pct"/>
                  <w:vAlign w:val="center"/>
                </w:tcPr>
                <w:p w14:paraId="1F3BF26C">
                  <w:pPr>
                    <w:pStyle w:val="14"/>
                    <w:rPr>
                      <w:rFonts w:cs="Times New Roman"/>
                    </w:rPr>
                  </w:pPr>
                  <w:r>
                    <w:t>50mg/m³</w:t>
                  </w:r>
                </w:p>
              </w:tc>
              <w:tc>
                <w:tcPr>
                  <w:tcW w:w="940" w:type="pct"/>
                  <w:vAlign w:val="center"/>
                </w:tcPr>
                <w:p w14:paraId="59CFE031">
                  <w:pPr>
                    <w:pStyle w:val="14"/>
                    <w:rPr>
                      <w:rFonts w:cs="Times New Roman"/>
                    </w:rPr>
                  </w:pPr>
                  <w:r>
                    <w:rPr>
                      <w:rFonts w:hint="eastAsia" w:cs="Times New Roman"/>
                    </w:rPr>
                    <w:t>/</w:t>
                  </w:r>
                </w:p>
              </w:tc>
              <w:tc>
                <w:tcPr>
                  <w:tcW w:w="783" w:type="pct"/>
                  <w:vAlign w:val="center"/>
                </w:tcPr>
                <w:p w14:paraId="16D8922B">
                  <w:pPr>
                    <w:pStyle w:val="14"/>
                    <w:rPr>
                      <w:rFonts w:cs="Times New Roman"/>
                    </w:rPr>
                  </w:pPr>
                  <w:r>
                    <w:rPr>
                      <w:rFonts w:hint="eastAsia" w:cs="Times New Roman"/>
                    </w:rPr>
                    <w:t>/</w:t>
                  </w:r>
                </w:p>
              </w:tc>
              <w:tc>
                <w:tcPr>
                  <w:tcW w:w="1332" w:type="pct"/>
                  <w:vMerge w:val="continue"/>
                  <w:vAlign w:val="center"/>
                </w:tcPr>
                <w:p w14:paraId="0D6C3159">
                  <w:pPr>
                    <w:pStyle w:val="14"/>
                    <w:rPr>
                      <w:rFonts w:cs="Times New Roman"/>
                    </w:rPr>
                  </w:pPr>
                </w:p>
              </w:tc>
              <w:tc>
                <w:tcPr>
                  <w:tcW w:w="724" w:type="pct"/>
                  <w:vMerge w:val="continue"/>
                  <w:vAlign w:val="center"/>
                </w:tcPr>
                <w:p w14:paraId="0AADDFE1">
                  <w:pPr>
                    <w:pStyle w:val="14"/>
                    <w:rPr>
                      <w:rFonts w:cs="Times New Roman"/>
                    </w:rPr>
                  </w:pPr>
                </w:p>
              </w:tc>
            </w:tr>
            <w:tr w14:paraId="1C1DF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485" w:type="pct"/>
                  <w:vAlign w:val="center"/>
                </w:tcPr>
                <w:p w14:paraId="7EA2152B">
                  <w:pPr>
                    <w:pStyle w:val="14"/>
                    <w:rPr>
                      <w:rFonts w:cs="Times New Roman"/>
                    </w:rPr>
                  </w:pPr>
                  <w:r>
                    <w:t>NOx</w:t>
                  </w:r>
                </w:p>
              </w:tc>
              <w:tc>
                <w:tcPr>
                  <w:tcW w:w="736" w:type="pct"/>
                  <w:vAlign w:val="center"/>
                </w:tcPr>
                <w:p w14:paraId="2B130E2E">
                  <w:pPr>
                    <w:pStyle w:val="14"/>
                    <w:rPr>
                      <w:rFonts w:cs="Times New Roman"/>
                    </w:rPr>
                  </w:pPr>
                  <w:r>
                    <w:t>200mg/m³</w:t>
                  </w:r>
                </w:p>
              </w:tc>
              <w:tc>
                <w:tcPr>
                  <w:tcW w:w="940" w:type="pct"/>
                  <w:vAlign w:val="center"/>
                </w:tcPr>
                <w:p w14:paraId="1513C26C">
                  <w:pPr>
                    <w:pStyle w:val="14"/>
                    <w:rPr>
                      <w:rFonts w:cs="Times New Roman"/>
                    </w:rPr>
                  </w:pPr>
                  <w:r>
                    <w:rPr>
                      <w:rFonts w:hint="eastAsia" w:cs="Times New Roman"/>
                    </w:rPr>
                    <w:t>/</w:t>
                  </w:r>
                </w:p>
              </w:tc>
              <w:tc>
                <w:tcPr>
                  <w:tcW w:w="783" w:type="pct"/>
                  <w:vAlign w:val="center"/>
                </w:tcPr>
                <w:p w14:paraId="32165631">
                  <w:pPr>
                    <w:pStyle w:val="14"/>
                    <w:rPr>
                      <w:rFonts w:cs="Times New Roman"/>
                    </w:rPr>
                  </w:pPr>
                  <w:r>
                    <w:rPr>
                      <w:rFonts w:hint="eastAsia" w:cs="Times New Roman"/>
                    </w:rPr>
                    <w:t>/</w:t>
                  </w:r>
                </w:p>
              </w:tc>
              <w:tc>
                <w:tcPr>
                  <w:tcW w:w="1332" w:type="pct"/>
                  <w:vMerge w:val="continue"/>
                  <w:vAlign w:val="center"/>
                </w:tcPr>
                <w:p w14:paraId="1DF56F0B">
                  <w:pPr>
                    <w:pStyle w:val="14"/>
                    <w:rPr>
                      <w:rFonts w:cs="Times New Roman"/>
                    </w:rPr>
                  </w:pPr>
                </w:p>
              </w:tc>
              <w:tc>
                <w:tcPr>
                  <w:tcW w:w="724" w:type="pct"/>
                  <w:vMerge w:val="continue"/>
                  <w:vAlign w:val="center"/>
                </w:tcPr>
                <w:p w14:paraId="6BB1B948">
                  <w:pPr>
                    <w:pStyle w:val="14"/>
                    <w:rPr>
                      <w:rFonts w:cs="Times New Roman"/>
                    </w:rPr>
                  </w:pPr>
                </w:p>
              </w:tc>
            </w:tr>
            <w:tr w14:paraId="361BA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72" w:hRule="atLeast"/>
              </w:trPr>
              <w:tc>
                <w:tcPr>
                  <w:tcW w:w="485" w:type="pct"/>
                  <w:vAlign w:val="center"/>
                </w:tcPr>
                <w:p w14:paraId="44FA0842">
                  <w:pPr>
                    <w:pStyle w:val="14"/>
                    <w:rPr>
                      <w:rFonts w:cs="Times New Roman"/>
                    </w:rPr>
                  </w:pPr>
                  <w:r>
                    <w:rPr>
                      <w:rFonts w:cs="Times New Roman"/>
                    </w:rPr>
                    <w:t>VOCs</w:t>
                  </w:r>
                </w:p>
              </w:tc>
              <w:tc>
                <w:tcPr>
                  <w:tcW w:w="736" w:type="pct"/>
                  <w:vAlign w:val="center"/>
                </w:tcPr>
                <w:p w14:paraId="471B9482">
                  <w:pPr>
                    <w:pStyle w:val="14"/>
                    <w:rPr>
                      <w:rFonts w:cs="Times New Roman"/>
                    </w:rPr>
                  </w:pPr>
                  <w:r>
                    <w:rPr>
                      <w:rFonts w:cs="Times New Roman"/>
                    </w:rPr>
                    <w:t>60</w:t>
                  </w:r>
                  <w:r>
                    <w:t>mg/m³</w:t>
                  </w:r>
                </w:p>
              </w:tc>
              <w:tc>
                <w:tcPr>
                  <w:tcW w:w="940" w:type="pct"/>
                  <w:vAlign w:val="center"/>
                </w:tcPr>
                <w:p w14:paraId="081D127A">
                  <w:pPr>
                    <w:pStyle w:val="14"/>
                    <w:rPr>
                      <w:rFonts w:cs="Times New Roman"/>
                    </w:rPr>
                  </w:pPr>
                  <w:r>
                    <w:rPr>
                      <w:rFonts w:cs="Times New Roman"/>
                    </w:rPr>
                    <w:t>3.4</w:t>
                  </w:r>
                </w:p>
              </w:tc>
              <w:tc>
                <w:tcPr>
                  <w:tcW w:w="783" w:type="pct"/>
                  <w:vAlign w:val="center"/>
                </w:tcPr>
                <w:p w14:paraId="5E5A7E3A">
                  <w:pPr>
                    <w:pStyle w:val="14"/>
                    <w:rPr>
                      <w:rFonts w:cs="Times New Roman"/>
                    </w:rPr>
                  </w:pPr>
                  <w:r>
                    <w:rPr>
                      <w:rFonts w:cs="Times New Roman"/>
                    </w:rPr>
                    <w:t>2.0</w:t>
                  </w:r>
                </w:p>
              </w:tc>
              <w:tc>
                <w:tcPr>
                  <w:tcW w:w="1332" w:type="pct"/>
                  <w:vMerge w:val="restart"/>
                  <w:vAlign w:val="center"/>
                </w:tcPr>
                <w:p w14:paraId="50A961D8">
                  <w:pPr>
                    <w:pStyle w:val="14"/>
                    <w:rPr>
                      <w:rFonts w:cs="Times New Roman"/>
                    </w:rPr>
                  </w:pPr>
                  <w:r>
                    <w:rPr>
                      <w:rFonts w:cs="Times New Roman"/>
                    </w:rPr>
                    <w:t>《四川省固定污染源大气挥发性有机物排放标准》</w:t>
                  </w:r>
                  <w:r>
                    <w:rPr>
                      <w:rFonts w:hint="eastAsia" w:cs="Times New Roman"/>
                    </w:rPr>
                    <w:t>表2、表4有组织排放限值和表5、表6无组织浓度限值</w:t>
                  </w:r>
                  <w:r>
                    <w:rPr>
                      <w:rFonts w:cs="Times New Roman"/>
                    </w:rPr>
                    <w:t>（DB51/2377-2017）</w:t>
                  </w:r>
                </w:p>
              </w:tc>
              <w:tc>
                <w:tcPr>
                  <w:tcW w:w="724" w:type="pct"/>
                  <w:vMerge w:val="restart"/>
                  <w:vAlign w:val="center"/>
                </w:tcPr>
                <w:p w14:paraId="0D1B6F18">
                  <w:pPr>
                    <w:pStyle w:val="14"/>
                    <w:rPr>
                      <w:rFonts w:cs="Times New Roman"/>
                    </w:rPr>
                  </w:pPr>
                  <w:r>
                    <w:rPr>
                      <w:rFonts w:hint="eastAsia" w:cs="Times New Roman"/>
                    </w:rPr>
                    <w:t>贴面废气</w:t>
                  </w:r>
                </w:p>
                <w:p w14:paraId="7081941A">
                  <w:pPr>
                    <w:pStyle w:val="14"/>
                    <w:rPr>
                      <w:rFonts w:cs="Times New Roman"/>
                    </w:rPr>
                  </w:pPr>
                  <w:r>
                    <w:rPr>
                      <w:rFonts w:hint="eastAsia" w:cs="Times New Roman"/>
                    </w:rPr>
                    <w:t>D</w:t>
                  </w:r>
                  <w:r>
                    <w:rPr>
                      <w:rFonts w:cs="Times New Roman"/>
                    </w:rPr>
                    <w:t>A00</w:t>
                  </w:r>
                  <w:r>
                    <w:rPr>
                      <w:rFonts w:hint="eastAsia" w:cs="Times New Roman"/>
                    </w:rPr>
                    <w:t>2</w:t>
                  </w:r>
                </w:p>
              </w:tc>
            </w:tr>
            <w:tr w14:paraId="58050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485" w:type="pct"/>
                  <w:vAlign w:val="center"/>
                </w:tcPr>
                <w:p w14:paraId="5DBB3D76">
                  <w:pPr>
                    <w:pStyle w:val="14"/>
                    <w:rPr>
                      <w:rFonts w:cs="Times New Roman"/>
                    </w:rPr>
                  </w:pPr>
                  <w:r>
                    <w:rPr>
                      <w:rFonts w:hint="eastAsia" w:cs="Times New Roman"/>
                    </w:rPr>
                    <w:t>甲醛</w:t>
                  </w:r>
                </w:p>
              </w:tc>
              <w:tc>
                <w:tcPr>
                  <w:tcW w:w="736" w:type="pct"/>
                  <w:vAlign w:val="center"/>
                </w:tcPr>
                <w:p w14:paraId="7331C94E">
                  <w:pPr>
                    <w:pStyle w:val="14"/>
                    <w:rPr>
                      <w:rFonts w:cs="Times New Roman"/>
                    </w:rPr>
                  </w:pPr>
                  <w:r>
                    <w:rPr>
                      <w:rFonts w:hint="eastAsia" w:cs="Times New Roman"/>
                    </w:rPr>
                    <w:t>5</w:t>
                  </w:r>
                  <w:r>
                    <w:t xml:space="preserve"> mg/m³</w:t>
                  </w:r>
                </w:p>
              </w:tc>
              <w:tc>
                <w:tcPr>
                  <w:tcW w:w="940" w:type="pct"/>
                  <w:vAlign w:val="center"/>
                </w:tcPr>
                <w:p w14:paraId="5804B5B0">
                  <w:pPr>
                    <w:pStyle w:val="14"/>
                    <w:rPr>
                      <w:rFonts w:cs="Times New Roman"/>
                    </w:rPr>
                  </w:pPr>
                  <w:r>
                    <w:rPr>
                      <w:rFonts w:hint="eastAsia" w:cs="Times New Roman"/>
                    </w:rPr>
                    <w:t>0.2</w:t>
                  </w:r>
                </w:p>
              </w:tc>
              <w:tc>
                <w:tcPr>
                  <w:tcW w:w="783" w:type="pct"/>
                  <w:vAlign w:val="center"/>
                </w:tcPr>
                <w:p w14:paraId="47BB009F">
                  <w:pPr>
                    <w:pStyle w:val="14"/>
                    <w:rPr>
                      <w:rFonts w:cs="Times New Roman"/>
                    </w:rPr>
                  </w:pPr>
                  <w:r>
                    <w:rPr>
                      <w:rFonts w:hint="eastAsia" w:cs="Times New Roman"/>
                    </w:rPr>
                    <w:t>0.1</w:t>
                  </w:r>
                </w:p>
              </w:tc>
              <w:tc>
                <w:tcPr>
                  <w:tcW w:w="1332" w:type="pct"/>
                  <w:vMerge w:val="continue"/>
                  <w:vAlign w:val="center"/>
                </w:tcPr>
                <w:p w14:paraId="6C13ABE0">
                  <w:pPr>
                    <w:pStyle w:val="14"/>
                    <w:rPr>
                      <w:rFonts w:cs="Times New Roman"/>
                    </w:rPr>
                  </w:pPr>
                </w:p>
              </w:tc>
              <w:tc>
                <w:tcPr>
                  <w:tcW w:w="724" w:type="pct"/>
                  <w:vMerge w:val="continue"/>
                  <w:vAlign w:val="center"/>
                </w:tcPr>
                <w:p w14:paraId="49B5A197">
                  <w:pPr>
                    <w:pStyle w:val="14"/>
                    <w:rPr>
                      <w:rFonts w:cs="Times New Roman"/>
                      <w:b/>
                      <w:bCs/>
                    </w:rPr>
                  </w:pPr>
                </w:p>
              </w:tc>
            </w:tr>
          </w:tbl>
          <w:p w14:paraId="54459AD0">
            <w:pPr>
              <w:pStyle w:val="3"/>
              <w:spacing w:before="163"/>
            </w:pPr>
            <w:r>
              <w:t>2、废水排放标准</w:t>
            </w:r>
          </w:p>
          <w:p w14:paraId="0D510FD5">
            <w:pPr>
              <w:ind w:firstLine="480"/>
              <w:rPr>
                <w:rFonts w:cs="Times New Roman"/>
                <w:bCs/>
              </w:rPr>
            </w:pPr>
            <w:r>
              <w:rPr>
                <w:rFonts w:cs="Times New Roman"/>
              </w:rPr>
              <w:t>本项目</w:t>
            </w:r>
            <w:r>
              <w:rPr>
                <w:rFonts w:hint="eastAsia" w:cs="Times New Roman"/>
              </w:rPr>
              <w:t>废</w:t>
            </w:r>
            <w:r>
              <w:rPr>
                <w:rFonts w:cs="Times New Roman"/>
              </w:rPr>
              <w:t>水</w:t>
            </w:r>
            <w:r>
              <w:rPr>
                <w:rFonts w:hint="eastAsia" w:cs="Times New Roman"/>
              </w:rPr>
              <w:t>仅为生活污水，排入已建</w:t>
            </w:r>
            <w:r>
              <w:rPr>
                <w:rFonts w:cs="Times New Roman"/>
              </w:rPr>
              <w:t>预处理池处理后，经园区污水管网排入巴中经开区污水处理厂处理。本项目废水排放口排放标准执行《污水综合排放标准》（GB8978-1996）中规定的三级标准（氨氮、总磷参照《污水排入城镇下水道水质标准》（GB/T31962-2015）B等级标准）。巴中经开区污水处理厂排口执行</w:t>
            </w:r>
            <w:bookmarkStart w:id="74" w:name="OLE_LINK164"/>
            <w:bookmarkStart w:id="75" w:name="OLE_LINK165"/>
            <w:r>
              <w:rPr>
                <w:rFonts w:hint="eastAsia" w:cs="Times New Roman"/>
                <w:bCs/>
                <w:kern w:val="0"/>
                <w:szCs w:val="24"/>
              </w:rPr>
              <w:t>《城镇污水处理厂污染物排放标准》（</w:t>
            </w:r>
            <w:r>
              <w:rPr>
                <w:rFonts w:cs="Times New Roman"/>
                <w:bCs/>
                <w:kern w:val="0"/>
                <w:szCs w:val="24"/>
              </w:rPr>
              <w:t>GB18918-2002</w:t>
            </w:r>
            <w:r>
              <w:rPr>
                <w:rFonts w:hint="eastAsia" w:cs="Times New Roman"/>
                <w:bCs/>
                <w:kern w:val="0"/>
                <w:szCs w:val="24"/>
              </w:rPr>
              <w:t>）一级</w:t>
            </w:r>
            <w:r>
              <w:rPr>
                <w:rFonts w:cs="Times New Roman"/>
                <w:bCs/>
                <w:kern w:val="0"/>
                <w:szCs w:val="24"/>
              </w:rPr>
              <w:t>A</w:t>
            </w:r>
            <w:r>
              <w:rPr>
                <w:rFonts w:cs="Times New Roman"/>
                <w:bCs/>
              </w:rPr>
              <w:t>标准</w:t>
            </w:r>
            <w:bookmarkEnd w:id="74"/>
            <w:bookmarkEnd w:id="75"/>
            <w:r>
              <w:rPr>
                <w:rFonts w:cs="Times New Roman"/>
                <w:bCs/>
              </w:rPr>
              <w:t>。</w:t>
            </w:r>
          </w:p>
          <w:p w14:paraId="79D911ED">
            <w:pPr>
              <w:pStyle w:val="13"/>
              <w:keepNext/>
              <w:rPr>
                <w:rFonts w:cs="Times New Roman"/>
              </w:rPr>
            </w:pPr>
            <w:r>
              <w:rPr>
                <w:rFonts w:cs="Times New Roman"/>
              </w:rPr>
              <w:t xml:space="preserve">表 </w:t>
            </w:r>
            <w:r>
              <w:rPr>
                <w:rFonts w:cs="Times New Roman"/>
              </w:rPr>
              <w:fldChar w:fldCharType="begin"/>
            </w:r>
            <w:r>
              <w:rPr>
                <w:rFonts w:cs="Times New Roman"/>
              </w:rPr>
              <w:instrText xml:space="preserve"> SEQ seq \c </w:instrText>
            </w:r>
            <w:r>
              <w:rPr>
                <w:rFonts w:cs="Times New Roman"/>
              </w:rPr>
              <w:fldChar w:fldCharType="separate"/>
            </w:r>
            <w:r>
              <w:rPr>
                <w:rFonts w:cs="Times New Roman"/>
              </w:rPr>
              <w:t>3</w:t>
            </w:r>
            <w:r>
              <w:rPr>
                <w:rFonts w:cs="Times New Roman"/>
              </w:rPr>
              <w:fldChar w:fldCharType="end"/>
            </w:r>
            <w:r>
              <w:rPr>
                <w:rFonts w:cs="Times New Roman"/>
              </w:rPr>
              <w:noBreakHyphen/>
            </w:r>
            <w:r>
              <w:rPr>
                <w:rFonts w:cs="Times New Roman"/>
              </w:rPr>
              <w:fldChar w:fldCharType="begin"/>
            </w:r>
            <w:r>
              <w:rPr>
                <w:rFonts w:cs="Times New Roman"/>
              </w:rPr>
              <w:instrText xml:space="preserve"> SEQ 表 \* ARABIC \s 1 </w:instrText>
            </w:r>
            <w:r>
              <w:rPr>
                <w:rFonts w:cs="Times New Roman"/>
              </w:rPr>
              <w:fldChar w:fldCharType="separate"/>
            </w:r>
            <w:r>
              <w:rPr>
                <w:rFonts w:cs="Times New Roman"/>
              </w:rPr>
              <w:t>8</w:t>
            </w:r>
            <w:r>
              <w:rPr>
                <w:rFonts w:cs="Times New Roman"/>
              </w:rPr>
              <w:fldChar w:fldCharType="end"/>
            </w:r>
            <w:r>
              <w:rPr>
                <w:rFonts w:cs="Times New Roman"/>
              </w:rPr>
              <w:t xml:space="preserve"> 预处理池出水执行标准限值</w:t>
            </w:r>
          </w:p>
          <w:tbl>
            <w:tblPr>
              <w:tblStyle w:val="5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27"/>
              <w:gridCol w:w="1971"/>
              <w:gridCol w:w="4706"/>
            </w:tblGrid>
            <w:tr w14:paraId="16824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27" w:type="dxa"/>
                  <w:vAlign w:val="center"/>
                </w:tcPr>
                <w:p w14:paraId="1791B01B">
                  <w:pPr>
                    <w:pStyle w:val="14"/>
                    <w:rPr>
                      <w:rFonts w:cs="Times New Roman"/>
                      <w:b/>
                      <w:bCs/>
                    </w:rPr>
                  </w:pPr>
                  <w:r>
                    <w:rPr>
                      <w:rFonts w:cs="Times New Roman"/>
                      <w:b/>
                      <w:bCs/>
                    </w:rPr>
                    <w:t>项目</w:t>
                  </w:r>
                </w:p>
              </w:tc>
              <w:tc>
                <w:tcPr>
                  <w:tcW w:w="1971" w:type="dxa"/>
                  <w:vAlign w:val="center"/>
                </w:tcPr>
                <w:p w14:paraId="4B1DAACA">
                  <w:pPr>
                    <w:pStyle w:val="14"/>
                    <w:rPr>
                      <w:rFonts w:cs="Times New Roman"/>
                      <w:b/>
                      <w:bCs/>
                    </w:rPr>
                  </w:pPr>
                  <w:r>
                    <w:rPr>
                      <w:rFonts w:cs="Times New Roman"/>
                      <w:b/>
                      <w:bCs/>
                    </w:rPr>
                    <w:t>单位</w:t>
                  </w:r>
                </w:p>
              </w:tc>
              <w:tc>
                <w:tcPr>
                  <w:tcW w:w="4706" w:type="dxa"/>
                  <w:vAlign w:val="center"/>
                </w:tcPr>
                <w:p w14:paraId="4C2DDCF3">
                  <w:pPr>
                    <w:pStyle w:val="14"/>
                    <w:rPr>
                      <w:rFonts w:cs="Times New Roman"/>
                      <w:b/>
                      <w:bCs/>
                    </w:rPr>
                  </w:pPr>
                  <w:r>
                    <w:rPr>
                      <w:rFonts w:cs="Times New Roman"/>
                      <w:b/>
                      <w:bCs/>
                    </w:rPr>
                    <w:t>厂界排口排放限值</w:t>
                  </w:r>
                </w:p>
              </w:tc>
            </w:tr>
            <w:tr w14:paraId="04346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27" w:type="dxa"/>
                  <w:vAlign w:val="center"/>
                </w:tcPr>
                <w:p w14:paraId="1DFAE3DD">
                  <w:pPr>
                    <w:pStyle w:val="14"/>
                    <w:rPr>
                      <w:rFonts w:cs="Times New Roman"/>
                    </w:rPr>
                  </w:pPr>
                  <w:r>
                    <w:rPr>
                      <w:rFonts w:cs="Times New Roman"/>
                    </w:rPr>
                    <w:t>pH</w:t>
                  </w:r>
                </w:p>
              </w:tc>
              <w:tc>
                <w:tcPr>
                  <w:tcW w:w="1971" w:type="dxa"/>
                  <w:vAlign w:val="center"/>
                </w:tcPr>
                <w:p w14:paraId="3D044E28">
                  <w:pPr>
                    <w:pStyle w:val="14"/>
                    <w:rPr>
                      <w:rFonts w:cs="Times New Roman"/>
                    </w:rPr>
                  </w:pPr>
                  <w:r>
                    <w:rPr>
                      <w:rFonts w:cs="Times New Roman"/>
                    </w:rPr>
                    <w:t>无量纲</w:t>
                  </w:r>
                </w:p>
              </w:tc>
              <w:tc>
                <w:tcPr>
                  <w:tcW w:w="4706" w:type="dxa"/>
                  <w:vAlign w:val="center"/>
                </w:tcPr>
                <w:p w14:paraId="69372933">
                  <w:pPr>
                    <w:pStyle w:val="14"/>
                    <w:rPr>
                      <w:rFonts w:cs="Times New Roman"/>
                    </w:rPr>
                  </w:pPr>
                  <w:r>
                    <w:rPr>
                      <w:rFonts w:cs="Times New Roman"/>
                    </w:rPr>
                    <w:t>6～9</w:t>
                  </w:r>
                </w:p>
              </w:tc>
            </w:tr>
            <w:tr w14:paraId="6B819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27" w:type="dxa"/>
                  <w:vAlign w:val="center"/>
                </w:tcPr>
                <w:p w14:paraId="6A4A8E01">
                  <w:pPr>
                    <w:pStyle w:val="14"/>
                    <w:rPr>
                      <w:rFonts w:cs="Times New Roman"/>
                    </w:rPr>
                  </w:pPr>
                  <w:r>
                    <w:rPr>
                      <w:rFonts w:cs="Times New Roman"/>
                    </w:rPr>
                    <w:t>COD</w:t>
                  </w:r>
                </w:p>
              </w:tc>
              <w:tc>
                <w:tcPr>
                  <w:tcW w:w="1971" w:type="dxa"/>
                  <w:vAlign w:val="center"/>
                </w:tcPr>
                <w:p w14:paraId="4936BD77">
                  <w:pPr>
                    <w:pStyle w:val="14"/>
                    <w:rPr>
                      <w:rFonts w:cs="Times New Roman"/>
                    </w:rPr>
                  </w:pPr>
                  <w:r>
                    <w:rPr>
                      <w:rFonts w:cs="Times New Roman"/>
                    </w:rPr>
                    <w:t>mg/L</w:t>
                  </w:r>
                </w:p>
              </w:tc>
              <w:tc>
                <w:tcPr>
                  <w:tcW w:w="4706" w:type="dxa"/>
                  <w:vAlign w:val="center"/>
                </w:tcPr>
                <w:p w14:paraId="540F56CB">
                  <w:pPr>
                    <w:pStyle w:val="14"/>
                    <w:rPr>
                      <w:rFonts w:cs="Times New Roman"/>
                    </w:rPr>
                  </w:pPr>
                  <w:r>
                    <w:rPr>
                      <w:rFonts w:cs="Times New Roman"/>
                    </w:rPr>
                    <w:t>500</w:t>
                  </w:r>
                </w:p>
              </w:tc>
            </w:tr>
            <w:tr w14:paraId="13AF4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27" w:type="dxa"/>
                  <w:vAlign w:val="center"/>
                </w:tcPr>
                <w:p w14:paraId="66A6F4DD">
                  <w:pPr>
                    <w:pStyle w:val="14"/>
                    <w:rPr>
                      <w:rFonts w:cs="Times New Roman"/>
                    </w:rPr>
                  </w:pPr>
                  <w:r>
                    <w:rPr>
                      <w:rFonts w:cs="Times New Roman"/>
                    </w:rPr>
                    <w:t>BOD</w:t>
                  </w:r>
                  <w:r>
                    <w:rPr>
                      <w:rFonts w:cs="Times New Roman"/>
                      <w:vertAlign w:val="subscript"/>
                    </w:rPr>
                    <w:t>5</w:t>
                  </w:r>
                </w:p>
              </w:tc>
              <w:tc>
                <w:tcPr>
                  <w:tcW w:w="1971" w:type="dxa"/>
                  <w:vAlign w:val="center"/>
                </w:tcPr>
                <w:p w14:paraId="2E0CB082">
                  <w:pPr>
                    <w:pStyle w:val="14"/>
                    <w:rPr>
                      <w:rFonts w:cs="Times New Roman"/>
                    </w:rPr>
                  </w:pPr>
                  <w:r>
                    <w:rPr>
                      <w:rFonts w:cs="Times New Roman"/>
                    </w:rPr>
                    <w:t>mg/L</w:t>
                  </w:r>
                </w:p>
              </w:tc>
              <w:tc>
                <w:tcPr>
                  <w:tcW w:w="4706" w:type="dxa"/>
                  <w:vAlign w:val="center"/>
                </w:tcPr>
                <w:p w14:paraId="37DC261F">
                  <w:pPr>
                    <w:pStyle w:val="14"/>
                    <w:rPr>
                      <w:rFonts w:cs="Times New Roman"/>
                    </w:rPr>
                  </w:pPr>
                  <w:r>
                    <w:rPr>
                      <w:rFonts w:cs="Times New Roman"/>
                    </w:rPr>
                    <w:t>300</w:t>
                  </w:r>
                </w:p>
              </w:tc>
            </w:tr>
            <w:tr w14:paraId="4C947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27" w:type="dxa"/>
                  <w:vAlign w:val="center"/>
                </w:tcPr>
                <w:p w14:paraId="45DA7F61">
                  <w:pPr>
                    <w:pStyle w:val="14"/>
                    <w:rPr>
                      <w:rFonts w:cs="Times New Roman"/>
                    </w:rPr>
                  </w:pPr>
                  <w:r>
                    <w:rPr>
                      <w:rFonts w:cs="Times New Roman"/>
                    </w:rPr>
                    <w:t>SS</w:t>
                  </w:r>
                </w:p>
              </w:tc>
              <w:tc>
                <w:tcPr>
                  <w:tcW w:w="1971" w:type="dxa"/>
                  <w:vAlign w:val="center"/>
                </w:tcPr>
                <w:p w14:paraId="6A557930">
                  <w:pPr>
                    <w:pStyle w:val="14"/>
                    <w:rPr>
                      <w:rFonts w:cs="Times New Roman"/>
                    </w:rPr>
                  </w:pPr>
                  <w:r>
                    <w:rPr>
                      <w:rFonts w:cs="Times New Roman"/>
                    </w:rPr>
                    <w:t>mg/L</w:t>
                  </w:r>
                </w:p>
              </w:tc>
              <w:tc>
                <w:tcPr>
                  <w:tcW w:w="4706" w:type="dxa"/>
                  <w:vAlign w:val="center"/>
                </w:tcPr>
                <w:p w14:paraId="6C17152E">
                  <w:pPr>
                    <w:pStyle w:val="14"/>
                    <w:rPr>
                      <w:rFonts w:cs="Times New Roman"/>
                    </w:rPr>
                  </w:pPr>
                  <w:r>
                    <w:rPr>
                      <w:rFonts w:cs="Times New Roman"/>
                    </w:rPr>
                    <w:t>400</w:t>
                  </w:r>
                </w:p>
              </w:tc>
            </w:tr>
            <w:tr w14:paraId="74DC9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27" w:type="dxa"/>
                  <w:vAlign w:val="center"/>
                </w:tcPr>
                <w:p w14:paraId="75CE9730">
                  <w:pPr>
                    <w:pStyle w:val="14"/>
                    <w:rPr>
                      <w:rFonts w:cs="Times New Roman"/>
                    </w:rPr>
                  </w:pPr>
                  <w:r>
                    <w:rPr>
                      <w:rFonts w:cs="Times New Roman"/>
                    </w:rPr>
                    <w:t>氨氮</w:t>
                  </w:r>
                </w:p>
              </w:tc>
              <w:tc>
                <w:tcPr>
                  <w:tcW w:w="1971" w:type="dxa"/>
                  <w:vAlign w:val="center"/>
                </w:tcPr>
                <w:p w14:paraId="118AFD6F">
                  <w:pPr>
                    <w:pStyle w:val="14"/>
                    <w:rPr>
                      <w:rFonts w:cs="Times New Roman"/>
                    </w:rPr>
                  </w:pPr>
                  <w:r>
                    <w:rPr>
                      <w:rFonts w:cs="Times New Roman"/>
                    </w:rPr>
                    <w:t>mg/L</w:t>
                  </w:r>
                </w:p>
              </w:tc>
              <w:tc>
                <w:tcPr>
                  <w:tcW w:w="4706" w:type="dxa"/>
                  <w:vAlign w:val="center"/>
                </w:tcPr>
                <w:p w14:paraId="1C293B81">
                  <w:pPr>
                    <w:pStyle w:val="14"/>
                    <w:rPr>
                      <w:rFonts w:cs="Times New Roman"/>
                    </w:rPr>
                  </w:pPr>
                  <w:r>
                    <w:rPr>
                      <w:rFonts w:cs="Times New Roman"/>
                    </w:rPr>
                    <w:t>45</w:t>
                  </w:r>
                </w:p>
              </w:tc>
            </w:tr>
            <w:tr w14:paraId="72B28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27" w:type="dxa"/>
                  <w:vAlign w:val="center"/>
                </w:tcPr>
                <w:p w14:paraId="4D6D01A4">
                  <w:pPr>
                    <w:pStyle w:val="14"/>
                    <w:rPr>
                      <w:rFonts w:cs="Times New Roman"/>
                    </w:rPr>
                  </w:pPr>
                  <w:r>
                    <w:rPr>
                      <w:rFonts w:cs="Times New Roman"/>
                    </w:rPr>
                    <w:t>总氮</w:t>
                  </w:r>
                </w:p>
              </w:tc>
              <w:tc>
                <w:tcPr>
                  <w:tcW w:w="1971" w:type="dxa"/>
                  <w:vAlign w:val="center"/>
                </w:tcPr>
                <w:p w14:paraId="69E4D4C1">
                  <w:pPr>
                    <w:pStyle w:val="14"/>
                    <w:rPr>
                      <w:rFonts w:cs="Times New Roman"/>
                    </w:rPr>
                  </w:pPr>
                  <w:r>
                    <w:rPr>
                      <w:rFonts w:cs="Times New Roman"/>
                    </w:rPr>
                    <w:t>mg/L</w:t>
                  </w:r>
                </w:p>
              </w:tc>
              <w:tc>
                <w:tcPr>
                  <w:tcW w:w="4706" w:type="dxa"/>
                  <w:vAlign w:val="center"/>
                </w:tcPr>
                <w:p w14:paraId="0AC2EAB3">
                  <w:pPr>
                    <w:pStyle w:val="14"/>
                    <w:rPr>
                      <w:rFonts w:cs="Times New Roman"/>
                    </w:rPr>
                  </w:pPr>
                  <w:r>
                    <w:rPr>
                      <w:rFonts w:cs="Times New Roman"/>
                    </w:rPr>
                    <w:t>70</w:t>
                  </w:r>
                </w:p>
              </w:tc>
            </w:tr>
            <w:tr w14:paraId="0AF52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27" w:type="dxa"/>
                  <w:vAlign w:val="center"/>
                </w:tcPr>
                <w:p w14:paraId="471D03AC">
                  <w:pPr>
                    <w:pStyle w:val="14"/>
                    <w:rPr>
                      <w:rFonts w:cs="Times New Roman"/>
                    </w:rPr>
                  </w:pPr>
                  <w:r>
                    <w:rPr>
                      <w:rFonts w:cs="Times New Roman"/>
                    </w:rPr>
                    <w:t>总磷</w:t>
                  </w:r>
                </w:p>
              </w:tc>
              <w:tc>
                <w:tcPr>
                  <w:tcW w:w="1971" w:type="dxa"/>
                  <w:vAlign w:val="center"/>
                </w:tcPr>
                <w:p w14:paraId="3F22B620">
                  <w:pPr>
                    <w:pStyle w:val="14"/>
                    <w:rPr>
                      <w:rFonts w:cs="Times New Roman"/>
                    </w:rPr>
                  </w:pPr>
                  <w:r>
                    <w:rPr>
                      <w:rFonts w:cs="Times New Roman"/>
                    </w:rPr>
                    <w:t>mg/L</w:t>
                  </w:r>
                </w:p>
              </w:tc>
              <w:tc>
                <w:tcPr>
                  <w:tcW w:w="4706" w:type="dxa"/>
                  <w:vAlign w:val="center"/>
                </w:tcPr>
                <w:p w14:paraId="31B1BEE5">
                  <w:pPr>
                    <w:pStyle w:val="14"/>
                    <w:rPr>
                      <w:rFonts w:cs="Times New Roman"/>
                    </w:rPr>
                  </w:pPr>
                  <w:r>
                    <w:rPr>
                      <w:rFonts w:cs="Times New Roman"/>
                    </w:rPr>
                    <w:t>8</w:t>
                  </w:r>
                </w:p>
              </w:tc>
            </w:tr>
            <w:tr w14:paraId="3C003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27" w:type="dxa"/>
                  <w:vAlign w:val="center"/>
                </w:tcPr>
                <w:p w14:paraId="79B7A4F9">
                  <w:pPr>
                    <w:pStyle w:val="14"/>
                    <w:rPr>
                      <w:rFonts w:cs="Times New Roman"/>
                    </w:rPr>
                  </w:pPr>
                  <w:r>
                    <w:rPr>
                      <w:rFonts w:cs="Times New Roman"/>
                    </w:rPr>
                    <w:t>石油类</w:t>
                  </w:r>
                </w:p>
              </w:tc>
              <w:tc>
                <w:tcPr>
                  <w:tcW w:w="1971" w:type="dxa"/>
                  <w:vAlign w:val="center"/>
                </w:tcPr>
                <w:p w14:paraId="1540E88F">
                  <w:pPr>
                    <w:pStyle w:val="14"/>
                    <w:rPr>
                      <w:rFonts w:cs="Times New Roman"/>
                    </w:rPr>
                  </w:pPr>
                  <w:r>
                    <w:rPr>
                      <w:rFonts w:cs="Times New Roman"/>
                    </w:rPr>
                    <w:t>mg/L</w:t>
                  </w:r>
                </w:p>
              </w:tc>
              <w:tc>
                <w:tcPr>
                  <w:tcW w:w="4706" w:type="dxa"/>
                  <w:vAlign w:val="center"/>
                </w:tcPr>
                <w:p w14:paraId="7626726A">
                  <w:pPr>
                    <w:pStyle w:val="14"/>
                    <w:rPr>
                      <w:rFonts w:cs="Times New Roman"/>
                    </w:rPr>
                  </w:pPr>
                  <w:r>
                    <w:rPr>
                      <w:rFonts w:cs="Times New Roman"/>
                    </w:rPr>
                    <w:t>30</w:t>
                  </w:r>
                </w:p>
              </w:tc>
            </w:tr>
            <w:tr w14:paraId="3FFB5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27" w:type="dxa"/>
                  <w:vAlign w:val="center"/>
                </w:tcPr>
                <w:p w14:paraId="70276F7C">
                  <w:pPr>
                    <w:pStyle w:val="14"/>
                    <w:rPr>
                      <w:rFonts w:cs="Times New Roman"/>
                    </w:rPr>
                  </w:pPr>
                  <w:r>
                    <w:rPr>
                      <w:rFonts w:hint="eastAsia" w:cs="Times New Roman"/>
                    </w:rPr>
                    <w:t>动植物油</w:t>
                  </w:r>
                </w:p>
              </w:tc>
              <w:tc>
                <w:tcPr>
                  <w:tcW w:w="1971" w:type="dxa"/>
                  <w:vAlign w:val="center"/>
                </w:tcPr>
                <w:p w14:paraId="33ECCACE">
                  <w:pPr>
                    <w:pStyle w:val="14"/>
                    <w:rPr>
                      <w:rFonts w:cs="Times New Roman"/>
                    </w:rPr>
                  </w:pPr>
                  <w:r>
                    <w:rPr>
                      <w:rFonts w:cs="Times New Roman"/>
                    </w:rPr>
                    <w:t>mg/L</w:t>
                  </w:r>
                </w:p>
              </w:tc>
              <w:tc>
                <w:tcPr>
                  <w:tcW w:w="4706" w:type="dxa"/>
                  <w:vAlign w:val="center"/>
                </w:tcPr>
                <w:p w14:paraId="1E2D03E6">
                  <w:pPr>
                    <w:pStyle w:val="14"/>
                    <w:rPr>
                      <w:rFonts w:cs="Times New Roman"/>
                    </w:rPr>
                  </w:pPr>
                  <w:r>
                    <w:rPr>
                      <w:rFonts w:hint="eastAsia" w:cs="Times New Roman"/>
                    </w:rPr>
                    <w:t>1</w:t>
                  </w:r>
                  <w:r>
                    <w:rPr>
                      <w:rFonts w:cs="Times New Roman"/>
                    </w:rPr>
                    <w:t>00</w:t>
                  </w:r>
                </w:p>
              </w:tc>
            </w:tr>
          </w:tbl>
          <w:p w14:paraId="286578F2">
            <w:pPr>
              <w:pStyle w:val="13"/>
              <w:keepNext/>
              <w:rPr>
                <w:rFonts w:cs="Times New Roman"/>
              </w:rPr>
            </w:pPr>
            <w:r>
              <w:rPr>
                <w:rFonts w:cs="Times New Roman"/>
              </w:rPr>
              <w:t xml:space="preserve">表 </w:t>
            </w:r>
            <w:r>
              <w:rPr>
                <w:rFonts w:cs="Times New Roman"/>
              </w:rPr>
              <w:fldChar w:fldCharType="begin"/>
            </w:r>
            <w:r>
              <w:rPr>
                <w:rFonts w:cs="Times New Roman"/>
              </w:rPr>
              <w:instrText xml:space="preserve"> SEQ seq \c </w:instrText>
            </w:r>
            <w:r>
              <w:rPr>
                <w:rFonts w:cs="Times New Roman"/>
              </w:rPr>
              <w:fldChar w:fldCharType="separate"/>
            </w:r>
            <w:r>
              <w:rPr>
                <w:rFonts w:cs="Times New Roman"/>
              </w:rPr>
              <w:t>3</w:t>
            </w:r>
            <w:r>
              <w:rPr>
                <w:rFonts w:cs="Times New Roman"/>
              </w:rPr>
              <w:fldChar w:fldCharType="end"/>
            </w:r>
            <w:r>
              <w:rPr>
                <w:rFonts w:cs="Times New Roman"/>
              </w:rPr>
              <w:noBreakHyphen/>
            </w:r>
            <w:r>
              <w:rPr>
                <w:rFonts w:cs="Times New Roman"/>
              </w:rPr>
              <w:fldChar w:fldCharType="begin"/>
            </w:r>
            <w:r>
              <w:rPr>
                <w:rFonts w:cs="Times New Roman"/>
              </w:rPr>
              <w:instrText xml:space="preserve"> SEQ 表 \* ARABIC \s 1 </w:instrText>
            </w:r>
            <w:r>
              <w:rPr>
                <w:rFonts w:cs="Times New Roman"/>
              </w:rPr>
              <w:fldChar w:fldCharType="separate"/>
            </w:r>
            <w:r>
              <w:rPr>
                <w:rFonts w:cs="Times New Roman"/>
              </w:rPr>
              <w:t>9</w:t>
            </w:r>
            <w:r>
              <w:rPr>
                <w:rFonts w:cs="Times New Roman"/>
              </w:rPr>
              <w:fldChar w:fldCharType="end"/>
            </w:r>
            <w:r>
              <w:rPr>
                <w:rFonts w:cs="Times New Roman"/>
              </w:rPr>
              <w:t xml:space="preserve"> 污水处理厂污染物排放标准</w:t>
            </w:r>
          </w:p>
          <w:tbl>
            <w:tblPr>
              <w:tblStyle w:val="3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2224"/>
              <w:gridCol w:w="1456"/>
              <w:gridCol w:w="1874"/>
              <w:gridCol w:w="3492"/>
            </w:tblGrid>
            <w:tr w14:paraId="27C72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229" w:type="pct"/>
                  <w:vAlign w:val="center"/>
                </w:tcPr>
                <w:p w14:paraId="57DDAB56">
                  <w:pPr>
                    <w:pStyle w:val="53"/>
                    <w:rPr>
                      <w:rFonts w:cs="Times New Roman"/>
                    </w:rPr>
                  </w:pPr>
                  <w:r>
                    <w:rPr>
                      <w:rFonts w:cs="Times New Roman"/>
                    </w:rPr>
                    <w:t>项目</w:t>
                  </w:r>
                </w:p>
              </w:tc>
              <w:tc>
                <w:tcPr>
                  <w:tcW w:w="805" w:type="pct"/>
                  <w:vAlign w:val="center"/>
                </w:tcPr>
                <w:p w14:paraId="6E02F0C2">
                  <w:pPr>
                    <w:pStyle w:val="53"/>
                    <w:rPr>
                      <w:rFonts w:cs="Times New Roman"/>
                    </w:rPr>
                  </w:pPr>
                  <w:r>
                    <w:rPr>
                      <w:rFonts w:cs="Times New Roman"/>
                    </w:rPr>
                    <w:t>单位</w:t>
                  </w:r>
                </w:p>
              </w:tc>
              <w:tc>
                <w:tcPr>
                  <w:tcW w:w="1036" w:type="pct"/>
                  <w:vAlign w:val="center"/>
                </w:tcPr>
                <w:p w14:paraId="01DB3F9C">
                  <w:pPr>
                    <w:pStyle w:val="53"/>
                    <w:rPr>
                      <w:rFonts w:cs="Times New Roman"/>
                    </w:rPr>
                  </w:pPr>
                  <w:r>
                    <w:rPr>
                      <w:rFonts w:cs="Times New Roman"/>
                    </w:rPr>
                    <w:t>标准限值</w:t>
                  </w:r>
                </w:p>
              </w:tc>
              <w:tc>
                <w:tcPr>
                  <w:tcW w:w="1930" w:type="pct"/>
                  <w:vAlign w:val="center"/>
                </w:tcPr>
                <w:p w14:paraId="53240456">
                  <w:pPr>
                    <w:pStyle w:val="53"/>
                    <w:rPr>
                      <w:rFonts w:cs="Times New Roman"/>
                    </w:rPr>
                  </w:pPr>
                  <w:r>
                    <w:rPr>
                      <w:rFonts w:cs="Times New Roman"/>
                    </w:rPr>
                    <w:t>执行标准</w:t>
                  </w:r>
                </w:p>
              </w:tc>
            </w:tr>
            <w:tr w14:paraId="43096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 w:hRule="atLeast"/>
              </w:trPr>
              <w:tc>
                <w:tcPr>
                  <w:tcW w:w="1229" w:type="pct"/>
                  <w:vAlign w:val="center"/>
                </w:tcPr>
                <w:p w14:paraId="1E4B8B79">
                  <w:pPr>
                    <w:pStyle w:val="14"/>
                    <w:rPr>
                      <w:rFonts w:cs="Times New Roman"/>
                    </w:rPr>
                  </w:pPr>
                  <w:r>
                    <w:rPr>
                      <w:rFonts w:cs="Times New Roman"/>
                    </w:rPr>
                    <w:t>COD</w:t>
                  </w:r>
                  <w:r>
                    <w:rPr>
                      <w:rFonts w:cs="Times New Roman"/>
                      <w:vertAlign w:val="subscript"/>
                    </w:rPr>
                    <w:t>Cr</w:t>
                  </w:r>
                </w:p>
              </w:tc>
              <w:tc>
                <w:tcPr>
                  <w:tcW w:w="805" w:type="pct"/>
                  <w:vAlign w:val="center"/>
                </w:tcPr>
                <w:p w14:paraId="53325B53">
                  <w:pPr>
                    <w:pStyle w:val="14"/>
                    <w:rPr>
                      <w:rFonts w:cs="Times New Roman"/>
                    </w:rPr>
                  </w:pPr>
                  <w:r>
                    <w:rPr>
                      <w:rFonts w:cs="Times New Roman"/>
                    </w:rPr>
                    <w:t>mg/L</w:t>
                  </w:r>
                </w:p>
              </w:tc>
              <w:tc>
                <w:tcPr>
                  <w:tcW w:w="1036" w:type="pct"/>
                  <w:vAlign w:val="center"/>
                </w:tcPr>
                <w:p w14:paraId="4DE66C19">
                  <w:pPr>
                    <w:pStyle w:val="14"/>
                    <w:rPr>
                      <w:rFonts w:cs="Times New Roman"/>
                    </w:rPr>
                  </w:pPr>
                  <w:r>
                    <w:rPr>
                      <w:rFonts w:cs="Times New Roman"/>
                    </w:rPr>
                    <w:t>50</w:t>
                  </w:r>
                </w:p>
              </w:tc>
              <w:tc>
                <w:tcPr>
                  <w:tcW w:w="1930" w:type="pct"/>
                  <w:vMerge w:val="restart"/>
                  <w:vAlign w:val="center"/>
                </w:tcPr>
                <w:p w14:paraId="1BCDD8F8">
                  <w:pPr>
                    <w:pStyle w:val="14"/>
                    <w:rPr>
                      <w:rFonts w:cs="Times New Roman"/>
                      <w:b/>
                    </w:rPr>
                  </w:pPr>
                  <w:r>
                    <w:rPr>
                      <w:rFonts w:hint="eastAsia" w:cs="Times New Roman"/>
                      <w:bCs/>
                    </w:rPr>
                    <w:t>《城镇污水处理厂污染物排放标准》（</w:t>
                  </w:r>
                  <w:r>
                    <w:rPr>
                      <w:rFonts w:cs="Times New Roman"/>
                      <w:bCs/>
                    </w:rPr>
                    <w:t>GB18918-2002</w:t>
                  </w:r>
                  <w:r>
                    <w:rPr>
                      <w:rFonts w:hint="eastAsia" w:cs="Times New Roman"/>
                      <w:bCs/>
                    </w:rPr>
                    <w:t>）一级</w:t>
                  </w:r>
                  <w:r>
                    <w:rPr>
                      <w:rFonts w:cs="Times New Roman"/>
                      <w:bCs/>
                    </w:rPr>
                    <w:t>A标准</w:t>
                  </w:r>
                </w:p>
              </w:tc>
            </w:tr>
            <w:tr w14:paraId="44EBF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229" w:type="pct"/>
                  <w:vAlign w:val="center"/>
                </w:tcPr>
                <w:p w14:paraId="5B914C44">
                  <w:pPr>
                    <w:pStyle w:val="14"/>
                    <w:rPr>
                      <w:rFonts w:cs="Times New Roman"/>
                    </w:rPr>
                  </w:pPr>
                  <w:r>
                    <w:rPr>
                      <w:rFonts w:cs="Times New Roman"/>
                    </w:rPr>
                    <w:t>BOD</w:t>
                  </w:r>
                  <w:r>
                    <w:rPr>
                      <w:rFonts w:cs="Times New Roman"/>
                      <w:vertAlign w:val="subscript"/>
                    </w:rPr>
                    <w:t>5</w:t>
                  </w:r>
                </w:p>
              </w:tc>
              <w:tc>
                <w:tcPr>
                  <w:tcW w:w="805" w:type="pct"/>
                  <w:vAlign w:val="center"/>
                </w:tcPr>
                <w:p w14:paraId="7027AF28">
                  <w:pPr>
                    <w:pStyle w:val="14"/>
                    <w:rPr>
                      <w:rFonts w:cs="Times New Roman"/>
                    </w:rPr>
                  </w:pPr>
                  <w:r>
                    <w:rPr>
                      <w:rFonts w:cs="Times New Roman"/>
                    </w:rPr>
                    <w:t>mg/L</w:t>
                  </w:r>
                </w:p>
              </w:tc>
              <w:tc>
                <w:tcPr>
                  <w:tcW w:w="1036" w:type="pct"/>
                  <w:vAlign w:val="center"/>
                </w:tcPr>
                <w:p w14:paraId="3D77854C">
                  <w:pPr>
                    <w:pStyle w:val="14"/>
                    <w:rPr>
                      <w:rFonts w:cs="Times New Roman"/>
                    </w:rPr>
                  </w:pPr>
                  <w:r>
                    <w:rPr>
                      <w:rFonts w:hint="eastAsia" w:cs="Times New Roman"/>
                    </w:rPr>
                    <w:t>1</w:t>
                  </w:r>
                  <w:r>
                    <w:rPr>
                      <w:rFonts w:cs="Times New Roman"/>
                    </w:rPr>
                    <w:t>0</w:t>
                  </w:r>
                </w:p>
              </w:tc>
              <w:tc>
                <w:tcPr>
                  <w:tcW w:w="1930" w:type="pct"/>
                  <w:vMerge w:val="continue"/>
                  <w:vAlign w:val="center"/>
                </w:tcPr>
                <w:p w14:paraId="2D418083">
                  <w:pPr>
                    <w:pStyle w:val="14"/>
                    <w:rPr>
                      <w:rFonts w:cs="Times New Roman"/>
                      <w:b/>
                    </w:rPr>
                  </w:pPr>
                </w:p>
              </w:tc>
            </w:tr>
            <w:tr w14:paraId="13A2C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229" w:type="pct"/>
                  <w:vAlign w:val="center"/>
                </w:tcPr>
                <w:p w14:paraId="2C1C5C81">
                  <w:pPr>
                    <w:pStyle w:val="14"/>
                    <w:rPr>
                      <w:rFonts w:cs="Times New Roman"/>
                    </w:rPr>
                  </w:pPr>
                  <w:r>
                    <w:rPr>
                      <w:rFonts w:cs="Times New Roman"/>
                    </w:rPr>
                    <w:t>NH</w:t>
                  </w:r>
                  <w:r>
                    <w:rPr>
                      <w:rFonts w:cs="Times New Roman"/>
                      <w:vertAlign w:val="subscript"/>
                    </w:rPr>
                    <w:t>3</w:t>
                  </w:r>
                  <w:r>
                    <w:rPr>
                      <w:rFonts w:cs="Times New Roman"/>
                    </w:rPr>
                    <w:t>-N</w:t>
                  </w:r>
                </w:p>
              </w:tc>
              <w:tc>
                <w:tcPr>
                  <w:tcW w:w="805" w:type="pct"/>
                  <w:vAlign w:val="center"/>
                </w:tcPr>
                <w:p w14:paraId="57159621">
                  <w:pPr>
                    <w:pStyle w:val="14"/>
                    <w:rPr>
                      <w:rFonts w:cs="Times New Roman"/>
                    </w:rPr>
                  </w:pPr>
                  <w:r>
                    <w:rPr>
                      <w:rFonts w:cs="Times New Roman"/>
                    </w:rPr>
                    <w:t>mg/L</w:t>
                  </w:r>
                </w:p>
              </w:tc>
              <w:tc>
                <w:tcPr>
                  <w:tcW w:w="1036" w:type="pct"/>
                  <w:vAlign w:val="center"/>
                </w:tcPr>
                <w:p w14:paraId="722D64F3">
                  <w:pPr>
                    <w:pStyle w:val="14"/>
                    <w:rPr>
                      <w:rFonts w:cs="Times New Roman"/>
                    </w:rPr>
                  </w:pPr>
                  <w:r>
                    <w:rPr>
                      <w:rFonts w:cs="Times New Roman"/>
                    </w:rPr>
                    <w:t>5（8）</w:t>
                  </w:r>
                </w:p>
              </w:tc>
              <w:tc>
                <w:tcPr>
                  <w:tcW w:w="1930" w:type="pct"/>
                  <w:vMerge w:val="continue"/>
                  <w:vAlign w:val="center"/>
                </w:tcPr>
                <w:p w14:paraId="5286ACDF">
                  <w:pPr>
                    <w:pStyle w:val="14"/>
                    <w:rPr>
                      <w:rFonts w:cs="Times New Roman"/>
                      <w:b/>
                    </w:rPr>
                  </w:pPr>
                </w:p>
              </w:tc>
            </w:tr>
            <w:tr w14:paraId="339A2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229" w:type="pct"/>
                  <w:vAlign w:val="center"/>
                </w:tcPr>
                <w:p w14:paraId="6662B624">
                  <w:pPr>
                    <w:pStyle w:val="14"/>
                    <w:rPr>
                      <w:rFonts w:cs="Times New Roman"/>
                    </w:rPr>
                  </w:pPr>
                  <w:r>
                    <w:rPr>
                      <w:rFonts w:cs="Times New Roman"/>
                    </w:rPr>
                    <w:t>TN</w:t>
                  </w:r>
                </w:p>
              </w:tc>
              <w:tc>
                <w:tcPr>
                  <w:tcW w:w="805" w:type="pct"/>
                  <w:vAlign w:val="center"/>
                </w:tcPr>
                <w:p w14:paraId="73F26C59">
                  <w:pPr>
                    <w:pStyle w:val="14"/>
                    <w:rPr>
                      <w:rFonts w:cs="Times New Roman"/>
                    </w:rPr>
                  </w:pPr>
                  <w:r>
                    <w:rPr>
                      <w:rFonts w:cs="Times New Roman"/>
                    </w:rPr>
                    <w:t>mg/L</w:t>
                  </w:r>
                </w:p>
              </w:tc>
              <w:tc>
                <w:tcPr>
                  <w:tcW w:w="1036" w:type="pct"/>
                  <w:vAlign w:val="center"/>
                </w:tcPr>
                <w:p w14:paraId="36339A67">
                  <w:pPr>
                    <w:pStyle w:val="14"/>
                    <w:rPr>
                      <w:rFonts w:cs="Times New Roman"/>
                    </w:rPr>
                  </w:pPr>
                  <w:r>
                    <w:rPr>
                      <w:rFonts w:cs="Times New Roman"/>
                    </w:rPr>
                    <w:t>15</w:t>
                  </w:r>
                </w:p>
              </w:tc>
              <w:tc>
                <w:tcPr>
                  <w:tcW w:w="1930" w:type="pct"/>
                  <w:vMerge w:val="continue"/>
                  <w:vAlign w:val="center"/>
                </w:tcPr>
                <w:p w14:paraId="74B735DC">
                  <w:pPr>
                    <w:pStyle w:val="14"/>
                    <w:rPr>
                      <w:rFonts w:cs="Times New Roman"/>
                      <w:b/>
                    </w:rPr>
                  </w:pPr>
                </w:p>
              </w:tc>
            </w:tr>
            <w:tr w14:paraId="42931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229" w:type="pct"/>
                  <w:vAlign w:val="center"/>
                </w:tcPr>
                <w:p w14:paraId="3CE205B7">
                  <w:pPr>
                    <w:pStyle w:val="14"/>
                    <w:rPr>
                      <w:rFonts w:cs="Times New Roman"/>
                    </w:rPr>
                  </w:pPr>
                  <w:r>
                    <w:rPr>
                      <w:rFonts w:cs="Times New Roman"/>
                    </w:rPr>
                    <w:t>TP</w:t>
                  </w:r>
                </w:p>
              </w:tc>
              <w:tc>
                <w:tcPr>
                  <w:tcW w:w="805" w:type="pct"/>
                  <w:vAlign w:val="center"/>
                </w:tcPr>
                <w:p w14:paraId="46022508">
                  <w:pPr>
                    <w:pStyle w:val="14"/>
                    <w:rPr>
                      <w:rFonts w:cs="Times New Roman"/>
                    </w:rPr>
                  </w:pPr>
                  <w:r>
                    <w:rPr>
                      <w:rFonts w:cs="Times New Roman"/>
                    </w:rPr>
                    <w:t>mg/L</w:t>
                  </w:r>
                </w:p>
              </w:tc>
              <w:tc>
                <w:tcPr>
                  <w:tcW w:w="1036" w:type="pct"/>
                  <w:vAlign w:val="center"/>
                </w:tcPr>
                <w:p w14:paraId="5B537ECB">
                  <w:pPr>
                    <w:pStyle w:val="14"/>
                    <w:rPr>
                      <w:rFonts w:cs="Times New Roman"/>
                    </w:rPr>
                  </w:pPr>
                  <w:r>
                    <w:rPr>
                      <w:rFonts w:cs="Times New Roman"/>
                    </w:rPr>
                    <w:t>0.5</w:t>
                  </w:r>
                </w:p>
              </w:tc>
              <w:tc>
                <w:tcPr>
                  <w:tcW w:w="1930" w:type="pct"/>
                  <w:vMerge w:val="continue"/>
                  <w:vAlign w:val="center"/>
                </w:tcPr>
                <w:p w14:paraId="2D341840">
                  <w:pPr>
                    <w:pStyle w:val="14"/>
                    <w:rPr>
                      <w:rFonts w:cs="Times New Roman"/>
                      <w:b/>
                    </w:rPr>
                  </w:pPr>
                </w:p>
              </w:tc>
            </w:tr>
            <w:tr w14:paraId="2CF2E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229" w:type="pct"/>
                  <w:vAlign w:val="center"/>
                </w:tcPr>
                <w:p w14:paraId="1FA54B2C">
                  <w:pPr>
                    <w:pStyle w:val="14"/>
                    <w:rPr>
                      <w:rFonts w:cs="Times New Roman"/>
                    </w:rPr>
                  </w:pPr>
                  <w:r>
                    <w:rPr>
                      <w:rFonts w:hint="eastAsia" w:cs="Times New Roman"/>
                    </w:rPr>
                    <w:t>S</w:t>
                  </w:r>
                  <w:r>
                    <w:rPr>
                      <w:rFonts w:cs="Times New Roman"/>
                    </w:rPr>
                    <w:t>S</w:t>
                  </w:r>
                </w:p>
              </w:tc>
              <w:tc>
                <w:tcPr>
                  <w:tcW w:w="805" w:type="pct"/>
                  <w:vAlign w:val="center"/>
                </w:tcPr>
                <w:p w14:paraId="234197CD">
                  <w:pPr>
                    <w:pStyle w:val="14"/>
                    <w:rPr>
                      <w:rFonts w:cs="Times New Roman"/>
                    </w:rPr>
                  </w:pPr>
                  <w:r>
                    <w:rPr>
                      <w:rFonts w:cs="Times New Roman"/>
                    </w:rPr>
                    <w:t>mg/L</w:t>
                  </w:r>
                </w:p>
              </w:tc>
              <w:tc>
                <w:tcPr>
                  <w:tcW w:w="1036" w:type="pct"/>
                  <w:vAlign w:val="center"/>
                </w:tcPr>
                <w:p w14:paraId="26694B85">
                  <w:pPr>
                    <w:pStyle w:val="14"/>
                    <w:rPr>
                      <w:rFonts w:cs="Times New Roman"/>
                    </w:rPr>
                  </w:pPr>
                  <w:r>
                    <w:rPr>
                      <w:rFonts w:hint="eastAsia" w:cs="Times New Roman"/>
                    </w:rPr>
                    <w:t>1</w:t>
                  </w:r>
                  <w:r>
                    <w:rPr>
                      <w:rFonts w:cs="Times New Roman"/>
                    </w:rPr>
                    <w:t>0</w:t>
                  </w:r>
                </w:p>
              </w:tc>
              <w:tc>
                <w:tcPr>
                  <w:tcW w:w="1930" w:type="pct"/>
                  <w:vMerge w:val="continue"/>
                  <w:vAlign w:val="center"/>
                </w:tcPr>
                <w:p w14:paraId="30830210">
                  <w:pPr>
                    <w:pStyle w:val="14"/>
                    <w:rPr>
                      <w:rFonts w:cs="Times New Roman"/>
                      <w:b/>
                    </w:rPr>
                  </w:pPr>
                </w:p>
              </w:tc>
            </w:tr>
            <w:tr w14:paraId="0C065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24" w:hRule="atLeast"/>
              </w:trPr>
              <w:tc>
                <w:tcPr>
                  <w:tcW w:w="5000" w:type="pct"/>
                  <w:gridSpan w:val="4"/>
                  <w:vAlign w:val="center"/>
                </w:tcPr>
                <w:p w14:paraId="7D2192B6">
                  <w:pPr>
                    <w:pStyle w:val="14"/>
                    <w:rPr>
                      <w:rFonts w:cs="Times New Roman"/>
                    </w:rPr>
                  </w:pPr>
                  <w:r>
                    <w:rPr>
                      <w:rFonts w:cs="Times New Roman"/>
                    </w:rPr>
                    <w:t>注：1）污染物排放监控位置为排污单位污水总排口；2）氨氮指标括号外数值为水温＞12℃时的控制指标，括号内数值为水温≤12℃时的控制指标；</w:t>
                  </w:r>
                </w:p>
              </w:tc>
            </w:tr>
          </w:tbl>
          <w:p w14:paraId="69750943">
            <w:pPr>
              <w:pStyle w:val="3"/>
              <w:spacing w:before="163"/>
            </w:pPr>
            <w:r>
              <w:t>3、噪声</w:t>
            </w:r>
          </w:p>
          <w:p w14:paraId="49F12F66">
            <w:pPr>
              <w:ind w:firstLine="456"/>
              <w:rPr>
                <w:spacing w:val="-6"/>
              </w:rPr>
            </w:pPr>
            <w:r>
              <w:rPr>
                <w:spacing w:val="-6"/>
              </w:rPr>
              <w:t>施工期执行国家《建筑施工噪声排放标准 》（GB 12523—2025 ）标准，标准限值见下表。</w:t>
            </w:r>
          </w:p>
          <w:p w14:paraId="44B430A6">
            <w:pPr>
              <w:autoSpaceDE w:val="0"/>
              <w:autoSpaceDN w:val="0"/>
              <w:ind w:firstLine="482"/>
              <w:jc w:val="center"/>
              <w:rPr>
                <w:b/>
                <w:lang w:val="zh-CN"/>
              </w:rPr>
            </w:pPr>
            <w:r>
              <w:rPr>
                <w:b/>
                <w:lang w:val="zh-CN"/>
              </w:rPr>
              <w:t>表3-1</w:t>
            </w:r>
            <w:r>
              <w:rPr>
                <w:rFonts w:hint="eastAsia"/>
                <w:b/>
                <w:lang w:val="zh-CN"/>
              </w:rPr>
              <w:t xml:space="preserve">0  </w:t>
            </w:r>
            <w:r>
              <w:rPr>
                <w:b/>
                <w:lang w:val="zh-CN"/>
              </w:rPr>
              <w:t>施工场界环境噪声排放标准</w:t>
            </w:r>
          </w:p>
          <w:tbl>
            <w:tblPr>
              <w:tblStyle w:val="33"/>
              <w:tblW w:w="4622"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695"/>
              <w:gridCol w:w="2131"/>
              <w:gridCol w:w="4536"/>
            </w:tblGrid>
            <w:tr w14:paraId="10488D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0" w:hRule="atLeast"/>
                <w:jc w:val="center"/>
              </w:trPr>
              <w:tc>
                <w:tcPr>
                  <w:tcW w:w="1014" w:type="pct"/>
                  <w:vAlign w:val="center"/>
                </w:tcPr>
                <w:p w14:paraId="4FBB2CEA">
                  <w:pPr>
                    <w:ind w:firstLine="0" w:firstLineChars="0"/>
                    <w:jc w:val="center"/>
                    <w:rPr>
                      <w:b/>
                      <w:sz w:val="21"/>
                      <w:szCs w:val="21"/>
                    </w:rPr>
                  </w:pPr>
                  <w:r>
                    <w:rPr>
                      <w:b/>
                      <w:sz w:val="21"/>
                      <w:szCs w:val="21"/>
                    </w:rPr>
                    <w:t>昼间</w:t>
                  </w:r>
                  <w:r>
                    <w:rPr>
                      <w:b/>
                      <w:sz w:val="21"/>
                      <w:szCs w:val="21"/>
                      <w:lang w:val="zh-CN"/>
                    </w:rPr>
                    <w:t>dB（A）</w:t>
                  </w:r>
                </w:p>
              </w:tc>
              <w:tc>
                <w:tcPr>
                  <w:tcW w:w="1274" w:type="pct"/>
                  <w:vAlign w:val="center"/>
                </w:tcPr>
                <w:p w14:paraId="5AB6FA54">
                  <w:pPr>
                    <w:ind w:firstLine="0" w:firstLineChars="0"/>
                    <w:jc w:val="center"/>
                    <w:rPr>
                      <w:b/>
                      <w:sz w:val="21"/>
                      <w:szCs w:val="21"/>
                    </w:rPr>
                  </w:pPr>
                  <w:r>
                    <w:rPr>
                      <w:b/>
                      <w:sz w:val="21"/>
                      <w:szCs w:val="21"/>
                    </w:rPr>
                    <w:t>夜间</w:t>
                  </w:r>
                  <w:r>
                    <w:rPr>
                      <w:b/>
                      <w:sz w:val="21"/>
                      <w:szCs w:val="21"/>
                      <w:lang w:val="zh-CN"/>
                    </w:rPr>
                    <w:t>dB（A）</w:t>
                  </w:r>
                </w:p>
              </w:tc>
              <w:tc>
                <w:tcPr>
                  <w:tcW w:w="2712" w:type="pct"/>
                  <w:vAlign w:val="center"/>
                </w:tcPr>
                <w:p w14:paraId="38AE42E1">
                  <w:pPr>
                    <w:ind w:firstLine="0" w:firstLineChars="0"/>
                    <w:jc w:val="center"/>
                    <w:rPr>
                      <w:b/>
                      <w:sz w:val="21"/>
                      <w:szCs w:val="21"/>
                    </w:rPr>
                  </w:pPr>
                  <w:r>
                    <w:rPr>
                      <w:b/>
                      <w:sz w:val="21"/>
                      <w:szCs w:val="21"/>
                    </w:rPr>
                    <w:t>执行标准</w:t>
                  </w:r>
                </w:p>
              </w:tc>
            </w:tr>
            <w:tr w14:paraId="7F100B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39" w:hRule="atLeast"/>
                <w:jc w:val="center"/>
              </w:trPr>
              <w:tc>
                <w:tcPr>
                  <w:tcW w:w="1014" w:type="pct"/>
                  <w:vAlign w:val="center"/>
                </w:tcPr>
                <w:p w14:paraId="4A75BA8F">
                  <w:pPr>
                    <w:ind w:firstLine="0" w:firstLineChars="0"/>
                    <w:jc w:val="center"/>
                    <w:rPr>
                      <w:sz w:val="21"/>
                      <w:szCs w:val="21"/>
                    </w:rPr>
                  </w:pPr>
                  <w:r>
                    <w:rPr>
                      <w:sz w:val="21"/>
                      <w:szCs w:val="21"/>
                    </w:rPr>
                    <w:t>70</w:t>
                  </w:r>
                </w:p>
              </w:tc>
              <w:tc>
                <w:tcPr>
                  <w:tcW w:w="1274" w:type="pct"/>
                  <w:vAlign w:val="center"/>
                </w:tcPr>
                <w:p w14:paraId="2182D0CD">
                  <w:pPr>
                    <w:ind w:firstLine="0" w:firstLineChars="0"/>
                    <w:jc w:val="center"/>
                    <w:rPr>
                      <w:sz w:val="21"/>
                      <w:szCs w:val="21"/>
                    </w:rPr>
                  </w:pPr>
                  <w:r>
                    <w:rPr>
                      <w:sz w:val="21"/>
                      <w:szCs w:val="21"/>
                    </w:rPr>
                    <w:t>55</w:t>
                  </w:r>
                </w:p>
              </w:tc>
              <w:tc>
                <w:tcPr>
                  <w:tcW w:w="2712" w:type="pct"/>
                  <w:vAlign w:val="center"/>
                </w:tcPr>
                <w:p w14:paraId="3290FB93">
                  <w:pPr>
                    <w:ind w:firstLine="0" w:firstLineChars="0"/>
                    <w:rPr>
                      <w:sz w:val="21"/>
                      <w:szCs w:val="21"/>
                    </w:rPr>
                  </w:pPr>
                  <w:r>
                    <w:rPr>
                      <w:spacing w:val="-6"/>
                      <w:sz w:val="21"/>
                      <w:szCs w:val="21"/>
                    </w:rPr>
                    <w:t>《建筑施工噪声排放标准 》（GB 12523—2025 ）</w:t>
                  </w:r>
                </w:p>
              </w:tc>
            </w:tr>
          </w:tbl>
          <w:p w14:paraId="2599B437">
            <w:pPr>
              <w:ind w:firstLine="480"/>
              <w:rPr>
                <w:rFonts w:cs="Times New Roman"/>
              </w:rPr>
            </w:pPr>
            <w:r>
              <w:rPr>
                <w:rFonts w:cs="Times New Roman"/>
              </w:rPr>
              <w:t>营运期执行《工业企业厂界环境噪声排放标准》（GB12348-2008）</w:t>
            </w:r>
            <w:r>
              <w:rPr>
                <w:rFonts w:cs="Times New Roman"/>
                <w:b/>
                <w:bCs/>
              </w:rPr>
              <w:t>3类标准</w:t>
            </w:r>
            <w:r>
              <w:rPr>
                <w:rFonts w:cs="Times New Roman"/>
              </w:rPr>
              <w:t>：</w:t>
            </w:r>
          </w:p>
          <w:p w14:paraId="14A36E56">
            <w:pPr>
              <w:pStyle w:val="13"/>
              <w:keepNext/>
              <w:rPr>
                <w:rFonts w:cs="Times New Roman"/>
              </w:rPr>
            </w:pPr>
            <w:bookmarkStart w:id="76" w:name="OLE_LINK80"/>
            <w:bookmarkStart w:id="77" w:name="OLE_LINK79"/>
            <w:r>
              <w:rPr>
                <w:rFonts w:cs="Times New Roman"/>
              </w:rPr>
              <w:t xml:space="preserve">表 </w:t>
            </w:r>
            <w:r>
              <w:rPr>
                <w:rFonts w:cs="Times New Roman"/>
              </w:rPr>
              <w:fldChar w:fldCharType="begin"/>
            </w:r>
            <w:r>
              <w:rPr>
                <w:rFonts w:cs="Times New Roman"/>
              </w:rPr>
              <w:instrText xml:space="preserve"> SEQ seq \c </w:instrText>
            </w:r>
            <w:r>
              <w:rPr>
                <w:rFonts w:cs="Times New Roman"/>
              </w:rPr>
              <w:fldChar w:fldCharType="separate"/>
            </w:r>
            <w:r>
              <w:rPr>
                <w:rFonts w:cs="Times New Roman"/>
              </w:rPr>
              <w:t>3</w:t>
            </w:r>
            <w:r>
              <w:rPr>
                <w:rFonts w:cs="Times New Roman"/>
              </w:rPr>
              <w:fldChar w:fldCharType="end"/>
            </w:r>
            <w:r>
              <w:rPr>
                <w:rFonts w:cs="Times New Roman"/>
              </w:rPr>
              <w:noBreakHyphen/>
            </w:r>
            <w:r>
              <w:rPr>
                <w:rFonts w:cs="Times New Roman"/>
              </w:rPr>
              <w:fldChar w:fldCharType="begin"/>
            </w:r>
            <w:r>
              <w:rPr>
                <w:rFonts w:cs="Times New Roman"/>
              </w:rPr>
              <w:instrText xml:space="preserve"> SEQ 表 \* ARABIC \s 1 </w:instrText>
            </w:r>
            <w:r>
              <w:rPr>
                <w:rFonts w:cs="Times New Roman"/>
              </w:rPr>
              <w:fldChar w:fldCharType="separate"/>
            </w:r>
            <w:r>
              <w:rPr>
                <w:rFonts w:cs="Times New Roman"/>
              </w:rPr>
              <w:t>11</w:t>
            </w:r>
            <w:r>
              <w:rPr>
                <w:rFonts w:cs="Times New Roman"/>
              </w:rPr>
              <w:fldChar w:fldCharType="end"/>
            </w:r>
            <w:r>
              <w:rPr>
                <w:rFonts w:cs="Times New Roman"/>
              </w:rPr>
              <w:t xml:space="preserve"> </w:t>
            </w:r>
            <w:r>
              <w:rPr>
                <w:rFonts w:hint="eastAsia" w:cs="Times New Roman"/>
              </w:rPr>
              <w:t xml:space="preserve"> </w:t>
            </w:r>
            <w:r>
              <w:rPr>
                <w:rFonts w:cs="Times New Roman"/>
              </w:rPr>
              <w:t>工业企业厂界环境噪声排放标准</w:t>
            </w:r>
          </w:p>
          <w:bookmarkEnd w:id="76"/>
          <w:bookmarkEnd w:id="77"/>
          <w:tbl>
            <w:tblPr>
              <w:tblStyle w:val="3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2088"/>
              <w:gridCol w:w="2216"/>
              <w:gridCol w:w="952"/>
              <w:gridCol w:w="3790"/>
            </w:tblGrid>
            <w:tr w14:paraId="1A78C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154" w:type="pct"/>
                  <w:vAlign w:val="center"/>
                </w:tcPr>
                <w:p w14:paraId="5CCC903D">
                  <w:pPr>
                    <w:pStyle w:val="14"/>
                    <w:rPr>
                      <w:rFonts w:cs="Times New Roman"/>
                      <w:b/>
                    </w:rPr>
                  </w:pPr>
                  <w:r>
                    <w:rPr>
                      <w:rFonts w:cs="Times New Roman"/>
                      <w:b/>
                    </w:rPr>
                    <w:t>昼间Leq dB（A）</w:t>
                  </w:r>
                </w:p>
              </w:tc>
              <w:tc>
                <w:tcPr>
                  <w:tcW w:w="1225" w:type="pct"/>
                  <w:vAlign w:val="center"/>
                </w:tcPr>
                <w:p w14:paraId="2EC65A70">
                  <w:pPr>
                    <w:pStyle w:val="14"/>
                    <w:rPr>
                      <w:rFonts w:cs="Times New Roman"/>
                      <w:b/>
                    </w:rPr>
                  </w:pPr>
                  <w:r>
                    <w:rPr>
                      <w:rFonts w:cs="Times New Roman"/>
                      <w:b/>
                    </w:rPr>
                    <w:t>夜间Leq dB（A）</w:t>
                  </w:r>
                </w:p>
              </w:tc>
              <w:tc>
                <w:tcPr>
                  <w:tcW w:w="526" w:type="pct"/>
                  <w:vAlign w:val="center"/>
                </w:tcPr>
                <w:p w14:paraId="0A885235">
                  <w:pPr>
                    <w:pStyle w:val="14"/>
                    <w:rPr>
                      <w:rFonts w:cs="Times New Roman"/>
                      <w:b/>
                    </w:rPr>
                  </w:pPr>
                  <w:r>
                    <w:rPr>
                      <w:rFonts w:cs="Times New Roman"/>
                      <w:b/>
                    </w:rPr>
                    <w:t>区域</w:t>
                  </w:r>
                </w:p>
              </w:tc>
              <w:tc>
                <w:tcPr>
                  <w:tcW w:w="2095" w:type="pct"/>
                  <w:vAlign w:val="center"/>
                </w:tcPr>
                <w:p w14:paraId="2AC674BA">
                  <w:pPr>
                    <w:pStyle w:val="14"/>
                    <w:rPr>
                      <w:rFonts w:cs="Times New Roman"/>
                      <w:b/>
                    </w:rPr>
                  </w:pPr>
                  <w:r>
                    <w:rPr>
                      <w:rFonts w:cs="Times New Roman"/>
                      <w:b/>
                    </w:rPr>
                    <w:t>依据</w:t>
                  </w:r>
                </w:p>
              </w:tc>
            </w:tr>
            <w:tr w14:paraId="5DC90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24" w:hRule="atLeast"/>
              </w:trPr>
              <w:tc>
                <w:tcPr>
                  <w:tcW w:w="1154" w:type="pct"/>
                  <w:vAlign w:val="center"/>
                </w:tcPr>
                <w:p w14:paraId="25E7A3F4">
                  <w:pPr>
                    <w:pStyle w:val="14"/>
                    <w:rPr>
                      <w:rFonts w:cs="Times New Roman"/>
                    </w:rPr>
                  </w:pPr>
                  <w:r>
                    <w:rPr>
                      <w:rFonts w:cs="Times New Roman"/>
                    </w:rPr>
                    <w:t>65</w:t>
                  </w:r>
                </w:p>
              </w:tc>
              <w:tc>
                <w:tcPr>
                  <w:tcW w:w="1225" w:type="pct"/>
                  <w:vAlign w:val="center"/>
                </w:tcPr>
                <w:p w14:paraId="42898D79">
                  <w:pPr>
                    <w:pStyle w:val="14"/>
                    <w:rPr>
                      <w:rFonts w:cs="Times New Roman"/>
                    </w:rPr>
                  </w:pPr>
                  <w:r>
                    <w:rPr>
                      <w:rFonts w:cs="Times New Roman"/>
                    </w:rPr>
                    <w:t>55</w:t>
                  </w:r>
                </w:p>
              </w:tc>
              <w:tc>
                <w:tcPr>
                  <w:tcW w:w="526" w:type="pct"/>
                  <w:vAlign w:val="center"/>
                </w:tcPr>
                <w:p w14:paraId="32053FE3">
                  <w:pPr>
                    <w:pStyle w:val="14"/>
                    <w:rPr>
                      <w:rFonts w:cs="Times New Roman"/>
                    </w:rPr>
                  </w:pPr>
                  <w:r>
                    <w:rPr>
                      <w:rFonts w:cs="Times New Roman"/>
                    </w:rPr>
                    <w:t>厂界</w:t>
                  </w:r>
                </w:p>
              </w:tc>
              <w:tc>
                <w:tcPr>
                  <w:tcW w:w="2095" w:type="pct"/>
                  <w:vAlign w:val="center"/>
                </w:tcPr>
                <w:p w14:paraId="0E70B4A5">
                  <w:pPr>
                    <w:pStyle w:val="14"/>
                    <w:rPr>
                      <w:rFonts w:cs="Times New Roman"/>
                    </w:rPr>
                  </w:pPr>
                  <w:r>
                    <w:rPr>
                      <w:rFonts w:cs="Times New Roman"/>
                    </w:rPr>
                    <w:t>《工业企业厂界环境噪声排放标准》</w:t>
                  </w:r>
                </w:p>
                <w:p w14:paraId="14CED4DE">
                  <w:pPr>
                    <w:pStyle w:val="14"/>
                    <w:rPr>
                      <w:rFonts w:cs="Times New Roman"/>
                    </w:rPr>
                  </w:pPr>
                  <w:r>
                    <w:rPr>
                      <w:rFonts w:cs="Times New Roman"/>
                    </w:rPr>
                    <w:t>（GB12348-2008）中3类标准</w:t>
                  </w:r>
                </w:p>
              </w:tc>
            </w:tr>
          </w:tbl>
          <w:p w14:paraId="034EFFDC">
            <w:pPr>
              <w:pStyle w:val="3"/>
              <w:spacing w:before="163"/>
            </w:pPr>
            <w:r>
              <w:t>4、固体废物</w:t>
            </w:r>
          </w:p>
          <w:p w14:paraId="08BA5405">
            <w:pPr>
              <w:ind w:firstLine="480"/>
              <w:rPr>
                <w:rFonts w:cs="Times New Roman"/>
              </w:rPr>
            </w:pPr>
            <w:r>
              <w:t>一般工业固体废物其贮存过程应满足《一般工业固体废物贮存和填埋污染控制标准》（GB18599-2020）相应要求；危险废物执行《危险废物贮存污染控制标准》（GB18597-2023）中相应标准。</w:t>
            </w:r>
          </w:p>
        </w:tc>
      </w:tr>
      <w:tr w14:paraId="4B56D08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737" w:hRule="atLeast"/>
          <w:jc w:val="center"/>
        </w:trPr>
        <w:tc>
          <w:tcPr>
            <w:tcW w:w="286" w:type="pct"/>
            <w:tcMar>
              <w:top w:w="16" w:type="dxa"/>
              <w:left w:w="16" w:type="dxa"/>
              <w:right w:w="16" w:type="dxa"/>
            </w:tcMar>
            <w:vAlign w:val="center"/>
          </w:tcPr>
          <w:p w14:paraId="06B885C2">
            <w:pPr>
              <w:pStyle w:val="30"/>
              <w:rPr>
                <w:rFonts w:cs="Times New Roman"/>
              </w:rPr>
            </w:pPr>
            <w:r>
              <w:rPr>
                <w:rFonts w:cs="Times New Roman"/>
              </w:rPr>
              <w:t>总量控制指标</w:t>
            </w:r>
          </w:p>
        </w:tc>
        <w:tc>
          <w:tcPr>
            <w:tcW w:w="4714" w:type="pct"/>
            <w:vAlign w:val="center"/>
          </w:tcPr>
          <w:p w14:paraId="6FF00F28">
            <w:pPr>
              <w:pStyle w:val="3"/>
              <w:spacing w:before="163"/>
            </w:pPr>
            <w:r>
              <w:t>1、废水</w:t>
            </w:r>
          </w:p>
          <w:p w14:paraId="66F4F78E">
            <w:pPr>
              <w:ind w:firstLine="480"/>
              <w:jc w:val="left"/>
              <w:rPr>
                <w:rFonts w:cs="Times New Roman"/>
              </w:rPr>
            </w:pPr>
            <w:r>
              <w:rPr>
                <w:rFonts w:cs="Times New Roman"/>
              </w:rPr>
              <w:t>本项目</w:t>
            </w:r>
            <w:r>
              <w:rPr>
                <w:rFonts w:hint="eastAsia" w:cs="Times New Roman"/>
              </w:rPr>
              <w:t>无生产废水排放，不新增员工，不新增生活污水排放。</w:t>
            </w:r>
          </w:p>
          <w:p w14:paraId="67826DC3">
            <w:pPr>
              <w:ind w:firstLine="480"/>
              <w:jc w:val="left"/>
              <w:rPr>
                <w:rFonts w:cs="Times New Roman"/>
                <w:bCs/>
              </w:rPr>
            </w:pPr>
            <w:r>
              <w:rPr>
                <w:rFonts w:hint="eastAsia" w:cs="Times New Roman"/>
              </w:rPr>
              <w:t>原项目外排</w:t>
            </w:r>
            <w:r>
              <w:rPr>
                <w:rFonts w:cs="Times New Roman"/>
              </w:rPr>
              <w:t>废水</w:t>
            </w:r>
            <w:r>
              <w:rPr>
                <w:rFonts w:hint="eastAsia" w:cs="Times New Roman"/>
              </w:rPr>
              <w:t>仅为</w:t>
            </w:r>
            <w:r>
              <w:rPr>
                <w:rFonts w:cs="Times New Roman"/>
              </w:rPr>
              <w:t>生活污水，废水排放量为</w:t>
            </w:r>
            <w:r>
              <w:rPr>
                <w:rFonts w:hint="eastAsia" w:cs="Times New Roman"/>
              </w:rPr>
              <w:t>1080</w:t>
            </w:r>
            <w:r>
              <w:rPr>
                <w:rFonts w:cs="Times New Roman"/>
              </w:rPr>
              <w:t>t/a</w:t>
            </w:r>
            <w:r>
              <w:rPr>
                <w:rFonts w:hint="eastAsia" w:cs="Times New Roman"/>
              </w:rPr>
              <w:t>，生活污水经预处理池预处理后</w:t>
            </w:r>
            <w:r>
              <w:rPr>
                <w:rFonts w:cs="Times New Roman"/>
              </w:rPr>
              <w:t>达到《污水综合排放标准》三级标准后，经园区污水管网排放至巴中经开区污水处理厂处理达</w:t>
            </w:r>
            <w:r>
              <w:rPr>
                <w:rFonts w:hint="eastAsia" w:cs="Times New Roman"/>
                <w:bCs/>
                <w:kern w:val="0"/>
                <w:szCs w:val="24"/>
              </w:rPr>
              <w:t>《城镇污水处理厂污染物排放标准》（</w:t>
            </w:r>
            <w:r>
              <w:rPr>
                <w:rFonts w:cs="Times New Roman"/>
                <w:bCs/>
                <w:kern w:val="0"/>
                <w:szCs w:val="24"/>
              </w:rPr>
              <w:t>GB18918-2002</w:t>
            </w:r>
            <w:r>
              <w:rPr>
                <w:rFonts w:hint="eastAsia" w:cs="Times New Roman"/>
                <w:bCs/>
                <w:kern w:val="0"/>
                <w:szCs w:val="24"/>
              </w:rPr>
              <w:t>）一级</w:t>
            </w:r>
            <w:r>
              <w:rPr>
                <w:rFonts w:cs="Times New Roman"/>
                <w:bCs/>
                <w:kern w:val="0"/>
                <w:szCs w:val="24"/>
              </w:rPr>
              <w:t>A</w:t>
            </w:r>
            <w:r>
              <w:rPr>
                <w:rFonts w:hint="eastAsia" w:cs="Times New Roman"/>
                <w:bCs/>
                <w:kern w:val="0"/>
              </w:rPr>
              <w:t>标准</w:t>
            </w:r>
            <w:r>
              <w:rPr>
                <w:rFonts w:cs="Times New Roman"/>
                <w:bCs/>
              </w:rPr>
              <w:t>，最终排入巴河。</w:t>
            </w:r>
          </w:p>
          <w:p w14:paraId="11B9B1FA">
            <w:pPr>
              <w:ind w:firstLine="480"/>
              <w:rPr>
                <w:rFonts w:cs="Times New Roman"/>
                <w:bCs/>
              </w:rPr>
            </w:pPr>
            <w:r>
              <w:rPr>
                <w:rFonts w:hint="eastAsia" w:cs="Times New Roman"/>
                <w:bCs/>
              </w:rPr>
              <w:t>原</w:t>
            </w:r>
            <w:r>
              <w:rPr>
                <w:rFonts w:cs="Times New Roman"/>
                <w:bCs/>
              </w:rPr>
              <w:t>项目废水总量控制建议指标如下：</w:t>
            </w:r>
          </w:p>
          <w:p w14:paraId="1BED7906">
            <w:pPr>
              <w:ind w:firstLine="480"/>
              <w:rPr>
                <w:rFonts w:cs="Times New Roman"/>
                <w:bCs/>
              </w:rPr>
            </w:pPr>
            <w:r>
              <w:rPr>
                <w:rFonts w:hint="eastAsia" w:cs="Times New Roman"/>
                <w:bCs/>
              </w:rPr>
              <w:t>原</w:t>
            </w:r>
            <w:r>
              <w:rPr>
                <w:rFonts w:cs="Times New Roman"/>
                <w:bCs/>
              </w:rPr>
              <w:t>项目厂区预处理池排口：</w:t>
            </w:r>
          </w:p>
          <w:p w14:paraId="00488D50">
            <w:pPr>
              <w:widowControl/>
              <w:ind w:firstLine="480"/>
              <w:rPr>
                <w:rFonts w:cs="Times New Roman"/>
                <w:bCs/>
              </w:rPr>
            </w:pPr>
            <w:r>
              <w:rPr>
                <w:rFonts w:cs="Times New Roman"/>
                <w:bCs/>
              </w:rPr>
              <w:t>COD：1</w:t>
            </w:r>
            <w:r>
              <w:rPr>
                <w:rFonts w:hint="eastAsia" w:cs="Times New Roman"/>
                <w:bCs/>
              </w:rPr>
              <w:t>080</w:t>
            </w:r>
            <w:r>
              <w:rPr>
                <w:rFonts w:cs="Times New Roman"/>
                <w:bCs/>
              </w:rPr>
              <w:t>t/a×500mg/L×10</w:t>
            </w:r>
            <w:r>
              <w:rPr>
                <w:rFonts w:cs="Times New Roman"/>
                <w:bCs/>
                <w:vertAlign w:val="superscript"/>
              </w:rPr>
              <w:t>-6</w:t>
            </w:r>
            <w:r>
              <w:rPr>
                <w:rFonts w:cs="Times New Roman"/>
                <w:bCs/>
              </w:rPr>
              <w:t>=0.</w:t>
            </w:r>
            <w:r>
              <w:rPr>
                <w:rFonts w:hint="eastAsia" w:cs="Times New Roman"/>
                <w:bCs/>
              </w:rPr>
              <w:t>54</w:t>
            </w:r>
            <w:r>
              <w:rPr>
                <w:rFonts w:cs="Times New Roman"/>
                <w:bCs/>
              </w:rPr>
              <w:t>t/a；</w:t>
            </w:r>
          </w:p>
          <w:p w14:paraId="7A61D707">
            <w:pPr>
              <w:widowControl/>
              <w:ind w:firstLine="480"/>
              <w:rPr>
                <w:rFonts w:cs="Times New Roman"/>
                <w:bCs/>
              </w:rPr>
            </w:pPr>
            <w:r>
              <w:rPr>
                <w:rFonts w:cs="Times New Roman"/>
                <w:bCs/>
              </w:rPr>
              <w:t>NH</w:t>
            </w:r>
            <w:r>
              <w:rPr>
                <w:rFonts w:cs="Times New Roman"/>
                <w:bCs/>
                <w:vertAlign w:val="subscript"/>
              </w:rPr>
              <w:t>3</w:t>
            </w:r>
            <w:r>
              <w:rPr>
                <w:rFonts w:cs="Times New Roman"/>
                <w:bCs/>
              </w:rPr>
              <w:t>-N：</w:t>
            </w:r>
            <w:bookmarkStart w:id="78" w:name="OLE_LINK330"/>
            <w:bookmarkStart w:id="79" w:name="OLE_LINK331"/>
            <w:r>
              <w:rPr>
                <w:rFonts w:cs="Times New Roman"/>
                <w:bCs/>
              </w:rPr>
              <w:t>1</w:t>
            </w:r>
            <w:r>
              <w:rPr>
                <w:rFonts w:hint="eastAsia" w:cs="Times New Roman"/>
                <w:bCs/>
              </w:rPr>
              <w:t>080</w:t>
            </w:r>
            <w:r>
              <w:rPr>
                <w:rFonts w:cs="Times New Roman"/>
                <w:bCs/>
              </w:rPr>
              <w:t>t/a×45mg/L×10</w:t>
            </w:r>
            <w:r>
              <w:rPr>
                <w:rFonts w:cs="Times New Roman"/>
                <w:bCs/>
                <w:vertAlign w:val="superscript"/>
              </w:rPr>
              <w:t>-6</w:t>
            </w:r>
            <w:r>
              <w:rPr>
                <w:rFonts w:cs="Times New Roman"/>
                <w:bCs/>
              </w:rPr>
              <w:t>=0.0</w:t>
            </w:r>
            <w:r>
              <w:rPr>
                <w:rFonts w:hint="eastAsia" w:cs="Times New Roman"/>
                <w:bCs/>
              </w:rPr>
              <w:t>49</w:t>
            </w:r>
            <w:r>
              <w:rPr>
                <w:rFonts w:cs="Times New Roman"/>
                <w:bCs/>
              </w:rPr>
              <w:t>t/a；</w:t>
            </w:r>
            <w:bookmarkEnd w:id="78"/>
            <w:bookmarkEnd w:id="79"/>
          </w:p>
          <w:p w14:paraId="168324C1">
            <w:pPr>
              <w:widowControl/>
              <w:ind w:firstLine="480"/>
              <w:rPr>
                <w:rFonts w:cs="Times New Roman"/>
                <w:bCs/>
              </w:rPr>
            </w:pPr>
            <w:r>
              <w:rPr>
                <w:rFonts w:hint="eastAsia" w:cs="Times New Roman"/>
                <w:bCs/>
              </w:rPr>
              <w:t>T</w:t>
            </w:r>
            <w:r>
              <w:rPr>
                <w:rFonts w:cs="Times New Roman"/>
                <w:bCs/>
              </w:rPr>
              <w:t xml:space="preserve">P: </w:t>
            </w:r>
            <w:r>
              <w:rPr>
                <w:rFonts w:hint="eastAsia" w:cs="Times New Roman"/>
                <w:bCs/>
              </w:rPr>
              <w:t>1080</w:t>
            </w:r>
            <w:r>
              <w:rPr>
                <w:rFonts w:cs="Times New Roman"/>
                <w:bCs/>
              </w:rPr>
              <w:t>t/a×8mg/L×10</w:t>
            </w:r>
            <w:r>
              <w:rPr>
                <w:rFonts w:cs="Times New Roman"/>
                <w:bCs/>
                <w:vertAlign w:val="superscript"/>
              </w:rPr>
              <w:t>-6</w:t>
            </w:r>
            <w:r>
              <w:rPr>
                <w:rFonts w:cs="Times New Roman"/>
                <w:bCs/>
              </w:rPr>
              <w:t>=0.0</w:t>
            </w:r>
            <w:r>
              <w:rPr>
                <w:rFonts w:hint="eastAsia" w:cs="Times New Roman"/>
                <w:bCs/>
              </w:rPr>
              <w:t>09</w:t>
            </w:r>
            <w:r>
              <w:rPr>
                <w:rFonts w:cs="Times New Roman"/>
                <w:bCs/>
              </w:rPr>
              <w:t>t/a；</w:t>
            </w:r>
          </w:p>
          <w:p w14:paraId="4025AFB1">
            <w:pPr>
              <w:ind w:firstLine="480"/>
              <w:rPr>
                <w:rFonts w:cs="Times New Roman"/>
                <w:bCs/>
              </w:rPr>
            </w:pPr>
            <w:r>
              <w:rPr>
                <w:rFonts w:cs="Times New Roman"/>
                <w:bCs/>
              </w:rPr>
              <w:t>巴中经开区污水处理厂排口：</w:t>
            </w:r>
          </w:p>
          <w:p w14:paraId="00D20042">
            <w:pPr>
              <w:widowControl/>
              <w:ind w:firstLine="480"/>
              <w:rPr>
                <w:rFonts w:cs="Times New Roman"/>
                <w:bCs/>
              </w:rPr>
            </w:pPr>
            <w:r>
              <w:rPr>
                <w:rFonts w:cs="Times New Roman"/>
                <w:bCs/>
              </w:rPr>
              <w:t>COD：1</w:t>
            </w:r>
            <w:r>
              <w:rPr>
                <w:rFonts w:hint="eastAsia" w:cs="Times New Roman"/>
                <w:bCs/>
              </w:rPr>
              <w:t>080</w:t>
            </w:r>
            <w:r>
              <w:rPr>
                <w:rFonts w:cs="Times New Roman"/>
                <w:bCs/>
              </w:rPr>
              <w:t>t/a×50mg/L×10</w:t>
            </w:r>
            <w:r>
              <w:rPr>
                <w:rFonts w:cs="Times New Roman"/>
                <w:bCs/>
                <w:vertAlign w:val="superscript"/>
              </w:rPr>
              <w:t>-6</w:t>
            </w:r>
            <w:r>
              <w:rPr>
                <w:rFonts w:cs="Times New Roman"/>
                <w:bCs/>
              </w:rPr>
              <w:t>=0.0</w:t>
            </w:r>
            <w:r>
              <w:rPr>
                <w:rFonts w:hint="eastAsia" w:cs="Times New Roman"/>
                <w:bCs/>
              </w:rPr>
              <w:t>54</w:t>
            </w:r>
            <w:r>
              <w:rPr>
                <w:rFonts w:cs="Times New Roman"/>
                <w:bCs/>
              </w:rPr>
              <w:t>t/a；</w:t>
            </w:r>
          </w:p>
          <w:p w14:paraId="1360871F">
            <w:pPr>
              <w:widowControl/>
              <w:ind w:firstLine="480"/>
              <w:rPr>
                <w:rFonts w:cs="Times New Roman"/>
                <w:bCs/>
              </w:rPr>
            </w:pPr>
            <w:r>
              <w:rPr>
                <w:rFonts w:cs="Times New Roman"/>
                <w:bCs/>
              </w:rPr>
              <w:t>NH</w:t>
            </w:r>
            <w:r>
              <w:rPr>
                <w:rFonts w:cs="Times New Roman"/>
                <w:bCs/>
                <w:vertAlign w:val="subscript"/>
              </w:rPr>
              <w:t>3</w:t>
            </w:r>
            <w:r>
              <w:rPr>
                <w:rFonts w:cs="Times New Roman"/>
                <w:bCs/>
              </w:rPr>
              <w:t>-N：1</w:t>
            </w:r>
            <w:r>
              <w:rPr>
                <w:rFonts w:hint="eastAsia" w:cs="Times New Roman"/>
                <w:bCs/>
              </w:rPr>
              <w:t>080</w:t>
            </w:r>
            <w:r>
              <w:rPr>
                <w:rFonts w:cs="Times New Roman"/>
                <w:bCs/>
              </w:rPr>
              <w:t>t/a×</w:t>
            </w:r>
            <w:r>
              <w:rPr>
                <w:rFonts w:hint="eastAsia" w:cs="Times New Roman"/>
                <w:bCs/>
              </w:rPr>
              <w:t>5</w:t>
            </w:r>
            <w:r>
              <w:rPr>
                <w:rFonts w:cs="Times New Roman"/>
                <w:bCs/>
              </w:rPr>
              <w:t>mg/L×10</w:t>
            </w:r>
            <w:r>
              <w:rPr>
                <w:rFonts w:cs="Times New Roman"/>
                <w:bCs/>
                <w:vertAlign w:val="superscript"/>
              </w:rPr>
              <w:t>-6</w:t>
            </w:r>
            <w:r>
              <w:rPr>
                <w:rFonts w:cs="Times New Roman"/>
                <w:bCs/>
              </w:rPr>
              <w:t>=0.0</w:t>
            </w:r>
            <w:r>
              <w:rPr>
                <w:rFonts w:hint="eastAsia" w:cs="Times New Roman"/>
                <w:bCs/>
              </w:rPr>
              <w:t>05</w:t>
            </w:r>
            <w:r>
              <w:rPr>
                <w:rFonts w:cs="Times New Roman"/>
                <w:bCs/>
              </w:rPr>
              <w:t>t/a；</w:t>
            </w:r>
          </w:p>
          <w:p w14:paraId="792C6B01">
            <w:pPr>
              <w:widowControl/>
              <w:ind w:firstLine="480"/>
              <w:rPr>
                <w:rFonts w:cs="Times New Roman"/>
                <w:bCs/>
              </w:rPr>
            </w:pPr>
            <w:r>
              <w:rPr>
                <w:rFonts w:hint="eastAsia" w:cs="Times New Roman"/>
                <w:bCs/>
              </w:rPr>
              <w:t>T</w:t>
            </w:r>
            <w:r>
              <w:rPr>
                <w:rFonts w:cs="Times New Roman"/>
                <w:bCs/>
              </w:rPr>
              <w:t>P: 1</w:t>
            </w:r>
            <w:r>
              <w:rPr>
                <w:rFonts w:hint="eastAsia" w:cs="Times New Roman"/>
                <w:bCs/>
              </w:rPr>
              <w:t>080</w:t>
            </w:r>
            <w:r>
              <w:rPr>
                <w:rFonts w:cs="Times New Roman"/>
                <w:bCs/>
              </w:rPr>
              <w:t>t/a×0.5mg/L×10</w:t>
            </w:r>
            <w:r>
              <w:rPr>
                <w:rFonts w:cs="Times New Roman"/>
                <w:bCs/>
                <w:vertAlign w:val="superscript"/>
              </w:rPr>
              <w:t>-6</w:t>
            </w:r>
            <w:r>
              <w:rPr>
                <w:rFonts w:cs="Times New Roman"/>
                <w:bCs/>
              </w:rPr>
              <w:t>=0.000</w:t>
            </w:r>
            <w:r>
              <w:rPr>
                <w:rFonts w:hint="eastAsia" w:cs="Times New Roman"/>
                <w:bCs/>
              </w:rPr>
              <w:t>5</w:t>
            </w:r>
            <w:r>
              <w:rPr>
                <w:rFonts w:cs="Times New Roman"/>
                <w:bCs/>
              </w:rPr>
              <w:t>t/a；</w:t>
            </w:r>
          </w:p>
          <w:p w14:paraId="3811FA4A">
            <w:pPr>
              <w:pStyle w:val="3"/>
              <w:spacing w:before="163"/>
            </w:pPr>
            <w:r>
              <w:t>2、废气</w:t>
            </w:r>
          </w:p>
          <w:p w14:paraId="24BBC0ED">
            <w:pPr>
              <w:ind w:firstLine="480"/>
              <w:rPr>
                <w:rFonts w:cs="Times New Roman"/>
              </w:rPr>
            </w:pPr>
            <w:r>
              <w:rPr>
                <w:rFonts w:cs="Times New Roman"/>
              </w:rPr>
              <w:t>根据《排污许可证申请与核发技术规范 总则》（HJ942-2018），厂区内所有排口均为一般排放口。“一般排放口和无组织排放不设置许可排放量要求”。因此本项目不设置废气污染物排放量总量控制指标，仅列出污染物排放量作为日常运行管理参考：</w:t>
            </w:r>
          </w:p>
          <w:p w14:paraId="51E507FB">
            <w:pPr>
              <w:ind w:firstLine="480"/>
              <w:jc w:val="left"/>
              <w:rPr>
                <w:rFonts w:cs="Times New Roman"/>
              </w:rPr>
            </w:pPr>
            <w:r>
              <w:rPr>
                <w:rFonts w:hint="eastAsia" w:cs="Times New Roman"/>
              </w:rPr>
              <w:t>原</w:t>
            </w:r>
            <w:r>
              <w:rPr>
                <w:rFonts w:cs="Times New Roman"/>
              </w:rPr>
              <w:t>项目</w:t>
            </w:r>
            <w:r>
              <w:rPr>
                <w:rFonts w:hint="eastAsia" w:cs="Times New Roman"/>
              </w:rPr>
              <w:t>家具生产线木材加工产生的颗粒物经1套</w:t>
            </w:r>
            <w:r>
              <w:rPr>
                <w:rFonts w:cs="Times New Roman"/>
              </w:rPr>
              <w:t>布袋除尘器处理后</w:t>
            </w:r>
            <w:r>
              <w:rPr>
                <w:rFonts w:hint="eastAsia" w:cs="Times New Roman"/>
              </w:rPr>
              <w:t>由1根</w:t>
            </w:r>
            <w:r>
              <w:rPr>
                <w:rFonts w:cs="Times New Roman"/>
              </w:rPr>
              <w:t>15m高排气筒（DA001）排放</w:t>
            </w:r>
            <w:r>
              <w:rPr>
                <w:rFonts w:hint="eastAsia" w:cs="Times New Roman"/>
              </w:rPr>
              <w:t>。本次改扩建项目天然气燃烧废气由1根</w:t>
            </w:r>
            <w:r>
              <w:rPr>
                <w:rFonts w:cs="Times New Roman"/>
              </w:rPr>
              <w:t>1</w:t>
            </w:r>
            <w:r>
              <w:rPr>
                <w:rFonts w:hint="eastAsia" w:cs="Times New Roman"/>
              </w:rPr>
              <w:t>2</w:t>
            </w:r>
            <w:r>
              <w:rPr>
                <w:rFonts w:cs="Times New Roman"/>
              </w:rPr>
              <w:t>m高排气筒（DA00</w:t>
            </w:r>
            <w:r>
              <w:rPr>
                <w:rFonts w:hint="eastAsia" w:cs="Times New Roman"/>
              </w:rPr>
              <w:t>3</w:t>
            </w:r>
            <w:r>
              <w:rPr>
                <w:rFonts w:cs="Times New Roman"/>
              </w:rPr>
              <w:t>）排放</w:t>
            </w:r>
            <w:r>
              <w:rPr>
                <w:rFonts w:hint="eastAsia" w:cs="Times New Roman"/>
              </w:rPr>
              <w:t>；贴面有机废气经</w:t>
            </w:r>
            <w:r>
              <w:rPr>
                <w:rFonts w:cs="Times New Roman"/>
              </w:rPr>
              <w:t>负压收集</w:t>
            </w:r>
            <w:r>
              <w:rPr>
                <w:rFonts w:hint="eastAsia" w:cs="Times New Roman"/>
              </w:rPr>
              <w:t>，收集的废气经1套活性炭处理设施</w:t>
            </w:r>
            <w:r>
              <w:rPr>
                <w:rFonts w:cs="Times New Roman"/>
              </w:rPr>
              <w:t>，</w:t>
            </w:r>
            <w:r>
              <w:rPr>
                <w:rFonts w:hint="eastAsia" w:cs="Times New Roman"/>
              </w:rPr>
              <w:t>处理后的废气</w:t>
            </w:r>
            <w:r>
              <w:rPr>
                <w:rFonts w:cs="Times New Roman"/>
              </w:rPr>
              <w:t>经</w:t>
            </w:r>
            <w:r>
              <w:rPr>
                <w:rFonts w:hint="eastAsia" w:cs="Times New Roman"/>
              </w:rPr>
              <w:t>1</w:t>
            </w:r>
            <w:r>
              <w:rPr>
                <w:rFonts w:cs="Times New Roman"/>
              </w:rPr>
              <w:t>根15m高排气筒（</w:t>
            </w:r>
            <w:r>
              <w:rPr>
                <w:rFonts w:hint="eastAsia" w:cs="Times New Roman"/>
              </w:rPr>
              <w:t>DA002</w:t>
            </w:r>
            <w:r>
              <w:rPr>
                <w:rFonts w:cs="Times New Roman"/>
              </w:rPr>
              <w:t>）排放。废气总量控制建议指标如下：</w:t>
            </w:r>
          </w:p>
          <w:p w14:paraId="3BE0C9AC">
            <w:pPr>
              <w:ind w:firstLine="480"/>
              <w:rPr>
                <w:rFonts w:cs="Times New Roman"/>
                <w:bCs/>
                <w:szCs w:val="24"/>
              </w:rPr>
            </w:pPr>
            <w:r>
              <w:rPr>
                <w:rFonts w:hint="eastAsia" w:cs="Times New Roman"/>
                <w:bCs/>
                <w:szCs w:val="24"/>
              </w:rPr>
              <w:t>1）原项目：</w:t>
            </w:r>
          </w:p>
          <w:p w14:paraId="0ED612CF">
            <w:pPr>
              <w:ind w:firstLine="480"/>
              <w:rPr>
                <w:rFonts w:cs="Times New Roman"/>
                <w:bCs/>
              </w:rPr>
            </w:pPr>
            <w:r>
              <w:rPr>
                <w:rFonts w:hint="eastAsia" w:cs="Times New Roman"/>
                <w:bCs/>
              </w:rPr>
              <w:t>颗粒物：</w:t>
            </w:r>
            <w:r>
              <w:rPr>
                <w:rFonts w:cs="Times New Roman"/>
                <w:bCs/>
              </w:rPr>
              <w:t>0.0243t/a</w:t>
            </w:r>
            <w:r>
              <w:rPr>
                <w:rFonts w:hint="eastAsia" w:cs="Times New Roman"/>
                <w:bCs/>
              </w:rPr>
              <w:t xml:space="preserve"> </w:t>
            </w:r>
            <w:r>
              <w:rPr>
                <w:rFonts w:hint="eastAsia" w:cs="Times New Roman"/>
                <w:bCs/>
                <w:spacing w:val="4"/>
                <w:kern w:val="0"/>
              </w:rPr>
              <w:t xml:space="preserve">/a </w:t>
            </w:r>
            <w:r>
              <w:rPr>
                <w:rFonts w:cs="Times New Roman"/>
                <w:bCs/>
                <w:szCs w:val="24"/>
              </w:rPr>
              <w:t xml:space="preserve"> </w:t>
            </w:r>
            <w:r>
              <w:rPr>
                <w:rFonts w:hint="eastAsia" w:cs="Times New Roman"/>
                <w:bCs/>
                <w:szCs w:val="24"/>
              </w:rPr>
              <w:t xml:space="preserve">  </w:t>
            </w:r>
            <w:r>
              <w:rPr>
                <w:rFonts w:cs="Times New Roman"/>
                <w:bCs/>
                <w:szCs w:val="24"/>
              </w:rPr>
              <w:t>VOCs</w:t>
            </w:r>
            <w:r>
              <w:rPr>
                <w:rFonts w:hint="eastAsia" w:cs="Times New Roman"/>
                <w:bCs/>
                <w:spacing w:val="4"/>
                <w:kern w:val="0"/>
                <w:szCs w:val="24"/>
              </w:rPr>
              <w:t>：</w:t>
            </w:r>
            <w:r>
              <w:rPr>
                <w:rFonts w:cs="Times New Roman"/>
                <w:bCs/>
                <w:spacing w:val="4"/>
                <w:kern w:val="0"/>
                <w:szCs w:val="24"/>
              </w:rPr>
              <w:t>0.003t/a</w:t>
            </w:r>
            <w:r>
              <w:rPr>
                <w:rFonts w:hint="eastAsia" w:cs="Times New Roman"/>
                <w:bCs/>
                <w:spacing w:val="4"/>
                <w:kern w:val="0"/>
                <w:szCs w:val="24"/>
              </w:rPr>
              <w:t>；</w:t>
            </w:r>
          </w:p>
          <w:p w14:paraId="41A2810E">
            <w:pPr>
              <w:ind w:firstLine="480"/>
              <w:rPr>
                <w:rFonts w:cs="Times New Roman"/>
                <w:bCs/>
                <w:szCs w:val="24"/>
              </w:rPr>
            </w:pPr>
            <w:r>
              <w:rPr>
                <w:rFonts w:hint="eastAsia" w:cs="Times New Roman"/>
                <w:bCs/>
                <w:szCs w:val="24"/>
              </w:rPr>
              <w:t>2）本项目：</w:t>
            </w:r>
          </w:p>
          <w:p w14:paraId="6997985F">
            <w:pPr>
              <w:ind w:firstLine="480"/>
              <w:rPr>
                <w:rFonts w:cs="Times New Roman"/>
                <w:bCs/>
                <w:spacing w:val="4"/>
                <w:kern w:val="0"/>
                <w:szCs w:val="24"/>
              </w:rPr>
            </w:pPr>
            <w:r>
              <w:rPr>
                <w:rFonts w:cs="Times New Roman"/>
                <w:bCs/>
                <w:szCs w:val="24"/>
              </w:rPr>
              <w:t>VOCs</w:t>
            </w:r>
            <w:bookmarkStart w:id="80" w:name="OLE_LINK332"/>
            <w:r>
              <w:rPr>
                <w:rFonts w:cs="Times New Roman"/>
                <w:bCs/>
                <w:szCs w:val="24"/>
              </w:rPr>
              <w:t>：</w:t>
            </w:r>
            <w:r>
              <w:rPr>
                <w:rFonts w:hint="eastAsia" w:cs="Times New Roman"/>
                <w:bCs/>
                <w:spacing w:val="4"/>
                <w:kern w:val="0"/>
                <w:szCs w:val="24"/>
              </w:rPr>
              <w:t>有组</w:t>
            </w:r>
            <w:r>
              <w:rPr>
                <w:rFonts w:cs="Times New Roman"/>
                <w:bCs/>
                <w:spacing w:val="4"/>
                <w:kern w:val="0"/>
                <w:szCs w:val="24"/>
              </w:rPr>
              <w:t>织</w:t>
            </w:r>
            <w:r>
              <w:rPr>
                <w:rFonts w:hint="eastAsia" w:cs="Times New Roman"/>
                <w:bCs/>
                <w:spacing w:val="4"/>
                <w:kern w:val="0"/>
                <w:szCs w:val="24"/>
              </w:rPr>
              <w:t>： 45kg</w:t>
            </w:r>
            <w:r>
              <w:rPr>
                <w:rFonts w:cs="Times New Roman"/>
                <w:bCs/>
                <w:spacing w:val="4"/>
                <w:kern w:val="0"/>
                <w:szCs w:val="24"/>
              </w:rPr>
              <w:t>/a</w:t>
            </w:r>
            <w:bookmarkEnd w:id="80"/>
            <w:r>
              <w:rPr>
                <w:rFonts w:hint="eastAsia" w:cs="Times New Roman"/>
                <w:bCs/>
                <w:spacing w:val="4"/>
                <w:kern w:val="0"/>
                <w:szCs w:val="24"/>
              </w:rPr>
              <w:t xml:space="preserve"> ；无组</w:t>
            </w:r>
            <w:r>
              <w:rPr>
                <w:rFonts w:cs="Times New Roman"/>
                <w:bCs/>
                <w:spacing w:val="4"/>
                <w:kern w:val="0"/>
                <w:szCs w:val="24"/>
              </w:rPr>
              <w:t>织</w:t>
            </w:r>
            <w:r>
              <w:rPr>
                <w:rFonts w:hint="eastAsia" w:cs="Times New Roman"/>
                <w:bCs/>
                <w:spacing w:val="4"/>
                <w:kern w:val="0"/>
                <w:szCs w:val="24"/>
              </w:rPr>
              <w:t>：10kg</w:t>
            </w:r>
            <w:r>
              <w:rPr>
                <w:rFonts w:cs="Times New Roman"/>
                <w:bCs/>
                <w:spacing w:val="4"/>
                <w:kern w:val="0"/>
                <w:szCs w:val="24"/>
              </w:rPr>
              <w:t>/a</w:t>
            </w:r>
          </w:p>
          <w:p w14:paraId="5A7017C0">
            <w:pPr>
              <w:ind w:firstLine="496"/>
              <w:rPr>
                <w:rFonts w:cs="Times New Roman"/>
                <w:bCs/>
                <w:spacing w:val="4"/>
                <w:kern w:val="0"/>
                <w:szCs w:val="24"/>
              </w:rPr>
            </w:pPr>
            <w:r>
              <w:rPr>
                <w:rFonts w:hint="eastAsia" w:cs="Times New Roman"/>
                <w:bCs/>
                <w:spacing w:val="4"/>
                <w:kern w:val="0"/>
                <w:szCs w:val="24"/>
              </w:rPr>
              <w:t>甲醛：有组</w:t>
            </w:r>
            <w:r>
              <w:rPr>
                <w:rFonts w:cs="Times New Roman"/>
                <w:bCs/>
                <w:spacing w:val="4"/>
                <w:kern w:val="0"/>
                <w:szCs w:val="24"/>
              </w:rPr>
              <w:t>织</w:t>
            </w:r>
            <w:r>
              <w:rPr>
                <w:rFonts w:hint="eastAsia" w:cs="Times New Roman"/>
                <w:bCs/>
                <w:spacing w:val="4"/>
                <w:kern w:val="0"/>
                <w:szCs w:val="24"/>
              </w:rPr>
              <w:t>：</w:t>
            </w:r>
            <w:r>
              <w:rPr>
                <w:rFonts w:hint="eastAsia"/>
                <w:bCs/>
                <w:szCs w:val="24"/>
              </w:rPr>
              <w:t>0.178</w:t>
            </w:r>
            <w:r>
              <w:rPr>
                <w:rFonts w:hint="eastAsia" w:cs="Times New Roman"/>
                <w:bCs/>
                <w:spacing w:val="4"/>
                <w:kern w:val="0"/>
                <w:szCs w:val="24"/>
              </w:rPr>
              <w:t xml:space="preserve"> kg</w:t>
            </w:r>
            <w:r>
              <w:rPr>
                <w:rFonts w:cs="Times New Roman"/>
                <w:bCs/>
                <w:spacing w:val="4"/>
                <w:kern w:val="0"/>
                <w:szCs w:val="24"/>
              </w:rPr>
              <w:t>/a</w:t>
            </w:r>
            <w:r>
              <w:rPr>
                <w:rFonts w:hint="eastAsia" w:cs="Times New Roman"/>
                <w:bCs/>
                <w:spacing w:val="4"/>
                <w:kern w:val="0"/>
                <w:szCs w:val="24"/>
              </w:rPr>
              <w:t>；无组</w:t>
            </w:r>
            <w:r>
              <w:rPr>
                <w:rFonts w:cs="Times New Roman"/>
                <w:bCs/>
                <w:spacing w:val="4"/>
                <w:kern w:val="0"/>
                <w:szCs w:val="24"/>
              </w:rPr>
              <w:t>织</w:t>
            </w:r>
            <w:r>
              <w:rPr>
                <w:rFonts w:hint="eastAsia" w:cs="Times New Roman"/>
                <w:bCs/>
                <w:spacing w:val="4"/>
                <w:kern w:val="0"/>
                <w:szCs w:val="24"/>
              </w:rPr>
              <w:t>：</w:t>
            </w:r>
            <w:r>
              <w:rPr>
                <w:rFonts w:cs="Times New Roman"/>
                <w:bCs/>
                <w:spacing w:val="4"/>
                <w:kern w:val="0"/>
                <w:szCs w:val="24"/>
              </w:rPr>
              <w:t>0.0</w:t>
            </w:r>
            <w:r>
              <w:rPr>
                <w:rFonts w:hint="eastAsia" w:cs="Times New Roman"/>
                <w:bCs/>
                <w:spacing w:val="4"/>
                <w:kern w:val="0"/>
                <w:szCs w:val="24"/>
              </w:rPr>
              <w:t>396kg</w:t>
            </w:r>
            <w:r>
              <w:rPr>
                <w:rFonts w:cs="Times New Roman"/>
                <w:bCs/>
                <w:spacing w:val="4"/>
                <w:kern w:val="0"/>
                <w:szCs w:val="24"/>
              </w:rPr>
              <w:t>/a</w:t>
            </w:r>
          </w:p>
          <w:p w14:paraId="32C0ABE7">
            <w:pPr>
              <w:ind w:firstLine="480"/>
              <w:rPr>
                <w:rFonts w:cs="Times New Roman"/>
                <w:bCs/>
              </w:rPr>
            </w:pPr>
            <w:r>
              <w:rPr>
                <w:rFonts w:hint="eastAsia" w:cs="Times New Roman"/>
                <w:bCs/>
              </w:rPr>
              <w:t>颗粒物：</w:t>
            </w:r>
            <w:r>
              <w:rPr>
                <w:rFonts w:cs="Times New Roman"/>
                <w:bCs/>
              </w:rPr>
              <w:t>0.936</w:t>
            </w:r>
            <w:r>
              <w:rPr>
                <w:rFonts w:hint="eastAsia" w:cs="Times New Roman"/>
                <w:bCs/>
                <w:spacing w:val="4"/>
                <w:kern w:val="0"/>
              </w:rPr>
              <w:t xml:space="preserve"> kg/a</w:t>
            </w:r>
          </w:p>
          <w:p w14:paraId="194C0C5A">
            <w:pPr>
              <w:ind w:firstLine="480"/>
              <w:rPr>
                <w:rFonts w:cs="Times New Roman"/>
                <w:bCs/>
                <w:spacing w:val="4"/>
                <w:kern w:val="0"/>
              </w:rPr>
            </w:pPr>
            <w:r>
              <w:rPr>
                <w:rFonts w:hint="eastAsia" w:cs="Times New Roman"/>
                <w:bCs/>
              </w:rPr>
              <w:t>S</w:t>
            </w:r>
            <w:r>
              <w:rPr>
                <w:rFonts w:cs="Times New Roman"/>
                <w:bCs/>
              </w:rPr>
              <w:t>O</w:t>
            </w:r>
            <w:r>
              <w:rPr>
                <w:rFonts w:cs="Times New Roman"/>
                <w:bCs/>
                <w:vertAlign w:val="subscript"/>
              </w:rPr>
              <w:t>2</w:t>
            </w:r>
            <w:r>
              <w:rPr>
                <w:rFonts w:cs="Times New Roman"/>
                <w:bCs/>
              </w:rPr>
              <w:t>：</w:t>
            </w:r>
            <w:r>
              <w:rPr>
                <w:rFonts w:hint="eastAsia" w:cs="Times New Roman"/>
                <w:bCs/>
                <w:spacing w:val="4"/>
                <w:kern w:val="0"/>
              </w:rPr>
              <w:t>6.24kg/a</w:t>
            </w:r>
          </w:p>
          <w:p w14:paraId="158285E1">
            <w:pPr>
              <w:ind w:firstLine="496"/>
              <w:rPr>
                <w:rFonts w:cs="Times New Roman"/>
              </w:rPr>
            </w:pPr>
            <w:r>
              <w:rPr>
                <w:rFonts w:cs="Times New Roman"/>
                <w:bCs/>
                <w:spacing w:val="4"/>
                <w:kern w:val="0"/>
              </w:rPr>
              <w:t>NOx：</w:t>
            </w:r>
            <w:r>
              <w:rPr>
                <w:rFonts w:hint="eastAsia" w:cs="Times New Roman"/>
                <w:bCs/>
                <w:spacing w:val="4"/>
                <w:kern w:val="0"/>
              </w:rPr>
              <w:t>21.75kg/a</w:t>
            </w:r>
          </w:p>
        </w:tc>
      </w:tr>
    </w:tbl>
    <w:p w14:paraId="5C8A589B">
      <w:pPr>
        <w:ind w:firstLine="480"/>
        <w:rPr>
          <w:rFonts w:cs="Times New Roman"/>
        </w:rPr>
        <w:sectPr>
          <w:pgSz w:w="11906" w:h="16838"/>
          <w:pgMar w:top="1440" w:right="1080" w:bottom="1440" w:left="1080" w:header="851" w:footer="567" w:gutter="0"/>
          <w:cols w:space="425" w:num="1"/>
          <w:docGrid w:type="lines" w:linePitch="326" w:charSpace="0"/>
        </w:sectPr>
      </w:pPr>
    </w:p>
    <w:p w14:paraId="4276076D">
      <w:pPr>
        <w:pStyle w:val="2"/>
        <w:snapToGrid w:val="0"/>
        <w:spacing w:before="0" w:beforeAutospacing="0" w:after="0" w:afterAutospacing="0" w:line="360" w:lineRule="auto"/>
        <w:rPr>
          <w:rFonts w:ascii="Times New Roman" w:hAnsi="Times New Roman"/>
        </w:rPr>
      </w:pPr>
      <w:r>
        <w:rPr>
          <w:rFonts w:ascii="Times New Roman" w:hAnsi="Times New Roman"/>
        </w:rPr>
        <w:fldChar w:fldCharType="begin"/>
      </w:r>
      <w:r>
        <w:rPr>
          <w:rFonts w:ascii="Times New Roman" w:hAnsi="Times New Roman"/>
        </w:rPr>
        <w:instrText xml:space="preserve"> SEQ seq \h </w:instrText>
      </w:r>
      <w:r>
        <w:rPr>
          <w:rFonts w:ascii="Times New Roman" w:hAnsi="Times New Roman"/>
        </w:rPr>
        <w:fldChar w:fldCharType="end"/>
      </w:r>
      <w:r>
        <w:rPr>
          <w:rFonts w:ascii="Times New Roman" w:hAnsi="Times New Roman"/>
        </w:rPr>
        <w:t>主要环境影响和保护措施</w:t>
      </w:r>
    </w:p>
    <w:tbl>
      <w:tblPr>
        <w:tblStyle w:val="3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2"/>
        <w:gridCol w:w="9174"/>
      </w:tblGrid>
      <w:tr w14:paraId="017D7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14:paraId="4507C7A0">
            <w:pPr>
              <w:ind w:firstLine="0" w:firstLineChars="0"/>
            </w:pPr>
            <w:r>
              <w:rPr>
                <w:rFonts w:cs="Times New Roman"/>
              </w:rPr>
              <w:t>施工期环境保护措施</w:t>
            </w:r>
          </w:p>
        </w:tc>
        <w:tc>
          <w:tcPr>
            <w:tcW w:w="9174" w:type="dxa"/>
          </w:tcPr>
          <w:p w14:paraId="56821599">
            <w:pPr>
              <w:ind w:firstLine="480"/>
              <w:rPr>
                <w:rFonts w:cs="Times New Roman"/>
                <w:kern w:val="0"/>
                <w:lang w:bidi="ar"/>
              </w:rPr>
            </w:pPr>
            <w:r>
              <w:rPr>
                <w:rFonts w:cs="Times New Roman"/>
              </w:rPr>
              <w:t>本项目位于</w:t>
            </w:r>
            <w:r>
              <w:rPr>
                <w:rFonts w:hint="eastAsia" w:cs="Times New Roman"/>
              </w:rPr>
              <w:t>四川省巴中市经济开发区兴文街道办事处中山北路21号附1号</w:t>
            </w:r>
            <w:r>
              <w:rPr>
                <w:rFonts w:cs="Times New Roman"/>
              </w:rPr>
              <w:t>的</w:t>
            </w:r>
            <w:r>
              <w:rPr>
                <w:rFonts w:hint="eastAsia" w:cs="Times New Roman"/>
              </w:rPr>
              <w:t>二</w:t>
            </w:r>
            <w:r>
              <w:rPr>
                <w:rFonts w:cs="Times New Roman"/>
              </w:rPr>
              <w:t>号车间内，</w:t>
            </w:r>
            <w:r>
              <w:rPr>
                <w:rFonts w:hint="eastAsia" w:cs="Times New Roman"/>
              </w:rPr>
              <w:t>在</w:t>
            </w:r>
            <w:r>
              <w:rPr>
                <w:rFonts w:cs="Times New Roman"/>
              </w:rPr>
              <w:t>已建成的厂房进行</w:t>
            </w:r>
            <w:r>
              <w:rPr>
                <w:rFonts w:hint="eastAsia" w:cs="Times New Roman"/>
              </w:rPr>
              <w:t>安装设备</w:t>
            </w:r>
            <w:r>
              <w:rPr>
                <w:rFonts w:cs="Times New Roman"/>
              </w:rPr>
              <w:t>建设（</w:t>
            </w:r>
            <w:r>
              <w:rPr>
                <w:rFonts w:hint="eastAsia" w:cs="Times New Roman"/>
              </w:rPr>
              <w:t>二</w:t>
            </w:r>
            <w:r>
              <w:rPr>
                <w:rFonts w:cs="Times New Roman"/>
              </w:rPr>
              <w:t>号车间</w:t>
            </w:r>
            <w:r>
              <w:rPr>
                <w:rFonts w:hint="eastAsia" w:cs="Times New Roman"/>
              </w:rPr>
              <w:t>）生产线</w:t>
            </w:r>
            <w:r>
              <w:rPr>
                <w:rFonts w:cs="Times New Roman"/>
              </w:rPr>
              <w:t>。</w:t>
            </w:r>
            <w:r>
              <w:rPr>
                <w:rFonts w:cs="Times New Roman"/>
                <w:szCs w:val="20"/>
              </w:rPr>
              <w:t>本项目不涉及土建，只</w:t>
            </w:r>
            <w:r>
              <w:rPr>
                <w:rFonts w:cs="Times New Roman"/>
                <w:kern w:val="0"/>
                <w:lang w:bidi="ar"/>
              </w:rPr>
              <w:t>需进行地面防渗、简单装饰与设备安装等</w:t>
            </w:r>
            <w:r>
              <w:rPr>
                <w:rFonts w:cs="Times New Roman"/>
                <w:szCs w:val="32"/>
              </w:rPr>
              <w:t>，施工量较小，</w:t>
            </w:r>
            <w:r>
              <w:rPr>
                <w:rFonts w:cs="Times New Roman"/>
                <w:kern w:val="0"/>
                <w:lang w:bidi="ar"/>
              </w:rPr>
              <w:t>本工程施工期间仅产生噪声、少量扬尘、少量车辆尾气和装修废气、少量施工废水和生活污水、生活垃圾和少量建筑垃圾。</w:t>
            </w:r>
            <w:r>
              <w:rPr>
                <w:rFonts w:hint="eastAsia" w:cs="Times New Roman"/>
                <w:kern w:val="0"/>
                <w:lang w:bidi="ar"/>
              </w:rPr>
              <w:t>项目已经建设完成，现对已结束的施工期环境影响及保护措施进行简要回顾性分析。</w:t>
            </w:r>
          </w:p>
          <w:p w14:paraId="57836B91">
            <w:pPr>
              <w:ind w:firstLine="480"/>
              <w:rPr>
                <w:rFonts w:cs="Times New Roman"/>
              </w:rPr>
            </w:pPr>
            <w:r>
              <w:rPr>
                <w:rFonts w:hint="eastAsia" w:cs="Times New Roman"/>
              </w:rPr>
              <w:t>（一）施工废气治理措施</w:t>
            </w:r>
          </w:p>
          <w:p w14:paraId="67C28379">
            <w:pPr>
              <w:ind w:firstLine="480"/>
              <w:rPr>
                <w:rFonts w:cs="Times New Roman"/>
              </w:rPr>
            </w:pPr>
            <w:r>
              <w:rPr>
                <w:rFonts w:hint="eastAsia" w:cs="Times New Roman"/>
              </w:rPr>
              <w:t>施工期对大气环境影响主要为施工扬尘和运输车辆汽车尾气。</w:t>
            </w:r>
          </w:p>
          <w:p w14:paraId="2C3AA515">
            <w:pPr>
              <w:ind w:firstLine="480"/>
              <w:rPr>
                <w:rFonts w:cs="Times New Roman"/>
              </w:rPr>
            </w:pPr>
            <w:r>
              <w:rPr>
                <w:rFonts w:hint="eastAsia" w:cs="Times New Roman"/>
              </w:rPr>
              <w:t>（</w:t>
            </w:r>
            <w:r>
              <w:rPr>
                <w:rFonts w:cs="Times New Roman"/>
              </w:rPr>
              <w:t>1</w:t>
            </w:r>
            <w:r>
              <w:rPr>
                <w:rFonts w:hint="eastAsia" w:cs="Times New Roman"/>
              </w:rPr>
              <w:t>）施工扬尘</w:t>
            </w:r>
          </w:p>
          <w:p w14:paraId="60DBCE39">
            <w:pPr>
              <w:ind w:firstLine="480"/>
              <w:rPr>
                <w:rFonts w:cs="Times New Roman"/>
              </w:rPr>
            </w:pPr>
            <w:r>
              <w:rPr>
                <w:rFonts w:hint="eastAsia" w:cs="Times New Roman"/>
              </w:rPr>
              <w:t>施工期施工扬尘主要为设备安装以及建筑垃圾清运过程产生的扬尘，由于厂区所在区域较开阔，扩散条件良好，施工期间定期酒水。因此，施工扬尘可达到相应的排放标准。</w:t>
            </w:r>
          </w:p>
          <w:p w14:paraId="6B83585D">
            <w:pPr>
              <w:ind w:firstLine="480"/>
              <w:rPr>
                <w:rFonts w:cs="Times New Roman"/>
              </w:rPr>
            </w:pPr>
            <w:r>
              <w:rPr>
                <w:rFonts w:hint="eastAsia" w:cs="Times New Roman"/>
              </w:rPr>
              <w:t>（</w:t>
            </w:r>
            <w:r>
              <w:rPr>
                <w:rFonts w:cs="Times New Roman"/>
              </w:rPr>
              <w:t>2</w:t>
            </w:r>
            <w:r>
              <w:rPr>
                <w:rFonts w:hint="eastAsia" w:cs="Times New Roman"/>
              </w:rPr>
              <w:t>）汽车尾气</w:t>
            </w:r>
          </w:p>
          <w:p w14:paraId="28E1EB10">
            <w:pPr>
              <w:ind w:firstLine="480"/>
              <w:rPr>
                <w:rFonts w:cs="Times New Roman"/>
              </w:rPr>
            </w:pPr>
            <w:r>
              <w:rPr>
                <w:rFonts w:hint="eastAsia" w:cs="Times New Roman"/>
              </w:rPr>
              <w:t>施工期间，使用机动车运送原材料、设备和建筑机械设备的运转，均会排放一定量的</w:t>
            </w:r>
            <w:r>
              <w:rPr>
                <w:rFonts w:cs="Times New Roman"/>
              </w:rPr>
              <w:t>CO</w:t>
            </w:r>
            <w:r>
              <w:rPr>
                <w:rFonts w:hint="eastAsia" w:cs="Times New Roman"/>
              </w:rPr>
              <w:t>、</w:t>
            </w:r>
            <w:r>
              <w:rPr>
                <w:rFonts w:cs="Times New Roman"/>
              </w:rPr>
              <w:t>NO</w:t>
            </w:r>
            <w:r>
              <w:rPr>
                <w:rFonts w:hint="eastAsia" w:cs="Times New Roman"/>
              </w:rPr>
              <w:t>，以及未完全燃烧的</w:t>
            </w:r>
            <w:r>
              <w:rPr>
                <w:rFonts w:cs="Times New Roman"/>
              </w:rPr>
              <w:t>HC</w:t>
            </w:r>
            <w:r>
              <w:rPr>
                <w:rFonts w:hint="eastAsia" w:cs="Times New Roman"/>
              </w:rPr>
              <w:t>等，其特点是排放量小，且属间断性无组织排放，由于其这一特点，加之场地较开阔，扩散条件良好，施工期间建设单位对施工设备的维护，使其能够正常的运行，因此汽车尾气能做到达标排放。</w:t>
            </w:r>
          </w:p>
          <w:p w14:paraId="7E038147">
            <w:pPr>
              <w:ind w:firstLine="480"/>
              <w:rPr>
                <w:rFonts w:cs="Times New Roman"/>
              </w:rPr>
            </w:pPr>
            <w:r>
              <w:rPr>
                <w:rFonts w:hint="eastAsia" w:cs="Times New Roman"/>
              </w:rPr>
              <w:t>（二）施工废水治理措施</w:t>
            </w:r>
          </w:p>
          <w:p w14:paraId="67837109">
            <w:pPr>
              <w:ind w:firstLine="480"/>
              <w:rPr>
                <w:rFonts w:cs="Times New Roman"/>
              </w:rPr>
            </w:pPr>
            <w:r>
              <w:rPr>
                <w:rFonts w:hint="eastAsia" w:cs="Times New Roman"/>
              </w:rPr>
              <w:t>施工期废水主要为生活污水，少量施工人员生活污水纳入厂内已建污水系统处置，最终排入</w:t>
            </w:r>
            <w:r>
              <w:rPr>
                <w:rFonts w:cs="Times New Roman"/>
                <w:bCs/>
                <w:kern w:val="0"/>
                <w:szCs w:val="24"/>
              </w:rPr>
              <w:t>巴中经开区污水处理</w:t>
            </w:r>
            <w:r>
              <w:rPr>
                <w:rFonts w:hint="eastAsia" w:cs="Times New Roman"/>
              </w:rPr>
              <w:t>厂处置后达标排放。</w:t>
            </w:r>
          </w:p>
          <w:p w14:paraId="38944401">
            <w:pPr>
              <w:ind w:firstLine="480"/>
              <w:rPr>
                <w:rFonts w:cs="Times New Roman"/>
              </w:rPr>
            </w:pPr>
            <w:r>
              <w:rPr>
                <w:rFonts w:hint="eastAsia" w:cs="Times New Roman"/>
              </w:rPr>
              <w:t>（三）施工噪声防治措施</w:t>
            </w:r>
          </w:p>
          <w:p w14:paraId="2B01BD1F">
            <w:pPr>
              <w:ind w:firstLine="480"/>
              <w:rPr>
                <w:rFonts w:cs="Times New Roman"/>
              </w:rPr>
            </w:pPr>
            <w:r>
              <w:rPr>
                <w:rFonts w:hint="eastAsia" w:cs="Times New Roman"/>
              </w:rPr>
              <w:t>施工噪声主要施工期主要分为机械噪声、施工作业噪声和施工车辆噪声本项目施工量较小，基本由人工施工，机械设备噪声为间断式。同时项目位于园区，施工期噪声对区域声学环境无不利影响。</w:t>
            </w:r>
          </w:p>
          <w:p w14:paraId="7CC1112B">
            <w:pPr>
              <w:ind w:firstLine="480"/>
              <w:rPr>
                <w:rFonts w:cs="Times New Roman"/>
              </w:rPr>
            </w:pPr>
            <w:r>
              <w:rPr>
                <w:rFonts w:hint="eastAsia" w:cs="Times New Roman"/>
              </w:rPr>
              <w:t>（四）施工固体废物治理措施</w:t>
            </w:r>
          </w:p>
          <w:p w14:paraId="15BCA6B2">
            <w:pPr>
              <w:ind w:firstLine="480"/>
              <w:rPr>
                <w:rFonts w:cs="Times New Roman"/>
              </w:rPr>
            </w:pPr>
            <w:r>
              <w:rPr>
                <w:rFonts w:hint="eastAsia" w:cs="Times New Roman"/>
              </w:rPr>
              <w:t>本项目固废主要为生活垃圾和建筑垃圾。生活垃圾收集后由环卫部门统一清运处理，不会造成二次污染。建筑垃圾分为可回收垃圾和不可回收垃圾，可回收利用的回收利用，不可回收的建渣外运政府指定渣场堆放。</w:t>
            </w:r>
          </w:p>
          <w:p w14:paraId="0153A8C0">
            <w:pPr>
              <w:ind w:firstLine="480"/>
            </w:pPr>
            <w:r>
              <w:rPr>
                <w:rFonts w:hint="eastAsia" w:cs="Times New Roman"/>
              </w:rPr>
              <w:t>根据现场踏勘，项目施工期已结束，施工期间落实了相应的环保措施，</w:t>
            </w:r>
            <w:r>
              <w:rPr>
                <w:rFonts w:hint="eastAsia" w:cs="Times New Roman"/>
                <w:b/>
                <w:bCs/>
              </w:rPr>
              <w:t>未收到任何与项目有关的环保投诉，评价认为，项目施工期采取的污染防治措施切实有效、达到较好的效果，未因项目施工对环境造成明显影响，未遗留任何环境问题。</w:t>
            </w:r>
          </w:p>
        </w:tc>
      </w:tr>
      <w:tr w14:paraId="6E872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14:paraId="45271303">
            <w:pPr>
              <w:ind w:firstLine="0" w:firstLineChars="0"/>
              <w:rPr>
                <w:rFonts w:cs="Times New Roman"/>
              </w:rPr>
            </w:pPr>
          </w:p>
        </w:tc>
        <w:tc>
          <w:tcPr>
            <w:tcW w:w="9174" w:type="dxa"/>
          </w:tcPr>
          <w:p w14:paraId="07113F35">
            <w:pPr>
              <w:ind w:firstLine="482"/>
              <w:rPr>
                <w:b/>
              </w:rPr>
            </w:pPr>
            <w:r>
              <w:rPr>
                <w:rFonts w:hint="eastAsia" w:cs="Times New Roman"/>
                <w:b/>
                <w:szCs w:val="24"/>
              </w:rPr>
              <w:t>1、废气环境影响和保护措施</w:t>
            </w:r>
          </w:p>
          <w:p w14:paraId="3BB288B4">
            <w:pPr>
              <w:ind w:firstLine="482"/>
              <w:rPr>
                <w:b/>
              </w:rPr>
            </w:pPr>
            <w:r>
              <w:rPr>
                <w:rFonts w:hint="eastAsia" w:cs="Times New Roman"/>
                <w:b/>
                <w:szCs w:val="24"/>
              </w:rPr>
              <w:t>（1）废气污染源分析</w:t>
            </w:r>
          </w:p>
          <w:p w14:paraId="4B3340ED">
            <w:pPr>
              <w:ind w:firstLine="480"/>
              <w:rPr>
                <w:bCs/>
              </w:rPr>
            </w:pPr>
            <w:r>
              <w:rPr>
                <w:rFonts w:hint="eastAsia" w:cs="Times New Roman"/>
                <w:bCs/>
                <w:szCs w:val="24"/>
              </w:rPr>
              <w:t>本项目实施后，产生的废气主要为天然气模温机产生的燃烧废气和自动压贴机产生的有机废气；天然气为清洁能源，天然气燃烧产生的污染物主要为NOx、SO</w:t>
            </w:r>
            <w:r>
              <w:rPr>
                <w:rFonts w:hint="eastAsia" w:cs="Times New Roman"/>
                <w:bCs/>
                <w:szCs w:val="24"/>
                <w:vertAlign w:val="subscript"/>
              </w:rPr>
              <w:t>2</w:t>
            </w:r>
            <w:r>
              <w:rPr>
                <w:rFonts w:hint="eastAsia" w:cs="Times New Roman"/>
                <w:bCs/>
                <w:szCs w:val="24"/>
              </w:rPr>
              <w:t>、颗粒物。</w:t>
            </w:r>
          </w:p>
          <w:p w14:paraId="084E8E48">
            <w:pPr>
              <w:adjustRightInd w:val="0"/>
              <w:snapToGrid w:val="0"/>
              <w:ind w:firstLine="480"/>
              <w:rPr>
                <w:kern w:val="28"/>
                <w:szCs w:val="28"/>
              </w:rPr>
            </w:pPr>
            <w:r>
              <w:rPr>
                <w:kern w:val="28"/>
                <w:szCs w:val="28"/>
              </w:rPr>
              <w:fldChar w:fldCharType="begin"/>
            </w:r>
            <w:r>
              <w:rPr>
                <w:kern w:val="28"/>
                <w:szCs w:val="28"/>
              </w:rPr>
              <w:instrText xml:space="preserve"> = 1 \* GB3 </w:instrText>
            </w:r>
            <w:r>
              <w:rPr>
                <w:kern w:val="28"/>
                <w:szCs w:val="28"/>
              </w:rPr>
              <w:fldChar w:fldCharType="separate"/>
            </w:r>
            <w:r>
              <w:rPr>
                <w:rFonts w:hint="eastAsia" w:ascii="宋体" w:hAnsi="宋体" w:cs="宋体"/>
                <w:kern w:val="28"/>
                <w:szCs w:val="28"/>
              </w:rPr>
              <w:t>①</w:t>
            </w:r>
            <w:r>
              <w:rPr>
                <w:kern w:val="28"/>
                <w:szCs w:val="28"/>
              </w:rPr>
              <w:fldChar w:fldCharType="end"/>
            </w:r>
            <w:r>
              <w:rPr>
                <w:rFonts w:hint="eastAsia" w:cs="Times New Roman"/>
                <w:bCs/>
                <w:szCs w:val="24"/>
              </w:rPr>
              <w:t>压贴</w:t>
            </w:r>
            <w:r>
              <w:rPr>
                <w:kern w:val="28"/>
                <w:szCs w:val="28"/>
              </w:rPr>
              <w:t>废气</w:t>
            </w:r>
          </w:p>
          <w:p w14:paraId="60D39BDB">
            <w:pPr>
              <w:pStyle w:val="70"/>
              <w:snapToGrid w:val="0"/>
              <w:spacing w:line="360" w:lineRule="auto"/>
              <w:ind w:left="0" w:right="0" w:firstLine="480" w:firstLineChars="200"/>
              <w:jc w:val="both"/>
              <w:rPr>
                <w:bCs/>
                <w:szCs w:val="24"/>
              </w:rPr>
            </w:pPr>
            <w:r>
              <w:rPr>
                <w:rFonts w:hint="eastAsia"/>
                <w:bCs/>
                <w:szCs w:val="24"/>
              </w:rPr>
              <w:t>本项目通过浸渍胶膜纸和板材进行热压贴合，通过热压机进行热压工艺加工，浸渍胶膜纸热压过程中胶水固体份因加热会产生甲醛和VOCs，本次按照挥发份全部挥发计算产污。</w:t>
            </w:r>
          </w:p>
          <w:p w14:paraId="1D1B4777">
            <w:pPr>
              <w:pStyle w:val="70"/>
              <w:snapToGrid w:val="0"/>
              <w:spacing w:line="360" w:lineRule="auto"/>
              <w:ind w:left="0" w:right="0" w:firstLine="480" w:firstLineChars="200"/>
              <w:jc w:val="both"/>
              <w:rPr>
                <w:bCs/>
                <w:szCs w:val="24"/>
              </w:rPr>
            </w:pPr>
            <w:r>
              <w:rPr>
                <w:rFonts w:hint="eastAsia"/>
                <w:bCs/>
                <w:szCs w:val="24"/>
              </w:rPr>
              <w:t>VOCs：根据相关行业三聚氰胺纸检测报告，挥发性有机物含量为2.01%，本项目浸渍纸（三聚氰胺浸渍纸）总计用量约为70756m</w:t>
            </w:r>
            <w:r>
              <w:rPr>
                <w:rFonts w:hint="eastAsia"/>
                <w:bCs/>
                <w:szCs w:val="24"/>
                <w:vertAlign w:val="superscript"/>
              </w:rPr>
              <w:t>2</w:t>
            </w:r>
            <w:r>
              <w:rPr>
                <w:rFonts w:hint="eastAsia"/>
                <w:bCs/>
                <w:szCs w:val="24"/>
              </w:rPr>
              <w:t>/年，每平方米浸渍纸重量约为70g，则本项目浸渍纸用量约为4.953t/a，则VOCs产生量约为0.1t/a。</w:t>
            </w:r>
          </w:p>
          <w:p w14:paraId="328D43FB">
            <w:pPr>
              <w:pStyle w:val="70"/>
              <w:snapToGrid w:val="0"/>
              <w:spacing w:line="360" w:lineRule="auto"/>
              <w:ind w:left="0" w:right="0" w:firstLine="480" w:firstLineChars="200"/>
              <w:jc w:val="both"/>
              <w:rPr>
                <w:bCs/>
                <w:szCs w:val="24"/>
              </w:rPr>
            </w:pPr>
            <w:r>
              <w:rPr>
                <w:rFonts w:hint="eastAsia"/>
                <w:bCs/>
                <w:szCs w:val="24"/>
              </w:rPr>
              <w:t>甲醛：根据同行业成分检测报告，三聚氰胺浸渍纸中甲醛释放量为1.4mg/L。根据业主提供检验报告，显示甲醛检测方法依据《人造板饰面专用纸》（GB/T28995-2022）中推荐的《人造板及饰面人造板理化性能试验方法》（GB/T17657-2022）中“4.12甲醛释放量干燥器法测定”，根据检测方法可知：取10片（150mm×50mm）胶膜纸进行干燥，其内甲醛完全溶解至300mL蒸馏水中，再使用乙酰丙酮与乙酸铵溶液滴定，则本项目三聚氰胺浸渍纸中甲醛含量为5.6mg/m</w:t>
            </w:r>
            <w:r>
              <w:rPr>
                <w:rFonts w:hint="eastAsia"/>
                <w:bCs/>
                <w:szCs w:val="24"/>
                <w:vertAlign w:val="superscript"/>
              </w:rPr>
              <w:t>2</w:t>
            </w:r>
            <w:r>
              <w:rPr>
                <w:rFonts w:hint="eastAsia"/>
                <w:bCs/>
                <w:szCs w:val="24"/>
              </w:rPr>
              <w:t>。根据业主资料，本项目三聚氰胺浸渍纸总计用量约为70756m</w:t>
            </w:r>
            <w:r>
              <w:rPr>
                <w:rFonts w:hint="eastAsia"/>
                <w:bCs/>
                <w:szCs w:val="24"/>
                <w:vertAlign w:val="superscript"/>
              </w:rPr>
              <w:t>2</w:t>
            </w:r>
            <w:r>
              <w:rPr>
                <w:rFonts w:hint="eastAsia"/>
                <w:bCs/>
                <w:szCs w:val="24"/>
              </w:rPr>
              <w:t>/年，则甲醛产生量总计约为0.396kg/a。</w:t>
            </w:r>
          </w:p>
          <w:p w14:paraId="269C56E9">
            <w:pPr>
              <w:pStyle w:val="70"/>
              <w:snapToGrid w:val="0"/>
              <w:spacing w:line="360" w:lineRule="auto"/>
              <w:ind w:left="0" w:right="0" w:firstLineChars="200"/>
              <w:jc w:val="both"/>
              <w:rPr>
                <w:bCs/>
                <w:szCs w:val="24"/>
              </w:rPr>
            </w:pPr>
            <w:r>
              <w:rPr>
                <w:rFonts w:hint="eastAsia"/>
                <w:b/>
                <w:szCs w:val="24"/>
              </w:rPr>
              <w:t>已采取治理措施：</w:t>
            </w:r>
            <w:r>
              <w:rPr>
                <w:rFonts w:hint="eastAsia"/>
              </w:rPr>
              <w:t>经现场踏勘，</w:t>
            </w:r>
            <w:r>
              <w:t>本项目</w:t>
            </w:r>
            <w:r>
              <w:rPr>
                <w:rFonts w:hint="eastAsia"/>
              </w:rPr>
              <w:t>二车间</w:t>
            </w:r>
            <w:r>
              <w:rPr>
                <w:rFonts w:hint="eastAsia"/>
                <w:bCs/>
                <w:szCs w:val="24"/>
              </w:rPr>
              <w:t>贴面工序的压贴机产生有机废气，在压贴机废气产生处上方安装集气罩，有机废气经负压收集后由集气管道运至车间外的活性炭装备处置，经活性炭处理后经15米排气筒</w:t>
            </w:r>
            <w:r>
              <w:t>（</w:t>
            </w:r>
            <w:r>
              <w:rPr>
                <w:rFonts w:hint="eastAsia"/>
              </w:rPr>
              <w:t>DA002</w:t>
            </w:r>
            <w:r>
              <w:t>）</w:t>
            </w:r>
            <w:r>
              <w:rPr>
                <w:rFonts w:hint="eastAsia"/>
                <w:bCs/>
                <w:szCs w:val="24"/>
              </w:rPr>
              <w:t>排放至大气环境。</w:t>
            </w:r>
          </w:p>
          <w:p w14:paraId="3365D2E8">
            <w:pPr>
              <w:pStyle w:val="70"/>
              <w:snapToGrid w:val="0"/>
              <w:spacing w:line="360" w:lineRule="auto"/>
              <w:rPr>
                <w:bCs/>
                <w:szCs w:val="24"/>
              </w:rPr>
            </w:pPr>
            <w:r>
              <w:rPr>
                <w:rFonts w:hint="eastAsia"/>
                <w:bCs/>
                <w:szCs w:val="24"/>
              </w:rPr>
              <w:t>风机风量核算：</w:t>
            </w:r>
          </w:p>
          <w:p w14:paraId="6458EB31">
            <w:pPr>
              <w:pStyle w:val="70"/>
              <w:snapToGrid w:val="0"/>
              <w:spacing w:line="360" w:lineRule="auto"/>
              <w:rPr>
                <w:bCs/>
                <w:szCs w:val="24"/>
              </w:rPr>
            </w:pPr>
            <w:r>
              <w:rPr>
                <w:rFonts w:hint="eastAsia"/>
                <w:bCs/>
                <w:szCs w:val="24"/>
              </w:rPr>
              <w:t>根据《环境工程设计手册》中的有关公式，类似项目实际治理工程的情况以及结合本项目的设备规模，需要收集废气的设备其废气收集系统的控制风速要在0.5m/s以上，集气罩投影面积不小于废气产生位置实际面积，以保证90%的收集效果。</w:t>
            </w:r>
          </w:p>
          <w:p w14:paraId="424399A2">
            <w:pPr>
              <w:pStyle w:val="70"/>
              <w:snapToGrid w:val="0"/>
              <w:spacing w:line="360" w:lineRule="auto"/>
              <w:rPr>
                <w:bCs/>
                <w:szCs w:val="24"/>
              </w:rPr>
            </w:pPr>
            <w:r>
              <w:rPr>
                <w:rFonts w:hint="eastAsia"/>
                <w:bCs/>
                <w:szCs w:val="24"/>
              </w:rPr>
              <w:t>集气罩风量的计算按照以下经验公式计算得出各设备所需的风量L。</w:t>
            </w:r>
          </w:p>
          <w:p w14:paraId="3669A5BB">
            <w:pPr>
              <w:pStyle w:val="70"/>
              <w:snapToGrid w:val="0"/>
              <w:spacing w:line="360" w:lineRule="auto"/>
              <w:rPr>
                <w:bCs/>
                <w:szCs w:val="24"/>
              </w:rPr>
            </w:pPr>
            <w:r>
              <w:rPr>
                <w:rFonts w:hint="eastAsia"/>
                <w:bCs/>
                <w:szCs w:val="24"/>
              </w:rPr>
              <w:t>L=3600*（5X</w:t>
            </w:r>
            <w:r>
              <w:rPr>
                <w:rFonts w:hint="eastAsia"/>
                <w:bCs/>
                <w:szCs w:val="24"/>
                <w:vertAlign w:val="superscript"/>
              </w:rPr>
              <w:t>2</w:t>
            </w:r>
            <w:r>
              <w:rPr>
                <w:rFonts w:hint="eastAsia"/>
                <w:bCs/>
                <w:szCs w:val="24"/>
              </w:rPr>
              <w:t>+F)*Vx（1)</w:t>
            </w:r>
          </w:p>
          <w:p w14:paraId="0E07D486">
            <w:pPr>
              <w:pStyle w:val="70"/>
              <w:snapToGrid w:val="0"/>
              <w:spacing w:line="360" w:lineRule="auto"/>
              <w:rPr>
                <w:bCs/>
                <w:szCs w:val="24"/>
              </w:rPr>
            </w:pPr>
            <w:r>
              <w:rPr>
                <w:rFonts w:hint="eastAsia"/>
                <w:bCs/>
                <w:szCs w:val="24"/>
              </w:rPr>
              <w:t>其中：X-集气罩至污染源的距离（m），本项目取0.5m；</w:t>
            </w:r>
          </w:p>
          <w:p w14:paraId="5D70C722">
            <w:pPr>
              <w:pStyle w:val="70"/>
              <w:snapToGrid w:val="0"/>
              <w:spacing w:line="360" w:lineRule="auto"/>
              <w:rPr>
                <w:bCs/>
                <w:szCs w:val="24"/>
              </w:rPr>
            </w:pPr>
            <w:r>
              <w:rPr>
                <w:rFonts w:hint="eastAsia"/>
                <w:bCs/>
                <w:szCs w:val="24"/>
              </w:rPr>
              <w:t>F-集气罩口面积（m</w:t>
            </w:r>
            <w:r>
              <w:rPr>
                <w:rFonts w:hint="eastAsia"/>
                <w:bCs/>
                <w:szCs w:val="24"/>
                <w:vertAlign w:val="superscript"/>
              </w:rPr>
              <w:t>2</w:t>
            </w:r>
            <w:r>
              <w:rPr>
                <w:rFonts w:hint="eastAsia"/>
                <w:bCs/>
                <w:szCs w:val="24"/>
              </w:rPr>
              <w:t>）；</w:t>
            </w:r>
          </w:p>
          <w:p w14:paraId="4A9454DE">
            <w:pPr>
              <w:pStyle w:val="70"/>
              <w:snapToGrid w:val="0"/>
              <w:spacing w:line="360" w:lineRule="auto"/>
              <w:rPr>
                <w:bCs/>
                <w:szCs w:val="24"/>
              </w:rPr>
            </w:pPr>
            <w:r>
              <w:rPr>
                <w:rFonts w:hint="eastAsia"/>
                <w:bCs/>
                <w:szCs w:val="24"/>
              </w:rPr>
              <w:t>Vx-控制风速（m/s），本项目取0.4m/s。</w:t>
            </w:r>
          </w:p>
          <w:p w14:paraId="3788A99B">
            <w:pPr>
              <w:pStyle w:val="70"/>
              <w:snapToGrid w:val="0"/>
              <w:spacing w:line="360" w:lineRule="auto"/>
              <w:ind w:left="0" w:right="0" w:firstLine="480" w:firstLineChars="200"/>
              <w:jc w:val="both"/>
              <w:rPr>
                <w:bCs/>
                <w:szCs w:val="24"/>
              </w:rPr>
            </w:pPr>
            <w:r>
              <w:rPr>
                <w:rFonts w:hint="eastAsia"/>
                <w:bCs/>
                <w:szCs w:val="24"/>
              </w:rPr>
              <w:t>本项目有机废气风机风量计算公式见下表：</w:t>
            </w:r>
          </w:p>
          <w:p w14:paraId="10DF7ACD">
            <w:pPr>
              <w:pStyle w:val="70"/>
              <w:snapToGrid w:val="0"/>
              <w:spacing w:line="360" w:lineRule="auto"/>
              <w:ind w:left="0" w:right="0" w:firstLine="480" w:firstLineChars="200"/>
              <w:jc w:val="center"/>
              <w:rPr>
                <w:bCs/>
                <w:szCs w:val="24"/>
              </w:rPr>
            </w:pPr>
            <w:r>
              <w:rPr>
                <w:bCs/>
                <w:szCs w:val="24"/>
              </w:rPr>
              <w:t xml:space="preserve">表 </w:t>
            </w:r>
            <w:r>
              <w:rPr>
                <w:rFonts w:hint="eastAsia"/>
                <w:b/>
                <w:bCs/>
                <w:szCs w:val="24"/>
              </w:rPr>
              <w:t xml:space="preserve">4-1  </w:t>
            </w:r>
            <w:r>
              <w:rPr>
                <w:b/>
                <w:bCs/>
                <w:szCs w:val="24"/>
              </w:rPr>
              <w:t xml:space="preserve">VOCs </w:t>
            </w:r>
            <w:r>
              <w:rPr>
                <w:bCs/>
                <w:szCs w:val="24"/>
              </w:rPr>
              <w:t>风量计算表</w:t>
            </w:r>
          </w:p>
          <w:tbl>
            <w:tblPr>
              <w:tblStyle w:val="33"/>
              <w:tblW w:w="0" w:type="auto"/>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828"/>
              <w:gridCol w:w="1319"/>
              <w:gridCol w:w="1417"/>
              <w:gridCol w:w="993"/>
              <w:gridCol w:w="992"/>
              <w:gridCol w:w="1255"/>
              <w:gridCol w:w="1069"/>
              <w:gridCol w:w="1070"/>
            </w:tblGrid>
            <w:tr w14:paraId="4F00B3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829" w:type="dxa"/>
                  <w:vMerge w:val="restart"/>
                  <w:tcBorders>
                    <w:top w:val="single" w:color="auto" w:sz="4" w:space="0"/>
                    <w:left w:val="single" w:color="auto" w:sz="4" w:space="0"/>
                    <w:right w:val="single" w:color="auto" w:sz="4" w:space="0"/>
                  </w:tcBorders>
                  <w:vAlign w:val="center"/>
                </w:tcPr>
                <w:p w14:paraId="6876B5A1">
                  <w:pPr>
                    <w:widowControl/>
                    <w:spacing w:line="240" w:lineRule="auto"/>
                    <w:ind w:firstLine="0" w:firstLineChars="0"/>
                    <w:jc w:val="left"/>
                    <w:rPr>
                      <w:rFonts w:hint="eastAsia" w:ascii="宋体" w:hAnsi="宋体" w:cs="宋体"/>
                      <w:kern w:val="0"/>
                      <w:sz w:val="21"/>
                      <w:szCs w:val="21"/>
                    </w:rPr>
                  </w:pPr>
                  <w:r>
                    <w:rPr>
                      <w:rFonts w:ascii="宋体" w:hAnsi="宋体" w:cs="宋体"/>
                      <w:kern w:val="0"/>
                      <w:sz w:val="21"/>
                      <w:szCs w:val="21"/>
                    </w:rPr>
                    <w:t>生产工序</w:t>
                  </w:r>
                </w:p>
              </w:tc>
              <w:tc>
                <w:tcPr>
                  <w:tcW w:w="1321" w:type="dxa"/>
                  <w:vMerge w:val="restart"/>
                  <w:tcBorders>
                    <w:top w:val="single" w:color="auto" w:sz="4" w:space="0"/>
                    <w:left w:val="single" w:color="auto" w:sz="4" w:space="0"/>
                    <w:right w:val="single" w:color="auto" w:sz="4" w:space="0"/>
                  </w:tcBorders>
                  <w:vAlign w:val="center"/>
                </w:tcPr>
                <w:p w14:paraId="2D22D34E">
                  <w:pPr>
                    <w:widowControl/>
                    <w:spacing w:line="240" w:lineRule="auto"/>
                    <w:ind w:firstLine="0" w:firstLineChars="0"/>
                    <w:jc w:val="left"/>
                    <w:rPr>
                      <w:rFonts w:hint="eastAsia" w:ascii="宋体" w:hAnsi="宋体" w:cs="宋体"/>
                      <w:kern w:val="0"/>
                      <w:sz w:val="21"/>
                      <w:szCs w:val="21"/>
                    </w:rPr>
                  </w:pPr>
                  <w:r>
                    <w:rPr>
                      <w:rFonts w:ascii="宋体" w:hAnsi="宋体" w:cs="宋体"/>
                      <w:kern w:val="0"/>
                      <w:sz w:val="21"/>
                      <w:szCs w:val="21"/>
                    </w:rPr>
                    <w:t>集气罩个数</w:t>
                  </w:r>
                </w:p>
              </w:tc>
              <w:tc>
                <w:tcPr>
                  <w:tcW w:w="1418" w:type="dxa"/>
                  <w:vMerge w:val="restart"/>
                  <w:tcBorders>
                    <w:top w:val="single" w:color="auto" w:sz="4" w:space="0"/>
                    <w:left w:val="single" w:color="auto" w:sz="4" w:space="0"/>
                    <w:right w:val="single" w:color="auto" w:sz="4" w:space="0"/>
                  </w:tcBorders>
                  <w:vAlign w:val="center"/>
                </w:tcPr>
                <w:p w14:paraId="2C112DCE">
                  <w:pPr>
                    <w:widowControl/>
                    <w:spacing w:line="240" w:lineRule="auto"/>
                    <w:ind w:firstLine="0" w:firstLineChars="0"/>
                    <w:jc w:val="left"/>
                    <w:rPr>
                      <w:rFonts w:hint="eastAsia" w:ascii="宋体" w:hAnsi="宋体" w:cs="宋体"/>
                      <w:kern w:val="0"/>
                      <w:sz w:val="21"/>
                      <w:szCs w:val="21"/>
                    </w:rPr>
                  </w:pPr>
                  <w:r>
                    <w:rPr>
                      <w:rFonts w:ascii="宋体" w:hAnsi="宋体" w:cs="宋体"/>
                      <w:kern w:val="0"/>
                      <w:sz w:val="21"/>
                      <w:szCs w:val="21"/>
                    </w:rPr>
                    <w:t>集气罩尺寸（</w:t>
                  </w:r>
                  <w:r>
                    <w:rPr>
                      <w:rFonts w:ascii="TimesNewRomanPSMT" w:hAnsi="TimesNewRomanPSMT" w:cs="宋体"/>
                      <w:kern w:val="0"/>
                      <w:sz w:val="21"/>
                      <w:szCs w:val="21"/>
                    </w:rPr>
                    <w:t>m</w:t>
                  </w:r>
                  <w:r>
                    <w:rPr>
                      <w:rFonts w:ascii="宋体" w:hAnsi="宋体" w:cs="宋体"/>
                      <w:kern w:val="0"/>
                      <w:sz w:val="21"/>
                      <w:szCs w:val="21"/>
                    </w:rPr>
                    <w:t>）</w:t>
                  </w:r>
                </w:p>
              </w:tc>
              <w:tc>
                <w:tcPr>
                  <w:tcW w:w="3242" w:type="dxa"/>
                  <w:gridSpan w:val="3"/>
                  <w:tcBorders>
                    <w:top w:val="single" w:color="auto" w:sz="4" w:space="0"/>
                    <w:left w:val="single" w:color="auto" w:sz="4" w:space="0"/>
                    <w:bottom w:val="single" w:color="auto" w:sz="4" w:space="0"/>
                    <w:right w:val="single" w:color="auto" w:sz="4" w:space="0"/>
                  </w:tcBorders>
                  <w:vAlign w:val="center"/>
                </w:tcPr>
                <w:p w14:paraId="2A1702D7">
                  <w:pPr>
                    <w:widowControl/>
                    <w:spacing w:line="240" w:lineRule="auto"/>
                    <w:ind w:firstLine="0" w:firstLineChars="0"/>
                    <w:jc w:val="left"/>
                    <w:rPr>
                      <w:rFonts w:hint="eastAsia" w:ascii="宋体" w:hAnsi="宋体" w:cs="宋体"/>
                      <w:kern w:val="0"/>
                      <w:sz w:val="21"/>
                      <w:szCs w:val="21"/>
                    </w:rPr>
                  </w:pPr>
                  <w:r>
                    <w:rPr>
                      <w:rFonts w:ascii="宋体" w:hAnsi="宋体" w:cs="宋体"/>
                      <w:kern w:val="0"/>
                      <w:sz w:val="21"/>
                      <w:szCs w:val="21"/>
                    </w:rPr>
                    <w:t xml:space="preserve">风量核算参数 </w:t>
                  </w:r>
                </w:p>
              </w:tc>
              <w:tc>
                <w:tcPr>
                  <w:tcW w:w="1069" w:type="dxa"/>
                  <w:vMerge w:val="restart"/>
                  <w:tcBorders>
                    <w:top w:val="single" w:color="auto" w:sz="4" w:space="0"/>
                    <w:left w:val="single" w:color="auto" w:sz="4" w:space="0"/>
                    <w:right w:val="single" w:color="auto" w:sz="4" w:space="0"/>
                  </w:tcBorders>
                  <w:vAlign w:val="center"/>
                </w:tcPr>
                <w:p w14:paraId="4FD4C520">
                  <w:pPr>
                    <w:widowControl/>
                    <w:spacing w:line="240" w:lineRule="auto"/>
                    <w:ind w:firstLine="0" w:firstLineChars="0"/>
                    <w:jc w:val="left"/>
                    <w:rPr>
                      <w:rFonts w:hint="eastAsia" w:ascii="宋体" w:hAnsi="宋体" w:cs="宋体"/>
                      <w:kern w:val="0"/>
                      <w:sz w:val="21"/>
                      <w:szCs w:val="21"/>
                    </w:rPr>
                  </w:pPr>
                  <w:r>
                    <w:rPr>
                      <w:rFonts w:ascii="宋体" w:hAnsi="宋体" w:cs="宋体"/>
                      <w:kern w:val="0"/>
                      <w:sz w:val="21"/>
                      <w:szCs w:val="21"/>
                    </w:rPr>
                    <w:t>理论控制风量（</w:t>
                  </w:r>
                  <w:r>
                    <w:rPr>
                      <w:rFonts w:ascii="TimesNewRomanPSMT" w:hAnsi="TimesNewRomanPSMT" w:cs="宋体"/>
                      <w:kern w:val="0"/>
                      <w:sz w:val="21"/>
                      <w:szCs w:val="21"/>
                    </w:rPr>
                    <w:t>m</w:t>
                  </w:r>
                  <w:r>
                    <w:rPr>
                      <w:rFonts w:ascii="TimesNewRomanPS-BoldMT" w:hAnsi="TimesNewRomanPS-BoldMT" w:cs="宋体"/>
                      <w:kern w:val="0"/>
                      <w:sz w:val="21"/>
                      <w:szCs w:val="21"/>
                      <w:vertAlign w:val="superscript"/>
                    </w:rPr>
                    <w:t>3</w:t>
                  </w:r>
                  <w:r>
                    <w:rPr>
                      <w:rFonts w:ascii="TimesNewRomanPSMT" w:hAnsi="TimesNewRomanPSMT" w:cs="宋体"/>
                      <w:kern w:val="0"/>
                      <w:sz w:val="21"/>
                      <w:szCs w:val="21"/>
                    </w:rPr>
                    <w:t>/h</w:t>
                  </w:r>
                  <w:r>
                    <w:rPr>
                      <w:rFonts w:ascii="宋体" w:hAnsi="宋体" w:cs="宋体"/>
                      <w:kern w:val="0"/>
                      <w:sz w:val="21"/>
                      <w:szCs w:val="21"/>
                    </w:rPr>
                    <w:t>）</w:t>
                  </w:r>
                </w:p>
              </w:tc>
              <w:tc>
                <w:tcPr>
                  <w:tcW w:w="1069" w:type="dxa"/>
                  <w:vMerge w:val="restart"/>
                  <w:tcBorders>
                    <w:top w:val="single" w:color="auto" w:sz="4" w:space="0"/>
                    <w:left w:val="single" w:color="auto" w:sz="4" w:space="0"/>
                    <w:right w:val="single" w:color="auto" w:sz="4" w:space="0"/>
                  </w:tcBorders>
                  <w:vAlign w:val="center"/>
                </w:tcPr>
                <w:p w14:paraId="309B405B">
                  <w:pPr>
                    <w:widowControl/>
                    <w:spacing w:line="240" w:lineRule="auto"/>
                    <w:ind w:firstLine="0" w:firstLineChars="0"/>
                    <w:jc w:val="left"/>
                    <w:rPr>
                      <w:rFonts w:hint="eastAsia" w:ascii="宋体" w:hAnsi="宋体" w:cs="宋体"/>
                      <w:kern w:val="0"/>
                      <w:sz w:val="21"/>
                      <w:szCs w:val="21"/>
                    </w:rPr>
                  </w:pPr>
                  <w:r>
                    <w:rPr>
                      <w:rFonts w:ascii="宋体" w:hAnsi="宋体" w:cs="宋体"/>
                      <w:kern w:val="0"/>
                      <w:sz w:val="21"/>
                      <w:szCs w:val="21"/>
                    </w:rPr>
                    <w:t>设计风量（</w:t>
                  </w:r>
                  <w:r>
                    <w:rPr>
                      <w:rFonts w:ascii="TimesNewRomanPSMT" w:hAnsi="TimesNewRomanPSMT" w:cs="宋体"/>
                      <w:kern w:val="0"/>
                      <w:sz w:val="21"/>
                      <w:szCs w:val="21"/>
                    </w:rPr>
                    <w:t>m</w:t>
                  </w:r>
                  <w:r>
                    <w:rPr>
                      <w:rFonts w:ascii="TimesNewRomanPS-BoldMT" w:hAnsi="TimesNewRomanPS-BoldMT" w:cs="宋体"/>
                      <w:kern w:val="0"/>
                      <w:sz w:val="21"/>
                      <w:szCs w:val="21"/>
                      <w:vertAlign w:val="superscript"/>
                    </w:rPr>
                    <w:t>3</w:t>
                  </w:r>
                  <w:r>
                    <w:rPr>
                      <w:rFonts w:ascii="TimesNewRomanPSMT" w:hAnsi="TimesNewRomanPSMT" w:cs="宋体"/>
                      <w:kern w:val="0"/>
                      <w:sz w:val="21"/>
                      <w:szCs w:val="21"/>
                    </w:rPr>
                    <w:t>/h</w:t>
                  </w:r>
                  <w:r>
                    <w:rPr>
                      <w:rFonts w:ascii="宋体" w:hAnsi="宋体" w:cs="宋体"/>
                      <w:kern w:val="0"/>
                      <w:sz w:val="21"/>
                      <w:szCs w:val="21"/>
                    </w:rPr>
                    <w:t>）</w:t>
                  </w:r>
                </w:p>
              </w:tc>
            </w:tr>
            <w:tr w14:paraId="3F217B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829" w:type="dxa"/>
                  <w:vMerge w:val="continue"/>
                  <w:tcBorders>
                    <w:left w:val="single" w:color="auto" w:sz="4" w:space="0"/>
                    <w:bottom w:val="single" w:color="auto" w:sz="4" w:space="0"/>
                    <w:right w:val="single" w:color="auto" w:sz="4" w:space="0"/>
                  </w:tcBorders>
                  <w:vAlign w:val="center"/>
                </w:tcPr>
                <w:p w14:paraId="68FFC4DF">
                  <w:pPr>
                    <w:widowControl/>
                    <w:spacing w:line="240" w:lineRule="auto"/>
                    <w:ind w:firstLine="0" w:firstLineChars="0"/>
                    <w:jc w:val="left"/>
                    <w:rPr>
                      <w:rFonts w:hint="eastAsia" w:ascii="宋体" w:hAnsi="宋体" w:cs="宋体"/>
                      <w:kern w:val="0"/>
                      <w:sz w:val="21"/>
                      <w:szCs w:val="21"/>
                    </w:rPr>
                  </w:pPr>
                </w:p>
              </w:tc>
              <w:tc>
                <w:tcPr>
                  <w:tcW w:w="1321" w:type="dxa"/>
                  <w:vMerge w:val="continue"/>
                  <w:tcBorders>
                    <w:left w:val="single" w:color="auto" w:sz="4" w:space="0"/>
                    <w:bottom w:val="single" w:color="auto" w:sz="4" w:space="0"/>
                    <w:right w:val="single" w:color="auto" w:sz="4" w:space="0"/>
                  </w:tcBorders>
                  <w:vAlign w:val="center"/>
                </w:tcPr>
                <w:p w14:paraId="37309EB1">
                  <w:pPr>
                    <w:widowControl/>
                    <w:spacing w:line="240" w:lineRule="auto"/>
                    <w:ind w:firstLine="0" w:firstLineChars="0"/>
                    <w:jc w:val="left"/>
                    <w:rPr>
                      <w:rFonts w:hint="eastAsia" w:ascii="TimesNewRomanPSMT" w:hAnsi="TimesNewRomanPSMT" w:cs="宋体"/>
                      <w:kern w:val="0"/>
                      <w:sz w:val="21"/>
                      <w:szCs w:val="21"/>
                    </w:rPr>
                  </w:pPr>
                </w:p>
              </w:tc>
              <w:tc>
                <w:tcPr>
                  <w:tcW w:w="1418" w:type="dxa"/>
                  <w:vMerge w:val="continue"/>
                  <w:tcBorders>
                    <w:left w:val="single" w:color="auto" w:sz="4" w:space="0"/>
                    <w:bottom w:val="single" w:color="auto" w:sz="4" w:space="0"/>
                    <w:right w:val="single" w:color="auto" w:sz="4" w:space="0"/>
                  </w:tcBorders>
                  <w:vAlign w:val="center"/>
                </w:tcPr>
                <w:p w14:paraId="5F44B38E">
                  <w:pPr>
                    <w:widowControl/>
                    <w:spacing w:line="240" w:lineRule="auto"/>
                    <w:ind w:firstLine="0" w:firstLineChars="0"/>
                    <w:jc w:val="left"/>
                    <w:rPr>
                      <w:rFonts w:hint="eastAsia" w:ascii="TimesNewRomanPSMT" w:hAnsi="TimesNewRomanPSMT" w:cs="宋体"/>
                      <w:kern w:val="0"/>
                      <w:sz w:val="21"/>
                      <w:szCs w:val="21"/>
                    </w:rPr>
                  </w:pPr>
                </w:p>
              </w:tc>
              <w:tc>
                <w:tcPr>
                  <w:tcW w:w="994" w:type="dxa"/>
                  <w:tcBorders>
                    <w:top w:val="single" w:color="auto" w:sz="4" w:space="0"/>
                    <w:left w:val="single" w:color="auto" w:sz="4" w:space="0"/>
                    <w:bottom w:val="single" w:color="auto" w:sz="4" w:space="0"/>
                    <w:right w:val="single" w:color="auto" w:sz="4" w:space="0"/>
                  </w:tcBorders>
                  <w:vAlign w:val="center"/>
                </w:tcPr>
                <w:p w14:paraId="69A944D2">
                  <w:pPr>
                    <w:widowControl/>
                    <w:spacing w:line="240" w:lineRule="auto"/>
                    <w:ind w:firstLine="0" w:firstLineChars="0"/>
                    <w:jc w:val="left"/>
                    <w:rPr>
                      <w:rFonts w:hint="eastAsia" w:ascii="TimesNewRomanPSMT" w:hAnsi="TimesNewRomanPSMT" w:cs="宋体"/>
                      <w:kern w:val="0"/>
                      <w:sz w:val="21"/>
                      <w:szCs w:val="21"/>
                    </w:rPr>
                  </w:pPr>
                  <w:r>
                    <w:rPr>
                      <w:rFonts w:ascii="TimesNewRomanPS-BoldMT" w:hAnsi="TimesNewRomanPS-BoldMT" w:cs="宋体"/>
                      <w:b/>
                      <w:bCs/>
                      <w:kern w:val="0"/>
                      <w:sz w:val="21"/>
                      <w:szCs w:val="21"/>
                    </w:rPr>
                    <w:t>X</w:t>
                  </w:r>
                  <w:r>
                    <w:rPr>
                      <w:rFonts w:ascii="宋体" w:hAnsi="宋体" w:cs="宋体"/>
                      <w:kern w:val="0"/>
                      <w:sz w:val="21"/>
                      <w:szCs w:val="21"/>
                    </w:rPr>
                    <w:t>（</w:t>
                  </w:r>
                  <w:r>
                    <w:rPr>
                      <w:rFonts w:ascii="TimesNewRomanPSMT" w:hAnsi="TimesNewRomanPSMT" w:cs="宋体"/>
                      <w:kern w:val="0"/>
                      <w:sz w:val="21"/>
                      <w:szCs w:val="21"/>
                    </w:rPr>
                    <w:t>m)</w:t>
                  </w:r>
                </w:p>
              </w:tc>
              <w:tc>
                <w:tcPr>
                  <w:tcW w:w="992" w:type="dxa"/>
                  <w:tcBorders>
                    <w:top w:val="single" w:color="auto" w:sz="4" w:space="0"/>
                    <w:left w:val="single" w:color="auto" w:sz="4" w:space="0"/>
                    <w:bottom w:val="single" w:color="auto" w:sz="4" w:space="0"/>
                    <w:right w:val="single" w:color="auto" w:sz="4" w:space="0"/>
                  </w:tcBorders>
                  <w:vAlign w:val="center"/>
                </w:tcPr>
                <w:p w14:paraId="1DC21E42">
                  <w:pPr>
                    <w:widowControl/>
                    <w:spacing w:line="240" w:lineRule="auto"/>
                    <w:ind w:firstLine="0" w:firstLineChars="0"/>
                    <w:jc w:val="left"/>
                    <w:rPr>
                      <w:rFonts w:hint="eastAsia" w:ascii="TimesNewRomanPSMT" w:hAnsi="TimesNewRomanPSMT" w:cs="宋体"/>
                      <w:kern w:val="0"/>
                      <w:sz w:val="21"/>
                      <w:szCs w:val="21"/>
                    </w:rPr>
                  </w:pPr>
                  <w:r>
                    <w:rPr>
                      <w:rFonts w:ascii="TimesNewRomanPS-BoldMT" w:hAnsi="TimesNewRomanPS-BoldMT" w:cs="宋体"/>
                      <w:b/>
                      <w:bCs/>
                      <w:kern w:val="0"/>
                      <w:sz w:val="21"/>
                      <w:szCs w:val="21"/>
                    </w:rPr>
                    <w:t>F</w:t>
                  </w:r>
                  <w:r>
                    <w:rPr>
                      <w:rFonts w:ascii="宋体" w:hAnsi="宋体" w:cs="宋体"/>
                      <w:kern w:val="0"/>
                      <w:sz w:val="21"/>
                      <w:szCs w:val="21"/>
                    </w:rPr>
                    <w:t>（</w:t>
                  </w:r>
                  <w:r>
                    <w:rPr>
                      <w:rFonts w:ascii="TimesNewRomanPSMT" w:hAnsi="TimesNewRomanPSMT" w:cs="宋体"/>
                      <w:kern w:val="0"/>
                      <w:sz w:val="21"/>
                      <w:szCs w:val="21"/>
                    </w:rPr>
                    <w:t>m</w:t>
                  </w:r>
                  <w:r>
                    <w:rPr>
                      <w:rFonts w:hint="eastAsia" w:ascii="TimesNewRomanPS-BoldMT" w:hAnsi="TimesNewRomanPS-BoldMT" w:cs="宋体"/>
                      <w:kern w:val="0"/>
                      <w:sz w:val="21"/>
                      <w:szCs w:val="21"/>
                      <w:vertAlign w:val="superscript"/>
                    </w:rPr>
                    <w:t>2</w:t>
                  </w:r>
                  <w:r>
                    <w:rPr>
                      <w:rFonts w:ascii="TimesNewRomanPS-BoldMT" w:hAnsi="TimesNewRomanPS-BoldMT" w:cs="宋体"/>
                      <w:b/>
                      <w:bCs/>
                      <w:kern w:val="0"/>
                      <w:sz w:val="21"/>
                      <w:szCs w:val="21"/>
                    </w:rPr>
                    <w:t>)</w:t>
                  </w:r>
                </w:p>
              </w:tc>
              <w:tc>
                <w:tcPr>
                  <w:tcW w:w="1256" w:type="dxa"/>
                  <w:tcBorders>
                    <w:top w:val="single" w:color="auto" w:sz="4" w:space="0"/>
                    <w:left w:val="single" w:color="auto" w:sz="4" w:space="0"/>
                    <w:bottom w:val="single" w:color="auto" w:sz="4" w:space="0"/>
                    <w:right w:val="single" w:color="auto" w:sz="4" w:space="0"/>
                  </w:tcBorders>
                  <w:vAlign w:val="center"/>
                </w:tcPr>
                <w:p w14:paraId="3B0F8805">
                  <w:pPr>
                    <w:widowControl/>
                    <w:spacing w:line="240" w:lineRule="auto"/>
                    <w:ind w:firstLine="0" w:firstLineChars="0"/>
                    <w:jc w:val="left"/>
                    <w:rPr>
                      <w:rFonts w:hint="eastAsia" w:ascii="TimesNewRomanPSMT" w:hAnsi="TimesNewRomanPSMT" w:cs="宋体"/>
                      <w:kern w:val="0"/>
                      <w:sz w:val="21"/>
                      <w:szCs w:val="21"/>
                    </w:rPr>
                  </w:pPr>
                  <w:r>
                    <w:rPr>
                      <w:rFonts w:ascii="TimesNewRomanPS-BoldMT" w:hAnsi="TimesNewRomanPS-BoldMT" w:cs="宋体"/>
                      <w:b/>
                      <w:bCs/>
                      <w:kern w:val="0"/>
                      <w:sz w:val="21"/>
                      <w:szCs w:val="21"/>
                    </w:rPr>
                    <w:t>Vx</w:t>
                  </w:r>
                  <w:r>
                    <w:rPr>
                      <w:rFonts w:ascii="宋体" w:hAnsi="宋体" w:cs="宋体"/>
                      <w:kern w:val="0"/>
                      <w:sz w:val="21"/>
                      <w:szCs w:val="21"/>
                    </w:rPr>
                    <w:t>（</w:t>
                  </w:r>
                  <w:r>
                    <w:rPr>
                      <w:rFonts w:ascii="TimesNewRomanPSMT" w:hAnsi="TimesNewRomanPSMT" w:cs="宋体"/>
                      <w:kern w:val="0"/>
                      <w:sz w:val="21"/>
                      <w:szCs w:val="21"/>
                    </w:rPr>
                    <w:t>m/s)</w:t>
                  </w:r>
                </w:p>
              </w:tc>
              <w:tc>
                <w:tcPr>
                  <w:tcW w:w="1069" w:type="dxa"/>
                  <w:vMerge w:val="continue"/>
                  <w:tcBorders>
                    <w:left w:val="single" w:color="auto" w:sz="4" w:space="0"/>
                    <w:bottom w:val="single" w:color="auto" w:sz="4" w:space="0"/>
                    <w:right w:val="single" w:color="auto" w:sz="4" w:space="0"/>
                  </w:tcBorders>
                  <w:vAlign w:val="center"/>
                </w:tcPr>
                <w:p w14:paraId="5DE1EA93">
                  <w:pPr>
                    <w:widowControl/>
                    <w:spacing w:line="240" w:lineRule="auto"/>
                    <w:ind w:firstLine="0" w:firstLineChars="0"/>
                    <w:jc w:val="left"/>
                    <w:rPr>
                      <w:rFonts w:hint="eastAsia" w:ascii="TimesNewRomanPSMT" w:hAnsi="TimesNewRomanPSMT" w:cs="宋体"/>
                      <w:kern w:val="0"/>
                      <w:sz w:val="21"/>
                      <w:szCs w:val="21"/>
                    </w:rPr>
                  </w:pPr>
                </w:p>
              </w:tc>
              <w:tc>
                <w:tcPr>
                  <w:tcW w:w="1069" w:type="dxa"/>
                  <w:vMerge w:val="continue"/>
                  <w:tcBorders>
                    <w:left w:val="single" w:color="auto" w:sz="4" w:space="0"/>
                    <w:bottom w:val="single" w:color="auto" w:sz="4" w:space="0"/>
                    <w:right w:val="single" w:color="auto" w:sz="4" w:space="0"/>
                  </w:tcBorders>
                  <w:vAlign w:val="center"/>
                </w:tcPr>
                <w:p w14:paraId="3EF10389">
                  <w:pPr>
                    <w:widowControl/>
                    <w:spacing w:line="240" w:lineRule="auto"/>
                    <w:ind w:firstLine="0" w:firstLineChars="0"/>
                    <w:jc w:val="left"/>
                    <w:rPr>
                      <w:rFonts w:hint="eastAsia" w:ascii="TimesNewRomanPSMT" w:hAnsi="TimesNewRomanPSMT" w:cs="宋体"/>
                      <w:kern w:val="0"/>
                      <w:sz w:val="21"/>
                      <w:szCs w:val="21"/>
                    </w:rPr>
                  </w:pPr>
                </w:p>
              </w:tc>
            </w:tr>
            <w:tr w14:paraId="27C4E4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829" w:type="dxa"/>
                  <w:tcBorders>
                    <w:top w:val="single" w:color="auto" w:sz="4" w:space="0"/>
                    <w:left w:val="single" w:color="auto" w:sz="4" w:space="0"/>
                    <w:bottom w:val="single" w:color="auto" w:sz="4" w:space="0"/>
                    <w:right w:val="single" w:color="auto" w:sz="4" w:space="0"/>
                  </w:tcBorders>
                  <w:vAlign w:val="center"/>
                </w:tcPr>
                <w:p w14:paraId="028A056F">
                  <w:pPr>
                    <w:widowControl/>
                    <w:spacing w:line="240" w:lineRule="auto"/>
                    <w:ind w:firstLine="0" w:firstLineChars="0"/>
                    <w:jc w:val="left"/>
                    <w:rPr>
                      <w:rFonts w:hint="eastAsia" w:ascii="宋体" w:hAnsi="宋体" w:cs="宋体"/>
                      <w:kern w:val="0"/>
                      <w:sz w:val="21"/>
                      <w:szCs w:val="21"/>
                    </w:rPr>
                  </w:pPr>
                  <w:r>
                    <w:rPr>
                      <w:rFonts w:ascii="宋体" w:hAnsi="宋体" w:cs="宋体"/>
                      <w:kern w:val="0"/>
                      <w:sz w:val="21"/>
                      <w:szCs w:val="21"/>
                    </w:rPr>
                    <w:t>热压工序</w:t>
                  </w:r>
                </w:p>
              </w:tc>
              <w:tc>
                <w:tcPr>
                  <w:tcW w:w="1321" w:type="dxa"/>
                  <w:tcBorders>
                    <w:top w:val="single" w:color="auto" w:sz="4" w:space="0"/>
                    <w:left w:val="single" w:color="auto" w:sz="4" w:space="0"/>
                    <w:bottom w:val="single" w:color="auto" w:sz="4" w:space="0"/>
                    <w:right w:val="single" w:color="auto" w:sz="4" w:space="0"/>
                  </w:tcBorders>
                  <w:vAlign w:val="center"/>
                </w:tcPr>
                <w:p w14:paraId="03FF2335">
                  <w:pPr>
                    <w:widowControl/>
                    <w:spacing w:line="240" w:lineRule="auto"/>
                    <w:ind w:firstLine="0" w:firstLineChars="0"/>
                    <w:jc w:val="left"/>
                    <w:rPr>
                      <w:rFonts w:hint="eastAsia" w:ascii="TimesNewRomanPSMT" w:hAnsi="TimesNewRomanPSMT" w:cs="宋体"/>
                      <w:kern w:val="0"/>
                      <w:sz w:val="21"/>
                      <w:szCs w:val="21"/>
                    </w:rPr>
                  </w:pPr>
                  <w:r>
                    <w:rPr>
                      <w:rFonts w:hint="eastAsia" w:ascii="TimesNewRomanPSMT" w:hAnsi="TimesNewRomanPSMT" w:cs="宋体"/>
                      <w:kern w:val="0"/>
                      <w:sz w:val="21"/>
                      <w:szCs w:val="21"/>
                    </w:rPr>
                    <w:t>2</w:t>
                  </w:r>
                  <w:r>
                    <w:rPr>
                      <w:rFonts w:ascii="宋体" w:hAnsi="宋体" w:cs="宋体"/>
                      <w:kern w:val="0"/>
                      <w:sz w:val="21"/>
                      <w:szCs w:val="21"/>
                    </w:rPr>
                    <w:t>套</w:t>
                  </w:r>
                </w:p>
              </w:tc>
              <w:tc>
                <w:tcPr>
                  <w:tcW w:w="1418" w:type="dxa"/>
                  <w:tcBorders>
                    <w:top w:val="single" w:color="auto" w:sz="4" w:space="0"/>
                    <w:left w:val="single" w:color="auto" w:sz="4" w:space="0"/>
                    <w:bottom w:val="single" w:color="auto" w:sz="4" w:space="0"/>
                    <w:right w:val="single" w:color="auto" w:sz="4" w:space="0"/>
                  </w:tcBorders>
                  <w:vAlign w:val="center"/>
                </w:tcPr>
                <w:p w14:paraId="6DF65E5A">
                  <w:pPr>
                    <w:widowControl/>
                    <w:spacing w:line="240" w:lineRule="auto"/>
                    <w:ind w:firstLine="0" w:firstLineChars="0"/>
                    <w:jc w:val="left"/>
                    <w:rPr>
                      <w:rFonts w:hint="eastAsia" w:ascii="TimesNewRomanPSMT" w:hAnsi="TimesNewRomanPSMT" w:cs="宋体"/>
                      <w:kern w:val="0"/>
                      <w:sz w:val="21"/>
                      <w:szCs w:val="21"/>
                    </w:rPr>
                  </w:pPr>
                  <w:r>
                    <w:rPr>
                      <w:rFonts w:ascii="TimesNewRomanPSMT" w:hAnsi="TimesNewRomanPSMT" w:cs="宋体"/>
                      <w:kern w:val="0"/>
                      <w:sz w:val="21"/>
                      <w:szCs w:val="21"/>
                    </w:rPr>
                    <w:t>2.5*0.5m</w:t>
                  </w:r>
                </w:p>
              </w:tc>
              <w:tc>
                <w:tcPr>
                  <w:tcW w:w="994" w:type="dxa"/>
                  <w:tcBorders>
                    <w:top w:val="single" w:color="auto" w:sz="4" w:space="0"/>
                    <w:left w:val="single" w:color="auto" w:sz="4" w:space="0"/>
                    <w:bottom w:val="single" w:color="auto" w:sz="4" w:space="0"/>
                    <w:right w:val="single" w:color="auto" w:sz="4" w:space="0"/>
                  </w:tcBorders>
                  <w:vAlign w:val="center"/>
                </w:tcPr>
                <w:p w14:paraId="1F8E9913">
                  <w:pPr>
                    <w:widowControl/>
                    <w:spacing w:line="240" w:lineRule="auto"/>
                    <w:ind w:firstLine="0" w:firstLineChars="0"/>
                    <w:jc w:val="left"/>
                    <w:rPr>
                      <w:rFonts w:hint="eastAsia" w:ascii="TimesNewRomanPSMT" w:hAnsi="TimesNewRomanPSMT" w:cs="宋体"/>
                      <w:kern w:val="0"/>
                      <w:sz w:val="21"/>
                      <w:szCs w:val="21"/>
                    </w:rPr>
                  </w:pPr>
                  <w:r>
                    <w:rPr>
                      <w:rFonts w:hint="eastAsia" w:ascii="TimesNewRomanPSMT" w:hAnsi="TimesNewRomanPSMT" w:cs="宋体"/>
                      <w:kern w:val="0"/>
                      <w:sz w:val="21"/>
                      <w:szCs w:val="21"/>
                    </w:rPr>
                    <w:t>0.5</w:t>
                  </w:r>
                </w:p>
              </w:tc>
              <w:tc>
                <w:tcPr>
                  <w:tcW w:w="992" w:type="dxa"/>
                  <w:tcBorders>
                    <w:top w:val="single" w:color="auto" w:sz="4" w:space="0"/>
                    <w:left w:val="single" w:color="auto" w:sz="4" w:space="0"/>
                    <w:bottom w:val="single" w:color="auto" w:sz="4" w:space="0"/>
                    <w:right w:val="single" w:color="auto" w:sz="4" w:space="0"/>
                  </w:tcBorders>
                  <w:vAlign w:val="center"/>
                </w:tcPr>
                <w:p w14:paraId="3C93384F">
                  <w:pPr>
                    <w:widowControl/>
                    <w:spacing w:line="240" w:lineRule="auto"/>
                    <w:ind w:firstLine="0" w:firstLineChars="0"/>
                    <w:jc w:val="left"/>
                    <w:rPr>
                      <w:rFonts w:hint="eastAsia" w:ascii="TimesNewRomanPSMT" w:hAnsi="TimesNewRomanPSMT" w:cs="宋体"/>
                      <w:kern w:val="0"/>
                      <w:sz w:val="21"/>
                      <w:szCs w:val="21"/>
                    </w:rPr>
                  </w:pPr>
                  <w:r>
                    <w:rPr>
                      <w:rFonts w:ascii="TimesNewRomanPSMT" w:hAnsi="TimesNewRomanPSMT" w:cs="宋体"/>
                      <w:kern w:val="0"/>
                      <w:sz w:val="21"/>
                      <w:szCs w:val="21"/>
                    </w:rPr>
                    <w:t xml:space="preserve">1.25 </w:t>
                  </w:r>
                </w:p>
              </w:tc>
              <w:tc>
                <w:tcPr>
                  <w:tcW w:w="1256" w:type="dxa"/>
                  <w:tcBorders>
                    <w:top w:val="single" w:color="auto" w:sz="4" w:space="0"/>
                    <w:left w:val="single" w:color="auto" w:sz="4" w:space="0"/>
                    <w:bottom w:val="single" w:color="auto" w:sz="4" w:space="0"/>
                    <w:right w:val="single" w:color="auto" w:sz="4" w:space="0"/>
                  </w:tcBorders>
                  <w:vAlign w:val="center"/>
                </w:tcPr>
                <w:p w14:paraId="76E3F055">
                  <w:pPr>
                    <w:widowControl/>
                    <w:spacing w:line="240" w:lineRule="auto"/>
                    <w:ind w:firstLine="0" w:firstLineChars="0"/>
                    <w:jc w:val="left"/>
                    <w:rPr>
                      <w:rFonts w:hint="eastAsia" w:ascii="TimesNewRomanPSMT" w:hAnsi="TimesNewRomanPSMT" w:cs="宋体"/>
                      <w:kern w:val="0"/>
                      <w:sz w:val="21"/>
                      <w:szCs w:val="21"/>
                    </w:rPr>
                  </w:pPr>
                  <w:r>
                    <w:rPr>
                      <w:rFonts w:ascii="TimesNewRomanPSMT" w:hAnsi="TimesNewRomanPSMT" w:cs="宋体"/>
                      <w:kern w:val="0"/>
                      <w:sz w:val="21"/>
                      <w:szCs w:val="21"/>
                    </w:rPr>
                    <w:t xml:space="preserve">0.4 </w:t>
                  </w:r>
                </w:p>
              </w:tc>
              <w:tc>
                <w:tcPr>
                  <w:tcW w:w="1069" w:type="dxa"/>
                  <w:tcBorders>
                    <w:top w:val="single" w:color="auto" w:sz="4" w:space="0"/>
                    <w:left w:val="single" w:color="auto" w:sz="4" w:space="0"/>
                    <w:bottom w:val="single" w:color="auto" w:sz="4" w:space="0"/>
                    <w:right w:val="single" w:color="auto" w:sz="4" w:space="0"/>
                  </w:tcBorders>
                  <w:vAlign w:val="center"/>
                </w:tcPr>
                <w:p w14:paraId="2187F194">
                  <w:pPr>
                    <w:widowControl/>
                    <w:spacing w:line="240" w:lineRule="auto"/>
                    <w:ind w:firstLine="0" w:firstLineChars="0"/>
                    <w:jc w:val="left"/>
                    <w:rPr>
                      <w:rFonts w:hint="eastAsia" w:ascii="TimesNewRomanPSMT" w:hAnsi="TimesNewRomanPSMT" w:cs="宋体"/>
                      <w:kern w:val="0"/>
                      <w:sz w:val="21"/>
                      <w:szCs w:val="21"/>
                    </w:rPr>
                  </w:pPr>
                  <w:r>
                    <w:rPr>
                      <w:rFonts w:ascii="TimesNewRomanPSMT" w:hAnsi="TimesNewRomanPSMT" w:cs="宋体"/>
                      <w:kern w:val="0"/>
                      <w:sz w:val="21"/>
                      <w:szCs w:val="21"/>
                    </w:rPr>
                    <w:t>7200</w:t>
                  </w:r>
                </w:p>
              </w:tc>
              <w:tc>
                <w:tcPr>
                  <w:tcW w:w="1069" w:type="dxa"/>
                  <w:tcBorders>
                    <w:top w:val="single" w:color="auto" w:sz="4" w:space="0"/>
                    <w:left w:val="single" w:color="auto" w:sz="4" w:space="0"/>
                    <w:bottom w:val="single" w:color="auto" w:sz="4" w:space="0"/>
                    <w:right w:val="single" w:color="auto" w:sz="4" w:space="0"/>
                  </w:tcBorders>
                  <w:vAlign w:val="center"/>
                </w:tcPr>
                <w:p w14:paraId="774B889D">
                  <w:pPr>
                    <w:widowControl/>
                    <w:spacing w:line="240" w:lineRule="auto"/>
                    <w:ind w:firstLine="0" w:firstLineChars="0"/>
                    <w:jc w:val="left"/>
                    <w:rPr>
                      <w:rFonts w:hint="eastAsia" w:ascii="TimesNewRomanPSMT" w:hAnsi="TimesNewRomanPSMT" w:cs="宋体"/>
                      <w:kern w:val="0"/>
                      <w:sz w:val="21"/>
                      <w:szCs w:val="21"/>
                    </w:rPr>
                  </w:pPr>
                  <w:r>
                    <w:rPr>
                      <w:rFonts w:hint="eastAsia" w:ascii="TimesNewRomanPSMT" w:hAnsi="TimesNewRomanPSMT" w:cs="宋体"/>
                      <w:kern w:val="0"/>
                      <w:sz w:val="21"/>
                      <w:szCs w:val="21"/>
                    </w:rPr>
                    <w:t>7200</w:t>
                  </w:r>
                </w:p>
              </w:tc>
            </w:tr>
          </w:tbl>
          <w:p w14:paraId="47857B37">
            <w:pPr>
              <w:pStyle w:val="70"/>
              <w:snapToGrid w:val="0"/>
              <w:spacing w:line="360" w:lineRule="auto"/>
              <w:ind w:left="0" w:right="0" w:firstLine="480" w:firstLineChars="200"/>
              <w:jc w:val="both"/>
              <w:rPr>
                <w:bCs/>
                <w:szCs w:val="24"/>
              </w:rPr>
            </w:pPr>
          </w:p>
          <w:p w14:paraId="56BEFB84">
            <w:pPr>
              <w:pStyle w:val="70"/>
              <w:snapToGrid w:val="0"/>
              <w:spacing w:line="360" w:lineRule="auto"/>
              <w:ind w:left="0" w:right="0" w:firstLine="480" w:firstLineChars="200"/>
              <w:jc w:val="both"/>
              <w:rPr>
                <w:bCs/>
                <w:szCs w:val="24"/>
              </w:rPr>
            </w:pPr>
            <w:r>
              <w:rPr>
                <w:rFonts w:hint="eastAsia"/>
                <w:bCs/>
                <w:szCs w:val="24"/>
              </w:rPr>
              <w:t>贴面生产时间2400h/a，风机风量7200m</w:t>
            </w:r>
            <w:r>
              <w:rPr>
                <w:rFonts w:hint="eastAsia"/>
                <w:bCs/>
                <w:szCs w:val="24"/>
                <w:vertAlign w:val="superscript"/>
              </w:rPr>
              <w:t>3</w:t>
            </w:r>
            <w:r>
              <w:rPr>
                <w:bCs/>
                <w:szCs w:val="24"/>
              </w:rPr>
              <w:t>/h</w:t>
            </w:r>
            <w:r>
              <w:rPr>
                <w:rFonts w:hint="eastAsia"/>
                <w:bCs/>
                <w:szCs w:val="24"/>
              </w:rPr>
              <w:t>。集气罩收集效率80%，活性炭处理去除率为50%，因此，</w:t>
            </w:r>
            <w:r>
              <w:rPr>
                <w:bCs/>
                <w:szCs w:val="24"/>
              </w:rPr>
              <w:t>VOCs</w:t>
            </w:r>
            <w:r>
              <w:rPr>
                <w:rFonts w:hint="eastAsia"/>
                <w:bCs/>
                <w:szCs w:val="24"/>
              </w:rPr>
              <w:t>排放量为0.045t</w:t>
            </w:r>
            <w:r>
              <w:rPr>
                <w:bCs/>
                <w:szCs w:val="24"/>
              </w:rPr>
              <w:t>/a，</w:t>
            </w:r>
            <w:r>
              <w:rPr>
                <w:rFonts w:hint="eastAsia"/>
                <w:bCs/>
                <w:szCs w:val="24"/>
              </w:rPr>
              <w:t>排放速率为0.018kg</w:t>
            </w:r>
            <w:r>
              <w:rPr>
                <w:bCs/>
                <w:szCs w:val="24"/>
              </w:rPr>
              <w:t>/h</w:t>
            </w:r>
            <w:r>
              <w:rPr>
                <w:rFonts w:hint="eastAsia"/>
                <w:bCs/>
                <w:szCs w:val="24"/>
              </w:rPr>
              <w:t>，排放浓度2.6</w:t>
            </w:r>
            <w:r>
              <w:rPr>
                <w:szCs w:val="24"/>
              </w:rPr>
              <w:t>mg/m</w:t>
            </w:r>
            <w:r>
              <w:rPr>
                <w:szCs w:val="24"/>
                <w:vertAlign w:val="superscript"/>
              </w:rPr>
              <w:t>3</w:t>
            </w:r>
            <w:r>
              <w:rPr>
                <w:rFonts w:hint="eastAsia"/>
                <w:bCs/>
                <w:szCs w:val="24"/>
              </w:rPr>
              <w:t>；甲醛排放量为0.178kg</w:t>
            </w:r>
            <w:r>
              <w:rPr>
                <w:bCs/>
                <w:szCs w:val="24"/>
              </w:rPr>
              <w:t>/a，</w:t>
            </w:r>
            <w:r>
              <w:rPr>
                <w:rFonts w:hint="eastAsia"/>
                <w:bCs/>
                <w:szCs w:val="24"/>
              </w:rPr>
              <w:t>排放速率为0.074</w:t>
            </w:r>
            <w:r>
              <w:rPr>
                <w:bCs/>
                <w:szCs w:val="24"/>
              </w:rPr>
              <w:t>g/h</w:t>
            </w:r>
            <w:r>
              <w:rPr>
                <w:rFonts w:hint="eastAsia"/>
                <w:bCs/>
                <w:szCs w:val="24"/>
              </w:rPr>
              <w:t>，排放浓度0.01</w:t>
            </w:r>
            <w:r>
              <w:rPr>
                <w:szCs w:val="24"/>
              </w:rPr>
              <w:t>mg/m</w:t>
            </w:r>
            <w:r>
              <w:rPr>
                <w:szCs w:val="24"/>
                <w:vertAlign w:val="superscript"/>
              </w:rPr>
              <w:t>3</w:t>
            </w:r>
            <w:r>
              <w:rPr>
                <w:rFonts w:hint="eastAsia"/>
                <w:bCs/>
                <w:szCs w:val="24"/>
              </w:rPr>
              <w:t>。</w:t>
            </w:r>
          </w:p>
          <w:p w14:paraId="77C3CCBE">
            <w:pPr>
              <w:pStyle w:val="70"/>
              <w:snapToGrid w:val="0"/>
              <w:spacing w:line="360" w:lineRule="auto"/>
              <w:ind w:left="0" w:right="0" w:firstLine="480" w:firstLineChars="200"/>
              <w:jc w:val="both"/>
              <w:rPr>
                <w:szCs w:val="21"/>
              </w:rPr>
            </w:pPr>
            <w:r>
              <w:rPr>
                <w:rFonts w:hint="eastAsia"/>
                <w:bCs/>
                <w:szCs w:val="24"/>
              </w:rPr>
              <w:t>废气达标情况：项目设备在试运行时，</w:t>
            </w:r>
            <w:r>
              <w:rPr>
                <w:szCs w:val="21"/>
              </w:rPr>
              <w:t>2026</w:t>
            </w:r>
            <w:r>
              <w:rPr>
                <w:rFonts w:hint="eastAsia"/>
                <w:szCs w:val="21"/>
              </w:rPr>
              <w:t>年</w:t>
            </w:r>
            <w:r>
              <w:rPr>
                <w:szCs w:val="21"/>
              </w:rPr>
              <w:t>04</w:t>
            </w:r>
            <w:r>
              <w:rPr>
                <w:rFonts w:hint="eastAsia"/>
                <w:szCs w:val="21"/>
              </w:rPr>
              <w:t>月</w:t>
            </w:r>
            <w:r>
              <w:rPr>
                <w:szCs w:val="21"/>
              </w:rPr>
              <w:t>28</w:t>
            </w:r>
            <w:r>
              <w:rPr>
                <w:rFonts w:hint="eastAsia"/>
                <w:szCs w:val="21"/>
              </w:rPr>
              <w:t>日-29日</w:t>
            </w:r>
            <w:r>
              <w:rPr>
                <w:szCs w:val="21"/>
              </w:rPr>
              <w:t>对</w:t>
            </w:r>
            <w:r>
              <w:rPr>
                <w:rFonts w:hint="eastAsia"/>
                <w:szCs w:val="21"/>
              </w:rPr>
              <w:t>活性炭排气筒的甲醛、非甲烷总烃进行检测，</w:t>
            </w:r>
            <w:r>
              <w:rPr>
                <w:szCs w:val="21"/>
              </w:rPr>
              <w:t>监测数据如下：</w:t>
            </w:r>
          </w:p>
          <w:p w14:paraId="2D929467">
            <w:pPr>
              <w:adjustRightInd w:val="0"/>
              <w:snapToGrid w:val="0"/>
              <w:spacing w:line="240" w:lineRule="auto"/>
              <w:ind w:firstLine="482"/>
              <w:jc w:val="center"/>
              <w:rPr>
                <w:rFonts w:cs="Times New Roman"/>
                <w:b/>
                <w:bCs/>
                <w:szCs w:val="24"/>
              </w:rPr>
            </w:pPr>
            <w:r>
              <w:rPr>
                <w:rFonts w:cs="Times New Roman"/>
                <w:b/>
                <w:bCs/>
                <w:szCs w:val="24"/>
              </w:rPr>
              <w:t>表4-</w:t>
            </w:r>
            <w:r>
              <w:rPr>
                <w:rFonts w:hint="eastAsia" w:cs="Times New Roman"/>
                <w:b/>
                <w:bCs/>
                <w:szCs w:val="24"/>
              </w:rPr>
              <w:t xml:space="preserve">1 </w:t>
            </w:r>
            <w:r>
              <w:rPr>
                <w:rFonts w:cs="Times New Roman"/>
                <w:b/>
                <w:bCs/>
                <w:szCs w:val="24"/>
              </w:rPr>
              <w:t xml:space="preserve"> </w:t>
            </w:r>
            <w:r>
              <w:rPr>
                <w:rFonts w:hint="eastAsia" w:cs="Times New Roman"/>
                <w:b/>
                <w:bCs/>
                <w:szCs w:val="24"/>
              </w:rPr>
              <w:t>有</w:t>
            </w:r>
            <w:r>
              <w:rPr>
                <w:rFonts w:cs="Times New Roman"/>
                <w:b/>
                <w:bCs/>
                <w:szCs w:val="24"/>
              </w:rPr>
              <w:t>组织废气检测结果</w:t>
            </w:r>
          </w:p>
          <w:tbl>
            <w:tblPr>
              <w:tblStyle w:val="87"/>
              <w:tblW w:w="8663" w:type="dxa"/>
              <w:jc w:val="center"/>
              <w:tblBorders>
                <w:top w:val="single" w:color="000000" w:sz="6" w:space="0"/>
                <w:left w:val="single" w:color="000000" w:sz="6" w:space="0"/>
                <w:bottom w:val="single" w:color="000000" w:sz="6" w:space="0"/>
                <w:right w:val="none" w:color="auto" w:sz="0" w:space="0"/>
                <w:insideH w:val="single" w:color="000000" w:sz="6" w:space="0"/>
                <w:insideV w:val="single" w:color="000000" w:sz="6" w:space="0"/>
              </w:tblBorders>
              <w:tblLayout w:type="autofit"/>
              <w:tblCellMar>
                <w:top w:w="0" w:type="dxa"/>
                <w:left w:w="0" w:type="dxa"/>
                <w:bottom w:w="0" w:type="dxa"/>
                <w:right w:w="0" w:type="dxa"/>
              </w:tblCellMar>
            </w:tblPr>
            <w:tblGrid>
              <w:gridCol w:w="1210"/>
              <w:gridCol w:w="1102"/>
              <w:gridCol w:w="913"/>
              <w:gridCol w:w="1323"/>
              <w:gridCol w:w="995"/>
              <w:gridCol w:w="1040"/>
              <w:gridCol w:w="1040"/>
              <w:gridCol w:w="1040"/>
            </w:tblGrid>
            <w:tr w14:paraId="311C33F0">
              <w:tblPrEx>
                <w:tblBorders>
                  <w:top w:val="single" w:color="000000" w:sz="6" w:space="0"/>
                  <w:left w:val="single" w:color="000000" w:sz="6" w:space="0"/>
                  <w:bottom w:val="single" w:color="000000" w:sz="6"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86" w:hRule="atLeast"/>
                <w:jc w:val="center"/>
              </w:trPr>
              <w:tc>
                <w:tcPr>
                  <w:tcW w:w="1210" w:type="dxa"/>
                  <w:tcBorders>
                    <w:left w:val="nil"/>
                  </w:tcBorders>
                  <w:vAlign w:val="center"/>
                </w:tcPr>
                <w:p w14:paraId="6B54052A">
                  <w:pPr>
                    <w:adjustRightInd w:val="0"/>
                    <w:snapToGrid w:val="0"/>
                    <w:spacing w:line="240" w:lineRule="exact"/>
                    <w:ind w:firstLine="0" w:firstLineChars="0"/>
                    <w:jc w:val="center"/>
                    <w:rPr>
                      <w:rFonts w:cs="Times New Roman"/>
                      <w:sz w:val="21"/>
                      <w:szCs w:val="21"/>
                    </w:rPr>
                  </w:pPr>
                  <w:r>
                    <w:rPr>
                      <w:rFonts w:hint="eastAsia" w:cs="Times New Roman"/>
                      <w:sz w:val="21"/>
                      <w:szCs w:val="21"/>
                    </w:rPr>
                    <w:t>采样日期</w:t>
                  </w:r>
                </w:p>
              </w:tc>
              <w:tc>
                <w:tcPr>
                  <w:tcW w:w="1102" w:type="dxa"/>
                  <w:vAlign w:val="center"/>
                </w:tcPr>
                <w:p w14:paraId="1156FC9E">
                  <w:pPr>
                    <w:adjustRightInd w:val="0"/>
                    <w:snapToGrid w:val="0"/>
                    <w:spacing w:line="240" w:lineRule="exact"/>
                    <w:ind w:firstLine="0" w:firstLineChars="0"/>
                    <w:jc w:val="center"/>
                    <w:rPr>
                      <w:rFonts w:cs="Times New Roman"/>
                      <w:sz w:val="21"/>
                      <w:szCs w:val="21"/>
                    </w:rPr>
                  </w:pPr>
                  <w:r>
                    <w:rPr>
                      <w:rFonts w:hint="eastAsia" w:cs="Times New Roman"/>
                      <w:sz w:val="21"/>
                      <w:szCs w:val="21"/>
                    </w:rPr>
                    <w:t>点位名称</w:t>
                  </w:r>
                </w:p>
              </w:tc>
              <w:tc>
                <w:tcPr>
                  <w:tcW w:w="2236" w:type="dxa"/>
                  <w:gridSpan w:val="2"/>
                  <w:vAlign w:val="center"/>
                </w:tcPr>
                <w:p w14:paraId="512603A7">
                  <w:pPr>
                    <w:adjustRightInd w:val="0"/>
                    <w:snapToGrid w:val="0"/>
                    <w:spacing w:line="240" w:lineRule="exact"/>
                    <w:ind w:firstLine="0" w:firstLineChars="0"/>
                    <w:jc w:val="center"/>
                    <w:rPr>
                      <w:rFonts w:cs="Times New Roman"/>
                      <w:sz w:val="21"/>
                      <w:szCs w:val="21"/>
                    </w:rPr>
                  </w:pPr>
                  <w:r>
                    <w:rPr>
                      <w:rFonts w:hint="eastAsia" w:cs="Times New Roman"/>
                      <w:sz w:val="21"/>
                      <w:szCs w:val="21"/>
                    </w:rPr>
                    <w:t>检测项目</w:t>
                  </w:r>
                </w:p>
              </w:tc>
              <w:tc>
                <w:tcPr>
                  <w:tcW w:w="995" w:type="dxa"/>
                  <w:vAlign w:val="center"/>
                </w:tcPr>
                <w:p w14:paraId="3A66F7BC">
                  <w:pPr>
                    <w:adjustRightInd w:val="0"/>
                    <w:snapToGrid w:val="0"/>
                    <w:spacing w:line="240" w:lineRule="exact"/>
                    <w:ind w:firstLine="0" w:firstLineChars="0"/>
                    <w:jc w:val="center"/>
                    <w:rPr>
                      <w:rFonts w:cs="Times New Roman"/>
                      <w:sz w:val="21"/>
                      <w:szCs w:val="21"/>
                    </w:rPr>
                  </w:pPr>
                  <w:r>
                    <w:rPr>
                      <w:rFonts w:cs="Times New Roman"/>
                      <w:sz w:val="21"/>
                      <w:szCs w:val="21"/>
                    </w:rPr>
                    <w:t>单位</w:t>
                  </w:r>
                </w:p>
              </w:tc>
              <w:tc>
                <w:tcPr>
                  <w:tcW w:w="1040" w:type="dxa"/>
                  <w:vAlign w:val="center"/>
                </w:tcPr>
                <w:p w14:paraId="1B3AA783">
                  <w:pPr>
                    <w:adjustRightInd w:val="0"/>
                    <w:snapToGrid w:val="0"/>
                    <w:spacing w:line="240" w:lineRule="exact"/>
                    <w:ind w:firstLine="0" w:firstLineChars="0"/>
                    <w:jc w:val="center"/>
                    <w:rPr>
                      <w:rFonts w:cs="Times New Roman"/>
                      <w:sz w:val="21"/>
                      <w:szCs w:val="21"/>
                    </w:rPr>
                  </w:pPr>
                  <w:r>
                    <w:rPr>
                      <w:rFonts w:cs="Times New Roman"/>
                      <w:sz w:val="21"/>
                      <w:szCs w:val="21"/>
                    </w:rPr>
                    <w:t>第一次</w:t>
                  </w:r>
                </w:p>
              </w:tc>
              <w:tc>
                <w:tcPr>
                  <w:tcW w:w="1040" w:type="dxa"/>
                  <w:vAlign w:val="center"/>
                </w:tcPr>
                <w:p w14:paraId="3439199E">
                  <w:pPr>
                    <w:adjustRightInd w:val="0"/>
                    <w:snapToGrid w:val="0"/>
                    <w:spacing w:line="240" w:lineRule="exact"/>
                    <w:ind w:firstLine="0" w:firstLineChars="0"/>
                    <w:jc w:val="center"/>
                    <w:rPr>
                      <w:rFonts w:cs="Times New Roman"/>
                      <w:sz w:val="21"/>
                      <w:szCs w:val="21"/>
                    </w:rPr>
                  </w:pPr>
                  <w:r>
                    <w:rPr>
                      <w:rFonts w:cs="Times New Roman"/>
                      <w:sz w:val="21"/>
                      <w:szCs w:val="21"/>
                    </w:rPr>
                    <w:t>第二次</w:t>
                  </w:r>
                </w:p>
              </w:tc>
              <w:tc>
                <w:tcPr>
                  <w:tcW w:w="1040" w:type="dxa"/>
                  <w:vAlign w:val="center"/>
                </w:tcPr>
                <w:p w14:paraId="0D9891C0">
                  <w:pPr>
                    <w:adjustRightInd w:val="0"/>
                    <w:snapToGrid w:val="0"/>
                    <w:spacing w:line="240" w:lineRule="exact"/>
                    <w:ind w:firstLine="0" w:firstLineChars="0"/>
                    <w:jc w:val="center"/>
                    <w:rPr>
                      <w:rFonts w:cs="Times New Roman"/>
                      <w:sz w:val="21"/>
                      <w:szCs w:val="21"/>
                    </w:rPr>
                  </w:pPr>
                  <w:r>
                    <w:rPr>
                      <w:rFonts w:cs="Times New Roman"/>
                      <w:sz w:val="21"/>
                      <w:szCs w:val="21"/>
                    </w:rPr>
                    <w:t>第三次</w:t>
                  </w:r>
                </w:p>
              </w:tc>
            </w:tr>
            <w:tr w14:paraId="3BAC99FF">
              <w:tblPrEx>
                <w:tblBorders>
                  <w:top w:val="single" w:color="000000" w:sz="6" w:space="0"/>
                  <w:left w:val="single" w:color="000000" w:sz="6" w:space="0"/>
                  <w:bottom w:val="single" w:color="000000" w:sz="6"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51" w:hRule="atLeast"/>
                <w:jc w:val="center"/>
              </w:trPr>
              <w:tc>
                <w:tcPr>
                  <w:tcW w:w="1210" w:type="dxa"/>
                  <w:vMerge w:val="restart"/>
                  <w:tcBorders>
                    <w:left w:val="nil"/>
                  </w:tcBorders>
                  <w:vAlign w:val="center"/>
                </w:tcPr>
                <w:p w14:paraId="22015914">
                  <w:pPr>
                    <w:adjustRightInd w:val="0"/>
                    <w:snapToGrid w:val="0"/>
                    <w:spacing w:line="240" w:lineRule="exact"/>
                    <w:ind w:firstLine="0" w:firstLineChars="0"/>
                    <w:jc w:val="center"/>
                    <w:rPr>
                      <w:rFonts w:cs="Times New Roman"/>
                      <w:sz w:val="21"/>
                      <w:szCs w:val="21"/>
                    </w:rPr>
                  </w:pPr>
                  <w:r>
                    <w:rPr>
                      <w:rFonts w:hint="eastAsia" w:cs="Times New Roman"/>
                      <w:sz w:val="21"/>
                      <w:szCs w:val="21"/>
                    </w:rPr>
                    <w:t>2026.04.28</w:t>
                  </w:r>
                </w:p>
              </w:tc>
              <w:tc>
                <w:tcPr>
                  <w:tcW w:w="1102" w:type="dxa"/>
                  <w:vMerge w:val="restart"/>
                  <w:vAlign w:val="center"/>
                </w:tcPr>
                <w:p w14:paraId="28C31468">
                  <w:pPr>
                    <w:adjustRightInd w:val="0"/>
                    <w:snapToGrid w:val="0"/>
                    <w:spacing w:line="240" w:lineRule="exact"/>
                    <w:ind w:firstLine="0" w:firstLineChars="0"/>
                    <w:jc w:val="center"/>
                    <w:rPr>
                      <w:rFonts w:cs="Times New Roman"/>
                      <w:sz w:val="21"/>
                      <w:szCs w:val="21"/>
                    </w:rPr>
                  </w:pPr>
                  <w:r>
                    <w:rPr>
                      <w:rFonts w:hint="eastAsia" w:cs="Times New Roman"/>
                      <w:sz w:val="21"/>
                      <w:szCs w:val="21"/>
                    </w:rPr>
                    <w:t>2#活性炭</w:t>
                  </w:r>
                </w:p>
                <w:p w14:paraId="5EF29FD6">
                  <w:pPr>
                    <w:adjustRightInd w:val="0"/>
                    <w:snapToGrid w:val="0"/>
                    <w:spacing w:line="240" w:lineRule="exact"/>
                    <w:ind w:firstLine="0" w:firstLineChars="0"/>
                    <w:jc w:val="center"/>
                    <w:rPr>
                      <w:rFonts w:cs="Times New Roman"/>
                      <w:sz w:val="21"/>
                      <w:szCs w:val="21"/>
                    </w:rPr>
                  </w:pPr>
                  <w:r>
                    <w:rPr>
                      <w:rFonts w:hint="eastAsia" w:cs="Times New Roman"/>
                      <w:sz w:val="21"/>
                      <w:szCs w:val="21"/>
                    </w:rPr>
                    <w:t>排气筒</w:t>
                  </w:r>
                </w:p>
              </w:tc>
              <w:tc>
                <w:tcPr>
                  <w:tcW w:w="2236" w:type="dxa"/>
                  <w:gridSpan w:val="2"/>
                  <w:vAlign w:val="center"/>
                </w:tcPr>
                <w:p w14:paraId="1CEACE94">
                  <w:pPr>
                    <w:adjustRightInd w:val="0"/>
                    <w:snapToGrid w:val="0"/>
                    <w:spacing w:line="240" w:lineRule="exact"/>
                    <w:ind w:firstLine="0" w:firstLineChars="0"/>
                    <w:jc w:val="center"/>
                    <w:rPr>
                      <w:rFonts w:cs="Times New Roman"/>
                      <w:sz w:val="21"/>
                      <w:szCs w:val="21"/>
                    </w:rPr>
                  </w:pPr>
                  <w:r>
                    <w:rPr>
                      <w:rFonts w:hint="eastAsia" w:cs="Times New Roman"/>
                      <w:sz w:val="21"/>
                      <w:szCs w:val="21"/>
                    </w:rPr>
                    <w:t>排气</w:t>
                  </w:r>
                  <w:r>
                    <w:rPr>
                      <w:rFonts w:cs="Times New Roman"/>
                      <w:sz w:val="21"/>
                      <w:szCs w:val="21"/>
                    </w:rPr>
                    <w:t>流量</w:t>
                  </w:r>
                </w:p>
              </w:tc>
              <w:tc>
                <w:tcPr>
                  <w:tcW w:w="995" w:type="dxa"/>
                  <w:vAlign w:val="center"/>
                </w:tcPr>
                <w:p w14:paraId="7703C493">
                  <w:pPr>
                    <w:adjustRightInd w:val="0"/>
                    <w:snapToGrid w:val="0"/>
                    <w:spacing w:line="240" w:lineRule="exact"/>
                    <w:ind w:firstLine="0" w:firstLineChars="0"/>
                    <w:jc w:val="center"/>
                    <w:rPr>
                      <w:rFonts w:cs="Times New Roman"/>
                      <w:sz w:val="21"/>
                      <w:szCs w:val="21"/>
                    </w:rPr>
                  </w:pPr>
                  <w:r>
                    <w:rPr>
                      <w:rFonts w:cs="Times New Roman"/>
                      <w:sz w:val="21"/>
                      <w:szCs w:val="21"/>
                    </w:rPr>
                    <w:t>m</w:t>
                  </w:r>
                  <w:r>
                    <w:rPr>
                      <w:rFonts w:cs="Times New Roman"/>
                      <w:sz w:val="21"/>
                      <w:szCs w:val="21"/>
                      <w:vertAlign w:val="superscript"/>
                    </w:rPr>
                    <w:t>3</w:t>
                  </w:r>
                  <w:r>
                    <w:rPr>
                      <w:rFonts w:cs="Times New Roman"/>
                      <w:sz w:val="21"/>
                      <w:szCs w:val="21"/>
                    </w:rPr>
                    <w:t>/h</w:t>
                  </w:r>
                </w:p>
              </w:tc>
              <w:tc>
                <w:tcPr>
                  <w:tcW w:w="1040" w:type="dxa"/>
                  <w:vAlign w:val="center"/>
                </w:tcPr>
                <w:p w14:paraId="6699402C">
                  <w:pPr>
                    <w:adjustRightInd w:val="0"/>
                    <w:snapToGrid w:val="0"/>
                    <w:spacing w:line="240" w:lineRule="exact"/>
                    <w:ind w:firstLine="0" w:firstLineChars="0"/>
                    <w:jc w:val="center"/>
                    <w:rPr>
                      <w:rFonts w:cs="Times New Roman"/>
                      <w:sz w:val="21"/>
                      <w:szCs w:val="21"/>
                    </w:rPr>
                  </w:pPr>
                  <w:r>
                    <w:rPr>
                      <w:rFonts w:hint="eastAsia" w:cs="Times New Roman"/>
                      <w:sz w:val="21"/>
                      <w:szCs w:val="21"/>
                    </w:rPr>
                    <w:t>7620</w:t>
                  </w:r>
                </w:p>
              </w:tc>
              <w:tc>
                <w:tcPr>
                  <w:tcW w:w="1040" w:type="dxa"/>
                  <w:vAlign w:val="center"/>
                </w:tcPr>
                <w:p w14:paraId="203FD318">
                  <w:pPr>
                    <w:adjustRightInd w:val="0"/>
                    <w:snapToGrid w:val="0"/>
                    <w:spacing w:line="240" w:lineRule="exact"/>
                    <w:ind w:firstLine="0" w:firstLineChars="0"/>
                    <w:jc w:val="center"/>
                    <w:rPr>
                      <w:rFonts w:cs="Times New Roman"/>
                      <w:sz w:val="21"/>
                      <w:szCs w:val="21"/>
                    </w:rPr>
                  </w:pPr>
                  <w:r>
                    <w:rPr>
                      <w:rFonts w:hint="eastAsia" w:cs="Times New Roman"/>
                      <w:sz w:val="21"/>
                      <w:szCs w:val="21"/>
                    </w:rPr>
                    <w:t>7639</w:t>
                  </w:r>
                </w:p>
              </w:tc>
              <w:tc>
                <w:tcPr>
                  <w:tcW w:w="1040" w:type="dxa"/>
                  <w:vAlign w:val="center"/>
                </w:tcPr>
                <w:p w14:paraId="4B9203E7">
                  <w:pPr>
                    <w:adjustRightInd w:val="0"/>
                    <w:snapToGrid w:val="0"/>
                    <w:spacing w:line="240" w:lineRule="exact"/>
                    <w:ind w:firstLine="0" w:firstLineChars="0"/>
                    <w:jc w:val="center"/>
                    <w:rPr>
                      <w:rFonts w:cs="Times New Roman"/>
                      <w:sz w:val="21"/>
                      <w:szCs w:val="21"/>
                    </w:rPr>
                  </w:pPr>
                  <w:r>
                    <w:rPr>
                      <w:rFonts w:hint="eastAsia" w:cs="Times New Roman"/>
                      <w:sz w:val="21"/>
                      <w:szCs w:val="21"/>
                    </w:rPr>
                    <w:t>7580</w:t>
                  </w:r>
                </w:p>
              </w:tc>
            </w:tr>
            <w:tr w14:paraId="79D315A9">
              <w:tblPrEx>
                <w:tblBorders>
                  <w:top w:val="single" w:color="000000" w:sz="6" w:space="0"/>
                  <w:left w:val="single" w:color="000000" w:sz="6" w:space="0"/>
                  <w:bottom w:val="single" w:color="000000" w:sz="6"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51" w:hRule="atLeast"/>
                <w:jc w:val="center"/>
              </w:trPr>
              <w:tc>
                <w:tcPr>
                  <w:tcW w:w="1210" w:type="dxa"/>
                  <w:vMerge w:val="continue"/>
                  <w:tcBorders>
                    <w:left w:val="nil"/>
                  </w:tcBorders>
                  <w:vAlign w:val="center"/>
                </w:tcPr>
                <w:p w14:paraId="679CA6BF">
                  <w:pPr>
                    <w:adjustRightInd w:val="0"/>
                    <w:snapToGrid w:val="0"/>
                    <w:spacing w:line="240" w:lineRule="exact"/>
                    <w:ind w:firstLine="0" w:firstLineChars="0"/>
                    <w:jc w:val="center"/>
                    <w:rPr>
                      <w:rFonts w:cs="Times New Roman"/>
                      <w:sz w:val="21"/>
                      <w:szCs w:val="21"/>
                    </w:rPr>
                  </w:pPr>
                </w:p>
              </w:tc>
              <w:tc>
                <w:tcPr>
                  <w:tcW w:w="1102" w:type="dxa"/>
                  <w:vMerge w:val="continue"/>
                  <w:vAlign w:val="center"/>
                </w:tcPr>
                <w:p w14:paraId="7FB5E8CA">
                  <w:pPr>
                    <w:adjustRightInd w:val="0"/>
                    <w:snapToGrid w:val="0"/>
                    <w:spacing w:line="240" w:lineRule="exact"/>
                    <w:ind w:firstLine="0" w:firstLineChars="0"/>
                    <w:jc w:val="center"/>
                    <w:rPr>
                      <w:rFonts w:cs="Times New Roman"/>
                      <w:sz w:val="21"/>
                      <w:szCs w:val="21"/>
                    </w:rPr>
                  </w:pPr>
                </w:p>
              </w:tc>
              <w:tc>
                <w:tcPr>
                  <w:tcW w:w="913" w:type="dxa"/>
                  <w:vMerge w:val="restart"/>
                  <w:vAlign w:val="center"/>
                </w:tcPr>
                <w:p w14:paraId="00B093CF">
                  <w:pPr>
                    <w:adjustRightInd w:val="0"/>
                    <w:snapToGrid w:val="0"/>
                    <w:spacing w:line="240" w:lineRule="exact"/>
                    <w:ind w:firstLine="0" w:firstLineChars="0"/>
                    <w:jc w:val="center"/>
                    <w:rPr>
                      <w:rFonts w:cs="Times New Roman"/>
                      <w:sz w:val="21"/>
                      <w:szCs w:val="21"/>
                    </w:rPr>
                  </w:pPr>
                  <w:r>
                    <w:rPr>
                      <w:rFonts w:hint="eastAsia" w:cs="Times New Roman"/>
                      <w:sz w:val="21"/>
                      <w:szCs w:val="21"/>
                    </w:rPr>
                    <w:t>甲醛</w:t>
                  </w:r>
                </w:p>
              </w:tc>
              <w:tc>
                <w:tcPr>
                  <w:tcW w:w="1323" w:type="dxa"/>
                  <w:vAlign w:val="center"/>
                </w:tcPr>
                <w:p w14:paraId="11231A95">
                  <w:pPr>
                    <w:adjustRightInd w:val="0"/>
                    <w:snapToGrid w:val="0"/>
                    <w:spacing w:line="240" w:lineRule="exact"/>
                    <w:ind w:firstLine="0" w:firstLineChars="0"/>
                    <w:jc w:val="center"/>
                    <w:rPr>
                      <w:rFonts w:cs="Times New Roman"/>
                      <w:sz w:val="21"/>
                      <w:szCs w:val="21"/>
                    </w:rPr>
                  </w:pPr>
                  <w:r>
                    <w:rPr>
                      <w:rFonts w:cs="Times New Roman"/>
                      <w:sz w:val="21"/>
                      <w:szCs w:val="21"/>
                    </w:rPr>
                    <w:t>实测浓度</w:t>
                  </w:r>
                </w:p>
              </w:tc>
              <w:tc>
                <w:tcPr>
                  <w:tcW w:w="995" w:type="dxa"/>
                  <w:vAlign w:val="center"/>
                </w:tcPr>
                <w:p w14:paraId="0ABF8A52">
                  <w:pPr>
                    <w:adjustRightInd w:val="0"/>
                    <w:snapToGrid w:val="0"/>
                    <w:spacing w:line="240" w:lineRule="exact"/>
                    <w:ind w:firstLine="0" w:firstLineChars="0"/>
                    <w:jc w:val="center"/>
                    <w:rPr>
                      <w:rFonts w:cs="Times New Roman"/>
                      <w:sz w:val="21"/>
                      <w:szCs w:val="21"/>
                    </w:rPr>
                  </w:pPr>
                  <w:r>
                    <w:rPr>
                      <w:rFonts w:cs="Times New Roman"/>
                      <w:sz w:val="21"/>
                      <w:szCs w:val="21"/>
                    </w:rPr>
                    <w:t>mg/m</w:t>
                  </w:r>
                  <w:r>
                    <w:rPr>
                      <w:rFonts w:cs="Times New Roman"/>
                      <w:sz w:val="21"/>
                      <w:szCs w:val="21"/>
                      <w:vertAlign w:val="superscript"/>
                    </w:rPr>
                    <w:t>3</w:t>
                  </w:r>
                </w:p>
              </w:tc>
              <w:tc>
                <w:tcPr>
                  <w:tcW w:w="1040" w:type="dxa"/>
                  <w:vAlign w:val="center"/>
                </w:tcPr>
                <w:p w14:paraId="712A0FA4">
                  <w:pPr>
                    <w:pStyle w:val="23"/>
                    <w:ind w:firstLine="420"/>
                    <w:jc w:val="center"/>
                    <w:rPr>
                      <w:rFonts w:cs="Times New Roman"/>
                      <w:sz w:val="21"/>
                      <w:szCs w:val="21"/>
                    </w:rPr>
                  </w:pPr>
                  <w:r>
                    <w:rPr>
                      <w:rFonts w:cs="Times New Roman"/>
                      <w:sz w:val="21"/>
                      <w:szCs w:val="21"/>
                    </w:rPr>
                    <w:t>0.6</w:t>
                  </w:r>
                </w:p>
              </w:tc>
              <w:tc>
                <w:tcPr>
                  <w:tcW w:w="1040" w:type="dxa"/>
                  <w:vAlign w:val="center"/>
                </w:tcPr>
                <w:p w14:paraId="75A6F056">
                  <w:pPr>
                    <w:adjustRightInd w:val="0"/>
                    <w:snapToGrid w:val="0"/>
                    <w:spacing w:line="240" w:lineRule="exact"/>
                    <w:ind w:firstLine="0" w:firstLineChars="0"/>
                    <w:jc w:val="center"/>
                    <w:rPr>
                      <w:rFonts w:cs="Times New Roman"/>
                      <w:sz w:val="21"/>
                      <w:szCs w:val="21"/>
                    </w:rPr>
                  </w:pPr>
                  <w:r>
                    <w:rPr>
                      <w:rFonts w:cs="Times New Roman"/>
                      <w:sz w:val="21"/>
                      <w:szCs w:val="21"/>
                    </w:rPr>
                    <w:t>0.7</w:t>
                  </w:r>
                </w:p>
              </w:tc>
              <w:tc>
                <w:tcPr>
                  <w:tcW w:w="1040" w:type="dxa"/>
                  <w:vAlign w:val="center"/>
                </w:tcPr>
                <w:p w14:paraId="205F0F1A">
                  <w:pPr>
                    <w:adjustRightInd w:val="0"/>
                    <w:snapToGrid w:val="0"/>
                    <w:spacing w:line="240" w:lineRule="exact"/>
                    <w:ind w:firstLine="0" w:firstLineChars="0"/>
                    <w:jc w:val="center"/>
                    <w:rPr>
                      <w:rFonts w:cs="Times New Roman"/>
                      <w:sz w:val="21"/>
                      <w:szCs w:val="21"/>
                    </w:rPr>
                  </w:pPr>
                  <w:r>
                    <w:rPr>
                      <w:rFonts w:cs="Times New Roman"/>
                      <w:sz w:val="21"/>
                      <w:szCs w:val="21"/>
                    </w:rPr>
                    <w:t>0.5</w:t>
                  </w:r>
                </w:p>
              </w:tc>
            </w:tr>
            <w:tr w14:paraId="1D47869B">
              <w:tblPrEx>
                <w:tblBorders>
                  <w:top w:val="single" w:color="000000" w:sz="6" w:space="0"/>
                  <w:left w:val="single" w:color="000000" w:sz="6" w:space="0"/>
                  <w:bottom w:val="single" w:color="000000" w:sz="6"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51" w:hRule="atLeast"/>
                <w:jc w:val="center"/>
              </w:trPr>
              <w:tc>
                <w:tcPr>
                  <w:tcW w:w="1210" w:type="dxa"/>
                  <w:vMerge w:val="continue"/>
                  <w:tcBorders>
                    <w:left w:val="nil"/>
                  </w:tcBorders>
                  <w:vAlign w:val="center"/>
                </w:tcPr>
                <w:p w14:paraId="31F2DD98">
                  <w:pPr>
                    <w:adjustRightInd w:val="0"/>
                    <w:snapToGrid w:val="0"/>
                    <w:spacing w:line="240" w:lineRule="exact"/>
                    <w:ind w:firstLine="0" w:firstLineChars="0"/>
                    <w:jc w:val="center"/>
                    <w:rPr>
                      <w:rFonts w:cs="Times New Roman"/>
                      <w:sz w:val="21"/>
                      <w:szCs w:val="21"/>
                    </w:rPr>
                  </w:pPr>
                </w:p>
              </w:tc>
              <w:tc>
                <w:tcPr>
                  <w:tcW w:w="1102" w:type="dxa"/>
                  <w:vMerge w:val="continue"/>
                  <w:vAlign w:val="center"/>
                </w:tcPr>
                <w:p w14:paraId="4D2BEAF5">
                  <w:pPr>
                    <w:adjustRightInd w:val="0"/>
                    <w:snapToGrid w:val="0"/>
                    <w:spacing w:line="240" w:lineRule="exact"/>
                    <w:ind w:firstLine="0" w:firstLineChars="0"/>
                    <w:jc w:val="center"/>
                    <w:rPr>
                      <w:rFonts w:cs="Times New Roman"/>
                      <w:sz w:val="21"/>
                      <w:szCs w:val="21"/>
                    </w:rPr>
                  </w:pPr>
                </w:p>
              </w:tc>
              <w:tc>
                <w:tcPr>
                  <w:tcW w:w="913" w:type="dxa"/>
                  <w:vMerge w:val="continue"/>
                  <w:vAlign w:val="center"/>
                </w:tcPr>
                <w:p w14:paraId="28E19192">
                  <w:pPr>
                    <w:adjustRightInd w:val="0"/>
                    <w:snapToGrid w:val="0"/>
                    <w:spacing w:line="240" w:lineRule="exact"/>
                    <w:ind w:firstLine="0" w:firstLineChars="0"/>
                    <w:jc w:val="center"/>
                    <w:rPr>
                      <w:rFonts w:cs="Times New Roman"/>
                      <w:sz w:val="21"/>
                      <w:szCs w:val="21"/>
                    </w:rPr>
                  </w:pPr>
                </w:p>
              </w:tc>
              <w:tc>
                <w:tcPr>
                  <w:tcW w:w="1323" w:type="dxa"/>
                  <w:vAlign w:val="center"/>
                </w:tcPr>
                <w:p w14:paraId="709A5C56">
                  <w:pPr>
                    <w:adjustRightInd w:val="0"/>
                    <w:snapToGrid w:val="0"/>
                    <w:spacing w:line="240" w:lineRule="exact"/>
                    <w:ind w:firstLine="0" w:firstLineChars="0"/>
                    <w:jc w:val="center"/>
                    <w:rPr>
                      <w:rFonts w:cs="Times New Roman"/>
                      <w:sz w:val="21"/>
                      <w:szCs w:val="21"/>
                    </w:rPr>
                  </w:pPr>
                  <w:r>
                    <w:rPr>
                      <w:rFonts w:cs="Times New Roman"/>
                      <w:sz w:val="21"/>
                      <w:szCs w:val="21"/>
                    </w:rPr>
                    <w:t>排放浓度</w:t>
                  </w:r>
                </w:p>
              </w:tc>
              <w:tc>
                <w:tcPr>
                  <w:tcW w:w="995" w:type="dxa"/>
                  <w:vAlign w:val="center"/>
                </w:tcPr>
                <w:p w14:paraId="6CD54853">
                  <w:pPr>
                    <w:adjustRightInd w:val="0"/>
                    <w:snapToGrid w:val="0"/>
                    <w:spacing w:line="240" w:lineRule="exact"/>
                    <w:ind w:firstLine="0" w:firstLineChars="0"/>
                    <w:jc w:val="center"/>
                    <w:rPr>
                      <w:rFonts w:cs="Times New Roman"/>
                      <w:sz w:val="21"/>
                      <w:szCs w:val="21"/>
                    </w:rPr>
                  </w:pPr>
                  <w:r>
                    <w:rPr>
                      <w:rFonts w:cs="Times New Roman"/>
                      <w:sz w:val="21"/>
                      <w:szCs w:val="21"/>
                    </w:rPr>
                    <w:t>mg/m</w:t>
                  </w:r>
                  <w:r>
                    <w:rPr>
                      <w:rFonts w:cs="Times New Roman"/>
                      <w:sz w:val="21"/>
                      <w:szCs w:val="21"/>
                      <w:vertAlign w:val="superscript"/>
                    </w:rPr>
                    <w:t>3</w:t>
                  </w:r>
                </w:p>
              </w:tc>
              <w:tc>
                <w:tcPr>
                  <w:tcW w:w="1040" w:type="dxa"/>
                  <w:vAlign w:val="center"/>
                </w:tcPr>
                <w:p w14:paraId="4D44865F">
                  <w:pPr>
                    <w:pStyle w:val="23"/>
                    <w:ind w:firstLine="420"/>
                    <w:jc w:val="center"/>
                    <w:rPr>
                      <w:rFonts w:cs="Times New Roman"/>
                      <w:sz w:val="21"/>
                      <w:szCs w:val="21"/>
                    </w:rPr>
                  </w:pPr>
                  <w:r>
                    <w:rPr>
                      <w:rFonts w:cs="Times New Roman"/>
                      <w:sz w:val="21"/>
                      <w:szCs w:val="21"/>
                    </w:rPr>
                    <w:t>0.6</w:t>
                  </w:r>
                </w:p>
              </w:tc>
              <w:tc>
                <w:tcPr>
                  <w:tcW w:w="1040" w:type="dxa"/>
                  <w:vAlign w:val="center"/>
                </w:tcPr>
                <w:p w14:paraId="58E3CBD8">
                  <w:pPr>
                    <w:adjustRightInd w:val="0"/>
                    <w:snapToGrid w:val="0"/>
                    <w:spacing w:line="240" w:lineRule="exact"/>
                    <w:ind w:firstLine="0" w:firstLineChars="0"/>
                    <w:jc w:val="center"/>
                    <w:rPr>
                      <w:rFonts w:cs="Times New Roman"/>
                      <w:sz w:val="21"/>
                      <w:szCs w:val="21"/>
                    </w:rPr>
                  </w:pPr>
                  <w:r>
                    <w:rPr>
                      <w:rFonts w:cs="Times New Roman"/>
                      <w:sz w:val="21"/>
                      <w:szCs w:val="21"/>
                    </w:rPr>
                    <w:t>0.7</w:t>
                  </w:r>
                </w:p>
              </w:tc>
              <w:tc>
                <w:tcPr>
                  <w:tcW w:w="1040" w:type="dxa"/>
                  <w:vAlign w:val="center"/>
                </w:tcPr>
                <w:p w14:paraId="360FF56F">
                  <w:pPr>
                    <w:adjustRightInd w:val="0"/>
                    <w:snapToGrid w:val="0"/>
                    <w:spacing w:line="240" w:lineRule="exact"/>
                    <w:ind w:firstLine="0" w:firstLineChars="0"/>
                    <w:jc w:val="center"/>
                    <w:rPr>
                      <w:rFonts w:cs="Times New Roman"/>
                      <w:sz w:val="21"/>
                      <w:szCs w:val="21"/>
                    </w:rPr>
                  </w:pPr>
                  <w:r>
                    <w:rPr>
                      <w:rFonts w:cs="Times New Roman"/>
                      <w:sz w:val="21"/>
                      <w:szCs w:val="21"/>
                    </w:rPr>
                    <w:t>0.5</w:t>
                  </w:r>
                </w:p>
              </w:tc>
            </w:tr>
            <w:tr w14:paraId="2CD40616">
              <w:tblPrEx>
                <w:tblBorders>
                  <w:top w:val="single" w:color="000000" w:sz="6" w:space="0"/>
                  <w:left w:val="single" w:color="000000" w:sz="6" w:space="0"/>
                  <w:bottom w:val="single" w:color="000000" w:sz="6"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51" w:hRule="atLeast"/>
                <w:jc w:val="center"/>
              </w:trPr>
              <w:tc>
                <w:tcPr>
                  <w:tcW w:w="1210" w:type="dxa"/>
                  <w:vMerge w:val="continue"/>
                  <w:tcBorders>
                    <w:left w:val="nil"/>
                  </w:tcBorders>
                  <w:vAlign w:val="center"/>
                </w:tcPr>
                <w:p w14:paraId="5C03B5A2">
                  <w:pPr>
                    <w:adjustRightInd w:val="0"/>
                    <w:snapToGrid w:val="0"/>
                    <w:spacing w:line="240" w:lineRule="exact"/>
                    <w:ind w:firstLine="0" w:firstLineChars="0"/>
                    <w:jc w:val="center"/>
                    <w:rPr>
                      <w:rFonts w:cs="Times New Roman"/>
                      <w:sz w:val="21"/>
                      <w:szCs w:val="21"/>
                    </w:rPr>
                  </w:pPr>
                </w:p>
              </w:tc>
              <w:tc>
                <w:tcPr>
                  <w:tcW w:w="1102" w:type="dxa"/>
                  <w:vMerge w:val="continue"/>
                  <w:vAlign w:val="center"/>
                </w:tcPr>
                <w:p w14:paraId="155BF314">
                  <w:pPr>
                    <w:adjustRightInd w:val="0"/>
                    <w:snapToGrid w:val="0"/>
                    <w:spacing w:line="240" w:lineRule="exact"/>
                    <w:ind w:firstLine="0" w:firstLineChars="0"/>
                    <w:jc w:val="center"/>
                    <w:rPr>
                      <w:rFonts w:cs="Times New Roman"/>
                      <w:sz w:val="21"/>
                      <w:szCs w:val="21"/>
                    </w:rPr>
                  </w:pPr>
                </w:p>
              </w:tc>
              <w:tc>
                <w:tcPr>
                  <w:tcW w:w="913" w:type="dxa"/>
                  <w:vMerge w:val="continue"/>
                  <w:vAlign w:val="center"/>
                </w:tcPr>
                <w:p w14:paraId="0388F6F9">
                  <w:pPr>
                    <w:adjustRightInd w:val="0"/>
                    <w:snapToGrid w:val="0"/>
                    <w:spacing w:line="240" w:lineRule="exact"/>
                    <w:ind w:firstLine="0" w:firstLineChars="0"/>
                    <w:jc w:val="center"/>
                    <w:rPr>
                      <w:rFonts w:cs="Times New Roman"/>
                      <w:sz w:val="21"/>
                      <w:szCs w:val="21"/>
                    </w:rPr>
                  </w:pPr>
                </w:p>
              </w:tc>
              <w:tc>
                <w:tcPr>
                  <w:tcW w:w="1323" w:type="dxa"/>
                  <w:vAlign w:val="center"/>
                </w:tcPr>
                <w:p w14:paraId="3877647B">
                  <w:pPr>
                    <w:adjustRightInd w:val="0"/>
                    <w:snapToGrid w:val="0"/>
                    <w:spacing w:line="240" w:lineRule="exact"/>
                    <w:ind w:firstLine="0" w:firstLineChars="0"/>
                    <w:jc w:val="center"/>
                    <w:rPr>
                      <w:rFonts w:cs="Times New Roman"/>
                      <w:sz w:val="21"/>
                      <w:szCs w:val="21"/>
                    </w:rPr>
                  </w:pPr>
                  <w:r>
                    <w:rPr>
                      <w:rFonts w:cs="Times New Roman"/>
                      <w:sz w:val="21"/>
                      <w:szCs w:val="21"/>
                    </w:rPr>
                    <w:t>排放速率</w:t>
                  </w:r>
                </w:p>
              </w:tc>
              <w:tc>
                <w:tcPr>
                  <w:tcW w:w="995" w:type="dxa"/>
                  <w:vAlign w:val="center"/>
                </w:tcPr>
                <w:p w14:paraId="57569B19">
                  <w:pPr>
                    <w:adjustRightInd w:val="0"/>
                    <w:snapToGrid w:val="0"/>
                    <w:spacing w:line="240" w:lineRule="exact"/>
                    <w:ind w:firstLine="0" w:firstLineChars="0"/>
                    <w:jc w:val="center"/>
                    <w:rPr>
                      <w:rFonts w:cs="Times New Roman"/>
                      <w:sz w:val="21"/>
                      <w:szCs w:val="21"/>
                    </w:rPr>
                  </w:pPr>
                  <w:r>
                    <w:rPr>
                      <w:rFonts w:cs="Times New Roman"/>
                      <w:sz w:val="21"/>
                      <w:szCs w:val="21"/>
                    </w:rPr>
                    <w:t>kg/h</w:t>
                  </w:r>
                </w:p>
              </w:tc>
              <w:tc>
                <w:tcPr>
                  <w:tcW w:w="1040" w:type="dxa"/>
                  <w:vAlign w:val="center"/>
                </w:tcPr>
                <w:p w14:paraId="3088F4CF">
                  <w:pPr>
                    <w:adjustRightInd w:val="0"/>
                    <w:snapToGrid w:val="0"/>
                    <w:spacing w:line="240" w:lineRule="exact"/>
                    <w:ind w:firstLine="0" w:firstLineChars="0"/>
                    <w:jc w:val="center"/>
                    <w:rPr>
                      <w:rFonts w:cs="Times New Roman"/>
                      <w:sz w:val="21"/>
                      <w:szCs w:val="21"/>
                    </w:rPr>
                  </w:pPr>
                  <w:r>
                    <w:rPr>
                      <w:rFonts w:hint="eastAsia" w:cs="Times New Roman"/>
                      <w:sz w:val="21"/>
                      <w:szCs w:val="21"/>
                    </w:rPr>
                    <w:t>4.57</w:t>
                  </w:r>
                  <w:r>
                    <w:rPr>
                      <w:rFonts w:cs="Times New Roman"/>
                      <w:sz w:val="21"/>
                      <w:szCs w:val="21"/>
                    </w:rPr>
                    <w:t>×</w:t>
                  </w:r>
                  <w:r>
                    <w:rPr>
                      <w:rFonts w:hint="eastAsia" w:cs="Times New Roman"/>
                      <w:sz w:val="21"/>
                      <w:szCs w:val="21"/>
                    </w:rPr>
                    <w:t>10</w:t>
                  </w:r>
                  <w:r>
                    <w:rPr>
                      <w:rFonts w:hint="eastAsia" w:cs="Times New Roman"/>
                      <w:sz w:val="21"/>
                      <w:szCs w:val="21"/>
                      <w:vertAlign w:val="superscript"/>
                    </w:rPr>
                    <w:t>-3</w:t>
                  </w:r>
                </w:p>
              </w:tc>
              <w:tc>
                <w:tcPr>
                  <w:tcW w:w="1040" w:type="dxa"/>
                  <w:vAlign w:val="center"/>
                </w:tcPr>
                <w:p w14:paraId="1124842A">
                  <w:pPr>
                    <w:adjustRightInd w:val="0"/>
                    <w:snapToGrid w:val="0"/>
                    <w:spacing w:line="240" w:lineRule="exact"/>
                    <w:ind w:firstLine="0" w:firstLineChars="0"/>
                    <w:jc w:val="center"/>
                    <w:rPr>
                      <w:rFonts w:cs="Times New Roman"/>
                      <w:sz w:val="21"/>
                      <w:szCs w:val="21"/>
                    </w:rPr>
                  </w:pPr>
                  <w:r>
                    <w:rPr>
                      <w:rFonts w:hint="eastAsia" w:cs="Times New Roman"/>
                      <w:sz w:val="21"/>
                      <w:szCs w:val="21"/>
                    </w:rPr>
                    <w:t>5.38</w:t>
                  </w:r>
                  <w:r>
                    <w:rPr>
                      <w:rFonts w:cs="Times New Roman"/>
                      <w:sz w:val="21"/>
                      <w:szCs w:val="21"/>
                    </w:rPr>
                    <w:t>×</w:t>
                  </w:r>
                  <w:r>
                    <w:rPr>
                      <w:rFonts w:hint="eastAsia" w:cs="Times New Roman"/>
                      <w:sz w:val="21"/>
                      <w:szCs w:val="21"/>
                    </w:rPr>
                    <w:t>10</w:t>
                  </w:r>
                  <w:r>
                    <w:rPr>
                      <w:rFonts w:hint="eastAsia" w:cs="Times New Roman"/>
                      <w:sz w:val="21"/>
                      <w:szCs w:val="21"/>
                      <w:vertAlign w:val="superscript"/>
                    </w:rPr>
                    <w:t>-3</w:t>
                  </w:r>
                </w:p>
              </w:tc>
              <w:tc>
                <w:tcPr>
                  <w:tcW w:w="1040" w:type="dxa"/>
                  <w:vAlign w:val="center"/>
                </w:tcPr>
                <w:p w14:paraId="40EF065D">
                  <w:pPr>
                    <w:adjustRightInd w:val="0"/>
                    <w:snapToGrid w:val="0"/>
                    <w:spacing w:line="240" w:lineRule="exact"/>
                    <w:ind w:firstLine="0" w:firstLineChars="0"/>
                    <w:jc w:val="center"/>
                    <w:rPr>
                      <w:rFonts w:cs="Times New Roman"/>
                      <w:sz w:val="21"/>
                      <w:szCs w:val="21"/>
                    </w:rPr>
                  </w:pPr>
                  <w:r>
                    <w:rPr>
                      <w:rFonts w:hint="eastAsia" w:cs="Times New Roman"/>
                      <w:sz w:val="21"/>
                      <w:szCs w:val="21"/>
                    </w:rPr>
                    <w:t>3.79</w:t>
                  </w:r>
                  <w:r>
                    <w:rPr>
                      <w:rFonts w:cs="Times New Roman"/>
                      <w:sz w:val="21"/>
                      <w:szCs w:val="21"/>
                    </w:rPr>
                    <w:t>×</w:t>
                  </w:r>
                  <w:r>
                    <w:rPr>
                      <w:rFonts w:hint="eastAsia" w:cs="Times New Roman"/>
                      <w:sz w:val="21"/>
                      <w:szCs w:val="21"/>
                    </w:rPr>
                    <w:t>10</w:t>
                  </w:r>
                  <w:r>
                    <w:rPr>
                      <w:rFonts w:hint="eastAsia" w:cs="Times New Roman"/>
                      <w:sz w:val="21"/>
                      <w:szCs w:val="21"/>
                      <w:vertAlign w:val="superscript"/>
                    </w:rPr>
                    <w:t>-3</w:t>
                  </w:r>
                </w:p>
              </w:tc>
            </w:tr>
            <w:tr w14:paraId="6856D5A5">
              <w:tblPrEx>
                <w:tblBorders>
                  <w:top w:val="single" w:color="000000" w:sz="6" w:space="0"/>
                  <w:left w:val="single" w:color="000000" w:sz="6" w:space="0"/>
                  <w:bottom w:val="single" w:color="000000" w:sz="6"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51" w:hRule="atLeast"/>
                <w:jc w:val="center"/>
              </w:trPr>
              <w:tc>
                <w:tcPr>
                  <w:tcW w:w="1210" w:type="dxa"/>
                  <w:vMerge w:val="continue"/>
                  <w:tcBorders>
                    <w:left w:val="nil"/>
                  </w:tcBorders>
                  <w:vAlign w:val="center"/>
                </w:tcPr>
                <w:p w14:paraId="5CFA4DD6">
                  <w:pPr>
                    <w:adjustRightInd w:val="0"/>
                    <w:snapToGrid w:val="0"/>
                    <w:spacing w:line="240" w:lineRule="exact"/>
                    <w:ind w:firstLine="0" w:firstLineChars="0"/>
                    <w:jc w:val="center"/>
                    <w:rPr>
                      <w:rFonts w:cs="Times New Roman"/>
                      <w:sz w:val="21"/>
                      <w:szCs w:val="21"/>
                    </w:rPr>
                  </w:pPr>
                </w:p>
              </w:tc>
              <w:tc>
                <w:tcPr>
                  <w:tcW w:w="1102" w:type="dxa"/>
                  <w:vMerge w:val="continue"/>
                  <w:vAlign w:val="center"/>
                </w:tcPr>
                <w:p w14:paraId="0988EE67">
                  <w:pPr>
                    <w:adjustRightInd w:val="0"/>
                    <w:snapToGrid w:val="0"/>
                    <w:spacing w:line="240" w:lineRule="exact"/>
                    <w:ind w:firstLine="0" w:firstLineChars="0"/>
                    <w:jc w:val="center"/>
                    <w:rPr>
                      <w:rFonts w:cs="Times New Roman"/>
                      <w:sz w:val="21"/>
                      <w:szCs w:val="21"/>
                    </w:rPr>
                  </w:pPr>
                </w:p>
              </w:tc>
              <w:tc>
                <w:tcPr>
                  <w:tcW w:w="913" w:type="dxa"/>
                  <w:vMerge w:val="restart"/>
                  <w:vAlign w:val="center"/>
                </w:tcPr>
                <w:p w14:paraId="652E88DB">
                  <w:pPr>
                    <w:adjustRightInd w:val="0"/>
                    <w:snapToGrid w:val="0"/>
                    <w:spacing w:line="240" w:lineRule="exact"/>
                    <w:ind w:firstLine="0" w:firstLineChars="0"/>
                    <w:jc w:val="center"/>
                    <w:rPr>
                      <w:rFonts w:cs="Times New Roman"/>
                      <w:sz w:val="21"/>
                      <w:szCs w:val="21"/>
                    </w:rPr>
                  </w:pPr>
                  <w:r>
                    <w:rPr>
                      <w:rFonts w:hint="eastAsia" w:cs="Times New Roman"/>
                      <w:sz w:val="21"/>
                      <w:szCs w:val="21"/>
                    </w:rPr>
                    <w:t>非甲烷</w:t>
                  </w:r>
                </w:p>
                <w:p w14:paraId="4545368A">
                  <w:pPr>
                    <w:adjustRightInd w:val="0"/>
                    <w:snapToGrid w:val="0"/>
                    <w:spacing w:line="240" w:lineRule="exact"/>
                    <w:ind w:firstLine="0" w:firstLineChars="0"/>
                    <w:jc w:val="center"/>
                    <w:rPr>
                      <w:rFonts w:cs="Times New Roman"/>
                      <w:sz w:val="21"/>
                      <w:szCs w:val="21"/>
                    </w:rPr>
                  </w:pPr>
                  <w:r>
                    <w:rPr>
                      <w:rFonts w:hint="eastAsia" w:cs="Times New Roman"/>
                      <w:sz w:val="21"/>
                      <w:szCs w:val="21"/>
                    </w:rPr>
                    <w:t>总烃</w:t>
                  </w:r>
                </w:p>
              </w:tc>
              <w:tc>
                <w:tcPr>
                  <w:tcW w:w="1323" w:type="dxa"/>
                  <w:vAlign w:val="center"/>
                </w:tcPr>
                <w:p w14:paraId="0B4A2514">
                  <w:pPr>
                    <w:adjustRightInd w:val="0"/>
                    <w:snapToGrid w:val="0"/>
                    <w:spacing w:line="240" w:lineRule="exact"/>
                    <w:ind w:firstLine="0" w:firstLineChars="0"/>
                    <w:jc w:val="center"/>
                    <w:rPr>
                      <w:rFonts w:cs="Times New Roman"/>
                      <w:sz w:val="21"/>
                      <w:szCs w:val="21"/>
                    </w:rPr>
                  </w:pPr>
                  <w:r>
                    <w:rPr>
                      <w:rFonts w:cs="Times New Roman"/>
                      <w:sz w:val="21"/>
                      <w:szCs w:val="21"/>
                    </w:rPr>
                    <w:t>实测浓度</w:t>
                  </w:r>
                </w:p>
              </w:tc>
              <w:tc>
                <w:tcPr>
                  <w:tcW w:w="995" w:type="dxa"/>
                  <w:vAlign w:val="center"/>
                </w:tcPr>
                <w:p w14:paraId="367D14AF">
                  <w:pPr>
                    <w:adjustRightInd w:val="0"/>
                    <w:snapToGrid w:val="0"/>
                    <w:spacing w:line="240" w:lineRule="exact"/>
                    <w:ind w:firstLine="0" w:firstLineChars="0"/>
                    <w:jc w:val="center"/>
                    <w:rPr>
                      <w:rFonts w:cs="Times New Roman"/>
                      <w:sz w:val="21"/>
                      <w:szCs w:val="21"/>
                    </w:rPr>
                  </w:pPr>
                  <w:r>
                    <w:rPr>
                      <w:rFonts w:cs="Times New Roman"/>
                      <w:sz w:val="21"/>
                      <w:szCs w:val="21"/>
                    </w:rPr>
                    <w:t>mg/m</w:t>
                  </w:r>
                  <w:r>
                    <w:rPr>
                      <w:rFonts w:cs="Times New Roman"/>
                      <w:sz w:val="21"/>
                      <w:szCs w:val="21"/>
                      <w:vertAlign w:val="superscript"/>
                    </w:rPr>
                    <w:t>3</w:t>
                  </w:r>
                </w:p>
              </w:tc>
              <w:tc>
                <w:tcPr>
                  <w:tcW w:w="1040" w:type="dxa"/>
                  <w:vAlign w:val="center"/>
                </w:tcPr>
                <w:p w14:paraId="778F3BB0">
                  <w:pPr>
                    <w:adjustRightInd w:val="0"/>
                    <w:snapToGrid w:val="0"/>
                    <w:spacing w:line="240" w:lineRule="exact"/>
                    <w:ind w:firstLine="0" w:firstLineChars="0"/>
                    <w:jc w:val="center"/>
                    <w:rPr>
                      <w:rFonts w:cs="Times New Roman"/>
                      <w:sz w:val="21"/>
                      <w:szCs w:val="21"/>
                    </w:rPr>
                  </w:pPr>
                  <w:r>
                    <w:rPr>
                      <w:rFonts w:hint="eastAsia" w:cs="Times New Roman"/>
                      <w:sz w:val="21"/>
                      <w:szCs w:val="21"/>
                    </w:rPr>
                    <w:t>1.48</w:t>
                  </w:r>
                </w:p>
              </w:tc>
              <w:tc>
                <w:tcPr>
                  <w:tcW w:w="1040" w:type="dxa"/>
                  <w:vAlign w:val="center"/>
                </w:tcPr>
                <w:p w14:paraId="4CF1BF08">
                  <w:pPr>
                    <w:adjustRightInd w:val="0"/>
                    <w:snapToGrid w:val="0"/>
                    <w:spacing w:line="240" w:lineRule="exact"/>
                    <w:ind w:firstLine="0" w:firstLineChars="0"/>
                    <w:jc w:val="center"/>
                    <w:rPr>
                      <w:rFonts w:cs="Times New Roman"/>
                      <w:sz w:val="21"/>
                      <w:szCs w:val="21"/>
                    </w:rPr>
                  </w:pPr>
                  <w:r>
                    <w:rPr>
                      <w:rFonts w:hint="eastAsia" w:cs="Times New Roman"/>
                      <w:sz w:val="21"/>
                      <w:szCs w:val="21"/>
                    </w:rPr>
                    <w:t>1.32</w:t>
                  </w:r>
                </w:p>
              </w:tc>
              <w:tc>
                <w:tcPr>
                  <w:tcW w:w="1040" w:type="dxa"/>
                  <w:vAlign w:val="center"/>
                </w:tcPr>
                <w:p w14:paraId="713A658D">
                  <w:pPr>
                    <w:adjustRightInd w:val="0"/>
                    <w:snapToGrid w:val="0"/>
                    <w:spacing w:line="240" w:lineRule="exact"/>
                    <w:ind w:firstLine="0" w:firstLineChars="0"/>
                    <w:jc w:val="center"/>
                    <w:rPr>
                      <w:rFonts w:cs="Times New Roman"/>
                      <w:sz w:val="21"/>
                      <w:szCs w:val="21"/>
                    </w:rPr>
                  </w:pPr>
                  <w:r>
                    <w:rPr>
                      <w:rFonts w:hint="eastAsia" w:cs="Times New Roman"/>
                      <w:sz w:val="21"/>
                      <w:szCs w:val="21"/>
                    </w:rPr>
                    <w:t>1.23</w:t>
                  </w:r>
                </w:p>
              </w:tc>
            </w:tr>
            <w:tr w14:paraId="7EFA8302">
              <w:tblPrEx>
                <w:tblBorders>
                  <w:top w:val="single" w:color="000000" w:sz="6" w:space="0"/>
                  <w:left w:val="single" w:color="000000" w:sz="6" w:space="0"/>
                  <w:bottom w:val="single" w:color="000000" w:sz="6"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51" w:hRule="atLeast"/>
                <w:jc w:val="center"/>
              </w:trPr>
              <w:tc>
                <w:tcPr>
                  <w:tcW w:w="1210" w:type="dxa"/>
                  <w:vMerge w:val="continue"/>
                  <w:tcBorders>
                    <w:left w:val="nil"/>
                  </w:tcBorders>
                  <w:vAlign w:val="center"/>
                </w:tcPr>
                <w:p w14:paraId="664F0BDB">
                  <w:pPr>
                    <w:adjustRightInd w:val="0"/>
                    <w:snapToGrid w:val="0"/>
                    <w:spacing w:line="240" w:lineRule="exact"/>
                    <w:ind w:firstLine="0" w:firstLineChars="0"/>
                    <w:jc w:val="center"/>
                    <w:rPr>
                      <w:rFonts w:cs="Times New Roman"/>
                      <w:sz w:val="21"/>
                      <w:szCs w:val="21"/>
                    </w:rPr>
                  </w:pPr>
                </w:p>
              </w:tc>
              <w:tc>
                <w:tcPr>
                  <w:tcW w:w="1102" w:type="dxa"/>
                  <w:vMerge w:val="continue"/>
                  <w:vAlign w:val="center"/>
                </w:tcPr>
                <w:p w14:paraId="0186C680">
                  <w:pPr>
                    <w:adjustRightInd w:val="0"/>
                    <w:snapToGrid w:val="0"/>
                    <w:spacing w:line="240" w:lineRule="exact"/>
                    <w:ind w:firstLine="0" w:firstLineChars="0"/>
                    <w:jc w:val="center"/>
                    <w:rPr>
                      <w:rFonts w:cs="Times New Roman"/>
                      <w:sz w:val="21"/>
                      <w:szCs w:val="21"/>
                    </w:rPr>
                  </w:pPr>
                </w:p>
              </w:tc>
              <w:tc>
                <w:tcPr>
                  <w:tcW w:w="913" w:type="dxa"/>
                  <w:vMerge w:val="continue"/>
                  <w:vAlign w:val="center"/>
                </w:tcPr>
                <w:p w14:paraId="2A79CC3B">
                  <w:pPr>
                    <w:adjustRightInd w:val="0"/>
                    <w:snapToGrid w:val="0"/>
                    <w:spacing w:line="240" w:lineRule="exact"/>
                    <w:ind w:firstLine="0" w:firstLineChars="0"/>
                    <w:jc w:val="center"/>
                    <w:rPr>
                      <w:rFonts w:cs="Times New Roman"/>
                      <w:sz w:val="21"/>
                      <w:szCs w:val="21"/>
                    </w:rPr>
                  </w:pPr>
                </w:p>
              </w:tc>
              <w:tc>
                <w:tcPr>
                  <w:tcW w:w="1323" w:type="dxa"/>
                  <w:vAlign w:val="center"/>
                </w:tcPr>
                <w:p w14:paraId="1D9CC1F6">
                  <w:pPr>
                    <w:adjustRightInd w:val="0"/>
                    <w:snapToGrid w:val="0"/>
                    <w:spacing w:line="240" w:lineRule="exact"/>
                    <w:ind w:firstLine="0" w:firstLineChars="0"/>
                    <w:jc w:val="center"/>
                    <w:rPr>
                      <w:rFonts w:cs="Times New Roman"/>
                      <w:sz w:val="21"/>
                      <w:szCs w:val="21"/>
                    </w:rPr>
                  </w:pPr>
                  <w:r>
                    <w:rPr>
                      <w:rFonts w:cs="Times New Roman"/>
                      <w:sz w:val="21"/>
                      <w:szCs w:val="21"/>
                    </w:rPr>
                    <w:t>排放浓度</w:t>
                  </w:r>
                </w:p>
              </w:tc>
              <w:tc>
                <w:tcPr>
                  <w:tcW w:w="995" w:type="dxa"/>
                  <w:vAlign w:val="center"/>
                </w:tcPr>
                <w:p w14:paraId="21C9C722">
                  <w:pPr>
                    <w:adjustRightInd w:val="0"/>
                    <w:snapToGrid w:val="0"/>
                    <w:spacing w:line="240" w:lineRule="exact"/>
                    <w:ind w:firstLine="0" w:firstLineChars="0"/>
                    <w:jc w:val="center"/>
                    <w:rPr>
                      <w:rFonts w:cs="Times New Roman"/>
                      <w:sz w:val="21"/>
                      <w:szCs w:val="21"/>
                    </w:rPr>
                  </w:pPr>
                  <w:r>
                    <w:rPr>
                      <w:rFonts w:cs="Times New Roman"/>
                      <w:sz w:val="21"/>
                      <w:szCs w:val="21"/>
                    </w:rPr>
                    <w:t>mg/m</w:t>
                  </w:r>
                  <w:r>
                    <w:rPr>
                      <w:rFonts w:cs="Times New Roman"/>
                      <w:sz w:val="21"/>
                      <w:szCs w:val="21"/>
                      <w:vertAlign w:val="superscript"/>
                    </w:rPr>
                    <w:t>3</w:t>
                  </w:r>
                </w:p>
              </w:tc>
              <w:tc>
                <w:tcPr>
                  <w:tcW w:w="1040" w:type="dxa"/>
                  <w:vAlign w:val="center"/>
                </w:tcPr>
                <w:p w14:paraId="54E92D7E">
                  <w:pPr>
                    <w:adjustRightInd w:val="0"/>
                    <w:snapToGrid w:val="0"/>
                    <w:spacing w:line="240" w:lineRule="exact"/>
                    <w:ind w:firstLine="0" w:firstLineChars="0"/>
                    <w:jc w:val="center"/>
                    <w:rPr>
                      <w:rFonts w:cs="Times New Roman"/>
                      <w:sz w:val="21"/>
                      <w:szCs w:val="21"/>
                    </w:rPr>
                  </w:pPr>
                  <w:r>
                    <w:rPr>
                      <w:rFonts w:hint="eastAsia" w:cs="Times New Roman"/>
                      <w:sz w:val="21"/>
                      <w:szCs w:val="21"/>
                    </w:rPr>
                    <w:t>1.48</w:t>
                  </w:r>
                </w:p>
              </w:tc>
              <w:tc>
                <w:tcPr>
                  <w:tcW w:w="1040" w:type="dxa"/>
                  <w:vAlign w:val="center"/>
                </w:tcPr>
                <w:p w14:paraId="10831D92">
                  <w:pPr>
                    <w:adjustRightInd w:val="0"/>
                    <w:snapToGrid w:val="0"/>
                    <w:spacing w:line="240" w:lineRule="exact"/>
                    <w:ind w:firstLine="0" w:firstLineChars="0"/>
                    <w:jc w:val="center"/>
                    <w:rPr>
                      <w:rFonts w:cs="Times New Roman"/>
                      <w:sz w:val="21"/>
                      <w:szCs w:val="21"/>
                    </w:rPr>
                  </w:pPr>
                  <w:r>
                    <w:rPr>
                      <w:rFonts w:hint="eastAsia" w:cs="Times New Roman"/>
                      <w:sz w:val="21"/>
                      <w:szCs w:val="21"/>
                    </w:rPr>
                    <w:t>1.32</w:t>
                  </w:r>
                </w:p>
              </w:tc>
              <w:tc>
                <w:tcPr>
                  <w:tcW w:w="1040" w:type="dxa"/>
                  <w:vAlign w:val="center"/>
                </w:tcPr>
                <w:p w14:paraId="11121D4B">
                  <w:pPr>
                    <w:adjustRightInd w:val="0"/>
                    <w:snapToGrid w:val="0"/>
                    <w:spacing w:line="240" w:lineRule="exact"/>
                    <w:ind w:firstLine="0" w:firstLineChars="0"/>
                    <w:jc w:val="center"/>
                    <w:rPr>
                      <w:rFonts w:cs="Times New Roman"/>
                      <w:sz w:val="21"/>
                      <w:szCs w:val="21"/>
                    </w:rPr>
                  </w:pPr>
                  <w:r>
                    <w:rPr>
                      <w:rFonts w:hint="eastAsia" w:cs="Times New Roman"/>
                      <w:sz w:val="21"/>
                      <w:szCs w:val="21"/>
                    </w:rPr>
                    <w:t>1.23</w:t>
                  </w:r>
                </w:p>
              </w:tc>
            </w:tr>
            <w:tr w14:paraId="0D12A0D6">
              <w:tblPrEx>
                <w:tblBorders>
                  <w:top w:val="single" w:color="000000" w:sz="6" w:space="0"/>
                  <w:left w:val="single" w:color="000000" w:sz="6" w:space="0"/>
                  <w:bottom w:val="single" w:color="000000" w:sz="6"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51" w:hRule="atLeast"/>
                <w:jc w:val="center"/>
              </w:trPr>
              <w:tc>
                <w:tcPr>
                  <w:tcW w:w="1210" w:type="dxa"/>
                  <w:vMerge w:val="continue"/>
                  <w:tcBorders>
                    <w:left w:val="nil"/>
                  </w:tcBorders>
                  <w:vAlign w:val="center"/>
                </w:tcPr>
                <w:p w14:paraId="6B80EFD7">
                  <w:pPr>
                    <w:adjustRightInd w:val="0"/>
                    <w:snapToGrid w:val="0"/>
                    <w:spacing w:line="240" w:lineRule="exact"/>
                    <w:ind w:firstLine="0" w:firstLineChars="0"/>
                    <w:jc w:val="center"/>
                    <w:rPr>
                      <w:rFonts w:cs="Times New Roman"/>
                      <w:sz w:val="21"/>
                      <w:szCs w:val="21"/>
                    </w:rPr>
                  </w:pPr>
                </w:p>
              </w:tc>
              <w:tc>
                <w:tcPr>
                  <w:tcW w:w="1102" w:type="dxa"/>
                  <w:vMerge w:val="continue"/>
                  <w:vAlign w:val="center"/>
                </w:tcPr>
                <w:p w14:paraId="4C7DFEB8">
                  <w:pPr>
                    <w:adjustRightInd w:val="0"/>
                    <w:snapToGrid w:val="0"/>
                    <w:spacing w:line="240" w:lineRule="exact"/>
                    <w:ind w:firstLine="0" w:firstLineChars="0"/>
                    <w:jc w:val="center"/>
                    <w:rPr>
                      <w:rFonts w:cs="Times New Roman"/>
                      <w:sz w:val="21"/>
                      <w:szCs w:val="21"/>
                    </w:rPr>
                  </w:pPr>
                </w:p>
              </w:tc>
              <w:tc>
                <w:tcPr>
                  <w:tcW w:w="913" w:type="dxa"/>
                  <w:vMerge w:val="continue"/>
                  <w:vAlign w:val="center"/>
                </w:tcPr>
                <w:p w14:paraId="18A1BD2D">
                  <w:pPr>
                    <w:adjustRightInd w:val="0"/>
                    <w:snapToGrid w:val="0"/>
                    <w:spacing w:line="240" w:lineRule="exact"/>
                    <w:ind w:firstLine="0" w:firstLineChars="0"/>
                    <w:jc w:val="center"/>
                    <w:rPr>
                      <w:rFonts w:cs="Times New Roman"/>
                      <w:sz w:val="21"/>
                      <w:szCs w:val="21"/>
                    </w:rPr>
                  </w:pPr>
                </w:p>
              </w:tc>
              <w:tc>
                <w:tcPr>
                  <w:tcW w:w="1323" w:type="dxa"/>
                  <w:vAlign w:val="center"/>
                </w:tcPr>
                <w:p w14:paraId="0FE32325">
                  <w:pPr>
                    <w:adjustRightInd w:val="0"/>
                    <w:snapToGrid w:val="0"/>
                    <w:spacing w:line="240" w:lineRule="exact"/>
                    <w:ind w:firstLine="0" w:firstLineChars="0"/>
                    <w:jc w:val="center"/>
                    <w:rPr>
                      <w:rFonts w:cs="Times New Roman"/>
                      <w:sz w:val="21"/>
                      <w:szCs w:val="21"/>
                    </w:rPr>
                  </w:pPr>
                  <w:r>
                    <w:rPr>
                      <w:rFonts w:cs="Times New Roman"/>
                      <w:sz w:val="21"/>
                      <w:szCs w:val="21"/>
                    </w:rPr>
                    <w:t>排放速率</w:t>
                  </w:r>
                </w:p>
              </w:tc>
              <w:tc>
                <w:tcPr>
                  <w:tcW w:w="995" w:type="dxa"/>
                  <w:vAlign w:val="center"/>
                </w:tcPr>
                <w:p w14:paraId="17C7F3F9">
                  <w:pPr>
                    <w:adjustRightInd w:val="0"/>
                    <w:snapToGrid w:val="0"/>
                    <w:spacing w:line="240" w:lineRule="exact"/>
                    <w:ind w:firstLine="0" w:firstLineChars="0"/>
                    <w:jc w:val="center"/>
                    <w:rPr>
                      <w:rFonts w:cs="Times New Roman"/>
                      <w:sz w:val="21"/>
                      <w:szCs w:val="21"/>
                    </w:rPr>
                  </w:pPr>
                  <w:r>
                    <w:rPr>
                      <w:rFonts w:cs="Times New Roman"/>
                      <w:sz w:val="21"/>
                      <w:szCs w:val="21"/>
                    </w:rPr>
                    <w:t>kg/h</w:t>
                  </w:r>
                </w:p>
              </w:tc>
              <w:tc>
                <w:tcPr>
                  <w:tcW w:w="1040" w:type="dxa"/>
                  <w:vAlign w:val="center"/>
                </w:tcPr>
                <w:p w14:paraId="6CE74D67">
                  <w:pPr>
                    <w:adjustRightInd w:val="0"/>
                    <w:snapToGrid w:val="0"/>
                    <w:spacing w:line="240" w:lineRule="exact"/>
                    <w:ind w:firstLine="0" w:firstLineChars="0"/>
                    <w:jc w:val="center"/>
                    <w:rPr>
                      <w:rFonts w:cs="Times New Roman"/>
                      <w:sz w:val="21"/>
                      <w:szCs w:val="21"/>
                    </w:rPr>
                  </w:pPr>
                  <w:r>
                    <w:rPr>
                      <w:rFonts w:hint="eastAsia" w:cs="Times New Roman"/>
                      <w:sz w:val="21"/>
                      <w:szCs w:val="21"/>
                    </w:rPr>
                    <w:t>1.13</w:t>
                  </w:r>
                  <w:r>
                    <w:rPr>
                      <w:rFonts w:cs="Times New Roman"/>
                      <w:sz w:val="21"/>
                      <w:szCs w:val="21"/>
                    </w:rPr>
                    <w:t>×</w:t>
                  </w:r>
                  <w:r>
                    <w:rPr>
                      <w:rFonts w:hint="eastAsia" w:cs="Times New Roman"/>
                      <w:sz w:val="21"/>
                      <w:szCs w:val="21"/>
                    </w:rPr>
                    <w:t>10</w:t>
                  </w:r>
                  <w:r>
                    <w:rPr>
                      <w:rFonts w:hint="eastAsia" w:cs="Times New Roman"/>
                      <w:sz w:val="21"/>
                      <w:szCs w:val="21"/>
                      <w:vertAlign w:val="superscript"/>
                    </w:rPr>
                    <w:t>-2</w:t>
                  </w:r>
                </w:p>
              </w:tc>
              <w:tc>
                <w:tcPr>
                  <w:tcW w:w="1040" w:type="dxa"/>
                  <w:vAlign w:val="center"/>
                </w:tcPr>
                <w:p w14:paraId="0091603C">
                  <w:pPr>
                    <w:adjustRightInd w:val="0"/>
                    <w:snapToGrid w:val="0"/>
                    <w:spacing w:line="240" w:lineRule="exact"/>
                    <w:ind w:firstLine="0" w:firstLineChars="0"/>
                    <w:jc w:val="center"/>
                    <w:rPr>
                      <w:rFonts w:cs="Times New Roman"/>
                      <w:sz w:val="21"/>
                      <w:szCs w:val="21"/>
                    </w:rPr>
                  </w:pPr>
                  <w:r>
                    <w:rPr>
                      <w:rFonts w:hint="eastAsia" w:cs="Times New Roman"/>
                      <w:sz w:val="21"/>
                      <w:szCs w:val="21"/>
                    </w:rPr>
                    <w:t>1.01</w:t>
                  </w:r>
                  <w:r>
                    <w:rPr>
                      <w:rFonts w:cs="Times New Roman"/>
                      <w:sz w:val="21"/>
                      <w:szCs w:val="21"/>
                    </w:rPr>
                    <w:t>×</w:t>
                  </w:r>
                  <w:r>
                    <w:rPr>
                      <w:rFonts w:hint="eastAsia" w:cs="Times New Roman"/>
                      <w:sz w:val="21"/>
                      <w:szCs w:val="21"/>
                    </w:rPr>
                    <w:t>10</w:t>
                  </w:r>
                  <w:r>
                    <w:rPr>
                      <w:rFonts w:hint="eastAsia" w:cs="Times New Roman"/>
                      <w:sz w:val="21"/>
                      <w:szCs w:val="21"/>
                      <w:vertAlign w:val="superscript"/>
                    </w:rPr>
                    <w:t>-2</w:t>
                  </w:r>
                </w:p>
              </w:tc>
              <w:tc>
                <w:tcPr>
                  <w:tcW w:w="1040" w:type="dxa"/>
                  <w:vAlign w:val="center"/>
                </w:tcPr>
                <w:p w14:paraId="64257BFE">
                  <w:pPr>
                    <w:adjustRightInd w:val="0"/>
                    <w:snapToGrid w:val="0"/>
                    <w:spacing w:line="240" w:lineRule="exact"/>
                    <w:ind w:firstLine="0" w:firstLineChars="0"/>
                    <w:jc w:val="center"/>
                    <w:rPr>
                      <w:rFonts w:cs="Times New Roman"/>
                      <w:sz w:val="21"/>
                      <w:szCs w:val="21"/>
                    </w:rPr>
                  </w:pPr>
                  <w:r>
                    <w:rPr>
                      <w:rFonts w:hint="eastAsia" w:cs="Times New Roman"/>
                      <w:sz w:val="21"/>
                      <w:szCs w:val="21"/>
                    </w:rPr>
                    <w:t>9.32</w:t>
                  </w:r>
                  <w:r>
                    <w:rPr>
                      <w:rFonts w:cs="Times New Roman"/>
                      <w:sz w:val="21"/>
                      <w:szCs w:val="21"/>
                    </w:rPr>
                    <w:t>×</w:t>
                  </w:r>
                  <w:r>
                    <w:rPr>
                      <w:rFonts w:hint="eastAsia" w:cs="Times New Roman"/>
                      <w:sz w:val="21"/>
                      <w:szCs w:val="21"/>
                    </w:rPr>
                    <w:t>10</w:t>
                  </w:r>
                  <w:r>
                    <w:rPr>
                      <w:rFonts w:hint="eastAsia" w:cs="Times New Roman"/>
                      <w:sz w:val="21"/>
                      <w:szCs w:val="21"/>
                      <w:vertAlign w:val="superscript"/>
                    </w:rPr>
                    <w:t>-3</w:t>
                  </w:r>
                </w:p>
              </w:tc>
            </w:tr>
            <w:tr w14:paraId="34458453">
              <w:tblPrEx>
                <w:tblBorders>
                  <w:top w:val="single" w:color="000000" w:sz="6" w:space="0"/>
                  <w:left w:val="single" w:color="000000" w:sz="6" w:space="0"/>
                  <w:bottom w:val="single" w:color="000000" w:sz="6"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51" w:hRule="atLeast"/>
                <w:jc w:val="center"/>
              </w:trPr>
              <w:tc>
                <w:tcPr>
                  <w:tcW w:w="1210" w:type="dxa"/>
                  <w:vMerge w:val="restart"/>
                  <w:tcBorders>
                    <w:left w:val="nil"/>
                  </w:tcBorders>
                  <w:vAlign w:val="center"/>
                </w:tcPr>
                <w:p w14:paraId="1EB0DD5A">
                  <w:pPr>
                    <w:adjustRightInd w:val="0"/>
                    <w:snapToGrid w:val="0"/>
                    <w:spacing w:line="240" w:lineRule="exact"/>
                    <w:ind w:firstLine="0" w:firstLineChars="0"/>
                    <w:jc w:val="center"/>
                    <w:rPr>
                      <w:rFonts w:cs="Times New Roman"/>
                      <w:sz w:val="21"/>
                      <w:szCs w:val="21"/>
                    </w:rPr>
                  </w:pPr>
                  <w:r>
                    <w:rPr>
                      <w:rFonts w:hint="eastAsia" w:cs="Times New Roman"/>
                      <w:sz w:val="21"/>
                      <w:szCs w:val="21"/>
                    </w:rPr>
                    <w:t>2026.04.29</w:t>
                  </w:r>
                </w:p>
              </w:tc>
              <w:tc>
                <w:tcPr>
                  <w:tcW w:w="1102" w:type="dxa"/>
                  <w:vMerge w:val="continue"/>
                  <w:vAlign w:val="center"/>
                </w:tcPr>
                <w:p w14:paraId="02289499">
                  <w:pPr>
                    <w:adjustRightInd w:val="0"/>
                    <w:snapToGrid w:val="0"/>
                    <w:spacing w:line="240" w:lineRule="exact"/>
                    <w:ind w:firstLine="0" w:firstLineChars="0"/>
                    <w:jc w:val="center"/>
                    <w:rPr>
                      <w:rFonts w:cs="Times New Roman"/>
                      <w:sz w:val="21"/>
                      <w:szCs w:val="21"/>
                    </w:rPr>
                  </w:pPr>
                </w:p>
              </w:tc>
              <w:tc>
                <w:tcPr>
                  <w:tcW w:w="2236" w:type="dxa"/>
                  <w:gridSpan w:val="2"/>
                  <w:vAlign w:val="center"/>
                </w:tcPr>
                <w:p w14:paraId="69D96F52">
                  <w:pPr>
                    <w:adjustRightInd w:val="0"/>
                    <w:snapToGrid w:val="0"/>
                    <w:spacing w:line="240" w:lineRule="exact"/>
                    <w:ind w:firstLine="0" w:firstLineChars="0"/>
                    <w:jc w:val="center"/>
                    <w:rPr>
                      <w:rFonts w:cs="Times New Roman"/>
                      <w:sz w:val="21"/>
                      <w:szCs w:val="21"/>
                    </w:rPr>
                  </w:pPr>
                  <w:r>
                    <w:rPr>
                      <w:rFonts w:hint="eastAsia" w:cs="Times New Roman"/>
                      <w:sz w:val="21"/>
                      <w:szCs w:val="21"/>
                    </w:rPr>
                    <w:t>排气</w:t>
                  </w:r>
                  <w:r>
                    <w:rPr>
                      <w:rFonts w:cs="Times New Roman"/>
                      <w:sz w:val="21"/>
                      <w:szCs w:val="21"/>
                    </w:rPr>
                    <w:t>流量</w:t>
                  </w:r>
                </w:p>
              </w:tc>
              <w:tc>
                <w:tcPr>
                  <w:tcW w:w="995" w:type="dxa"/>
                  <w:vAlign w:val="center"/>
                </w:tcPr>
                <w:p w14:paraId="55909068">
                  <w:pPr>
                    <w:adjustRightInd w:val="0"/>
                    <w:snapToGrid w:val="0"/>
                    <w:spacing w:line="240" w:lineRule="exact"/>
                    <w:ind w:firstLine="0" w:firstLineChars="0"/>
                    <w:jc w:val="center"/>
                    <w:rPr>
                      <w:rFonts w:cs="Times New Roman"/>
                      <w:sz w:val="21"/>
                      <w:szCs w:val="21"/>
                    </w:rPr>
                  </w:pPr>
                  <w:r>
                    <w:rPr>
                      <w:rFonts w:cs="Times New Roman"/>
                      <w:sz w:val="21"/>
                      <w:szCs w:val="21"/>
                    </w:rPr>
                    <w:t>m</w:t>
                  </w:r>
                  <w:r>
                    <w:rPr>
                      <w:rFonts w:cs="Times New Roman"/>
                      <w:sz w:val="21"/>
                      <w:szCs w:val="21"/>
                      <w:vertAlign w:val="superscript"/>
                    </w:rPr>
                    <w:t>3</w:t>
                  </w:r>
                  <w:r>
                    <w:rPr>
                      <w:rFonts w:cs="Times New Roman"/>
                      <w:sz w:val="21"/>
                      <w:szCs w:val="21"/>
                    </w:rPr>
                    <w:t>/h</w:t>
                  </w:r>
                </w:p>
              </w:tc>
              <w:tc>
                <w:tcPr>
                  <w:tcW w:w="1040" w:type="dxa"/>
                  <w:vAlign w:val="center"/>
                </w:tcPr>
                <w:p w14:paraId="2600BAAD">
                  <w:pPr>
                    <w:adjustRightInd w:val="0"/>
                    <w:snapToGrid w:val="0"/>
                    <w:spacing w:line="240" w:lineRule="exact"/>
                    <w:ind w:firstLine="0" w:firstLineChars="0"/>
                    <w:jc w:val="center"/>
                    <w:rPr>
                      <w:rFonts w:cs="Times New Roman"/>
                      <w:sz w:val="21"/>
                      <w:szCs w:val="21"/>
                    </w:rPr>
                  </w:pPr>
                  <w:r>
                    <w:rPr>
                      <w:rFonts w:hint="eastAsia" w:cs="Times New Roman"/>
                      <w:sz w:val="21"/>
                      <w:szCs w:val="21"/>
                    </w:rPr>
                    <w:t>7445</w:t>
                  </w:r>
                </w:p>
              </w:tc>
              <w:tc>
                <w:tcPr>
                  <w:tcW w:w="1040" w:type="dxa"/>
                  <w:vAlign w:val="center"/>
                </w:tcPr>
                <w:p w14:paraId="050650F9">
                  <w:pPr>
                    <w:adjustRightInd w:val="0"/>
                    <w:snapToGrid w:val="0"/>
                    <w:spacing w:line="240" w:lineRule="exact"/>
                    <w:ind w:firstLine="0" w:firstLineChars="0"/>
                    <w:jc w:val="center"/>
                    <w:rPr>
                      <w:rFonts w:cs="Times New Roman"/>
                      <w:sz w:val="21"/>
                      <w:szCs w:val="21"/>
                    </w:rPr>
                  </w:pPr>
                  <w:r>
                    <w:rPr>
                      <w:rFonts w:hint="eastAsia" w:cs="Times New Roman"/>
                      <w:sz w:val="21"/>
                      <w:szCs w:val="21"/>
                    </w:rPr>
                    <w:t>7638</w:t>
                  </w:r>
                </w:p>
              </w:tc>
              <w:tc>
                <w:tcPr>
                  <w:tcW w:w="1040" w:type="dxa"/>
                  <w:vAlign w:val="center"/>
                </w:tcPr>
                <w:p w14:paraId="5E5D16EE">
                  <w:pPr>
                    <w:adjustRightInd w:val="0"/>
                    <w:snapToGrid w:val="0"/>
                    <w:spacing w:line="240" w:lineRule="exact"/>
                    <w:ind w:firstLine="0" w:firstLineChars="0"/>
                    <w:jc w:val="center"/>
                    <w:rPr>
                      <w:rFonts w:cs="Times New Roman"/>
                      <w:sz w:val="21"/>
                      <w:szCs w:val="21"/>
                    </w:rPr>
                  </w:pPr>
                  <w:r>
                    <w:rPr>
                      <w:rFonts w:hint="eastAsia" w:cs="Times New Roman"/>
                      <w:sz w:val="21"/>
                      <w:szCs w:val="21"/>
                    </w:rPr>
                    <w:t>7444</w:t>
                  </w:r>
                </w:p>
              </w:tc>
            </w:tr>
            <w:tr w14:paraId="39AA3D43">
              <w:tblPrEx>
                <w:tblBorders>
                  <w:top w:val="single" w:color="000000" w:sz="6" w:space="0"/>
                  <w:left w:val="single" w:color="000000" w:sz="6" w:space="0"/>
                  <w:bottom w:val="single" w:color="000000" w:sz="6"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51" w:hRule="atLeast"/>
                <w:jc w:val="center"/>
              </w:trPr>
              <w:tc>
                <w:tcPr>
                  <w:tcW w:w="1210" w:type="dxa"/>
                  <w:vMerge w:val="continue"/>
                  <w:tcBorders>
                    <w:left w:val="nil"/>
                  </w:tcBorders>
                  <w:vAlign w:val="center"/>
                </w:tcPr>
                <w:p w14:paraId="69F23227">
                  <w:pPr>
                    <w:adjustRightInd w:val="0"/>
                    <w:snapToGrid w:val="0"/>
                    <w:spacing w:line="240" w:lineRule="exact"/>
                    <w:ind w:firstLine="0" w:firstLineChars="0"/>
                    <w:jc w:val="center"/>
                    <w:rPr>
                      <w:rFonts w:cs="Times New Roman"/>
                      <w:sz w:val="21"/>
                      <w:szCs w:val="21"/>
                    </w:rPr>
                  </w:pPr>
                </w:p>
              </w:tc>
              <w:tc>
                <w:tcPr>
                  <w:tcW w:w="1102" w:type="dxa"/>
                  <w:vMerge w:val="continue"/>
                  <w:vAlign w:val="center"/>
                </w:tcPr>
                <w:p w14:paraId="0B7ADF62">
                  <w:pPr>
                    <w:adjustRightInd w:val="0"/>
                    <w:snapToGrid w:val="0"/>
                    <w:spacing w:line="240" w:lineRule="exact"/>
                    <w:ind w:firstLine="0" w:firstLineChars="0"/>
                    <w:jc w:val="center"/>
                    <w:rPr>
                      <w:rFonts w:cs="Times New Roman"/>
                      <w:sz w:val="21"/>
                      <w:szCs w:val="21"/>
                    </w:rPr>
                  </w:pPr>
                </w:p>
              </w:tc>
              <w:tc>
                <w:tcPr>
                  <w:tcW w:w="913" w:type="dxa"/>
                  <w:vMerge w:val="restart"/>
                  <w:vAlign w:val="center"/>
                </w:tcPr>
                <w:p w14:paraId="03D86495">
                  <w:pPr>
                    <w:adjustRightInd w:val="0"/>
                    <w:snapToGrid w:val="0"/>
                    <w:spacing w:line="240" w:lineRule="exact"/>
                    <w:ind w:firstLine="0" w:firstLineChars="0"/>
                    <w:jc w:val="center"/>
                    <w:rPr>
                      <w:rFonts w:cs="Times New Roman"/>
                      <w:sz w:val="21"/>
                      <w:szCs w:val="21"/>
                    </w:rPr>
                  </w:pPr>
                  <w:r>
                    <w:rPr>
                      <w:rFonts w:hint="eastAsia" w:cs="Times New Roman"/>
                      <w:sz w:val="21"/>
                      <w:szCs w:val="21"/>
                    </w:rPr>
                    <w:t>甲醛</w:t>
                  </w:r>
                </w:p>
              </w:tc>
              <w:tc>
                <w:tcPr>
                  <w:tcW w:w="1323" w:type="dxa"/>
                  <w:vAlign w:val="center"/>
                </w:tcPr>
                <w:p w14:paraId="1F976187">
                  <w:pPr>
                    <w:adjustRightInd w:val="0"/>
                    <w:snapToGrid w:val="0"/>
                    <w:spacing w:line="240" w:lineRule="exact"/>
                    <w:ind w:firstLine="0" w:firstLineChars="0"/>
                    <w:jc w:val="center"/>
                    <w:rPr>
                      <w:rFonts w:cs="Times New Roman"/>
                      <w:sz w:val="21"/>
                      <w:szCs w:val="21"/>
                    </w:rPr>
                  </w:pPr>
                  <w:r>
                    <w:rPr>
                      <w:rFonts w:cs="Times New Roman"/>
                      <w:sz w:val="21"/>
                      <w:szCs w:val="21"/>
                    </w:rPr>
                    <w:t>实测浓度</w:t>
                  </w:r>
                </w:p>
              </w:tc>
              <w:tc>
                <w:tcPr>
                  <w:tcW w:w="995" w:type="dxa"/>
                  <w:vAlign w:val="center"/>
                </w:tcPr>
                <w:p w14:paraId="0D8530C4">
                  <w:pPr>
                    <w:adjustRightInd w:val="0"/>
                    <w:snapToGrid w:val="0"/>
                    <w:spacing w:line="240" w:lineRule="exact"/>
                    <w:ind w:firstLine="0" w:firstLineChars="0"/>
                    <w:jc w:val="center"/>
                    <w:rPr>
                      <w:rFonts w:cs="Times New Roman"/>
                      <w:sz w:val="21"/>
                      <w:szCs w:val="21"/>
                    </w:rPr>
                  </w:pPr>
                  <w:r>
                    <w:rPr>
                      <w:rFonts w:cs="Times New Roman"/>
                      <w:sz w:val="21"/>
                      <w:szCs w:val="21"/>
                    </w:rPr>
                    <w:t>mg/m</w:t>
                  </w:r>
                  <w:r>
                    <w:rPr>
                      <w:rFonts w:cs="Times New Roman"/>
                      <w:sz w:val="21"/>
                      <w:szCs w:val="21"/>
                      <w:vertAlign w:val="superscript"/>
                    </w:rPr>
                    <w:t>3</w:t>
                  </w:r>
                </w:p>
              </w:tc>
              <w:tc>
                <w:tcPr>
                  <w:tcW w:w="1040" w:type="dxa"/>
                  <w:vAlign w:val="center"/>
                </w:tcPr>
                <w:p w14:paraId="49AC95EF">
                  <w:pPr>
                    <w:adjustRightInd w:val="0"/>
                    <w:snapToGrid w:val="0"/>
                    <w:spacing w:line="240" w:lineRule="exact"/>
                    <w:ind w:firstLine="0" w:firstLineChars="0"/>
                    <w:jc w:val="center"/>
                    <w:rPr>
                      <w:rFonts w:cs="Times New Roman"/>
                      <w:sz w:val="21"/>
                      <w:szCs w:val="21"/>
                    </w:rPr>
                  </w:pPr>
                  <w:r>
                    <w:rPr>
                      <w:rFonts w:hint="eastAsia" w:cs="Times New Roman"/>
                      <w:sz w:val="21"/>
                      <w:szCs w:val="21"/>
                    </w:rPr>
                    <w:t>0.5</w:t>
                  </w:r>
                </w:p>
              </w:tc>
              <w:tc>
                <w:tcPr>
                  <w:tcW w:w="1040" w:type="dxa"/>
                  <w:vAlign w:val="center"/>
                </w:tcPr>
                <w:p w14:paraId="7D00DDA5">
                  <w:pPr>
                    <w:adjustRightInd w:val="0"/>
                    <w:snapToGrid w:val="0"/>
                    <w:spacing w:line="240" w:lineRule="exact"/>
                    <w:ind w:firstLine="0" w:firstLineChars="0"/>
                    <w:jc w:val="center"/>
                    <w:rPr>
                      <w:rFonts w:cs="Times New Roman"/>
                      <w:sz w:val="21"/>
                      <w:szCs w:val="21"/>
                    </w:rPr>
                  </w:pPr>
                  <w:r>
                    <w:rPr>
                      <w:rFonts w:hint="eastAsia" w:cs="Times New Roman"/>
                      <w:sz w:val="21"/>
                      <w:szCs w:val="21"/>
                    </w:rPr>
                    <w:t>0.7</w:t>
                  </w:r>
                </w:p>
              </w:tc>
              <w:tc>
                <w:tcPr>
                  <w:tcW w:w="1040" w:type="dxa"/>
                  <w:vAlign w:val="center"/>
                </w:tcPr>
                <w:p w14:paraId="2543EB65">
                  <w:pPr>
                    <w:adjustRightInd w:val="0"/>
                    <w:snapToGrid w:val="0"/>
                    <w:spacing w:line="240" w:lineRule="exact"/>
                    <w:ind w:firstLine="0" w:firstLineChars="0"/>
                    <w:jc w:val="center"/>
                    <w:rPr>
                      <w:rFonts w:cs="Times New Roman"/>
                      <w:sz w:val="21"/>
                      <w:szCs w:val="21"/>
                    </w:rPr>
                  </w:pPr>
                  <w:r>
                    <w:rPr>
                      <w:rFonts w:hint="eastAsia" w:cs="Times New Roman"/>
                      <w:sz w:val="21"/>
                      <w:szCs w:val="21"/>
                    </w:rPr>
                    <w:t>0.6</w:t>
                  </w:r>
                </w:p>
              </w:tc>
            </w:tr>
            <w:tr w14:paraId="429F1604">
              <w:tblPrEx>
                <w:tblBorders>
                  <w:top w:val="single" w:color="000000" w:sz="6" w:space="0"/>
                  <w:left w:val="single" w:color="000000" w:sz="6" w:space="0"/>
                  <w:bottom w:val="single" w:color="000000" w:sz="6"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51" w:hRule="atLeast"/>
                <w:jc w:val="center"/>
              </w:trPr>
              <w:tc>
                <w:tcPr>
                  <w:tcW w:w="1210" w:type="dxa"/>
                  <w:vMerge w:val="continue"/>
                  <w:tcBorders>
                    <w:left w:val="nil"/>
                  </w:tcBorders>
                  <w:vAlign w:val="center"/>
                </w:tcPr>
                <w:p w14:paraId="52FCF653">
                  <w:pPr>
                    <w:adjustRightInd w:val="0"/>
                    <w:snapToGrid w:val="0"/>
                    <w:spacing w:line="240" w:lineRule="exact"/>
                    <w:ind w:firstLine="0" w:firstLineChars="0"/>
                    <w:jc w:val="center"/>
                    <w:rPr>
                      <w:rFonts w:cs="Times New Roman"/>
                      <w:sz w:val="21"/>
                      <w:szCs w:val="21"/>
                    </w:rPr>
                  </w:pPr>
                </w:p>
              </w:tc>
              <w:tc>
                <w:tcPr>
                  <w:tcW w:w="1102" w:type="dxa"/>
                  <w:vMerge w:val="continue"/>
                  <w:vAlign w:val="center"/>
                </w:tcPr>
                <w:p w14:paraId="4D82B6D4">
                  <w:pPr>
                    <w:adjustRightInd w:val="0"/>
                    <w:snapToGrid w:val="0"/>
                    <w:spacing w:line="240" w:lineRule="exact"/>
                    <w:ind w:firstLine="0" w:firstLineChars="0"/>
                    <w:jc w:val="center"/>
                    <w:rPr>
                      <w:rFonts w:cs="Times New Roman"/>
                      <w:sz w:val="21"/>
                      <w:szCs w:val="21"/>
                    </w:rPr>
                  </w:pPr>
                </w:p>
              </w:tc>
              <w:tc>
                <w:tcPr>
                  <w:tcW w:w="913" w:type="dxa"/>
                  <w:vMerge w:val="continue"/>
                  <w:vAlign w:val="center"/>
                </w:tcPr>
                <w:p w14:paraId="2AACB357">
                  <w:pPr>
                    <w:adjustRightInd w:val="0"/>
                    <w:snapToGrid w:val="0"/>
                    <w:spacing w:line="240" w:lineRule="exact"/>
                    <w:ind w:firstLine="0" w:firstLineChars="0"/>
                    <w:jc w:val="center"/>
                    <w:rPr>
                      <w:rFonts w:cs="Times New Roman"/>
                      <w:sz w:val="21"/>
                      <w:szCs w:val="21"/>
                    </w:rPr>
                  </w:pPr>
                </w:p>
              </w:tc>
              <w:tc>
                <w:tcPr>
                  <w:tcW w:w="1323" w:type="dxa"/>
                  <w:vAlign w:val="center"/>
                </w:tcPr>
                <w:p w14:paraId="3E68DFA8">
                  <w:pPr>
                    <w:adjustRightInd w:val="0"/>
                    <w:snapToGrid w:val="0"/>
                    <w:spacing w:line="240" w:lineRule="exact"/>
                    <w:ind w:firstLine="0" w:firstLineChars="0"/>
                    <w:jc w:val="center"/>
                    <w:rPr>
                      <w:rFonts w:cs="Times New Roman"/>
                      <w:sz w:val="21"/>
                      <w:szCs w:val="21"/>
                    </w:rPr>
                  </w:pPr>
                  <w:r>
                    <w:rPr>
                      <w:rFonts w:cs="Times New Roman"/>
                      <w:sz w:val="21"/>
                      <w:szCs w:val="21"/>
                    </w:rPr>
                    <w:t>排放浓度</w:t>
                  </w:r>
                </w:p>
              </w:tc>
              <w:tc>
                <w:tcPr>
                  <w:tcW w:w="995" w:type="dxa"/>
                  <w:vAlign w:val="center"/>
                </w:tcPr>
                <w:p w14:paraId="5858FBB5">
                  <w:pPr>
                    <w:adjustRightInd w:val="0"/>
                    <w:snapToGrid w:val="0"/>
                    <w:spacing w:line="240" w:lineRule="exact"/>
                    <w:ind w:firstLine="0" w:firstLineChars="0"/>
                    <w:jc w:val="center"/>
                    <w:rPr>
                      <w:rFonts w:cs="Times New Roman"/>
                      <w:sz w:val="21"/>
                      <w:szCs w:val="21"/>
                    </w:rPr>
                  </w:pPr>
                  <w:r>
                    <w:rPr>
                      <w:rFonts w:cs="Times New Roman"/>
                      <w:sz w:val="21"/>
                      <w:szCs w:val="21"/>
                    </w:rPr>
                    <w:t>mg/m</w:t>
                  </w:r>
                  <w:r>
                    <w:rPr>
                      <w:rFonts w:cs="Times New Roman"/>
                      <w:sz w:val="21"/>
                      <w:szCs w:val="21"/>
                      <w:vertAlign w:val="superscript"/>
                    </w:rPr>
                    <w:t>3</w:t>
                  </w:r>
                </w:p>
              </w:tc>
              <w:tc>
                <w:tcPr>
                  <w:tcW w:w="1040" w:type="dxa"/>
                  <w:vAlign w:val="center"/>
                </w:tcPr>
                <w:p w14:paraId="68BD3A20">
                  <w:pPr>
                    <w:adjustRightInd w:val="0"/>
                    <w:snapToGrid w:val="0"/>
                    <w:spacing w:line="240" w:lineRule="exact"/>
                    <w:ind w:firstLine="0" w:firstLineChars="0"/>
                    <w:jc w:val="center"/>
                    <w:rPr>
                      <w:rFonts w:cs="Times New Roman"/>
                      <w:sz w:val="21"/>
                      <w:szCs w:val="21"/>
                    </w:rPr>
                  </w:pPr>
                  <w:r>
                    <w:rPr>
                      <w:rFonts w:hint="eastAsia" w:cs="Times New Roman"/>
                      <w:sz w:val="21"/>
                      <w:szCs w:val="21"/>
                    </w:rPr>
                    <w:t>0.5</w:t>
                  </w:r>
                </w:p>
              </w:tc>
              <w:tc>
                <w:tcPr>
                  <w:tcW w:w="1040" w:type="dxa"/>
                  <w:vAlign w:val="center"/>
                </w:tcPr>
                <w:p w14:paraId="3E6BC2A1">
                  <w:pPr>
                    <w:adjustRightInd w:val="0"/>
                    <w:snapToGrid w:val="0"/>
                    <w:spacing w:line="240" w:lineRule="exact"/>
                    <w:ind w:firstLine="0" w:firstLineChars="0"/>
                    <w:jc w:val="center"/>
                    <w:rPr>
                      <w:rFonts w:cs="Times New Roman"/>
                      <w:sz w:val="21"/>
                      <w:szCs w:val="21"/>
                    </w:rPr>
                  </w:pPr>
                  <w:r>
                    <w:rPr>
                      <w:rFonts w:hint="eastAsia" w:cs="Times New Roman"/>
                      <w:sz w:val="21"/>
                      <w:szCs w:val="21"/>
                    </w:rPr>
                    <w:t>0.7</w:t>
                  </w:r>
                </w:p>
              </w:tc>
              <w:tc>
                <w:tcPr>
                  <w:tcW w:w="1040" w:type="dxa"/>
                  <w:vAlign w:val="center"/>
                </w:tcPr>
                <w:p w14:paraId="47166EA2">
                  <w:pPr>
                    <w:adjustRightInd w:val="0"/>
                    <w:snapToGrid w:val="0"/>
                    <w:spacing w:line="240" w:lineRule="exact"/>
                    <w:ind w:firstLine="0" w:firstLineChars="0"/>
                    <w:jc w:val="center"/>
                    <w:rPr>
                      <w:rFonts w:cs="Times New Roman"/>
                      <w:sz w:val="21"/>
                      <w:szCs w:val="21"/>
                    </w:rPr>
                  </w:pPr>
                  <w:r>
                    <w:rPr>
                      <w:rFonts w:hint="eastAsia" w:cs="Times New Roman"/>
                      <w:sz w:val="21"/>
                      <w:szCs w:val="21"/>
                    </w:rPr>
                    <w:t>0.6</w:t>
                  </w:r>
                </w:p>
              </w:tc>
            </w:tr>
            <w:tr w14:paraId="4FE930C5">
              <w:tblPrEx>
                <w:tblBorders>
                  <w:top w:val="single" w:color="000000" w:sz="6" w:space="0"/>
                  <w:left w:val="single" w:color="000000" w:sz="6" w:space="0"/>
                  <w:bottom w:val="single" w:color="000000" w:sz="6"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51" w:hRule="atLeast"/>
                <w:jc w:val="center"/>
              </w:trPr>
              <w:tc>
                <w:tcPr>
                  <w:tcW w:w="1210" w:type="dxa"/>
                  <w:vMerge w:val="continue"/>
                  <w:tcBorders>
                    <w:left w:val="nil"/>
                  </w:tcBorders>
                  <w:vAlign w:val="center"/>
                </w:tcPr>
                <w:p w14:paraId="6C1C7722">
                  <w:pPr>
                    <w:adjustRightInd w:val="0"/>
                    <w:snapToGrid w:val="0"/>
                    <w:spacing w:line="240" w:lineRule="exact"/>
                    <w:ind w:firstLine="0" w:firstLineChars="0"/>
                    <w:jc w:val="center"/>
                    <w:rPr>
                      <w:rFonts w:cs="Times New Roman"/>
                      <w:sz w:val="21"/>
                      <w:szCs w:val="21"/>
                    </w:rPr>
                  </w:pPr>
                </w:p>
              </w:tc>
              <w:tc>
                <w:tcPr>
                  <w:tcW w:w="1102" w:type="dxa"/>
                  <w:vMerge w:val="continue"/>
                  <w:vAlign w:val="center"/>
                </w:tcPr>
                <w:p w14:paraId="1B1351D5">
                  <w:pPr>
                    <w:adjustRightInd w:val="0"/>
                    <w:snapToGrid w:val="0"/>
                    <w:spacing w:line="240" w:lineRule="exact"/>
                    <w:ind w:firstLine="0" w:firstLineChars="0"/>
                    <w:jc w:val="center"/>
                    <w:rPr>
                      <w:rFonts w:cs="Times New Roman"/>
                      <w:sz w:val="21"/>
                      <w:szCs w:val="21"/>
                    </w:rPr>
                  </w:pPr>
                </w:p>
              </w:tc>
              <w:tc>
                <w:tcPr>
                  <w:tcW w:w="913" w:type="dxa"/>
                  <w:vMerge w:val="continue"/>
                  <w:vAlign w:val="center"/>
                </w:tcPr>
                <w:p w14:paraId="4F37233B">
                  <w:pPr>
                    <w:adjustRightInd w:val="0"/>
                    <w:snapToGrid w:val="0"/>
                    <w:spacing w:line="240" w:lineRule="exact"/>
                    <w:ind w:firstLine="0" w:firstLineChars="0"/>
                    <w:jc w:val="center"/>
                    <w:rPr>
                      <w:rFonts w:cs="Times New Roman"/>
                      <w:sz w:val="21"/>
                      <w:szCs w:val="21"/>
                    </w:rPr>
                  </w:pPr>
                </w:p>
              </w:tc>
              <w:tc>
                <w:tcPr>
                  <w:tcW w:w="1323" w:type="dxa"/>
                  <w:vAlign w:val="center"/>
                </w:tcPr>
                <w:p w14:paraId="114F79E2">
                  <w:pPr>
                    <w:adjustRightInd w:val="0"/>
                    <w:snapToGrid w:val="0"/>
                    <w:spacing w:line="240" w:lineRule="exact"/>
                    <w:ind w:firstLine="0" w:firstLineChars="0"/>
                    <w:jc w:val="center"/>
                    <w:rPr>
                      <w:rFonts w:cs="Times New Roman"/>
                      <w:sz w:val="21"/>
                      <w:szCs w:val="21"/>
                    </w:rPr>
                  </w:pPr>
                  <w:r>
                    <w:rPr>
                      <w:rFonts w:cs="Times New Roman"/>
                      <w:sz w:val="21"/>
                      <w:szCs w:val="21"/>
                    </w:rPr>
                    <w:t>排放速率</w:t>
                  </w:r>
                </w:p>
              </w:tc>
              <w:tc>
                <w:tcPr>
                  <w:tcW w:w="995" w:type="dxa"/>
                  <w:vAlign w:val="center"/>
                </w:tcPr>
                <w:p w14:paraId="310398B6">
                  <w:pPr>
                    <w:adjustRightInd w:val="0"/>
                    <w:snapToGrid w:val="0"/>
                    <w:spacing w:line="240" w:lineRule="exact"/>
                    <w:ind w:firstLine="0" w:firstLineChars="0"/>
                    <w:jc w:val="center"/>
                    <w:rPr>
                      <w:rFonts w:cs="Times New Roman"/>
                      <w:sz w:val="21"/>
                      <w:szCs w:val="21"/>
                    </w:rPr>
                  </w:pPr>
                  <w:r>
                    <w:rPr>
                      <w:rFonts w:cs="Times New Roman"/>
                      <w:sz w:val="21"/>
                      <w:szCs w:val="21"/>
                    </w:rPr>
                    <w:t>kg/h</w:t>
                  </w:r>
                </w:p>
              </w:tc>
              <w:tc>
                <w:tcPr>
                  <w:tcW w:w="1040" w:type="dxa"/>
                  <w:vAlign w:val="center"/>
                </w:tcPr>
                <w:p w14:paraId="72064E23">
                  <w:pPr>
                    <w:adjustRightInd w:val="0"/>
                    <w:snapToGrid w:val="0"/>
                    <w:spacing w:line="240" w:lineRule="exact"/>
                    <w:ind w:firstLine="0" w:firstLineChars="0"/>
                    <w:jc w:val="center"/>
                    <w:rPr>
                      <w:rFonts w:cs="Times New Roman"/>
                      <w:sz w:val="21"/>
                      <w:szCs w:val="21"/>
                    </w:rPr>
                  </w:pPr>
                  <w:r>
                    <w:rPr>
                      <w:rFonts w:hint="eastAsia" w:cs="Times New Roman"/>
                      <w:sz w:val="21"/>
                      <w:szCs w:val="21"/>
                    </w:rPr>
                    <w:t>3.72</w:t>
                  </w:r>
                  <w:r>
                    <w:rPr>
                      <w:rFonts w:cs="Times New Roman"/>
                      <w:sz w:val="21"/>
                      <w:szCs w:val="21"/>
                    </w:rPr>
                    <w:t>×</w:t>
                  </w:r>
                  <w:r>
                    <w:rPr>
                      <w:rFonts w:hint="eastAsia" w:cs="Times New Roman"/>
                      <w:sz w:val="21"/>
                      <w:szCs w:val="21"/>
                    </w:rPr>
                    <w:t>10</w:t>
                  </w:r>
                  <w:r>
                    <w:rPr>
                      <w:rFonts w:hint="eastAsia" w:cs="Times New Roman"/>
                      <w:sz w:val="21"/>
                      <w:szCs w:val="21"/>
                      <w:vertAlign w:val="superscript"/>
                    </w:rPr>
                    <w:t>-3</w:t>
                  </w:r>
                </w:p>
              </w:tc>
              <w:tc>
                <w:tcPr>
                  <w:tcW w:w="1040" w:type="dxa"/>
                  <w:vAlign w:val="center"/>
                </w:tcPr>
                <w:p w14:paraId="76F0949D">
                  <w:pPr>
                    <w:adjustRightInd w:val="0"/>
                    <w:snapToGrid w:val="0"/>
                    <w:spacing w:line="240" w:lineRule="exact"/>
                    <w:ind w:firstLine="0" w:firstLineChars="0"/>
                    <w:jc w:val="center"/>
                    <w:rPr>
                      <w:rFonts w:cs="Times New Roman"/>
                      <w:sz w:val="21"/>
                      <w:szCs w:val="21"/>
                    </w:rPr>
                  </w:pPr>
                  <w:r>
                    <w:rPr>
                      <w:rFonts w:hint="eastAsia" w:cs="Times New Roman"/>
                      <w:sz w:val="21"/>
                      <w:szCs w:val="21"/>
                    </w:rPr>
                    <w:t>5.35</w:t>
                  </w:r>
                  <w:r>
                    <w:rPr>
                      <w:rFonts w:cs="Times New Roman"/>
                      <w:sz w:val="21"/>
                      <w:szCs w:val="21"/>
                    </w:rPr>
                    <w:t>×</w:t>
                  </w:r>
                  <w:r>
                    <w:rPr>
                      <w:rFonts w:hint="eastAsia" w:cs="Times New Roman"/>
                      <w:sz w:val="21"/>
                      <w:szCs w:val="21"/>
                    </w:rPr>
                    <w:t>10</w:t>
                  </w:r>
                  <w:r>
                    <w:rPr>
                      <w:rFonts w:hint="eastAsia" w:cs="Times New Roman"/>
                      <w:sz w:val="21"/>
                      <w:szCs w:val="21"/>
                      <w:vertAlign w:val="superscript"/>
                    </w:rPr>
                    <w:t>-3</w:t>
                  </w:r>
                </w:p>
              </w:tc>
              <w:tc>
                <w:tcPr>
                  <w:tcW w:w="1040" w:type="dxa"/>
                  <w:vAlign w:val="center"/>
                </w:tcPr>
                <w:p w14:paraId="06824DA4">
                  <w:pPr>
                    <w:adjustRightInd w:val="0"/>
                    <w:snapToGrid w:val="0"/>
                    <w:spacing w:line="240" w:lineRule="exact"/>
                    <w:ind w:firstLine="0" w:firstLineChars="0"/>
                    <w:jc w:val="center"/>
                    <w:rPr>
                      <w:rFonts w:cs="Times New Roman"/>
                      <w:sz w:val="21"/>
                      <w:szCs w:val="21"/>
                    </w:rPr>
                  </w:pPr>
                  <w:r>
                    <w:rPr>
                      <w:rFonts w:hint="eastAsia" w:cs="Times New Roman"/>
                      <w:sz w:val="21"/>
                      <w:szCs w:val="21"/>
                    </w:rPr>
                    <w:t>4.47</w:t>
                  </w:r>
                  <w:r>
                    <w:rPr>
                      <w:rFonts w:cs="Times New Roman"/>
                      <w:sz w:val="21"/>
                      <w:szCs w:val="21"/>
                    </w:rPr>
                    <w:t>×</w:t>
                  </w:r>
                  <w:r>
                    <w:rPr>
                      <w:rFonts w:hint="eastAsia" w:cs="Times New Roman"/>
                      <w:sz w:val="21"/>
                      <w:szCs w:val="21"/>
                    </w:rPr>
                    <w:t>10</w:t>
                  </w:r>
                  <w:r>
                    <w:rPr>
                      <w:rFonts w:hint="eastAsia" w:cs="Times New Roman"/>
                      <w:sz w:val="21"/>
                      <w:szCs w:val="21"/>
                      <w:vertAlign w:val="superscript"/>
                    </w:rPr>
                    <w:t>-3</w:t>
                  </w:r>
                </w:p>
              </w:tc>
            </w:tr>
            <w:tr w14:paraId="20E7303C">
              <w:tblPrEx>
                <w:tblBorders>
                  <w:top w:val="single" w:color="000000" w:sz="6" w:space="0"/>
                  <w:left w:val="single" w:color="000000" w:sz="6" w:space="0"/>
                  <w:bottom w:val="single" w:color="000000" w:sz="6"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51" w:hRule="atLeast"/>
                <w:jc w:val="center"/>
              </w:trPr>
              <w:tc>
                <w:tcPr>
                  <w:tcW w:w="1210" w:type="dxa"/>
                  <w:vMerge w:val="continue"/>
                  <w:tcBorders>
                    <w:left w:val="nil"/>
                  </w:tcBorders>
                  <w:vAlign w:val="center"/>
                </w:tcPr>
                <w:p w14:paraId="4000C524">
                  <w:pPr>
                    <w:adjustRightInd w:val="0"/>
                    <w:snapToGrid w:val="0"/>
                    <w:spacing w:line="240" w:lineRule="exact"/>
                    <w:ind w:firstLine="0" w:firstLineChars="0"/>
                    <w:jc w:val="center"/>
                    <w:rPr>
                      <w:rFonts w:cs="Times New Roman"/>
                      <w:sz w:val="21"/>
                      <w:szCs w:val="21"/>
                    </w:rPr>
                  </w:pPr>
                </w:p>
              </w:tc>
              <w:tc>
                <w:tcPr>
                  <w:tcW w:w="1102" w:type="dxa"/>
                  <w:vMerge w:val="continue"/>
                  <w:vAlign w:val="center"/>
                </w:tcPr>
                <w:p w14:paraId="7897CC2B">
                  <w:pPr>
                    <w:adjustRightInd w:val="0"/>
                    <w:snapToGrid w:val="0"/>
                    <w:spacing w:line="240" w:lineRule="exact"/>
                    <w:ind w:firstLine="0" w:firstLineChars="0"/>
                    <w:jc w:val="center"/>
                    <w:rPr>
                      <w:rFonts w:cs="Times New Roman"/>
                      <w:sz w:val="21"/>
                      <w:szCs w:val="21"/>
                    </w:rPr>
                  </w:pPr>
                </w:p>
              </w:tc>
              <w:tc>
                <w:tcPr>
                  <w:tcW w:w="913" w:type="dxa"/>
                  <w:vMerge w:val="restart"/>
                  <w:vAlign w:val="center"/>
                </w:tcPr>
                <w:p w14:paraId="72808282">
                  <w:pPr>
                    <w:adjustRightInd w:val="0"/>
                    <w:snapToGrid w:val="0"/>
                    <w:spacing w:line="240" w:lineRule="exact"/>
                    <w:ind w:firstLine="0" w:firstLineChars="0"/>
                    <w:jc w:val="center"/>
                    <w:rPr>
                      <w:rFonts w:cs="Times New Roman"/>
                      <w:sz w:val="21"/>
                      <w:szCs w:val="21"/>
                    </w:rPr>
                  </w:pPr>
                  <w:r>
                    <w:rPr>
                      <w:rFonts w:hint="eastAsia" w:cs="Times New Roman"/>
                      <w:sz w:val="21"/>
                      <w:szCs w:val="21"/>
                    </w:rPr>
                    <w:t>非甲烷</w:t>
                  </w:r>
                </w:p>
                <w:p w14:paraId="471B9CDA">
                  <w:pPr>
                    <w:adjustRightInd w:val="0"/>
                    <w:snapToGrid w:val="0"/>
                    <w:spacing w:line="240" w:lineRule="exact"/>
                    <w:ind w:firstLine="0" w:firstLineChars="0"/>
                    <w:jc w:val="center"/>
                    <w:rPr>
                      <w:rFonts w:cs="Times New Roman"/>
                      <w:sz w:val="21"/>
                      <w:szCs w:val="21"/>
                    </w:rPr>
                  </w:pPr>
                  <w:r>
                    <w:rPr>
                      <w:rFonts w:hint="eastAsia" w:cs="Times New Roman"/>
                      <w:sz w:val="21"/>
                      <w:szCs w:val="21"/>
                    </w:rPr>
                    <w:t>总烃</w:t>
                  </w:r>
                </w:p>
              </w:tc>
              <w:tc>
                <w:tcPr>
                  <w:tcW w:w="1323" w:type="dxa"/>
                  <w:vAlign w:val="center"/>
                </w:tcPr>
                <w:p w14:paraId="095D3921">
                  <w:pPr>
                    <w:adjustRightInd w:val="0"/>
                    <w:snapToGrid w:val="0"/>
                    <w:spacing w:line="240" w:lineRule="exact"/>
                    <w:ind w:firstLine="0" w:firstLineChars="0"/>
                    <w:jc w:val="center"/>
                    <w:rPr>
                      <w:rFonts w:cs="Times New Roman"/>
                      <w:sz w:val="21"/>
                      <w:szCs w:val="21"/>
                    </w:rPr>
                  </w:pPr>
                  <w:r>
                    <w:rPr>
                      <w:rFonts w:cs="Times New Roman"/>
                      <w:sz w:val="21"/>
                      <w:szCs w:val="21"/>
                    </w:rPr>
                    <w:t>实测浓度</w:t>
                  </w:r>
                </w:p>
              </w:tc>
              <w:tc>
                <w:tcPr>
                  <w:tcW w:w="995" w:type="dxa"/>
                  <w:vAlign w:val="center"/>
                </w:tcPr>
                <w:p w14:paraId="586569F9">
                  <w:pPr>
                    <w:adjustRightInd w:val="0"/>
                    <w:snapToGrid w:val="0"/>
                    <w:spacing w:line="240" w:lineRule="exact"/>
                    <w:ind w:firstLine="0" w:firstLineChars="0"/>
                    <w:jc w:val="center"/>
                    <w:rPr>
                      <w:rFonts w:cs="Times New Roman"/>
                      <w:sz w:val="21"/>
                      <w:szCs w:val="21"/>
                    </w:rPr>
                  </w:pPr>
                  <w:r>
                    <w:rPr>
                      <w:rFonts w:cs="Times New Roman"/>
                      <w:sz w:val="21"/>
                      <w:szCs w:val="21"/>
                    </w:rPr>
                    <w:t>mg/m</w:t>
                  </w:r>
                  <w:r>
                    <w:rPr>
                      <w:rFonts w:cs="Times New Roman"/>
                      <w:sz w:val="21"/>
                      <w:szCs w:val="21"/>
                      <w:vertAlign w:val="superscript"/>
                    </w:rPr>
                    <w:t>3</w:t>
                  </w:r>
                </w:p>
              </w:tc>
              <w:tc>
                <w:tcPr>
                  <w:tcW w:w="1040" w:type="dxa"/>
                  <w:vAlign w:val="center"/>
                </w:tcPr>
                <w:p w14:paraId="459F5E22">
                  <w:pPr>
                    <w:adjustRightInd w:val="0"/>
                    <w:snapToGrid w:val="0"/>
                    <w:spacing w:line="240" w:lineRule="exact"/>
                    <w:ind w:firstLine="0" w:firstLineChars="0"/>
                    <w:jc w:val="center"/>
                    <w:rPr>
                      <w:rFonts w:cs="Times New Roman"/>
                      <w:sz w:val="21"/>
                      <w:szCs w:val="21"/>
                    </w:rPr>
                  </w:pPr>
                  <w:r>
                    <w:rPr>
                      <w:rFonts w:hint="eastAsia" w:cs="Times New Roman"/>
                      <w:sz w:val="21"/>
                      <w:szCs w:val="21"/>
                    </w:rPr>
                    <w:t>1.37</w:t>
                  </w:r>
                </w:p>
              </w:tc>
              <w:tc>
                <w:tcPr>
                  <w:tcW w:w="1040" w:type="dxa"/>
                  <w:vAlign w:val="center"/>
                </w:tcPr>
                <w:p w14:paraId="0DEB0EAE">
                  <w:pPr>
                    <w:adjustRightInd w:val="0"/>
                    <w:snapToGrid w:val="0"/>
                    <w:spacing w:line="240" w:lineRule="exact"/>
                    <w:ind w:firstLine="0" w:firstLineChars="0"/>
                    <w:jc w:val="center"/>
                    <w:rPr>
                      <w:rFonts w:cs="Times New Roman"/>
                      <w:sz w:val="21"/>
                      <w:szCs w:val="21"/>
                    </w:rPr>
                  </w:pPr>
                  <w:r>
                    <w:rPr>
                      <w:rFonts w:hint="eastAsia" w:cs="Times New Roman"/>
                      <w:sz w:val="21"/>
                      <w:szCs w:val="21"/>
                    </w:rPr>
                    <w:t>1.45</w:t>
                  </w:r>
                </w:p>
              </w:tc>
              <w:tc>
                <w:tcPr>
                  <w:tcW w:w="1040" w:type="dxa"/>
                  <w:vAlign w:val="center"/>
                </w:tcPr>
                <w:p w14:paraId="0D9ED1E7">
                  <w:pPr>
                    <w:adjustRightInd w:val="0"/>
                    <w:snapToGrid w:val="0"/>
                    <w:spacing w:line="240" w:lineRule="exact"/>
                    <w:ind w:firstLine="0" w:firstLineChars="0"/>
                    <w:jc w:val="center"/>
                    <w:rPr>
                      <w:rFonts w:cs="Times New Roman"/>
                      <w:sz w:val="21"/>
                      <w:szCs w:val="21"/>
                    </w:rPr>
                  </w:pPr>
                  <w:r>
                    <w:rPr>
                      <w:rFonts w:hint="eastAsia" w:cs="Times New Roman"/>
                      <w:sz w:val="21"/>
                      <w:szCs w:val="21"/>
                    </w:rPr>
                    <w:t>1.32</w:t>
                  </w:r>
                </w:p>
              </w:tc>
            </w:tr>
            <w:tr w14:paraId="0005859A">
              <w:tblPrEx>
                <w:tblBorders>
                  <w:top w:val="single" w:color="000000" w:sz="6" w:space="0"/>
                  <w:left w:val="single" w:color="000000" w:sz="6" w:space="0"/>
                  <w:bottom w:val="single" w:color="000000" w:sz="6"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51" w:hRule="atLeast"/>
                <w:jc w:val="center"/>
              </w:trPr>
              <w:tc>
                <w:tcPr>
                  <w:tcW w:w="1210" w:type="dxa"/>
                  <w:vMerge w:val="continue"/>
                  <w:tcBorders>
                    <w:left w:val="nil"/>
                  </w:tcBorders>
                  <w:vAlign w:val="center"/>
                </w:tcPr>
                <w:p w14:paraId="603232CE">
                  <w:pPr>
                    <w:adjustRightInd w:val="0"/>
                    <w:snapToGrid w:val="0"/>
                    <w:spacing w:line="240" w:lineRule="exact"/>
                    <w:ind w:firstLine="0" w:firstLineChars="0"/>
                    <w:jc w:val="center"/>
                    <w:rPr>
                      <w:rFonts w:cs="Times New Roman"/>
                      <w:sz w:val="21"/>
                      <w:szCs w:val="21"/>
                    </w:rPr>
                  </w:pPr>
                </w:p>
              </w:tc>
              <w:tc>
                <w:tcPr>
                  <w:tcW w:w="1102" w:type="dxa"/>
                  <w:vMerge w:val="continue"/>
                  <w:vAlign w:val="center"/>
                </w:tcPr>
                <w:p w14:paraId="00D3EDD8">
                  <w:pPr>
                    <w:adjustRightInd w:val="0"/>
                    <w:snapToGrid w:val="0"/>
                    <w:spacing w:line="240" w:lineRule="exact"/>
                    <w:ind w:firstLine="0" w:firstLineChars="0"/>
                    <w:jc w:val="center"/>
                    <w:rPr>
                      <w:rFonts w:cs="Times New Roman"/>
                      <w:sz w:val="21"/>
                      <w:szCs w:val="21"/>
                    </w:rPr>
                  </w:pPr>
                </w:p>
              </w:tc>
              <w:tc>
                <w:tcPr>
                  <w:tcW w:w="913" w:type="dxa"/>
                  <w:vMerge w:val="continue"/>
                  <w:vAlign w:val="center"/>
                </w:tcPr>
                <w:p w14:paraId="5D582540">
                  <w:pPr>
                    <w:adjustRightInd w:val="0"/>
                    <w:snapToGrid w:val="0"/>
                    <w:spacing w:line="240" w:lineRule="exact"/>
                    <w:ind w:firstLine="0" w:firstLineChars="0"/>
                    <w:jc w:val="center"/>
                    <w:rPr>
                      <w:rFonts w:cs="Times New Roman"/>
                      <w:sz w:val="21"/>
                      <w:szCs w:val="21"/>
                    </w:rPr>
                  </w:pPr>
                </w:p>
              </w:tc>
              <w:tc>
                <w:tcPr>
                  <w:tcW w:w="1323" w:type="dxa"/>
                  <w:vAlign w:val="center"/>
                </w:tcPr>
                <w:p w14:paraId="1999E16B">
                  <w:pPr>
                    <w:adjustRightInd w:val="0"/>
                    <w:snapToGrid w:val="0"/>
                    <w:spacing w:line="240" w:lineRule="exact"/>
                    <w:ind w:firstLine="0" w:firstLineChars="0"/>
                    <w:jc w:val="center"/>
                    <w:rPr>
                      <w:rFonts w:cs="Times New Roman"/>
                      <w:sz w:val="21"/>
                      <w:szCs w:val="21"/>
                    </w:rPr>
                  </w:pPr>
                  <w:r>
                    <w:rPr>
                      <w:rFonts w:cs="Times New Roman"/>
                      <w:sz w:val="21"/>
                      <w:szCs w:val="21"/>
                    </w:rPr>
                    <w:t>排放浓度</w:t>
                  </w:r>
                </w:p>
              </w:tc>
              <w:tc>
                <w:tcPr>
                  <w:tcW w:w="995" w:type="dxa"/>
                  <w:vAlign w:val="center"/>
                </w:tcPr>
                <w:p w14:paraId="3F698AA8">
                  <w:pPr>
                    <w:adjustRightInd w:val="0"/>
                    <w:snapToGrid w:val="0"/>
                    <w:spacing w:line="240" w:lineRule="exact"/>
                    <w:ind w:firstLine="0" w:firstLineChars="0"/>
                    <w:jc w:val="center"/>
                    <w:rPr>
                      <w:rFonts w:cs="Times New Roman"/>
                      <w:sz w:val="21"/>
                      <w:szCs w:val="21"/>
                    </w:rPr>
                  </w:pPr>
                  <w:r>
                    <w:rPr>
                      <w:rFonts w:cs="Times New Roman"/>
                      <w:sz w:val="21"/>
                      <w:szCs w:val="21"/>
                    </w:rPr>
                    <w:t>mg/m</w:t>
                  </w:r>
                  <w:r>
                    <w:rPr>
                      <w:rFonts w:cs="Times New Roman"/>
                      <w:sz w:val="21"/>
                      <w:szCs w:val="21"/>
                      <w:vertAlign w:val="superscript"/>
                    </w:rPr>
                    <w:t>3</w:t>
                  </w:r>
                </w:p>
              </w:tc>
              <w:tc>
                <w:tcPr>
                  <w:tcW w:w="1040" w:type="dxa"/>
                  <w:vAlign w:val="center"/>
                </w:tcPr>
                <w:p w14:paraId="4EF91F21">
                  <w:pPr>
                    <w:adjustRightInd w:val="0"/>
                    <w:snapToGrid w:val="0"/>
                    <w:spacing w:line="240" w:lineRule="exact"/>
                    <w:ind w:firstLine="0" w:firstLineChars="0"/>
                    <w:jc w:val="center"/>
                    <w:rPr>
                      <w:rFonts w:cs="Times New Roman"/>
                      <w:sz w:val="21"/>
                      <w:szCs w:val="21"/>
                    </w:rPr>
                  </w:pPr>
                  <w:r>
                    <w:rPr>
                      <w:rFonts w:hint="eastAsia" w:cs="Times New Roman"/>
                      <w:sz w:val="21"/>
                      <w:szCs w:val="21"/>
                    </w:rPr>
                    <w:t>1.37</w:t>
                  </w:r>
                </w:p>
              </w:tc>
              <w:tc>
                <w:tcPr>
                  <w:tcW w:w="1040" w:type="dxa"/>
                  <w:vAlign w:val="center"/>
                </w:tcPr>
                <w:p w14:paraId="462C157F">
                  <w:pPr>
                    <w:adjustRightInd w:val="0"/>
                    <w:snapToGrid w:val="0"/>
                    <w:spacing w:line="240" w:lineRule="exact"/>
                    <w:ind w:firstLine="0" w:firstLineChars="0"/>
                    <w:jc w:val="center"/>
                    <w:rPr>
                      <w:rFonts w:cs="Times New Roman"/>
                      <w:sz w:val="21"/>
                      <w:szCs w:val="21"/>
                    </w:rPr>
                  </w:pPr>
                  <w:r>
                    <w:rPr>
                      <w:rFonts w:hint="eastAsia" w:cs="Times New Roman"/>
                      <w:sz w:val="21"/>
                      <w:szCs w:val="21"/>
                    </w:rPr>
                    <w:t>1.45</w:t>
                  </w:r>
                </w:p>
              </w:tc>
              <w:tc>
                <w:tcPr>
                  <w:tcW w:w="1040" w:type="dxa"/>
                  <w:vAlign w:val="center"/>
                </w:tcPr>
                <w:p w14:paraId="2441812E">
                  <w:pPr>
                    <w:adjustRightInd w:val="0"/>
                    <w:snapToGrid w:val="0"/>
                    <w:spacing w:line="240" w:lineRule="exact"/>
                    <w:ind w:firstLine="0" w:firstLineChars="0"/>
                    <w:jc w:val="center"/>
                    <w:rPr>
                      <w:rFonts w:cs="Times New Roman"/>
                      <w:sz w:val="21"/>
                      <w:szCs w:val="21"/>
                    </w:rPr>
                  </w:pPr>
                  <w:r>
                    <w:rPr>
                      <w:rFonts w:hint="eastAsia" w:cs="Times New Roman"/>
                      <w:sz w:val="21"/>
                      <w:szCs w:val="21"/>
                    </w:rPr>
                    <w:t>1.32</w:t>
                  </w:r>
                </w:p>
              </w:tc>
            </w:tr>
            <w:tr w14:paraId="258B75D4">
              <w:tblPrEx>
                <w:tblBorders>
                  <w:top w:val="single" w:color="000000" w:sz="6" w:space="0"/>
                  <w:left w:val="single" w:color="000000" w:sz="6" w:space="0"/>
                  <w:bottom w:val="single" w:color="000000" w:sz="6"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51" w:hRule="atLeast"/>
                <w:jc w:val="center"/>
              </w:trPr>
              <w:tc>
                <w:tcPr>
                  <w:tcW w:w="1210" w:type="dxa"/>
                  <w:vMerge w:val="continue"/>
                  <w:tcBorders>
                    <w:left w:val="nil"/>
                  </w:tcBorders>
                  <w:vAlign w:val="center"/>
                </w:tcPr>
                <w:p w14:paraId="6EE307C9">
                  <w:pPr>
                    <w:adjustRightInd w:val="0"/>
                    <w:snapToGrid w:val="0"/>
                    <w:spacing w:line="240" w:lineRule="exact"/>
                    <w:ind w:firstLine="0" w:firstLineChars="0"/>
                    <w:jc w:val="center"/>
                    <w:rPr>
                      <w:rFonts w:cs="Times New Roman"/>
                      <w:sz w:val="21"/>
                      <w:szCs w:val="21"/>
                    </w:rPr>
                  </w:pPr>
                </w:p>
              </w:tc>
              <w:tc>
                <w:tcPr>
                  <w:tcW w:w="1102" w:type="dxa"/>
                  <w:vMerge w:val="continue"/>
                  <w:vAlign w:val="center"/>
                </w:tcPr>
                <w:p w14:paraId="16AE959F">
                  <w:pPr>
                    <w:adjustRightInd w:val="0"/>
                    <w:snapToGrid w:val="0"/>
                    <w:spacing w:line="240" w:lineRule="exact"/>
                    <w:ind w:firstLine="0" w:firstLineChars="0"/>
                    <w:jc w:val="center"/>
                    <w:rPr>
                      <w:rFonts w:cs="Times New Roman"/>
                      <w:sz w:val="21"/>
                      <w:szCs w:val="21"/>
                    </w:rPr>
                  </w:pPr>
                </w:p>
              </w:tc>
              <w:tc>
                <w:tcPr>
                  <w:tcW w:w="913" w:type="dxa"/>
                  <w:vMerge w:val="continue"/>
                  <w:vAlign w:val="center"/>
                </w:tcPr>
                <w:p w14:paraId="42AEAFE1">
                  <w:pPr>
                    <w:adjustRightInd w:val="0"/>
                    <w:snapToGrid w:val="0"/>
                    <w:spacing w:line="240" w:lineRule="exact"/>
                    <w:ind w:firstLine="0" w:firstLineChars="0"/>
                    <w:jc w:val="center"/>
                    <w:rPr>
                      <w:rFonts w:cs="Times New Roman"/>
                      <w:sz w:val="21"/>
                      <w:szCs w:val="21"/>
                    </w:rPr>
                  </w:pPr>
                </w:p>
              </w:tc>
              <w:tc>
                <w:tcPr>
                  <w:tcW w:w="1323" w:type="dxa"/>
                  <w:vAlign w:val="center"/>
                </w:tcPr>
                <w:p w14:paraId="429E30A4">
                  <w:pPr>
                    <w:adjustRightInd w:val="0"/>
                    <w:snapToGrid w:val="0"/>
                    <w:spacing w:line="240" w:lineRule="exact"/>
                    <w:ind w:firstLine="0" w:firstLineChars="0"/>
                    <w:jc w:val="center"/>
                    <w:rPr>
                      <w:rFonts w:cs="Times New Roman"/>
                      <w:sz w:val="21"/>
                      <w:szCs w:val="21"/>
                    </w:rPr>
                  </w:pPr>
                  <w:r>
                    <w:rPr>
                      <w:rFonts w:cs="Times New Roman"/>
                      <w:sz w:val="21"/>
                      <w:szCs w:val="21"/>
                    </w:rPr>
                    <w:t>排放速率</w:t>
                  </w:r>
                </w:p>
              </w:tc>
              <w:tc>
                <w:tcPr>
                  <w:tcW w:w="995" w:type="dxa"/>
                  <w:vAlign w:val="center"/>
                </w:tcPr>
                <w:p w14:paraId="49BCDE9E">
                  <w:pPr>
                    <w:adjustRightInd w:val="0"/>
                    <w:snapToGrid w:val="0"/>
                    <w:spacing w:line="240" w:lineRule="exact"/>
                    <w:ind w:firstLine="0" w:firstLineChars="0"/>
                    <w:jc w:val="center"/>
                    <w:rPr>
                      <w:rFonts w:cs="Times New Roman"/>
                      <w:sz w:val="21"/>
                      <w:szCs w:val="21"/>
                    </w:rPr>
                  </w:pPr>
                  <w:r>
                    <w:rPr>
                      <w:rFonts w:cs="Times New Roman"/>
                      <w:sz w:val="21"/>
                      <w:szCs w:val="21"/>
                    </w:rPr>
                    <w:t>kg/h</w:t>
                  </w:r>
                </w:p>
              </w:tc>
              <w:tc>
                <w:tcPr>
                  <w:tcW w:w="1040" w:type="dxa"/>
                  <w:vAlign w:val="center"/>
                </w:tcPr>
                <w:p w14:paraId="6DB52179">
                  <w:pPr>
                    <w:adjustRightInd w:val="0"/>
                    <w:snapToGrid w:val="0"/>
                    <w:spacing w:line="240" w:lineRule="exact"/>
                    <w:ind w:firstLine="0" w:firstLineChars="0"/>
                    <w:jc w:val="center"/>
                    <w:rPr>
                      <w:rFonts w:cs="Times New Roman"/>
                      <w:sz w:val="21"/>
                      <w:szCs w:val="21"/>
                    </w:rPr>
                  </w:pPr>
                  <w:r>
                    <w:rPr>
                      <w:rFonts w:hint="eastAsia" w:cs="Times New Roman"/>
                      <w:sz w:val="21"/>
                      <w:szCs w:val="21"/>
                    </w:rPr>
                    <w:t>1.02</w:t>
                  </w:r>
                  <w:r>
                    <w:rPr>
                      <w:rFonts w:cs="Times New Roman"/>
                      <w:sz w:val="21"/>
                      <w:szCs w:val="21"/>
                    </w:rPr>
                    <w:t>×</w:t>
                  </w:r>
                  <w:r>
                    <w:rPr>
                      <w:rFonts w:hint="eastAsia" w:cs="Times New Roman"/>
                      <w:sz w:val="21"/>
                      <w:szCs w:val="21"/>
                    </w:rPr>
                    <w:t>10</w:t>
                  </w:r>
                  <w:r>
                    <w:rPr>
                      <w:rFonts w:hint="eastAsia" w:cs="Times New Roman"/>
                      <w:sz w:val="21"/>
                      <w:szCs w:val="21"/>
                      <w:vertAlign w:val="superscript"/>
                    </w:rPr>
                    <w:t>-2</w:t>
                  </w:r>
                </w:p>
              </w:tc>
              <w:tc>
                <w:tcPr>
                  <w:tcW w:w="1040" w:type="dxa"/>
                  <w:vAlign w:val="center"/>
                </w:tcPr>
                <w:p w14:paraId="58D20323">
                  <w:pPr>
                    <w:adjustRightInd w:val="0"/>
                    <w:snapToGrid w:val="0"/>
                    <w:spacing w:line="240" w:lineRule="exact"/>
                    <w:ind w:firstLine="0" w:firstLineChars="0"/>
                    <w:jc w:val="center"/>
                    <w:rPr>
                      <w:rFonts w:cs="Times New Roman"/>
                      <w:sz w:val="21"/>
                      <w:szCs w:val="21"/>
                    </w:rPr>
                  </w:pPr>
                  <w:r>
                    <w:rPr>
                      <w:rFonts w:hint="eastAsia" w:cs="Times New Roman"/>
                      <w:sz w:val="21"/>
                      <w:szCs w:val="21"/>
                    </w:rPr>
                    <w:t>1.11</w:t>
                  </w:r>
                  <w:r>
                    <w:rPr>
                      <w:rFonts w:cs="Times New Roman"/>
                      <w:sz w:val="21"/>
                      <w:szCs w:val="21"/>
                    </w:rPr>
                    <w:t>×</w:t>
                  </w:r>
                  <w:r>
                    <w:rPr>
                      <w:rFonts w:hint="eastAsia" w:cs="Times New Roman"/>
                      <w:sz w:val="21"/>
                      <w:szCs w:val="21"/>
                    </w:rPr>
                    <w:t>10</w:t>
                  </w:r>
                  <w:r>
                    <w:rPr>
                      <w:rFonts w:hint="eastAsia" w:cs="Times New Roman"/>
                      <w:sz w:val="21"/>
                      <w:szCs w:val="21"/>
                      <w:vertAlign w:val="superscript"/>
                    </w:rPr>
                    <w:t>-2</w:t>
                  </w:r>
                </w:p>
              </w:tc>
              <w:tc>
                <w:tcPr>
                  <w:tcW w:w="1040" w:type="dxa"/>
                  <w:vAlign w:val="center"/>
                </w:tcPr>
                <w:p w14:paraId="0BCF2A03">
                  <w:pPr>
                    <w:adjustRightInd w:val="0"/>
                    <w:snapToGrid w:val="0"/>
                    <w:spacing w:line="240" w:lineRule="exact"/>
                    <w:ind w:firstLine="0" w:firstLineChars="0"/>
                    <w:jc w:val="center"/>
                    <w:rPr>
                      <w:rFonts w:cs="Times New Roman"/>
                      <w:sz w:val="21"/>
                      <w:szCs w:val="21"/>
                    </w:rPr>
                  </w:pPr>
                  <w:r>
                    <w:rPr>
                      <w:rFonts w:hint="eastAsia" w:cs="Times New Roman"/>
                      <w:sz w:val="21"/>
                      <w:szCs w:val="21"/>
                    </w:rPr>
                    <w:t>9.83</w:t>
                  </w:r>
                  <w:r>
                    <w:rPr>
                      <w:rFonts w:cs="Times New Roman"/>
                      <w:sz w:val="21"/>
                      <w:szCs w:val="21"/>
                    </w:rPr>
                    <w:t>×</w:t>
                  </w:r>
                  <w:r>
                    <w:rPr>
                      <w:rFonts w:hint="eastAsia" w:cs="Times New Roman"/>
                      <w:sz w:val="21"/>
                      <w:szCs w:val="21"/>
                    </w:rPr>
                    <w:t>10</w:t>
                  </w:r>
                  <w:r>
                    <w:rPr>
                      <w:rFonts w:hint="eastAsia" w:cs="Times New Roman"/>
                      <w:sz w:val="21"/>
                      <w:szCs w:val="21"/>
                      <w:vertAlign w:val="superscript"/>
                    </w:rPr>
                    <w:t>-3</w:t>
                  </w:r>
                </w:p>
              </w:tc>
            </w:tr>
            <w:tr w14:paraId="3EDE0279">
              <w:tblPrEx>
                <w:tblBorders>
                  <w:top w:val="single" w:color="000000" w:sz="6" w:space="0"/>
                  <w:left w:val="single" w:color="000000" w:sz="6" w:space="0"/>
                  <w:bottom w:val="single" w:color="000000" w:sz="6"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51" w:hRule="atLeast"/>
                <w:jc w:val="center"/>
              </w:trPr>
              <w:tc>
                <w:tcPr>
                  <w:tcW w:w="1210" w:type="dxa"/>
                  <w:tcBorders>
                    <w:top w:val="single" w:color="auto" w:sz="4" w:space="0"/>
                    <w:left w:val="nil"/>
                    <w:bottom w:val="single" w:color="auto" w:sz="4" w:space="0"/>
                  </w:tcBorders>
                  <w:vAlign w:val="center"/>
                </w:tcPr>
                <w:p w14:paraId="72341D74">
                  <w:pPr>
                    <w:adjustRightInd w:val="0"/>
                    <w:snapToGrid w:val="0"/>
                    <w:spacing w:line="240" w:lineRule="exact"/>
                    <w:ind w:firstLine="0" w:firstLineChars="0"/>
                    <w:jc w:val="center"/>
                    <w:rPr>
                      <w:rFonts w:hint="eastAsia" w:hAnsi="宋体"/>
                      <w:sz w:val="21"/>
                      <w:szCs w:val="21"/>
                    </w:rPr>
                  </w:pPr>
                  <w:r>
                    <w:rPr>
                      <w:rFonts w:hint="eastAsia" w:hAnsi="宋体"/>
                      <w:sz w:val="21"/>
                      <w:szCs w:val="21"/>
                    </w:rPr>
                    <w:t>备注</w:t>
                  </w:r>
                </w:p>
              </w:tc>
              <w:tc>
                <w:tcPr>
                  <w:tcW w:w="7453" w:type="dxa"/>
                  <w:gridSpan w:val="7"/>
                  <w:tcBorders>
                    <w:top w:val="single" w:color="auto" w:sz="4" w:space="0"/>
                    <w:bottom w:val="single" w:color="auto" w:sz="4" w:space="0"/>
                  </w:tcBorders>
                  <w:vAlign w:val="center"/>
                </w:tcPr>
                <w:p w14:paraId="545AEA5E">
                  <w:pPr>
                    <w:adjustRightInd w:val="0"/>
                    <w:snapToGrid w:val="0"/>
                    <w:spacing w:line="240" w:lineRule="exact"/>
                    <w:ind w:firstLine="0" w:firstLineChars="0"/>
                    <w:jc w:val="left"/>
                    <w:rPr>
                      <w:rFonts w:cs="Times New Roman"/>
                      <w:sz w:val="21"/>
                      <w:szCs w:val="21"/>
                    </w:rPr>
                  </w:pPr>
                  <w:r>
                    <w:rPr>
                      <w:rFonts w:hint="eastAsia" w:cs="Times New Roman"/>
                      <w:sz w:val="21"/>
                      <w:szCs w:val="21"/>
                    </w:rPr>
                    <w:t>排气筒高度为15m。</w:t>
                  </w:r>
                </w:p>
              </w:tc>
            </w:tr>
          </w:tbl>
          <w:p w14:paraId="6611AC21">
            <w:pPr>
              <w:ind w:firstLine="480"/>
              <w:rPr>
                <w:rFonts w:cs="Times New Roman"/>
                <w:kern w:val="0"/>
                <w:szCs w:val="24"/>
              </w:rPr>
            </w:pPr>
            <w:r>
              <w:rPr>
                <w:rFonts w:hint="eastAsia"/>
              </w:rPr>
              <w:t>综上，项目压贴机产生的有机废气甲醛、非甲烷总烃有组织废气</w:t>
            </w:r>
            <w:r>
              <w:t>能够满足</w:t>
            </w:r>
            <w:r>
              <w:rPr>
                <w:rFonts w:cs="Times New Roman"/>
              </w:rPr>
              <w:t>《四川省固定污染源大气挥发性有机物排放标准》（DB51/2377-2017）中表</w:t>
            </w:r>
            <w:r>
              <w:rPr>
                <w:rFonts w:hint="eastAsia" w:cs="Times New Roman"/>
              </w:rPr>
              <w:t>3、</w:t>
            </w:r>
            <w:r>
              <w:rPr>
                <w:rFonts w:cs="Times New Roman"/>
                <w:kern w:val="0"/>
                <w:szCs w:val="24"/>
              </w:rPr>
              <w:t>表</w:t>
            </w:r>
            <w:r>
              <w:rPr>
                <w:rFonts w:hint="eastAsia" w:cs="Times New Roman"/>
                <w:kern w:val="0"/>
                <w:szCs w:val="24"/>
              </w:rPr>
              <w:t>4</w:t>
            </w:r>
            <w:r>
              <w:rPr>
                <w:rFonts w:cs="Times New Roman"/>
                <w:kern w:val="0"/>
                <w:szCs w:val="24"/>
              </w:rPr>
              <w:t>的限值。</w:t>
            </w:r>
            <w:r>
              <w:rPr>
                <w:rFonts w:hint="eastAsia" w:cs="Times New Roman"/>
                <w:kern w:val="0"/>
                <w:szCs w:val="24"/>
              </w:rPr>
              <w:t>废气处理措施合理可行。</w:t>
            </w:r>
          </w:p>
          <w:p w14:paraId="4F055577">
            <w:pPr>
              <w:ind w:firstLine="482"/>
              <w:rPr>
                <w:b/>
                <w:bCs/>
              </w:rPr>
            </w:pPr>
            <w:r>
              <w:rPr>
                <w:rFonts w:hint="eastAsia"/>
                <w:b/>
                <w:bCs/>
              </w:rPr>
              <w:t>无整改措施。</w:t>
            </w:r>
          </w:p>
          <w:p w14:paraId="1AAC8A27">
            <w:pPr>
              <w:ind w:firstLine="482"/>
              <w:rPr>
                <w:rFonts w:cs="Times New Roman"/>
                <w:bCs/>
                <w:szCs w:val="24"/>
              </w:rPr>
            </w:pPr>
            <w:r>
              <w:rPr>
                <w:rFonts w:hint="eastAsia" w:cs="Times New Roman"/>
                <w:b/>
              </w:rPr>
              <w:t>②</w:t>
            </w:r>
            <w:r>
              <w:rPr>
                <w:rFonts w:hint="eastAsia" w:cs="Times New Roman"/>
                <w:bCs/>
                <w:szCs w:val="24"/>
              </w:rPr>
              <w:t>燃烧废气</w:t>
            </w:r>
          </w:p>
          <w:p w14:paraId="683CBE6D">
            <w:pPr>
              <w:adjustRightInd w:val="0"/>
              <w:snapToGrid w:val="0"/>
              <w:ind w:firstLine="480"/>
            </w:pPr>
            <w:r>
              <w:t>本项目设置</w:t>
            </w:r>
            <w:r>
              <w:rPr>
                <w:rFonts w:hint="eastAsia"/>
              </w:rPr>
              <w:t>2</w:t>
            </w:r>
            <w:r>
              <w:t>台</w:t>
            </w:r>
            <w:r>
              <w:rPr>
                <w:rFonts w:hint="eastAsia"/>
                <w:szCs w:val="21"/>
              </w:rPr>
              <w:t>耗气量</w:t>
            </w:r>
            <w:r>
              <w:rPr>
                <w:szCs w:val="21"/>
              </w:rPr>
              <w:t>9</w:t>
            </w:r>
            <w:r>
              <w:rPr>
                <w:rFonts w:hint="eastAsia"/>
                <w:szCs w:val="21"/>
              </w:rPr>
              <w:t>-1</w:t>
            </w:r>
            <w:r>
              <w:rPr>
                <w:szCs w:val="21"/>
              </w:rPr>
              <w:t>4</w:t>
            </w:r>
            <w:r>
              <w:rPr>
                <w:rFonts w:ascii="宋体" w:hAnsi="宋体"/>
                <w:szCs w:val="21"/>
              </w:rPr>
              <w:t>m</w:t>
            </w:r>
            <w:r>
              <w:rPr>
                <w:rFonts w:hint="eastAsia" w:ascii="宋体" w:hAnsi="宋体"/>
                <w:szCs w:val="21"/>
              </w:rPr>
              <w:t>³</w:t>
            </w:r>
            <w:r>
              <w:rPr>
                <w:rFonts w:ascii="宋体" w:hAnsi="宋体"/>
                <w:szCs w:val="21"/>
              </w:rPr>
              <w:t>/h</w:t>
            </w:r>
            <w:r>
              <w:t>的</w:t>
            </w:r>
            <w:r>
              <w:rPr>
                <w:rFonts w:hint="eastAsia"/>
                <w:bCs/>
              </w:rPr>
              <w:t>燃气模温机</w:t>
            </w:r>
            <w:r>
              <w:t>，燃料采用天然气，</w:t>
            </w:r>
            <w:r>
              <w:rPr>
                <w:rFonts w:hint="eastAsia" w:cs="Times New Roman"/>
                <w:bCs/>
                <w:szCs w:val="24"/>
              </w:rPr>
              <w:t>并采用了低氮燃烧技术。</w:t>
            </w:r>
            <w:r>
              <w:t>为本项目热压工序提供热能，根据业主提供资料每小时天然气燃烧量约</w:t>
            </w:r>
            <w:r>
              <w:rPr>
                <w:rFonts w:hint="eastAsia"/>
              </w:rPr>
              <w:t>13</w:t>
            </w:r>
            <w:r>
              <w:t>m</w:t>
            </w:r>
            <w:r>
              <w:rPr>
                <w:vertAlign w:val="superscript"/>
              </w:rPr>
              <w:t>3</w:t>
            </w:r>
            <w:r>
              <w:t>，日均工作</w:t>
            </w:r>
            <w:r>
              <w:rPr>
                <w:rFonts w:hint="eastAsia"/>
              </w:rPr>
              <w:t>4</w:t>
            </w:r>
            <w:r>
              <w:t>h，年工作300d，</w:t>
            </w:r>
            <w:r>
              <w:rPr>
                <w:rFonts w:hint="eastAsia"/>
              </w:rPr>
              <w:t>2台</w:t>
            </w:r>
            <w:r>
              <w:rPr>
                <w:rFonts w:hint="eastAsia"/>
                <w:bCs/>
              </w:rPr>
              <w:t>模温机</w:t>
            </w:r>
            <w:r>
              <w:t>天然气总燃烧量约为</w:t>
            </w:r>
            <w:r>
              <w:rPr>
                <w:rFonts w:hint="eastAsia"/>
              </w:rPr>
              <w:t>31200</w:t>
            </w:r>
            <w:r>
              <w:t>Nm</w:t>
            </w:r>
            <w:r>
              <w:rPr>
                <w:vertAlign w:val="superscript"/>
              </w:rPr>
              <w:t>3</w:t>
            </w:r>
            <w:r>
              <w:t>/a。</w:t>
            </w:r>
          </w:p>
          <w:p w14:paraId="7D6247A4">
            <w:pPr>
              <w:adjustRightInd w:val="0"/>
              <w:snapToGrid w:val="0"/>
              <w:ind w:firstLine="480"/>
            </w:pPr>
            <w:r>
              <w:rPr>
                <w:rFonts w:hint="eastAsia" w:cs="Times New Roman"/>
                <w:bCs/>
                <w:szCs w:val="24"/>
              </w:rPr>
              <w:t>根据《排放源统计调查产排污核算方法和系数手册》(公告2021年第 24号)中4430“工业锅炉(热力生产和供应行业)产污系数表一燃气工业锅炉”中燃气锅炉的产排污系数:废气量107753kg/万m³-燃料、氮氧化物6.97(低氮燃烧-国内领先)kg/万m³-燃料、二氧化硫0.02Skg/万m³-燃料。颗粒物的产污系数参照《大气可吸入颗粒物一次源排放清单编制技术指南》表1中天然气对应的系数取值，即0.3kg/万m</w:t>
            </w:r>
            <w:r>
              <w:rPr>
                <w:rFonts w:hint="eastAsia" w:cs="Times New Roman"/>
                <w:bCs/>
                <w:szCs w:val="24"/>
                <w:vertAlign w:val="superscript"/>
              </w:rPr>
              <w:t>3</w:t>
            </w:r>
            <w:r>
              <w:rPr>
                <w:rFonts w:hint="eastAsia" w:cs="Times New Roman"/>
                <w:bCs/>
                <w:szCs w:val="24"/>
              </w:rPr>
              <w:t>-燃料。</w:t>
            </w:r>
          </w:p>
          <w:p w14:paraId="3E635BEF">
            <w:pPr>
              <w:adjustRightInd w:val="0"/>
              <w:snapToGrid w:val="0"/>
              <w:ind w:firstLine="482"/>
            </w:pPr>
            <w:r>
              <w:rPr>
                <w:rFonts w:hint="eastAsia"/>
                <w:b/>
                <w:bCs/>
              </w:rPr>
              <w:t>治理措施：</w:t>
            </w:r>
            <w:r>
              <w:rPr>
                <w:rFonts w:hint="eastAsia"/>
              </w:rPr>
              <w:t>经现场踏勘，</w:t>
            </w:r>
            <w:r>
              <w:t>本项目</w:t>
            </w:r>
            <w:r>
              <w:rPr>
                <w:rFonts w:hint="eastAsia"/>
              </w:rPr>
              <w:t>二车间</w:t>
            </w:r>
            <w:r>
              <w:rPr>
                <w:rFonts w:hint="eastAsia"/>
                <w:bCs/>
              </w:rPr>
              <w:t>燃气模温机自带低氮燃烧器，模温机天然气</w:t>
            </w:r>
            <w:r>
              <w:t>燃烧产生的废气</w:t>
            </w:r>
            <w:r>
              <w:rPr>
                <w:rFonts w:hint="eastAsia"/>
              </w:rPr>
              <w:t>现为无组织排放。</w:t>
            </w:r>
          </w:p>
          <w:p w14:paraId="5CCF13A7">
            <w:pPr>
              <w:adjustRightInd w:val="0"/>
              <w:snapToGrid w:val="0"/>
              <w:ind w:firstLine="482"/>
            </w:pPr>
            <w:r>
              <w:rPr>
                <w:rFonts w:hint="eastAsia"/>
                <w:b/>
                <w:bCs/>
              </w:rPr>
              <w:t>环评要求整改措施：</w:t>
            </w:r>
            <w:r>
              <w:rPr>
                <w:rFonts w:hint="eastAsia"/>
              </w:rPr>
              <w:t>两台模温机燃气废气必须</w:t>
            </w:r>
            <w:r>
              <w:t>统一经1根</w:t>
            </w:r>
            <w:r>
              <w:rPr>
                <w:rFonts w:hint="eastAsia"/>
              </w:rPr>
              <w:t>不低于</w:t>
            </w:r>
            <w:r>
              <w:t>8m高排气筒排放（</w:t>
            </w:r>
            <w:r>
              <w:rPr>
                <w:rFonts w:hint="eastAsia" w:cs="Times New Roman"/>
              </w:rPr>
              <w:t>DA003</w:t>
            </w:r>
            <w:r>
              <w:t>排气筒），</w:t>
            </w:r>
            <w:r>
              <w:rPr>
                <w:rFonts w:hint="eastAsia"/>
              </w:rPr>
              <w:t>因</w:t>
            </w:r>
            <w:r>
              <w:t>排气筒周围半径200m范围内有建筑物时，排气筒高度还应高出最高建筑物3m以上</w:t>
            </w:r>
            <w:r>
              <w:rPr>
                <w:rFonts w:hint="eastAsia"/>
              </w:rPr>
              <w:t>，项目二车间外有一栋3层的办公楼，高9m。因此，模温机燃气废气排气筒高度不低于12m。</w:t>
            </w:r>
          </w:p>
          <w:p w14:paraId="04CAB552">
            <w:pPr>
              <w:adjustRightInd w:val="0"/>
              <w:snapToGrid w:val="0"/>
              <w:ind w:firstLine="480"/>
            </w:pPr>
            <w:r>
              <w:rPr>
                <w:snapToGrid w:val="0"/>
              </w:rPr>
              <w:t>排放的污染物中SO</w:t>
            </w:r>
            <w:r>
              <w:rPr>
                <w:snapToGrid w:val="0"/>
                <w:vertAlign w:val="subscript"/>
              </w:rPr>
              <w:t>2</w:t>
            </w:r>
            <w:r>
              <w:rPr>
                <w:snapToGrid w:val="0"/>
              </w:rPr>
              <w:t>排放浓度为</w:t>
            </w:r>
            <w:r>
              <w:rPr>
                <w:rFonts w:hint="eastAsia"/>
                <w:snapToGrid w:val="0"/>
              </w:rPr>
              <w:t>18.5</w:t>
            </w:r>
            <w:r>
              <w:rPr>
                <w:snapToGrid w:val="0"/>
              </w:rPr>
              <w:t>mg/m</w:t>
            </w:r>
            <w:r>
              <w:rPr>
                <w:snapToGrid w:val="0"/>
                <w:vertAlign w:val="superscript"/>
              </w:rPr>
              <w:t>3</w:t>
            </w:r>
            <w:r>
              <w:rPr>
                <w:snapToGrid w:val="0"/>
              </w:rPr>
              <w:t>、NOx排放浓度为</w:t>
            </w:r>
            <w:r>
              <w:rPr>
                <w:rFonts w:hint="eastAsia"/>
                <w:snapToGrid w:val="0"/>
              </w:rPr>
              <w:t>64.68</w:t>
            </w:r>
            <w:r>
              <w:rPr>
                <w:snapToGrid w:val="0"/>
              </w:rPr>
              <w:t>mg/m</w:t>
            </w:r>
            <w:r>
              <w:rPr>
                <w:snapToGrid w:val="0"/>
                <w:vertAlign w:val="superscript"/>
              </w:rPr>
              <w:t>3</w:t>
            </w:r>
            <w:r>
              <w:rPr>
                <w:snapToGrid w:val="0"/>
              </w:rPr>
              <w:t>、烟尘排放浓度为</w:t>
            </w:r>
            <w:r>
              <w:rPr>
                <w:rFonts w:hint="eastAsia"/>
                <w:snapToGrid w:val="0"/>
              </w:rPr>
              <w:t>2.78</w:t>
            </w:r>
            <w:r>
              <w:rPr>
                <w:snapToGrid w:val="0"/>
              </w:rPr>
              <w:t>mg/m</w:t>
            </w:r>
            <w:r>
              <w:rPr>
                <w:snapToGrid w:val="0"/>
                <w:vertAlign w:val="superscript"/>
              </w:rPr>
              <w:t>3</w:t>
            </w:r>
            <w:r>
              <w:rPr>
                <w:snapToGrid w:val="0"/>
              </w:rPr>
              <w:t>，所有污染物排放浓度均满足《锅炉大气污染物排放标准》（GB13271-2014）表2燃气锅炉排放标准要求。同时，</w:t>
            </w:r>
            <w:r>
              <w:rPr>
                <w:rFonts w:hint="eastAsia"/>
                <w:snapToGrid w:val="0"/>
              </w:rPr>
              <w:t>天然气</w:t>
            </w:r>
            <w:r>
              <w:rPr>
                <w:snapToGrid w:val="0"/>
              </w:rPr>
              <w:t>废气统一经</w:t>
            </w:r>
            <w:r>
              <w:rPr>
                <w:rFonts w:hint="eastAsia"/>
                <w:snapToGrid w:val="0"/>
              </w:rPr>
              <w:t>12</w:t>
            </w:r>
            <w:r>
              <w:rPr>
                <w:snapToGrid w:val="0"/>
              </w:rPr>
              <w:t>m</w:t>
            </w:r>
            <w:r>
              <w:rPr>
                <w:rFonts w:hint="eastAsia"/>
                <w:snapToGrid w:val="0"/>
              </w:rPr>
              <w:t>（车间高度）</w:t>
            </w:r>
            <w:r>
              <w:rPr>
                <w:snapToGrid w:val="0"/>
              </w:rPr>
              <w:t>高烟囱排放，烟囱高度符合《锅炉大气污染物排放标准》（GB13271-2014）表中相关要求。</w:t>
            </w:r>
          </w:p>
          <w:p w14:paraId="6F9AC7EE">
            <w:pPr>
              <w:ind w:firstLine="422"/>
              <w:jc w:val="center"/>
              <w:rPr>
                <w:bCs/>
              </w:rPr>
            </w:pPr>
            <w:r>
              <w:rPr>
                <w:rFonts w:hint="eastAsia" w:cs="Times New Roman"/>
                <w:b/>
                <w:sz w:val="21"/>
                <w:szCs w:val="21"/>
              </w:rPr>
              <w:t>表4-2  本项目锅炉燃烧废气污染物产排污情况一览表</w:t>
            </w:r>
          </w:p>
          <w:tbl>
            <w:tblPr>
              <w:tblStyle w:val="34"/>
              <w:tblW w:w="89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9"/>
              <w:gridCol w:w="881"/>
              <w:gridCol w:w="1299"/>
              <w:gridCol w:w="2071"/>
              <w:gridCol w:w="1290"/>
              <w:gridCol w:w="1350"/>
              <w:gridCol w:w="1380"/>
            </w:tblGrid>
            <w:tr w14:paraId="526E5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9" w:type="dxa"/>
                </w:tcPr>
                <w:p w14:paraId="1FF4D7B2">
                  <w:pPr>
                    <w:pStyle w:val="86"/>
                    <w:ind w:left="125"/>
                    <w:rPr>
                      <w:rFonts w:hint="eastAsia"/>
                      <w:spacing w:val="7"/>
                      <w:sz w:val="21"/>
                      <w:szCs w:val="21"/>
                      <w:lang w:eastAsia="zh-CN"/>
                    </w:rPr>
                  </w:pPr>
                  <w:r>
                    <w:rPr>
                      <w:rFonts w:hint="eastAsia"/>
                      <w:spacing w:val="7"/>
                      <w:sz w:val="21"/>
                      <w:szCs w:val="21"/>
                      <w:lang w:eastAsia="zh-CN"/>
                    </w:rPr>
                    <w:t>污染源</w:t>
                  </w:r>
                </w:p>
              </w:tc>
              <w:tc>
                <w:tcPr>
                  <w:tcW w:w="881" w:type="dxa"/>
                </w:tcPr>
                <w:p w14:paraId="0F03803D">
                  <w:pPr>
                    <w:pStyle w:val="86"/>
                    <w:ind w:left="125"/>
                    <w:rPr>
                      <w:rFonts w:hint="eastAsia"/>
                      <w:spacing w:val="7"/>
                      <w:sz w:val="21"/>
                      <w:szCs w:val="21"/>
                      <w:lang w:eastAsia="zh-CN"/>
                    </w:rPr>
                  </w:pPr>
                  <w:r>
                    <w:rPr>
                      <w:rFonts w:hint="eastAsia"/>
                      <w:spacing w:val="7"/>
                      <w:sz w:val="21"/>
                      <w:szCs w:val="21"/>
                      <w:lang w:eastAsia="zh-CN"/>
                    </w:rPr>
                    <w:t>污染物</w:t>
                  </w:r>
                </w:p>
              </w:tc>
              <w:tc>
                <w:tcPr>
                  <w:tcW w:w="1299" w:type="dxa"/>
                </w:tcPr>
                <w:p w14:paraId="145B5CF5">
                  <w:pPr>
                    <w:pStyle w:val="86"/>
                    <w:ind w:left="125"/>
                    <w:rPr>
                      <w:rFonts w:hint="eastAsia"/>
                      <w:spacing w:val="7"/>
                      <w:sz w:val="21"/>
                      <w:szCs w:val="21"/>
                      <w:lang w:eastAsia="zh-CN"/>
                    </w:rPr>
                  </w:pPr>
                  <w:r>
                    <w:rPr>
                      <w:rFonts w:hint="eastAsia"/>
                      <w:spacing w:val="7"/>
                      <w:sz w:val="21"/>
                      <w:szCs w:val="21"/>
                      <w:lang w:eastAsia="zh-CN"/>
                    </w:rPr>
                    <w:t>天然气消耗量（万m³/a）</w:t>
                  </w:r>
                </w:p>
              </w:tc>
              <w:tc>
                <w:tcPr>
                  <w:tcW w:w="2071" w:type="dxa"/>
                </w:tcPr>
                <w:p w14:paraId="1009F0B5">
                  <w:pPr>
                    <w:pStyle w:val="86"/>
                    <w:ind w:left="125"/>
                    <w:rPr>
                      <w:rFonts w:hint="eastAsia"/>
                      <w:spacing w:val="7"/>
                      <w:sz w:val="21"/>
                      <w:szCs w:val="21"/>
                      <w:lang w:eastAsia="zh-CN"/>
                    </w:rPr>
                  </w:pPr>
                  <w:r>
                    <w:rPr>
                      <w:rFonts w:hint="eastAsia"/>
                      <w:spacing w:val="7"/>
                      <w:sz w:val="21"/>
                      <w:szCs w:val="21"/>
                      <w:lang w:eastAsia="zh-CN"/>
                    </w:rPr>
                    <w:t>产污系数</w:t>
                  </w:r>
                </w:p>
              </w:tc>
              <w:tc>
                <w:tcPr>
                  <w:tcW w:w="1290" w:type="dxa"/>
                </w:tcPr>
                <w:p w14:paraId="68641117">
                  <w:pPr>
                    <w:pStyle w:val="86"/>
                    <w:ind w:left="125"/>
                    <w:rPr>
                      <w:rFonts w:hint="eastAsia"/>
                      <w:spacing w:val="7"/>
                      <w:sz w:val="21"/>
                      <w:szCs w:val="21"/>
                      <w:lang w:eastAsia="zh-CN"/>
                    </w:rPr>
                  </w:pPr>
                  <w:r>
                    <w:rPr>
                      <w:rFonts w:hint="eastAsia"/>
                      <w:spacing w:val="7"/>
                      <w:sz w:val="21"/>
                      <w:szCs w:val="21"/>
                      <w:lang w:eastAsia="zh-CN"/>
                    </w:rPr>
                    <w:t>产生量</w:t>
                  </w:r>
                </w:p>
              </w:tc>
              <w:tc>
                <w:tcPr>
                  <w:tcW w:w="1350" w:type="dxa"/>
                </w:tcPr>
                <w:p w14:paraId="61F0882E">
                  <w:pPr>
                    <w:pStyle w:val="86"/>
                    <w:ind w:left="125"/>
                    <w:rPr>
                      <w:rFonts w:hint="eastAsia"/>
                      <w:spacing w:val="7"/>
                      <w:sz w:val="21"/>
                      <w:szCs w:val="21"/>
                      <w:lang w:eastAsia="zh-CN"/>
                    </w:rPr>
                  </w:pPr>
                  <w:r>
                    <w:rPr>
                      <w:rFonts w:hint="eastAsia"/>
                      <w:spacing w:val="7"/>
                      <w:sz w:val="21"/>
                      <w:szCs w:val="21"/>
                      <w:lang w:eastAsia="zh-CN"/>
                    </w:rPr>
                    <w:t>产生速率（g/h）</w:t>
                  </w:r>
                </w:p>
              </w:tc>
              <w:tc>
                <w:tcPr>
                  <w:tcW w:w="1380" w:type="dxa"/>
                </w:tcPr>
                <w:p w14:paraId="63A52AF8">
                  <w:pPr>
                    <w:pStyle w:val="86"/>
                    <w:ind w:left="125"/>
                    <w:rPr>
                      <w:rFonts w:hint="eastAsia"/>
                      <w:spacing w:val="7"/>
                      <w:sz w:val="21"/>
                      <w:szCs w:val="21"/>
                      <w:lang w:eastAsia="zh-CN"/>
                    </w:rPr>
                  </w:pPr>
                  <w:r>
                    <w:rPr>
                      <w:rFonts w:hint="eastAsia"/>
                      <w:spacing w:val="7"/>
                      <w:sz w:val="21"/>
                      <w:szCs w:val="21"/>
                      <w:lang w:eastAsia="zh-CN"/>
                    </w:rPr>
                    <w:t>产生浓度（mg/m³）</w:t>
                  </w:r>
                </w:p>
              </w:tc>
            </w:tr>
            <w:tr w14:paraId="6E241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9" w:type="dxa"/>
                  <w:vMerge w:val="restart"/>
                </w:tcPr>
                <w:p w14:paraId="6E635221">
                  <w:pPr>
                    <w:pStyle w:val="86"/>
                    <w:ind w:left="125"/>
                    <w:rPr>
                      <w:rFonts w:hint="eastAsia"/>
                      <w:spacing w:val="7"/>
                      <w:sz w:val="21"/>
                      <w:szCs w:val="21"/>
                      <w:lang w:eastAsia="zh-CN"/>
                    </w:rPr>
                  </w:pPr>
                  <w:r>
                    <w:rPr>
                      <w:rFonts w:hint="eastAsia"/>
                      <w:spacing w:val="7"/>
                      <w:sz w:val="21"/>
                      <w:szCs w:val="21"/>
                      <w:lang w:eastAsia="zh-CN"/>
                    </w:rPr>
                    <w:t>燃气锅炉</w:t>
                  </w:r>
                </w:p>
              </w:tc>
              <w:tc>
                <w:tcPr>
                  <w:tcW w:w="881" w:type="dxa"/>
                </w:tcPr>
                <w:p w14:paraId="7352A051">
                  <w:pPr>
                    <w:pStyle w:val="86"/>
                    <w:ind w:left="125"/>
                    <w:rPr>
                      <w:rFonts w:hint="eastAsia"/>
                      <w:spacing w:val="7"/>
                      <w:sz w:val="21"/>
                      <w:szCs w:val="21"/>
                      <w:lang w:eastAsia="zh-CN"/>
                    </w:rPr>
                  </w:pPr>
                  <w:r>
                    <w:rPr>
                      <w:rFonts w:hint="eastAsia"/>
                      <w:spacing w:val="7"/>
                      <w:sz w:val="21"/>
                      <w:szCs w:val="21"/>
                      <w:lang w:eastAsia="zh-CN"/>
                    </w:rPr>
                    <w:t>废气量</w:t>
                  </w:r>
                </w:p>
              </w:tc>
              <w:tc>
                <w:tcPr>
                  <w:tcW w:w="1299" w:type="dxa"/>
                  <w:vMerge w:val="restart"/>
                </w:tcPr>
                <w:p w14:paraId="43DD25A8">
                  <w:pPr>
                    <w:pStyle w:val="86"/>
                    <w:ind w:left="125"/>
                    <w:rPr>
                      <w:rFonts w:hint="eastAsia"/>
                      <w:spacing w:val="7"/>
                      <w:sz w:val="21"/>
                      <w:szCs w:val="21"/>
                      <w:lang w:eastAsia="zh-CN"/>
                    </w:rPr>
                  </w:pPr>
                  <w:r>
                    <w:rPr>
                      <w:rFonts w:hint="eastAsia"/>
                      <w:spacing w:val="7"/>
                      <w:sz w:val="21"/>
                      <w:szCs w:val="21"/>
                      <w:lang w:eastAsia="zh-CN"/>
                    </w:rPr>
                    <w:t>3.12</w:t>
                  </w:r>
                </w:p>
              </w:tc>
              <w:tc>
                <w:tcPr>
                  <w:tcW w:w="2071" w:type="dxa"/>
                </w:tcPr>
                <w:p w14:paraId="15FA7CF8">
                  <w:pPr>
                    <w:pStyle w:val="86"/>
                    <w:ind w:left="125"/>
                    <w:rPr>
                      <w:rFonts w:hint="eastAsia"/>
                      <w:spacing w:val="7"/>
                      <w:sz w:val="21"/>
                      <w:szCs w:val="21"/>
                      <w:lang w:eastAsia="zh-CN"/>
                    </w:rPr>
                  </w:pPr>
                  <w:r>
                    <w:rPr>
                      <w:rFonts w:hint="eastAsia"/>
                      <w:spacing w:val="7"/>
                      <w:sz w:val="21"/>
                      <w:szCs w:val="21"/>
                      <w:lang w:eastAsia="zh-CN"/>
                    </w:rPr>
                    <w:t>107753（标立方米/万立方米-原料）</w:t>
                  </w:r>
                </w:p>
              </w:tc>
              <w:tc>
                <w:tcPr>
                  <w:tcW w:w="1290" w:type="dxa"/>
                </w:tcPr>
                <w:p w14:paraId="4598EEE4">
                  <w:pPr>
                    <w:pStyle w:val="86"/>
                    <w:ind w:left="125"/>
                    <w:rPr>
                      <w:rFonts w:hint="eastAsia"/>
                      <w:spacing w:val="7"/>
                      <w:sz w:val="21"/>
                      <w:szCs w:val="21"/>
                      <w:lang w:eastAsia="zh-CN"/>
                    </w:rPr>
                  </w:pPr>
                  <w:r>
                    <w:rPr>
                      <w:rFonts w:hint="eastAsia"/>
                      <w:spacing w:val="7"/>
                      <w:sz w:val="21"/>
                      <w:szCs w:val="21"/>
                      <w:lang w:eastAsia="zh-CN"/>
                    </w:rPr>
                    <w:t>33.6万Nm³/a</w:t>
                  </w:r>
                </w:p>
              </w:tc>
              <w:tc>
                <w:tcPr>
                  <w:tcW w:w="1350" w:type="dxa"/>
                </w:tcPr>
                <w:p w14:paraId="17116E88">
                  <w:pPr>
                    <w:pStyle w:val="86"/>
                    <w:ind w:left="125"/>
                    <w:rPr>
                      <w:rFonts w:hint="eastAsia"/>
                      <w:spacing w:val="7"/>
                      <w:sz w:val="21"/>
                      <w:szCs w:val="21"/>
                      <w:lang w:eastAsia="zh-CN"/>
                    </w:rPr>
                  </w:pPr>
                  <w:r>
                    <w:rPr>
                      <w:rFonts w:hint="eastAsia"/>
                      <w:spacing w:val="7"/>
                      <w:sz w:val="21"/>
                      <w:szCs w:val="21"/>
                      <w:lang w:eastAsia="zh-CN"/>
                    </w:rPr>
                    <w:t>/</w:t>
                  </w:r>
                </w:p>
              </w:tc>
              <w:tc>
                <w:tcPr>
                  <w:tcW w:w="1380" w:type="dxa"/>
                </w:tcPr>
                <w:p w14:paraId="12CA18BF">
                  <w:pPr>
                    <w:pStyle w:val="86"/>
                    <w:ind w:left="125"/>
                    <w:rPr>
                      <w:rFonts w:hint="eastAsia"/>
                      <w:spacing w:val="7"/>
                      <w:sz w:val="21"/>
                      <w:szCs w:val="21"/>
                      <w:lang w:eastAsia="zh-CN"/>
                    </w:rPr>
                  </w:pPr>
                  <w:r>
                    <w:rPr>
                      <w:rFonts w:hint="eastAsia"/>
                      <w:spacing w:val="7"/>
                      <w:sz w:val="21"/>
                      <w:szCs w:val="21"/>
                      <w:lang w:eastAsia="zh-CN"/>
                    </w:rPr>
                    <w:t>/</w:t>
                  </w:r>
                </w:p>
              </w:tc>
            </w:tr>
            <w:tr w14:paraId="73793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trPr>
              <w:tc>
                <w:tcPr>
                  <w:tcW w:w="639" w:type="dxa"/>
                  <w:vMerge w:val="continue"/>
                </w:tcPr>
                <w:p w14:paraId="7A007817">
                  <w:pPr>
                    <w:pStyle w:val="86"/>
                    <w:ind w:left="125"/>
                    <w:rPr>
                      <w:rFonts w:hint="eastAsia"/>
                      <w:spacing w:val="7"/>
                      <w:sz w:val="21"/>
                      <w:szCs w:val="21"/>
                      <w:lang w:eastAsia="zh-CN"/>
                    </w:rPr>
                  </w:pPr>
                </w:p>
              </w:tc>
              <w:tc>
                <w:tcPr>
                  <w:tcW w:w="881" w:type="dxa"/>
                </w:tcPr>
                <w:p w14:paraId="7F0BF7AC">
                  <w:pPr>
                    <w:pStyle w:val="86"/>
                    <w:ind w:left="125"/>
                    <w:rPr>
                      <w:rFonts w:hint="eastAsia"/>
                      <w:spacing w:val="7"/>
                      <w:sz w:val="21"/>
                      <w:szCs w:val="21"/>
                      <w:lang w:eastAsia="zh-CN"/>
                    </w:rPr>
                  </w:pPr>
                  <w:r>
                    <w:rPr>
                      <w:rFonts w:hint="eastAsia"/>
                      <w:spacing w:val="7"/>
                      <w:sz w:val="21"/>
                      <w:szCs w:val="21"/>
                      <w:lang w:eastAsia="zh-CN"/>
                    </w:rPr>
                    <w:t>颗粒物</w:t>
                  </w:r>
                </w:p>
              </w:tc>
              <w:tc>
                <w:tcPr>
                  <w:tcW w:w="1299" w:type="dxa"/>
                  <w:vMerge w:val="continue"/>
                </w:tcPr>
                <w:p w14:paraId="0929824A">
                  <w:pPr>
                    <w:pStyle w:val="86"/>
                    <w:ind w:left="125"/>
                    <w:rPr>
                      <w:rFonts w:hint="eastAsia"/>
                      <w:spacing w:val="7"/>
                      <w:sz w:val="21"/>
                      <w:szCs w:val="21"/>
                      <w:lang w:eastAsia="zh-CN"/>
                    </w:rPr>
                  </w:pPr>
                </w:p>
              </w:tc>
              <w:tc>
                <w:tcPr>
                  <w:tcW w:w="2071" w:type="dxa"/>
                </w:tcPr>
                <w:p w14:paraId="18780DA7">
                  <w:pPr>
                    <w:pStyle w:val="86"/>
                    <w:ind w:left="125"/>
                    <w:rPr>
                      <w:rFonts w:hint="eastAsia"/>
                      <w:spacing w:val="7"/>
                      <w:sz w:val="21"/>
                      <w:szCs w:val="21"/>
                      <w:lang w:eastAsia="zh-CN"/>
                    </w:rPr>
                  </w:pPr>
                  <w:r>
                    <w:rPr>
                      <w:rFonts w:hint="eastAsia"/>
                      <w:spacing w:val="7"/>
                      <w:sz w:val="21"/>
                      <w:szCs w:val="21"/>
                      <w:lang w:eastAsia="zh-CN"/>
                    </w:rPr>
                    <w:t>0.3（kg/万m³-燃料</w:t>
                  </w:r>
                </w:p>
              </w:tc>
              <w:tc>
                <w:tcPr>
                  <w:tcW w:w="1290" w:type="dxa"/>
                </w:tcPr>
                <w:p w14:paraId="50B07F0E">
                  <w:pPr>
                    <w:pStyle w:val="86"/>
                    <w:ind w:left="125"/>
                    <w:rPr>
                      <w:rFonts w:hint="eastAsia"/>
                      <w:spacing w:val="7"/>
                      <w:sz w:val="21"/>
                      <w:szCs w:val="21"/>
                      <w:lang w:eastAsia="zh-CN"/>
                    </w:rPr>
                  </w:pPr>
                  <w:r>
                    <w:rPr>
                      <w:rFonts w:hint="eastAsia"/>
                      <w:spacing w:val="7"/>
                      <w:sz w:val="21"/>
                      <w:szCs w:val="21"/>
                      <w:lang w:eastAsia="zh-CN"/>
                    </w:rPr>
                    <w:t>0.936（kg/a）</w:t>
                  </w:r>
                </w:p>
              </w:tc>
              <w:tc>
                <w:tcPr>
                  <w:tcW w:w="1350" w:type="dxa"/>
                </w:tcPr>
                <w:p w14:paraId="1E072F8E">
                  <w:pPr>
                    <w:pStyle w:val="86"/>
                    <w:ind w:left="125"/>
                    <w:rPr>
                      <w:rFonts w:hint="eastAsia"/>
                      <w:spacing w:val="7"/>
                      <w:sz w:val="21"/>
                      <w:szCs w:val="21"/>
                      <w:lang w:eastAsia="zh-CN"/>
                    </w:rPr>
                  </w:pPr>
                  <w:r>
                    <w:rPr>
                      <w:rFonts w:hint="eastAsia"/>
                      <w:spacing w:val="7"/>
                      <w:sz w:val="21"/>
                      <w:szCs w:val="21"/>
                      <w:lang w:eastAsia="zh-CN"/>
                    </w:rPr>
                    <w:t>0.78</w:t>
                  </w:r>
                </w:p>
              </w:tc>
              <w:tc>
                <w:tcPr>
                  <w:tcW w:w="1380" w:type="dxa"/>
                </w:tcPr>
                <w:p w14:paraId="14B80A8B">
                  <w:pPr>
                    <w:pStyle w:val="86"/>
                    <w:ind w:left="125"/>
                    <w:rPr>
                      <w:rFonts w:hint="eastAsia"/>
                      <w:spacing w:val="7"/>
                      <w:sz w:val="21"/>
                      <w:szCs w:val="21"/>
                      <w:lang w:eastAsia="zh-CN"/>
                    </w:rPr>
                  </w:pPr>
                  <w:r>
                    <w:rPr>
                      <w:rFonts w:hint="eastAsia"/>
                      <w:spacing w:val="7"/>
                      <w:sz w:val="21"/>
                      <w:szCs w:val="21"/>
                      <w:lang w:eastAsia="zh-CN"/>
                    </w:rPr>
                    <w:t>2.78</w:t>
                  </w:r>
                </w:p>
              </w:tc>
            </w:tr>
            <w:tr w14:paraId="2BD5A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9" w:type="dxa"/>
                  <w:vMerge w:val="continue"/>
                </w:tcPr>
                <w:p w14:paraId="0BBBF694">
                  <w:pPr>
                    <w:pStyle w:val="86"/>
                    <w:ind w:left="125"/>
                    <w:rPr>
                      <w:rFonts w:hint="eastAsia"/>
                      <w:spacing w:val="7"/>
                      <w:sz w:val="21"/>
                      <w:szCs w:val="21"/>
                      <w:lang w:eastAsia="zh-CN"/>
                    </w:rPr>
                  </w:pPr>
                </w:p>
              </w:tc>
              <w:tc>
                <w:tcPr>
                  <w:tcW w:w="881" w:type="dxa"/>
                </w:tcPr>
                <w:p w14:paraId="44EF4888">
                  <w:pPr>
                    <w:pStyle w:val="86"/>
                    <w:ind w:left="125"/>
                    <w:rPr>
                      <w:rFonts w:hint="eastAsia"/>
                      <w:spacing w:val="7"/>
                      <w:sz w:val="21"/>
                      <w:szCs w:val="21"/>
                      <w:lang w:eastAsia="zh-CN"/>
                    </w:rPr>
                  </w:pPr>
                  <w:r>
                    <w:rPr>
                      <w:rFonts w:hint="eastAsia"/>
                      <w:spacing w:val="7"/>
                      <w:sz w:val="21"/>
                      <w:szCs w:val="21"/>
                      <w:lang w:eastAsia="zh-CN"/>
                    </w:rPr>
                    <w:t>SO</w:t>
                  </w:r>
                  <w:r>
                    <w:rPr>
                      <w:rFonts w:hint="eastAsia"/>
                      <w:spacing w:val="7"/>
                      <w:sz w:val="21"/>
                      <w:szCs w:val="21"/>
                      <w:vertAlign w:val="subscript"/>
                      <w:lang w:eastAsia="zh-CN"/>
                    </w:rPr>
                    <w:t>2</w:t>
                  </w:r>
                </w:p>
              </w:tc>
              <w:tc>
                <w:tcPr>
                  <w:tcW w:w="1299" w:type="dxa"/>
                  <w:vMerge w:val="continue"/>
                </w:tcPr>
                <w:p w14:paraId="2ABE6F29">
                  <w:pPr>
                    <w:pStyle w:val="86"/>
                    <w:ind w:left="125"/>
                    <w:rPr>
                      <w:rFonts w:hint="eastAsia"/>
                      <w:spacing w:val="7"/>
                      <w:sz w:val="21"/>
                      <w:szCs w:val="21"/>
                      <w:lang w:eastAsia="zh-CN"/>
                    </w:rPr>
                  </w:pPr>
                </w:p>
              </w:tc>
              <w:tc>
                <w:tcPr>
                  <w:tcW w:w="2071" w:type="dxa"/>
                </w:tcPr>
                <w:p w14:paraId="66BB44FE">
                  <w:pPr>
                    <w:pStyle w:val="86"/>
                    <w:ind w:left="125"/>
                    <w:rPr>
                      <w:rFonts w:hint="eastAsia"/>
                      <w:spacing w:val="7"/>
                      <w:sz w:val="21"/>
                      <w:szCs w:val="21"/>
                      <w:lang w:eastAsia="zh-CN"/>
                    </w:rPr>
                  </w:pPr>
                  <w:r>
                    <w:rPr>
                      <w:rFonts w:hint="eastAsia"/>
                      <w:spacing w:val="7"/>
                      <w:sz w:val="21"/>
                      <w:szCs w:val="21"/>
                      <w:lang w:eastAsia="zh-CN"/>
                    </w:rPr>
                    <w:t>0.02S（kg/万m³-燃料</w:t>
                  </w:r>
                </w:p>
              </w:tc>
              <w:tc>
                <w:tcPr>
                  <w:tcW w:w="1290" w:type="dxa"/>
                </w:tcPr>
                <w:p w14:paraId="3952C0F4">
                  <w:pPr>
                    <w:pStyle w:val="86"/>
                    <w:ind w:left="125"/>
                    <w:rPr>
                      <w:rFonts w:hint="eastAsia"/>
                      <w:spacing w:val="7"/>
                      <w:sz w:val="21"/>
                      <w:szCs w:val="21"/>
                      <w:lang w:eastAsia="zh-CN"/>
                    </w:rPr>
                  </w:pPr>
                  <w:r>
                    <w:rPr>
                      <w:rFonts w:hint="eastAsia"/>
                      <w:spacing w:val="7"/>
                      <w:sz w:val="21"/>
                      <w:szCs w:val="21"/>
                      <w:lang w:eastAsia="zh-CN"/>
                    </w:rPr>
                    <w:t>6.24（kg/a）</w:t>
                  </w:r>
                </w:p>
              </w:tc>
              <w:tc>
                <w:tcPr>
                  <w:tcW w:w="1350" w:type="dxa"/>
                </w:tcPr>
                <w:p w14:paraId="36C13412">
                  <w:pPr>
                    <w:pStyle w:val="86"/>
                    <w:ind w:left="125"/>
                    <w:rPr>
                      <w:rFonts w:hint="eastAsia"/>
                      <w:spacing w:val="7"/>
                      <w:sz w:val="21"/>
                      <w:szCs w:val="21"/>
                      <w:lang w:eastAsia="zh-CN"/>
                    </w:rPr>
                  </w:pPr>
                  <w:r>
                    <w:rPr>
                      <w:rFonts w:hint="eastAsia"/>
                      <w:spacing w:val="7"/>
                      <w:sz w:val="21"/>
                      <w:szCs w:val="21"/>
                      <w:lang w:eastAsia="zh-CN"/>
                    </w:rPr>
                    <w:t>5.2</w:t>
                  </w:r>
                </w:p>
              </w:tc>
              <w:tc>
                <w:tcPr>
                  <w:tcW w:w="1380" w:type="dxa"/>
                </w:tcPr>
                <w:p w14:paraId="2CF771CE">
                  <w:pPr>
                    <w:pStyle w:val="86"/>
                    <w:ind w:left="125"/>
                    <w:rPr>
                      <w:rFonts w:hint="eastAsia"/>
                      <w:spacing w:val="7"/>
                      <w:sz w:val="21"/>
                      <w:szCs w:val="21"/>
                      <w:lang w:eastAsia="zh-CN"/>
                    </w:rPr>
                  </w:pPr>
                  <w:r>
                    <w:rPr>
                      <w:rFonts w:hint="eastAsia"/>
                      <w:spacing w:val="7"/>
                      <w:sz w:val="21"/>
                      <w:szCs w:val="21"/>
                      <w:lang w:eastAsia="zh-CN"/>
                    </w:rPr>
                    <w:t>18.5</w:t>
                  </w:r>
                </w:p>
              </w:tc>
            </w:tr>
            <w:tr w14:paraId="7A298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9" w:type="dxa"/>
                  <w:vMerge w:val="continue"/>
                </w:tcPr>
                <w:p w14:paraId="3EAC41F5">
                  <w:pPr>
                    <w:pStyle w:val="86"/>
                    <w:ind w:left="125"/>
                    <w:rPr>
                      <w:rFonts w:hint="eastAsia"/>
                      <w:spacing w:val="7"/>
                      <w:sz w:val="21"/>
                      <w:szCs w:val="21"/>
                      <w:lang w:eastAsia="zh-CN"/>
                    </w:rPr>
                  </w:pPr>
                </w:p>
              </w:tc>
              <w:tc>
                <w:tcPr>
                  <w:tcW w:w="881" w:type="dxa"/>
                </w:tcPr>
                <w:p w14:paraId="716B2958">
                  <w:pPr>
                    <w:pStyle w:val="86"/>
                    <w:ind w:left="125"/>
                    <w:rPr>
                      <w:rFonts w:hint="eastAsia"/>
                      <w:spacing w:val="7"/>
                      <w:sz w:val="21"/>
                      <w:szCs w:val="21"/>
                      <w:lang w:eastAsia="zh-CN"/>
                    </w:rPr>
                  </w:pPr>
                  <w:r>
                    <w:rPr>
                      <w:rFonts w:hint="eastAsia"/>
                      <w:spacing w:val="7"/>
                      <w:sz w:val="21"/>
                      <w:szCs w:val="21"/>
                      <w:lang w:eastAsia="zh-CN"/>
                    </w:rPr>
                    <w:t>NOx</w:t>
                  </w:r>
                </w:p>
              </w:tc>
              <w:tc>
                <w:tcPr>
                  <w:tcW w:w="1299" w:type="dxa"/>
                  <w:vMerge w:val="continue"/>
                </w:tcPr>
                <w:p w14:paraId="371E10E7">
                  <w:pPr>
                    <w:pStyle w:val="86"/>
                    <w:ind w:left="125"/>
                    <w:rPr>
                      <w:rFonts w:hint="eastAsia"/>
                      <w:spacing w:val="7"/>
                      <w:sz w:val="21"/>
                      <w:szCs w:val="21"/>
                      <w:lang w:eastAsia="zh-CN"/>
                    </w:rPr>
                  </w:pPr>
                </w:p>
              </w:tc>
              <w:tc>
                <w:tcPr>
                  <w:tcW w:w="2071" w:type="dxa"/>
                </w:tcPr>
                <w:p w14:paraId="177B322E">
                  <w:pPr>
                    <w:pStyle w:val="86"/>
                    <w:ind w:left="125"/>
                    <w:rPr>
                      <w:rFonts w:hint="eastAsia"/>
                      <w:spacing w:val="7"/>
                      <w:sz w:val="21"/>
                      <w:szCs w:val="21"/>
                      <w:lang w:eastAsia="zh-CN"/>
                    </w:rPr>
                  </w:pPr>
                  <w:r>
                    <w:rPr>
                      <w:rFonts w:hint="eastAsia"/>
                      <w:spacing w:val="7"/>
                      <w:sz w:val="21"/>
                      <w:szCs w:val="21"/>
                      <w:lang w:eastAsia="zh-CN"/>
                    </w:rPr>
                    <w:t>6.97(低氮燃烧-国际领先）（kg/万m³-燃料</w:t>
                  </w:r>
                </w:p>
              </w:tc>
              <w:tc>
                <w:tcPr>
                  <w:tcW w:w="1290" w:type="dxa"/>
                </w:tcPr>
                <w:p w14:paraId="6C40D464">
                  <w:pPr>
                    <w:pStyle w:val="86"/>
                    <w:ind w:left="125"/>
                    <w:rPr>
                      <w:rFonts w:hint="eastAsia"/>
                      <w:spacing w:val="7"/>
                      <w:sz w:val="21"/>
                      <w:szCs w:val="21"/>
                      <w:lang w:eastAsia="zh-CN"/>
                    </w:rPr>
                  </w:pPr>
                  <w:r>
                    <w:rPr>
                      <w:rFonts w:hint="eastAsia"/>
                      <w:spacing w:val="7"/>
                      <w:sz w:val="21"/>
                      <w:szCs w:val="21"/>
                      <w:lang w:eastAsia="zh-CN"/>
                    </w:rPr>
                    <w:t>21.75（kg/a）</w:t>
                  </w:r>
                </w:p>
              </w:tc>
              <w:tc>
                <w:tcPr>
                  <w:tcW w:w="1350" w:type="dxa"/>
                </w:tcPr>
                <w:p w14:paraId="0E20FDB0">
                  <w:pPr>
                    <w:pStyle w:val="86"/>
                    <w:ind w:left="125"/>
                    <w:rPr>
                      <w:rFonts w:hint="eastAsia"/>
                      <w:spacing w:val="7"/>
                      <w:sz w:val="21"/>
                      <w:szCs w:val="21"/>
                      <w:lang w:eastAsia="zh-CN"/>
                    </w:rPr>
                  </w:pPr>
                  <w:r>
                    <w:rPr>
                      <w:rFonts w:hint="eastAsia"/>
                      <w:spacing w:val="7"/>
                      <w:sz w:val="21"/>
                      <w:szCs w:val="21"/>
                      <w:lang w:eastAsia="zh-CN"/>
                    </w:rPr>
                    <w:t>18.12</w:t>
                  </w:r>
                </w:p>
              </w:tc>
              <w:tc>
                <w:tcPr>
                  <w:tcW w:w="1380" w:type="dxa"/>
                </w:tcPr>
                <w:p w14:paraId="22B0F812">
                  <w:pPr>
                    <w:pStyle w:val="86"/>
                    <w:ind w:left="125"/>
                    <w:rPr>
                      <w:rFonts w:hint="eastAsia"/>
                      <w:spacing w:val="7"/>
                      <w:sz w:val="21"/>
                      <w:szCs w:val="21"/>
                      <w:lang w:eastAsia="zh-CN"/>
                    </w:rPr>
                  </w:pPr>
                  <w:r>
                    <w:rPr>
                      <w:rFonts w:hint="eastAsia"/>
                      <w:spacing w:val="7"/>
                      <w:sz w:val="21"/>
                      <w:szCs w:val="21"/>
                      <w:lang w:eastAsia="zh-CN"/>
                    </w:rPr>
                    <w:t>64.68</w:t>
                  </w:r>
                </w:p>
              </w:tc>
            </w:tr>
          </w:tbl>
          <w:p w14:paraId="26470072">
            <w:pPr>
              <w:ind w:firstLine="422"/>
              <w:rPr>
                <w:b/>
                <w:szCs w:val="21"/>
              </w:rPr>
            </w:pPr>
            <w:r>
              <w:rPr>
                <w:rFonts w:hint="eastAsia" w:cs="Times New Roman"/>
                <w:b/>
                <w:sz w:val="21"/>
                <w:szCs w:val="21"/>
              </w:rPr>
              <w:t>注：1、根据《天然气》（GB 17820-2018）表1中S取100。</w:t>
            </w:r>
          </w:p>
          <w:p w14:paraId="0CE8CDFD">
            <w:pPr>
              <w:ind w:firstLine="482"/>
              <w:rPr>
                <w:bCs/>
              </w:rPr>
            </w:pPr>
            <w:r>
              <w:rPr>
                <w:rFonts w:hint="eastAsia" w:cs="Times New Roman"/>
                <w:b/>
                <w:szCs w:val="24"/>
              </w:rPr>
              <w:t>③非正常工况</w:t>
            </w:r>
          </w:p>
          <w:p w14:paraId="5A331BB4">
            <w:pPr>
              <w:ind w:firstLine="480"/>
              <w:rPr>
                <w:rFonts w:cs="Times New Roman"/>
                <w:bCs/>
                <w:szCs w:val="24"/>
              </w:rPr>
            </w:pPr>
            <w:r>
              <w:rPr>
                <w:rFonts w:hint="eastAsia" w:cs="Times New Roman"/>
                <w:bCs/>
                <w:szCs w:val="24"/>
              </w:rPr>
              <w:t>非正常工况是指生产过程中开停车(工、炉)、设备检修、工艺设备运转异常等非正常工况下的污染物排放，以及污染物排放控制措施达不到应有效率等情况下的排放。根据本项目的污染物特点及工程分析，项目非正工况污染源主要是污染物排放控制措施达不到应有效率。①燃气锅炉废气处理装置“低氮燃烧器”故障引起氮氧化物的事故排放，非正常工况下NOx的产污系数选用 18.71千克/万立方米燃料(无低氮燃烧器)</w:t>
            </w:r>
            <w:r>
              <w:rPr>
                <w:rFonts w:hint="eastAsia"/>
              </w:rPr>
              <w:t>（</w:t>
            </w:r>
            <w:r>
              <w:rPr>
                <w:rFonts w:hint="eastAsia" w:cs="Times New Roman"/>
                <w:bCs/>
                <w:szCs w:val="24"/>
              </w:rPr>
              <w:t>《排污许可证申请与核发技 术规范 锅炉》(HJ953-2018)中表F.3进行源强核算）；②有机废气处理装置故障，处理效率为零，非正常工况下，甲醛产</w:t>
            </w:r>
            <w:r>
              <w:rPr>
                <w:bCs/>
                <w:szCs w:val="24"/>
              </w:rPr>
              <w:t>生速率为0.</w:t>
            </w:r>
            <w:r>
              <w:rPr>
                <w:rFonts w:hint="eastAsia"/>
                <w:bCs/>
                <w:szCs w:val="24"/>
              </w:rPr>
              <w:t>06</w:t>
            </w:r>
            <w:r>
              <w:rPr>
                <w:bCs/>
                <w:szCs w:val="24"/>
              </w:rPr>
              <w:t>g/h</w:t>
            </w:r>
            <w:r>
              <w:rPr>
                <w:rFonts w:hint="eastAsia"/>
                <w:bCs/>
                <w:szCs w:val="24"/>
              </w:rPr>
              <w:t>，排放浓度为0.0086</w:t>
            </w:r>
            <w:r>
              <w:rPr>
                <w:rFonts w:cs="Times New Roman"/>
                <w:szCs w:val="24"/>
              </w:rPr>
              <w:t>mg/m</w:t>
            </w:r>
            <w:r>
              <w:rPr>
                <w:rFonts w:cs="Times New Roman"/>
                <w:szCs w:val="24"/>
                <w:vertAlign w:val="superscript"/>
              </w:rPr>
              <w:t>3</w:t>
            </w:r>
            <w:r>
              <w:rPr>
                <w:rFonts w:hint="eastAsia"/>
                <w:bCs/>
                <w:szCs w:val="24"/>
              </w:rPr>
              <w:t>。</w:t>
            </w:r>
            <w:r>
              <w:rPr>
                <w:bCs/>
                <w:szCs w:val="24"/>
              </w:rPr>
              <w:t>VOCs</w:t>
            </w:r>
            <w:r>
              <w:rPr>
                <w:rFonts w:hint="eastAsia" w:cs="Times New Roman"/>
                <w:bCs/>
                <w:szCs w:val="24"/>
              </w:rPr>
              <w:t>产</w:t>
            </w:r>
            <w:r>
              <w:rPr>
                <w:bCs/>
                <w:szCs w:val="24"/>
              </w:rPr>
              <w:t>生速率为0.</w:t>
            </w:r>
            <w:r>
              <w:rPr>
                <w:rFonts w:hint="eastAsia"/>
                <w:bCs/>
                <w:szCs w:val="24"/>
              </w:rPr>
              <w:t>3</w:t>
            </w:r>
            <w:r>
              <w:rPr>
                <w:bCs/>
                <w:szCs w:val="24"/>
              </w:rPr>
              <w:t>g/h</w:t>
            </w:r>
            <w:r>
              <w:rPr>
                <w:rFonts w:hint="eastAsia"/>
                <w:bCs/>
                <w:szCs w:val="24"/>
              </w:rPr>
              <w:t>，排放浓度为0.04</w:t>
            </w:r>
            <w:r>
              <w:rPr>
                <w:rFonts w:cs="Times New Roman"/>
                <w:szCs w:val="24"/>
              </w:rPr>
              <w:t>mg/m</w:t>
            </w:r>
            <w:r>
              <w:rPr>
                <w:rFonts w:cs="Times New Roman"/>
                <w:szCs w:val="24"/>
                <w:vertAlign w:val="superscript"/>
              </w:rPr>
              <w:t>3</w:t>
            </w:r>
            <w:r>
              <w:rPr>
                <w:rFonts w:hint="eastAsia"/>
                <w:bCs/>
                <w:szCs w:val="24"/>
              </w:rPr>
              <w:t>。</w:t>
            </w:r>
          </w:p>
          <w:p w14:paraId="75BABC74">
            <w:pPr>
              <w:ind w:firstLine="480"/>
              <w:rPr>
                <w:bCs/>
              </w:rPr>
            </w:pPr>
            <w:r>
              <w:rPr>
                <w:rFonts w:hint="eastAsia" w:cs="Times New Roman"/>
                <w:bCs/>
                <w:szCs w:val="24"/>
              </w:rPr>
              <w:t>一旦发生事故排放，应立即停止生产进行检修，直至废气治理设施正常运行。并定期对废气处理装置维护、维修、保养。</w:t>
            </w:r>
          </w:p>
          <w:p w14:paraId="17DC95D8">
            <w:pPr>
              <w:ind w:firstLine="480"/>
              <w:rPr>
                <w:bCs/>
              </w:rPr>
            </w:pPr>
            <w:r>
              <w:rPr>
                <w:rFonts w:hint="eastAsia" w:cs="Times New Roman"/>
                <w:bCs/>
                <w:szCs w:val="24"/>
              </w:rPr>
              <w:t>综上，本项目正常工况下废气排放源、污染物及污染防治措施情况见表4-3；项目废气排放口基本信息见表4-5；非正常工况废气排放情况见表4-6。</w:t>
            </w:r>
          </w:p>
          <w:p w14:paraId="046D41EF">
            <w:pPr>
              <w:ind w:firstLine="480"/>
              <w:rPr>
                <w:rFonts w:cs="Times New Roman"/>
              </w:rPr>
            </w:pPr>
          </w:p>
        </w:tc>
      </w:tr>
    </w:tbl>
    <w:p w14:paraId="51BEF103">
      <w:pPr>
        <w:ind w:firstLine="480"/>
        <w:sectPr>
          <w:pgSz w:w="11906" w:h="16838"/>
          <w:pgMar w:top="1440" w:right="1080" w:bottom="1440" w:left="1080" w:header="851" w:footer="567" w:gutter="0"/>
          <w:cols w:space="425" w:num="1"/>
          <w:docGrid w:type="lines" w:linePitch="326" w:charSpace="0"/>
        </w:sectPr>
      </w:pPr>
    </w:p>
    <w:p w14:paraId="2530F2F5">
      <w:pPr>
        <w:ind w:firstLine="480"/>
      </w:pPr>
    </w:p>
    <w:tbl>
      <w:tblPr>
        <w:tblStyle w:val="3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7"/>
        <w:gridCol w:w="12821"/>
      </w:tblGrid>
      <w:tr w14:paraId="4AF41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 w:type="dxa"/>
          </w:tcPr>
          <w:p w14:paraId="61E565F0">
            <w:pPr>
              <w:ind w:firstLine="480"/>
              <w:rPr>
                <w:bCs/>
              </w:rPr>
            </w:pPr>
            <w:r>
              <w:rPr>
                <w:rFonts w:hint="eastAsia" w:ascii="宋体" w:hAnsi="宋体" w:cs="宋体"/>
                <w:bCs/>
                <w:szCs w:val="24"/>
              </w:rPr>
              <w:t>运</w:t>
            </w:r>
            <w:r>
              <w:rPr>
                <w:rFonts w:hint="eastAsia" w:cs="Times New Roman"/>
                <w:bCs/>
                <w:szCs w:val="24"/>
              </w:rPr>
              <w:t>营</w:t>
            </w:r>
          </w:p>
          <w:p w14:paraId="38848639">
            <w:pPr>
              <w:ind w:firstLine="480"/>
              <w:rPr>
                <w:bCs/>
              </w:rPr>
            </w:pPr>
            <w:r>
              <w:rPr>
                <w:rFonts w:hint="eastAsia" w:cs="Times New Roman"/>
                <w:bCs/>
                <w:szCs w:val="24"/>
              </w:rPr>
              <w:t>期环</w:t>
            </w:r>
          </w:p>
          <w:p w14:paraId="4F1E10F9">
            <w:pPr>
              <w:ind w:firstLine="480"/>
              <w:rPr>
                <w:bCs/>
              </w:rPr>
            </w:pPr>
            <w:r>
              <w:rPr>
                <w:rFonts w:hint="eastAsia" w:cs="Times New Roman"/>
                <w:bCs/>
                <w:szCs w:val="24"/>
              </w:rPr>
              <w:t>境影</w:t>
            </w:r>
          </w:p>
          <w:p w14:paraId="4F7DF93F">
            <w:pPr>
              <w:ind w:firstLine="480"/>
              <w:rPr>
                <w:bCs/>
              </w:rPr>
            </w:pPr>
            <w:r>
              <w:rPr>
                <w:rFonts w:hint="eastAsia" w:cs="Times New Roman"/>
                <w:bCs/>
                <w:szCs w:val="24"/>
              </w:rPr>
              <w:t>响和</w:t>
            </w:r>
          </w:p>
          <w:p w14:paraId="2ECFC918">
            <w:pPr>
              <w:ind w:firstLine="480"/>
              <w:rPr>
                <w:bCs/>
              </w:rPr>
            </w:pPr>
            <w:r>
              <w:rPr>
                <w:rFonts w:hint="eastAsia" w:cs="Times New Roman"/>
                <w:bCs/>
                <w:szCs w:val="24"/>
              </w:rPr>
              <w:t>保护</w:t>
            </w:r>
          </w:p>
          <w:p w14:paraId="74626413">
            <w:pPr>
              <w:ind w:firstLine="480"/>
            </w:pPr>
            <w:r>
              <w:rPr>
                <w:rFonts w:hint="eastAsia" w:cs="Times New Roman"/>
                <w:bCs/>
                <w:szCs w:val="24"/>
              </w:rPr>
              <w:t>措施</w:t>
            </w:r>
          </w:p>
        </w:tc>
        <w:tc>
          <w:tcPr>
            <w:tcW w:w="12821" w:type="dxa"/>
          </w:tcPr>
          <w:p w14:paraId="7DA61C3E">
            <w:pPr>
              <w:ind w:firstLine="422"/>
              <w:jc w:val="center"/>
              <w:rPr>
                <w:b/>
                <w:sz w:val="21"/>
                <w:szCs w:val="21"/>
              </w:rPr>
            </w:pPr>
            <w:r>
              <w:rPr>
                <w:rFonts w:hint="eastAsia" w:cs="Times New Roman"/>
                <w:b/>
                <w:sz w:val="21"/>
                <w:szCs w:val="21"/>
              </w:rPr>
              <w:t>表4-3   正常工况本项目废气排放源、污染物及污染防治措施一览表</w:t>
            </w:r>
          </w:p>
          <w:tbl>
            <w:tblPr>
              <w:tblStyle w:val="34"/>
              <w:tblW w:w="125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7"/>
              <w:gridCol w:w="1047"/>
              <w:gridCol w:w="1047"/>
              <w:gridCol w:w="1047"/>
              <w:gridCol w:w="1047"/>
              <w:gridCol w:w="1050"/>
              <w:gridCol w:w="914"/>
              <w:gridCol w:w="1182"/>
              <w:gridCol w:w="1047"/>
              <w:gridCol w:w="1047"/>
              <w:gridCol w:w="1052"/>
              <w:gridCol w:w="1048"/>
            </w:tblGrid>
            <w:tr w14:paraId="09734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1047" w:type="dxa"/>
                  <w:vMerge w:val="restart"/>
                </w:tcPr>
                <w:p w14:paraId="689673BA">
                  <w:pPr>
                    <w:pStyle w:val="86"/>
                    <w:rPr>
                      <w:rFonts w:hint="eastAsia"/>
                      <w:spacing w:val="7"/>
                      <w:sz w:val="21"/>
                      <w:szCs w:val="21"/>
                      <w:lang w:eastAsia="zh-CN"/>
                    </w:rPr>
                  </w:pPr>
                  <w:r>
                    <w:rPr>
                      <w:rFonts w:hint="eastAsia"/>
                      <w:spacing w:val="7"/>
                      <w:sz w:val="21"/>
                      <w:szCs w:val="21"/>
                      <w:lang w:eastAsia="zh-CN"/>
                    </w:rPr>
                    <w:t>污染源</w:t>
                  </w:r>
                </w:p>
              </w:tc>
              <w:tc>
                <w:tcPr>
                  <w:tcW w:w="1047" w:type="dxa"/>
                  <w:vMerge w:val="restart"/>
                </w:tcPr>
                <w:p w14:paraId="6EE2947D">
                  <w:pPr>
                    <w:pStyle w:val="86"/>
                    <w:rPr>
                      <w:rFonts w:hint="eastAsia"/>
                      <w:spacing w:val="7"/>
                      <w:sz w:val="21"/>
                      <w:szCs w:val="21"/>
                      <w:lang w:eastAsia="zh-CN"/>
                    </w:rPr>
                  </w:pPr>
                  <w:r>
                    <w:rPr>
                      <w:rFonts w:hint="eastAsia"/>
                      <w:spacing w:val="7"/>
                      <w:sz w:val="21"/>
                      <w:szCs w:val="21"/>
                      <w:lang w:eastAsia="zh-CN"/>
                    </w:rPr>
                    <w:t>废气量</w:t>
                  </w:r>
                </w:p>
              </w:tc>
              <w:tc>
                <w:tcPr>
                  <w:tcW w:w="1047" w:type="dxa"/>
                  <w:vMerge w:val="restart"/>
                </w:tcPr>
                <w:p w14:paraId="05676B29">
                  <w:pPr>
                    <w:pStyle w:val="86"/>
                    <w:rPr>
                      <w:rFonts w:hint="eastAsia"/>
                      <w:spacing w:val="7"/>
                      <w:sz w:val="21"/>
                      <w:szCs w:val="21"/>
                      <w:lang w:eastAsia="zh-CN"/>
                    </w:rPr>
                  </w:pPr>
                  <w:r>
                    <w:rPr>
                      <w:rFonts w:hint="eastAsia"/>
                      <w:spacing w:val="7"/>
                      <w:sz w:val="21"/>
                      <w:szCs w:val="21"/>
                      <w:lang w:eastAsia="zh-CN"/>
                    </w:rPr>
                    <w:t>污染物</w:t>
                  </w:r>
                </w:p>
              </w:tc>
              <w:tc>
                <w:tcPr>
                  <w:tcW w:w="3144" w:type="dxa"/>
                  <w:gridSpan w:val="3"/>
                </w:tcPr>
                <w:p w14:paraId="6B86BF29">
                  <w:pPr>
                    <w:pStyle w:val="86"/>
                    <w:rPr>
                      <w:rFonts w:hint="eastAsia"/>
                      <w:spacing w:val="7"/>
                      <w:sz w:val="21"/>
                      <w:szCs w:val="21"/>
                      <w:lang w:eastAsia="zh-CN"/>
                    </w:rPr>
                  </w:pPr>
                  <w:r>
                    <w:rPr>
                      <w:rFonts w:hint="eastAsia"/>
                      <w:spacing w:val="7"/>
                      <w:sz w:val="21"/>
                      <w:szCs w:val="21"/>
                      <w:lang w:eastAsia="zh-CN"/>
                    </w:rPr>
                    <w:t>污染物产生情况</w:t>
                  </w:r>
                </w:p>
              </w:tc>
              <w:tc>
                <w:tcPr>
                  <w:tcW w:w="914" w:type="dxa"/>
                  <w:vMerge w:val="restart"/>
                </w:tcPr>
                <w:p w14:paraId="2B607BBC">
                  <w:pPr>
                    <w:pStyle w:val="86"/>
                    <w:rPr>
                      <w:rFonts w:hint="eastAsia"/>
                      <w:spacing w:val="7"/>
                      <w:sz w:val="21"/>
                      <w:szCs w:val="21"/>
                      <w:lang w:eastAsia="zh-CN"/>
                    </w:rPr>
                  </w:pPr>
                  <w:r>
                    <w:rPr>
                      <w:rFonts w:hint="eastAsia"/>
                      <w:spacing w:val="7"/>
                      <w:sz w:val="21"/>
                      <w:szCs w:val="21"/>
                      <w:lang w:eastAsia="zh-CN"/>
                    </w:rPr>
                    <w:t>核算方法</w:t>
                  </w:r>
                </w:p>
              </w:tc>
              <w:tc>
                <w:tcPr>
                  <w:tcW w:w="1182" w:type="dxa"/>
                  <w:vMerge w:val="restart"/>
                </w:tcPr>
                <w:p w14:paraId="2F77AE3E">
                  <w:pPr>
                    <w:pStyle w:val="86"/>
                    <w:rPr>
                      <w:rFonts w:hint="eastAsia"/>
                      <w:spacing w:val="7"/>
                      <w:sz w:val="21"/>
                      <w:szCs w:val="21"/>
                      <w:lang w:eastAsia="zh-CN"/>
                    </w:rPr>
                  </w:pPr>
                  <w:r>
                    <w:rPr>
                      <w:rFonts w:hint="eastAsia"/>
                      <w:spacing w:val="7"/>
                      <w:sz w:val="21"/>
                      <w:szCs w:val="21"/>
                      <w:lang w:eastAsia="zh-CN"/>
                    </w:rPr>
                    <w:t>治理措施</w:t>
                  </w:r>
                </w:p>
              </w:tc>
              <w:tc>
                <w:tcPr>
                  <w:tcW w:w="3146" w:type="dxa"/>
                  <w:gridSpan w:val="3"/>
                </w:tcPr>
                <w:p w14:paraId="1D645D49">
                  <w:pPr>
                    <w:pStyle w:val="86"/>
                    <w:rPr>
                      <w:rFonts w:hint="eastAsia"/>
                      <w:spacing w:val="7"/>
                      <w:sz w:val="21"/>
                      <w:szCs w:val="21"/>
                      <w:lang w:eastAsia="zh-CN"/>
                    </w:rPr>
                  </w:pPr>
                  <w:r>
                    <w:rPr>
                      <w:rFonts w:hint="eastAsia"/>
                      <w:spacing w:val="7"/>
                      <w:sz w:val="21"/>
                      <w:szCs w:val="21"/>
                      <w:lang w:eastAsia="zh-CN"/>
                    </w:rPr>
                    <w:t>污染物排放情况</w:t>
                  </w:r>
                </w:p>
              </w:tc>
              <w:tc>
                <w:tcPr>
                  <w:tcW w:w="1048" w:type="dxa"/>
                  <w:vMerge w:val="restart"/>
                </w:tcPr>
                <w:p w14:paraId="2E5B8E6A">
                  <w:pPr>
                    <w:pStyle w:val="86"/>
                    <w:rPr>
                      <w:rFonts w:hint="eastAsia"/>
                      <w:spacing w:val="7"/>
                      <w:sz w:val="21"/>
                      <w:szCs w:val="21"/>
                      <w:lang w:eastAsia="zh-CN"/>
                    </w:rPr>
                  </w:pPr>
                  <w:r>
                    <w:rPr>
                      <w:rFonts w:hint="eastAsia"/>
                      <w:spacing w:val="7"/>
                      <w:sz w:val="21"/>
                      <w:szCs w:val="21"/>
                      <w:lang w:eastAsia="zh-CN"/>
                    </w:rPr>
                    <w:t>排放限值（mg/m³）</w:t>
                  </w:r>
                </w:p>
              </w:tc>
            </w:tr>
            <w:tr w14:paraId="1E645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1047" w:type="dxa"/>
                  <w:vMerge w:val="continue"/>
                </w:tcPr>
                <w:p w14:paraId="2702DF54">
                  <w:pPr>
                    <w:pStyle w:val="86"/>
                    <w:rPr>
                      <w:rFonts w:hint="eastAsia"/>
                      <w:sz w:val="21"/>
                      <w:szCs w:val="21"/>
                    </w:rPr>
                  </w:pPr>
                </w:p>
              </w:tc>
              <w:tc>
                <w:tcPr>
                  <w:tcW w:w="1047" w:type="dxa"/>
                  <w:vMerge w:val="continue"/>
                </w:tcPr>
                <w:p w14:paraId="343E4F04">
                  <w:pPr>
                    <w:pStyle w:val="86"/>
                    <w:rPr>
                      <w:rFonts w:hint="eastAsia"/>
                      <w:sz w:val="21"/>
                      <w:szCs w:val="21"/>
                    </w:rPr>
                  </w:pPr>
                </w:p>
              </w:tc>
              <w:tc>
                <w:tcPr>
                  <w:tcW w:w="1047" w:type="dxa"/>
                  <w:vMerge w:val="continue"/>
                </w:tcPr>
                <w:p w14:paraId="556A1A74">
                  <w:pPr>
                    <w:pStyle w:val="86"/>
                    <w:rPr>
                      <w:rFonts w:hint="eastAsia"/>
                      <w:sz w:val="21"/>
                      <w:szCs w:val="21"/>
                    </w:rPr>
                  </w:pPr>
                </w:p>
              </w:tc>
              <w:tc>
                <w:tcPr>
                  <w:tcW w:w="1047" w:type="dxa"/>
                </w:tcPr>
                <w:p w14:paraId="6285B15A">
                  <w:pPr>
                    <w:pStyle w:val="86"/>
                    <w:rPr>
                      <w:rFonts w:hint="eastAsia"/>
                      <w:spacing w:val="7"/>
                      <w:sz w:val="21"/>
                      <w:szCs w:val="21"/>
                      <w:lang w:eastAsia="zh-CN"/>
                    </w:rPr>
                  </w:pPr>
                  <w:r>
                    <w:rPr>
                      <w:rFonts w:hint="eastAsia"/>
                      <w:spacing w:val="7"/>
                      <w:sz w:val="21"/>
                      <w:szCs w:val="21"/>
                      <w:lang w:eastAsia="zh-CN"/>
                    </w:rPr>
                    <w:t>产生量kg/a</w:t>
                  </w:r>
                </w:p>
              </w:tc>
              <w:tc>
                <w:tcPr>
                  <w:tcW w:w="1047" w:type="dxa"/>
                </w:tcPr>
                <w:p w14:paraId="3DF1A209">
                  <w:pPr>
                    <w:pStyle w:val="86"/>
                    <w:rPr>
                      <w:rFonts w:hint="eastAsia"/>
                      <w:spacing w:val="7"/>
                      <w:sz w:val="21"/>
                      <w:szCs w:val="21"/>
                      <w:lang w:eastAsia="zh-CN"/>
                    </w:rPr>
                  </w:pPr>
                  <w:r>
                    <w:rPr>
                      <w:rFonts w:hint="eastAsia"/>
                      <w:spacing w:val="7"/>
                      <w:sz w:val="21"/>
                      <w:szCs w:val="21"/>
                      <w:lang w:eastAsia="zh-CN"/>
                    </w:rPr>
                    <w:t>速率g/h</w:t>
                  </w:r>
                </w:p>
              </w:tc>
              <w:tc>
                <w:tcPr>
                  <w:tcW w:w="1050" w:type="dxa"/>
                </w:tcPr>
                <w:p w14:paraId="79E21306">
                  <w:pPr>
                    <w:pStyle w:val="86"/>
                    <w:rPr>
                      <w:rFonts w:hint="eastAsia"/>
                      <w:spacing w:val="7"/>
                      <w:sz w:val="21"/>
                      <w:szCs w:val="21"/>
                      <w:lang w:eastAsia="zh-CN"/>
                    </w:rPr>
                  </w:pPr>
                  <w:r>
                    <w:rPr>
                      <w:rFonts w:hint="eastAsia"/>
                      <w:spacing w:val="7"/>
                      <w:sz w:val="21"/>
                      <w:szCs w:val="21"/>
                      <w:lang w:eastAsia="zh-CN"/>
                    </w:rPr>
                    <w:t>浓度mg/m³</w:t>
                  </w:r>
                </w:p>
              </w:tc>
              <w:tc>
                <w:tcPr>
                  <w:tcW w:w="914" w:type="dxa"/>
                  <w:vMerge w:val="continue"/>
                </w:tcPr>
                <w:p w14:paraId="7100D2A0">
                  <w:pPr>
                    <w:pStyle w:val="86"/>
                    <w:rPr>
                      <w:rFonts w:hint="eastAsia"/>
                      <w:spacing w:val="7"/>
                      <w:sz w:val="21"/>
                      <w:szCs w:val="21"/>
                      <w:lang w:eastAsia="zh-CN"/>
                    </w:rPr>
                  </w:pPr>
                </w:p>
              </w:tc>
              <w:tc>
                <w:tcPr>
                  <w:tcW w:w="1182" w:type="dxa"/>
                  <w:vMerge w:val="continue"/>
                </w:tcPr>
                <w:p w14:paraId="479D314C">
                  <w:pPr>
                    <w:pStyle w:val="86"/>
                    <w:rPr>
                      <w:rFonts w:hint="eastAsia"/>
                      <w:spacing w:val="7"/>
                      <w:sz w:val="21"/>
                      <w:szCs w:val="21"/>
                      <w:lang w:eastAsia="zh-CN"/>
                    </w:rPr>
                  </w:pPr>
                </w:p>
              </w:tc>
              <w:tc>
                <w:tcPr>
                  <w:tcW w:w="1047" w:type="dxa"/>
                </w:tcPr>
                <w:p w14:paraId="7478FD1C">
                  <w:pPr>
                    <w:pStyle w:val="86"/>
                    <w:rPr>
                      <w:rFonts w:hint="eastAsia"/>
                      <w:spacing w:val="7"/>
                      <w:sz w:val="21"/>
                      <w:szCs w:val="21"/>
                      <w:lang w:eastAsia="zh-CN"/>
                    </w:rPr>
                  </w:pPr>
                  <w:r>
                    <w:rPr>
                      <w:rFonts w:hint="eastAsia"/>
                      <w:spacing w:val="7"/>
                      <w:sz w:val="21"/>
                      <w:szCs w:val="21"/>
                      <w:lang w:eastAsia="zh-CN"/>
                    </w:rPr>
                    <w:t>排放量kg/a</w:t>
                  </w:r>
                </w:p>
              </w:tc>
              <w:tc>
                <w:tcPr>
                  <w:tcW w:w="1047" w:type="dxa"/>
                </w:tcPr>
                <w:p w14:paraId="60930678">
                  <w:pPr>
                    <w:pStyle w:val="86"/>
                    <w:rPr>
                      <w:rFonts w:hint="eastAsia"/>
                      <w:spacing w:val="7"/>
                      <w:sz w:val="21"/>
                      <w:szCs w:val="21"/>
                      <w:lang w:eastAsia="zh-CN"/>
                    </w:rPr>
                  </w:pPr>
                  <w:r>
                    <w:rPr>
                      <w:rFonts w:hint="eastAsia"/>
                      <w:spacing w:val="7"/>
                      <w:sz w:val="21"/>
                      <w:szCs w:val="21"/>
                      <w:lang w:eastAsia="zh-CN"/>
                    </w:rPr>
                    <w:t>速率g/h</w:t>
                  </w:r>
                </w:p>
              </w:tc>
              <w:tc>
                <w:tcPr>
                  <w:tcW w:w="1052" w:type="dxa"/>
                </w:tcPr>
                <w:p w14:paraId="036C07A2">
                  <w:pPr>
                    <w:pStyle w:val="86"/>
                    <w:rPr>
                      <w:rFonts w:hint="eastAsia"/>
                      <w:spacing w:val="7"/>
                      <w:sz w:val="21"/>
                      <w:szCs w:val="21"/>
                      <w:lang w:eastAsia="zh-CN"/>
                    </w:rPr>
                  </w:pPr>
                  <w:r>
                    <w:rPr>
                      <w:rFonts w:hint="eastAsia"/>
                      <w:spacing w:val="7"/>
                      <w:sz w:val="21"/>
                      <w:szCs w:val="21"/>
                      <w:lang w:eastAsia="zh-CN"/>
                    </w:rPr>
                    <w:t>浓度mg/m³</w:t>
                  </w:r>
                </w:p>
              </w:tc>
              <w:tc>
                <w:tcPr>
                  <w:tcW w:w="1048" w:type="dxa"/>
                  <w:vMerge w:val="continue"/>
                </w:tcPr>
                <w:p w14:paraId="626D83C1">
                  <w:pPr>
                    <w:pStyle w:val="86"/>
                    <w:rPr>
                      <w:rFonts w:hint="eastAsia"/>
                      <w:spacing w:val="7"/>
                      <w:sz w:val="21"/>
                      <w:szCs w:val="21"/>
                      <w:lang w:eastAsia="zh-CN"/>
                    </w:rPr>
                  </w:pPr>
                </w:p>
              </w:tc>
            </w:tr>
            <w:tr w14:paraId="36D41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047" w:type="dxa"/>
                  <w:vMerge w:val="restart"/>
                </w:tcPr>
                <w:p w14:paraId="0B269020">
                  <w:pPr>
                    <w:pStyle w:val="86"/>
                    <w:rPr>
                      <w:rFonts w:hint="eastAsia"/>
                      <w:spacing w:val="7"/>
                      <w:sz w:val="21"/>
                      <w:szCs w:val="21"/>
                      <w:lang w:eastAsia="zh-CN"/>
                    </w:rPr>
                  </w:pPr>
                  <w:r>
                    <w:rPr>
                      <w:rFonts w:hint="eastAsia"/>
                      <w:spacing w:val="7"/>
                      <w:sz w:val="21"/>
                      <w:szCs w:val="21"/>
                      <w:lang w:eastAsia="zh-CN"/>
                    </w:rPr>
                    <w:t>模温机</w:t>
                  </w:r>
                </w:p>
              </w:tc>
              <w:tc>
                <w:tcPr>
                  <w:tcW w:w="1047" w:type="dxa"/>
                  <w:vMerge w:val="restart"/>
                </w:tcPr>
                <w:p w14:paraId="6173E1FB">
                  <w:pPr>
                    <w:pStyle w:val="86"/>
                    <w:rPr>
                      <w:rFonts w:hint="eastAsia"/>
                      <w:spacing w:val="7"/>
                      <w:sz w:val="21"/>
                      <w:szCs w:val="21"/>
                      <w:lang w:eastAsia="zh-CN"/>
                    </w:rPr>
                  </w:pPr>
                  <w:r>
                    <w:rPr>
                      <w:rFonts w:hint="eastAsia"/>
                      <w:spacing w:val="7"/>
                      <w:sz w:val="21"/>
                      <w:szCs w:val="21"/>
                      <w:lang w:eastAsia="zh-CN"/>
                    </w:rPr>
                    <w:t>33.6万Nm³/a</w:t>
                  </w:r>
                </w:p>
              </w:tc>
              <w:tc>
                <w:tcPr>
                  <w:tcW w:w="1047" w:type="dxa"/>
                </w:tcPr>
                <w:p w14:paraId="35B14987">
                  <w:pPr>
                    <w:pStyle w:val="86"/>
                    <w:rPr>
                      <w:rFonts w:hint="eastAsia"/>
                      <w:spacing w:val="7"/>
                      <w:sz w:val="21"/>
                      <w:szCs w:val="21"/>
                      <w:lang w:eastAsia="zh-CN"/>
                    </w:rPr>
                  </w:pPr>
                  <w:r>
                    <w:rPr>
                      <w:rFonts w:hint="eastAsia"/>
                      <w:spacing w:val="7"/>
                      <w:sz w:val="21"/>
                      <w:szCs w:val="21"/>
                      <w:lang w:eastAsia="zh-CN"/>
                    </w:rPr>
                    <w:t>颗粒物</w:t>
                  </w:r>
                </w:p>
              </w:tc>
              <w:tc>
                <w:tcPr>
                  <w:tcW w:w="1047" w:type="dxa"/>
                </w:tcPr>
                <w:p w14:paraId="6D5E96BC">
                  <w:pPr>
                    <w:pStyle w:val="86"/>
                    <w:rPr>
                      <w:rFonts w:hint="eastAsia"/>
                      <w:spacing w:val="7"/>
                      <w:sz w:val="21"/>
                      <w:szCs w:val="21"/>
                      <w:lang w:eastAsia="zh-CN"/>
                    </w:rPr>
                  </w:pPr>
                  <w:r>
                    <w:rPr>
                      <w:rFonts w:hint="eastAsia"/>
                      <w:spacing w:val="7"/>
                      <w:sz w:val="21"/>
                      <w:szCs w:val="21"/>
                      <w:lang w:eastAsia="zh-CN"/>
                    </w:rPr>
                    <w:t>0.936</w:t>
                  </w:r>
                </w:p>
              </w:tc>
              <w:tc>
                <w:tcPr>
                  <w:tcW w:w="1047" w:type="dxa"/>
                </w:tcPr>
                <w:p w14:paraId="60C98A34">
                  <w:pPr>
                    <w:pStyle w:val="86"/>
                    <w:ind w:left="125"/>
                    <w:rPr>
                      <w:rFonts w:hint="eastAsia"/>
                      <w:spacing w:val="7"/>
                      <w:sz w:val="21"/>
                      <w:szCs w:val="21"/>
                      <w:lang w:eastAsia="zh-CN"/>
                    </w:rPr>
                  </w:pPr>
                  <w:r>
                    <w:rPr>
                      <w:rFonts w:hint="eastAsia"/>
                      <w:spacing w:val="7"/>
                      <w:sz w:val="21"/>
                      <w:szCs w:val="21"/>
                      <w:lang w:eastAsia="zh-CN"/>
                    </w:rPr>
                    <w:t>0.78</w:t>
                  </w:r>
                </w:p>
              </w:tc>
              <w:tc>
                <w:tcPr>
                  <w:tcW w:w="1050" w:type="dxa"/>
                </w:tcPr>
                <w:p w14:paraId="2EC7D9EA">
                  <w:pPr>
                    <w:pStyle w:val="86"/>
                    <w:ind w:left="125"/>
                    <w:rPr>
                      <w:rFonts w:hint="eastAsia"/>
                      <w:spacing w:val="7"/>
                      <w:sz w:val="21"/>
                      <w:szCs w:val="21"/>
                      <w:lang w:eastAsia="zh-CN"/>
                    </w:rPr>
                  </w:pPr>
                  <w:r>
                    <w:rPr>
                      <w:rFonts w:hint="eastAsia"/>
                      <w:spacing w:val="7"/>
                      <w:sz w:val="21"/>
                      <w:szCs w:val="21"/>
                      <w:lang w:eastAsia="zh-CN"/>
                    </w:rPr>
                    <w:t>2.78</w:t>
                  </w:r>
                </w:p>
              </w:tc>
              <w:tc>
                <w:tcPr>
                  <w:tcW w:w="914" w:type="dxa"/>
                  <w:vMerge w:val="restart"/>
                </w:tcPr>
                <w:p w14:paraId="43FFA480">
                  <w:pPr>
                    <w:pStyle w:val="86"/>
                    <w:rPr>
                      <w:rFonts w:hint="eastAsia"/>
                      <w:spacing w:val="7"/>
                      <w:sz w:val="21"/>
                      <w:szCs w:val="21"/>
                      <w:lang w:eastAsia="zh-CN"/>
                    </w:rPr>
                  </w:pPr>
                  <w:r>
                    <w:rPr>
                      <w:rFonts w:hint="eastAsia"/>
                      <w:spacing w:val="7"/>
                      <w:sz w:val="21"/>
                      <w:szCs w:val="21"/>
                      <w:lang w:eastAsia="zh-CN"/>
                    </w:rPr>
                    <w:t>产污系数法</w:t>
                  </w:r>
                </w:p>
              </w:tc>
              <w:tc>
                <w:tcPr>
                  <w:tcW w:w="1182" w:type="dxa"/>
                  <w:vMerge w:val="restart"/>
                </w:tcPr>
                <w:p w14:paraId="415688B5">
                  <w:pPr>
                    <w:pStyle w:val="86"/>
                    <w:rPr>
                      <w:rFonts w:hint="eastAsia"/>
                      <w:spacing w:val="7"/>
                      <w:sz w:val="21"/>
                      <w:szCs w:val="21"/>
                      <w:lang w:eastAsia="zh-CN"/>
                    </w:rPr>
                  </w:pPr>
                  <w:r>
                    <w:rPr>
                      <w:rFonts w:hint="eastAsia"/>
                      <w:spacing w:val="7"/>
                      <w:sz w:val="21"/>
                      <w:szCs w:val="21"/>
                      <w:lang w:eastAsia="zh-CN"/>
                    </w:rPr>
                    <w:t>低氮低氮燃烧器+12m烟冲排放</w:t>
                  </w:r>
                </w:p>
              </w:tc>
              <w:tc>
                <w:tcPr>
                  <w:tcW w:w="1047" w:type="dxa"/>
                </w:tcPr>
                <w:p w14:paraId="2FC76929">
                  <w:pPr>
                    <w:pStyle w:val="86"/>
                    <w:rPr>
                      <w:rFonts w:hint="eastAsia"/>
                      <w:spacing w:val="7"/>
                      <w:sz w:val="21"/>
                      <w:szCs w:val="21"/>
                      <w:lang w:eastAsia="zh-CN"/>
                    </w:rPr>
                  </w:pPr>
                  <w:r>
                    <w:rPr>
                      <w:rFonts w:hint="eastAsia"/>
                      <w:spacing w:val="7"/>
                      <w:sz w:val="21"/>
                      <w:szCs w:val="21"/>
                      <w:lang w:eastAsia="zh-CN"/>
                    </w:rPr>
                    <w:t>0.936</w:t>
                  </w:r>
                </w:p>
              </w:tc>
              <w:tc>
                <w:tcPr>
                  <w:tcW w:w="1047" w:type="dxa"/>
                </w:tcPr>
                <w:p w14:paraId="101A28D5">
                  <w:pPr>
                    <w:pStyle w:val="86"/>
                    <w:ind w:left="125"/>
                    <w:rPr>
                      <w:rFonts w:hint="eastAsia"/>
                      <w:spacing w:val="7"/>
                      <w:sz w:val="21"/>
                      <w:szCs w:val="21"/>
                      <w:lang w:eastAsia="zh-CN"/>
                    </w:rPr>
                  </w:pPr>
                  <w:r>
                    <w:rPr>
                      <w:rFonts w:hint="eastAsia"/>
                      <w:spacing w:val="7"/>
                      <w:sz w:val="21"/>
                      <w:szCs w:val="21"/>
                      <w:lang w:eastAsia="zh-CN"/>
                    </w:rPr>
                    <w:t>0.78</w:t>
                  </w:r>
                </w:p>
              </w:tc>
              <w:tc>
                <w:tcPr>
                  <w:tcW w:w="1052" w:type="dxa"/>
                </w:tcPr>
                <w:p w14:paraId="569D2C2C">
                  <w:pPr>
                    <w:pStyle w:val="86"/>
                    <w:ind w:left="125"/>
                    <w:rPr>
                      <w:rFonts w:hint="eastAsia"/>
                      <w:spacing w:val="7"/>
                      <w:sz w:val="21"/>
                      <w:szCs w:val="21"/>
                      <w:lang w:eastAsia="zh-CN"/>
                    </w:rPr>
                  </w:pPr>
                  <w:r>
                    <w:rPr>
                      <w:rFonts w:hint="eastAsia"/>
                      <w:spacing w:val="7"/>
                      <w:sz w:val="21"/>
                      <w:szCs w:val="21"/>
                      <w:lang w:eastAsia="zh-CN"/>
                    </w:rPr>
                    <w:t>2.78</w:t>
                  </w:r>
                </w:p>
              </w:tc>
              <w:tc>
                <w:tcPr>
                  <w:tcW w:w="1048" w:type="dxa"/>
                </w:tcPr>
                <w:p w14:paraId="66B4880C">
                  <w:pPr>
                    <w:pStyle w:val="86"/>
                    <w:rPr>
                      <w:rFonts w:hint="eastAsia"/>
                      <w:spacing w:val="7"/>
                      <w:sz w:val="21"/>
                      <w:szCs w:val="21"/>
                      <w:lang w:eastAsia="zh-CN"/>
                    </w:rPr>
                  </w:pPr>
                  <w:r>
                    <w:rPr>
                      <w:rFonts w:hint="eastAsia"/>
                      <w:spacing w:val="7"/>
                      <w:sz w:val="21"/>
                      <w:szCs w:val="21"/>
                      <w:lang w:eastAsia="zh-CN"/>
                    </w:rPr>
                    <w:t>20</w:t>
                  </w:r>
                </w:p>
              </w:tc>
            </w:tr>
            <w:tr w14:paraId="00127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1047" w:type="dxa"/>
                  <w:vMerge w:val="continue"/>
                </w:tcPr>
                <w:p w14:paraId="02455447">
                  <w:pPr>
                    <w:pStyle w:val="86"/>
                    <w:rPr>
                      <w:rFonts w:hint="eastAsia"/>
                      <w:spacing w:val="7"/>
                      <w:sz w:val="21"/>
                      <w:szCs w:val="21"/>
                      <w:lang w:eastAsia="zh-CN"/>
                    </w:rPr>
                  </w:pPr>
                </w:p>
              </w:tc>
              <w:tc>
                <w:tcPr>
                  <w:tcW w:w="1047" w:type="dxa"/>
                  <w:vMerge w:val="continue"/>
                </w:tcPr>
                <w:p w14:paraId="38BEDFB1">
                  <w:pPr>
                    <w:pStyle w:val="86"/>
                    <w:rPr>
                      <w:rFonts w:hint="eastAsia"/>
                      <w:spacing w:val="7"/>
                      <w:sz w:val="21"/>
                      <w:szCs w:val="21"/>
                      <w:lang w:eastAsia="zh-CN"/>
                    </w:rPr>
                  </w:pPr>
                </w:p>
              </w:tc>
              <w:tc>
                <w:tcPr>
                  <w:tcW w:w="1047" w:type="dxa"/>
                </w:tcPr>
                <w:p w14:paraId="0D98501D">
                  <w:pPr>
                    <w:pStyle w:val="86"/>
                    <w:rPr>
                      <w:rFonts w:hint="eastAsia"/>
                      <w:spacing w:val="7"/>
                      <w:sz w:val="21"/>
                      <w:szCs w:val="21"/>
                      <w:lang w:eastAsia="zh-CN"/>
                    </w:rPr>
                  </w:pPr>
                  <w:r>
                    <w:rPr>
                      <w:rFonts w:hint="eastAsia"/>
                      <w:spacing w:val="7"/>
                      <w:sz w:val="21"/>
                      <w:szCs w:val="21"/>
                      <w:lang w:eastAsia="zh-CN"/>
                    </w:rPr>
                    <w:t>SO</w:t>
                  </w:r>
                  <w:r>
                    <w:rPr>
                      <w:rFonts w:hint="eastAsia"/>
                      <w:spacing w:val="7"/>
                      <w:sz w:val="21"/>
                      <w:szCs w:val="21"/>
                      <w:vertAlign w:val="subscript"/>
                      <w:lang w:eastAsia="zh-CN"/>
                    </w:rPr>
                    <w:t>2</w:t>
                  </w:r>
                </w:p>
              </w:tc>
              <w:tc>
                <w:tcPr>
                  <w:tcW w:w="1047" w:type="dxa"/>
                </w:tcPr>
                <w:p w14:paraId="2746259B">
                  <w:pPr>
                    <w:pStyle w:val="86"/>
                    <w:rPr>
                      <w:rFonts w:hint="eastAsia"/>
                      <w:spacing w:val="7"/>
                      <w:sz w:val="21"/>
                      <w:szCs w:val="21"/>
                      <w:lang w:eastAsia="zh-CN"/>
                    </w:rPr>
                  </w:pPr>
                  <w:r>
                    <w:rPr>
                      <w:rFonts w:hint="eastAsia"/>
                      <w:spacing w:val="7"/>
                      <w:sz w:val="21"/>
                      <w:szCs w:val="21"/>
                      <w:lang w:eastAsia="zh-CN"/>
                    </w:rPr>
                    <w:t>6.24</w:t>
                  </w:r>
                </w:p>
              </w:tc>
              <w:tc>
                <w:tcPr>
                  <w:tcW w:w="1047" w:type="dxa"/>
                </w:tcPr>
                <w:p w14:paraId="491D6035">
                  <w:pPr>
                    <w:pStyle w:val="86"/>
                    <w:ind w:left="125"/>
                    <w:rPr>
                      <w:rFonts w:hint="eastAsia"/>
                      <w:spacing w:val="7"/>
                      <w:sz w:val="21"/>
                      <w:szCs w:val="21"/>
                      <w:lang w:eastAsia="zh-CN"/>
                    </w:rPr>
                  </w:pPr>
                  <w:r>
                    <w:rPr>
                      <w:rFonts w:hint="eastAsia"/>
                      <w:spacing w:val="7"/>
                      <w:sz w:val="21"/>
                      <w:szCs w:val="21"/>
                      <w:lang w:eastAsia="zh-CN"/>
                    </w:rPr>
                    <w:t>5.2</w:t>
                  </w:r>
                </w:p>
              </w:tc>
              <w:tc>
                <w:tcPr>
                  <w:tcW w:w="1050" w:type="dxa"/>
                </w:tcPr>
                <w:p w14:paraId="0700B43D">
                  <w:pPr>
                    <w:pStyle w:val="86"/>
                    <w:ind w:left="125"/>
                    <w:rPr>
                      <w:rFonts w:hint="eastAsia"/>
                      <w:spacing w:val="7"/>
                      <w:sz w:val="21"/>
                      <w:szCs w:val="21"/>
                      <w:lang w:eastAsia="zh-CN"/>
                    </w:rPr>
                  </w:pPr>
                  <w:r>
                    <w:rPr>
                      <w:rFonts w:hint="eastAsia"/>
                      <w:spacing w:val="7"/>
                      <w:sz w:val="21"/>
                      <w:szCs w:val="21"/>
                      <w:lang w:eastAsia="zh-CN"/>
                    </w:rPr>
                    <w:t>18.5</w:t>
                  </w:r>
                </w:p>
              </w:tc>
              <w:tc>
                <w:tcPr>
                  <w:tcW w:w="914" w:type="dxa"/>
                  <w:vMerge w:val="continue"/>
                </w:tcPr>
                <w:p w14:paraId="410F399D">
                  <w:pPr>
                    <w:pStyle w:val="86"/>
                    <w:rPr>
                      <w:rFonts w:hint="eastAsia"/>
                      <w:spacing w:val="7"/>
                      <w:sz w:val="21"/>
                      <w:szCs w:val="21"/>
                      <w:lang w:eastAsia="zh-CN"/>
                    </w:rPr>
                  </w:pPr>
                </w:p>
              </w:tc>
              <w:tc>
                <w:tcPr>
                  <w:tcW w:w="1182" w:type="dxa"/>
                  <w:vMerge w:val="continue"/>
                </w:tcPr>
                <w:p w14:paraId="00221162">
                  <w:pPr>
                    <w:pStyle w:val="86"/>
                    <w:rPr>
                      <w:rFonts w:hint="eastAsia"/>
                      <w:spacing w:val="7"/>
                      <w:sz w:val="21"/>
                      <w:szCs w:val="21"/>
                      <w:lang w:eastAsia="zh-CN"/>
                    </w:rPr>
                  </w:pPr>
                </w:p>
              </w:tc>
              <w:tc>
                <w:tcPr>
                  <w:tcW w:w="1047" w:type="dxa"/>
                </w:tcPr>
                <w:p w14:paraId="36018BCF">
                  <w:pPr>
                    <w:pStyle w:val="86"/>
                    <w:rPr>
                      <w:rFonts w:hint="eastAsia"/>
                      <w:spacing w:val="7"/>
                      <w:sz w:val="21"/>
                      <w:szCs w:val="21"/>
                      <w:lang w:eastAsia="zh-CN"/>
                    </w:rPr>
                  </w:pPr>
                  <w:r>
                    <w:rPr>
                      <w:rFonts w:hint="eastAsia"/>
                      <w:spacing w:val="7"/>
                      <w:sz w:val="21"/>
                      <w:szCs w:val="21"/>
                      <w:lang w:eastAsia="zh-CN"/>
                    </w:rPr>
                    <w:t>6.24</w:t>
                  </w:r>
                </w:p>
              </w:tc>
              <w:tc>
                <w:tcPr>
                  <w:tcW w:w="1047" w:type="dxa"/>
                </w:tcPr>
                <w:p w14:paraId="745D484F">
                  <w:pPr>
                    <w:pStyle w:val="86"/>
                    <w:ind w:left="125"/>
                    <w:rPr>
                      <w:rFonts w:hint="eastAsia"/>
                      <w:spacing w:val="7"/>
                      <w:sz w:val="21"/>
                      <w:szCs w:val="21"/>
                      <w:lang w:eastAsia="zh-CN"/>
                    </w:rPr>
                  </w:pPr>
                  <w:r>
                    <w:rPr>
                      <w:rFonts w:hint="eastAsia"/>
                      <w:spacing w:val="7"/>
                      <w:sz w:val="21"/>
                      <w:szCs w:val="21"/>
                      <w:lang w:eastAsia="zh-CN"/>
                    </w:rPr>
                    <w:t>5.2</w:t>
                  </w:r>
                </w:p>
              </w:tc>
              <w:tc>
                <w:tcPr>
                  <w:tcW w:w="1052" w:type="dxa"/>
                </w:tcPr>
                <w:p w14:paraId="39ABEB32">
                  <w:pPr>
                    <w:pStyle w:val="86"/>
                    <w:ind w:left="125"/>
                    <w:rPr>
                      <w:rFonts w:hint="eastAsia"/>
                      <w:spacing w:val="7"/>
                      <w:sz w:val="21"/>
                      <w:szCs w:val="21"/>
                      <w:lang w:eastAsia="zh-CN"/>
                    </w:rPr>
                  </w:pPr>
                  <w:r>
                    <w:rPr>
                      <w:rFonts w:hint="eastAsia"/>
                      <w:spacing w:val="7"/>
                      <w:sz w:val="21"/>
                      <w:szCs w:val="21"/>
                      <w:lang w:eastAsia="zh-CN"/>
                    </w:rPr>
                    <w:t>18.5</w:t>
                  </w:r>
                </w:p>
              </w:tc>
              <w:tc>
                <w:tcPr>
                  <w:tcW w:w="1048" w:type="dxa"/>
                </w:tcPr>
                <w:p w14:paraId="136AB79B">
                  <w:pPr>
                    <w:pStyle w:val="86"/>
                    <w:rPr>
                      <w:rFonts w:hint="eastAsia"/>
                      <w:spacing w:val="7"/>
                      <w:sz w:val="21"/>
                      <w:szCs w:val="21"/>
                      <w:lang w:eastAsia="zh-CN"/>
                    </w:rPr>
                  </w:pPr>
                  <w:r>
                    <w:rPr>
                      <w:rFonts w:hint="eastAsia"/>
                      <w:spacing w:val="7"/>
                      <w:sz w:val="21"/>
                      <w:szCs w:val="21"/>
                      <w:lang w:eastAsia="zh-CN"/>
                    </w:rPr>
                    <w:t>50</w:t>
                  </w:r>
                </w:p>
              </w:tc>
            </w:tr>
            <w:tr w14:paraId="287A3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1047" w:type="dxa"/>
                  <w:vMerge w:val="continue"/>
                </w:tcPr>
                <w:p w14:paraId="5EAC48C8">
                  <w:pPr>
                    <w:pStyle w:val="86"/>
                    <w:rPr>
                      <w:rFonts w:hint="eastAsia"/>
                      <w:spacing w:val="7"/>
                      <w:sz w:val="21"/>
                      <w:szCs w:val="21"/>
                      <w:lang w:eastAsia="zh-CN"/>
                    </w:rPr>
                  </w:pPr>
                </w:p>
              </w:tc>
              <w:tc>
                <w:tcPr>
                  <w:tcW w:w="1047" w:type="dxa"/>
                  <w:vMerge w:val="continue"/>
                </w:tcPr>
                <w:p w14:paraId="1271183F">
                  <w:pPr>
                    <w:pStyle w:val="86"/>
                    <w:rPr>
                      <w:rFonts w:hint="eastAsia"/>
                      <w:spacing w:val="7"/>
                      <w:sz w:val="21"/>
                      <w:szCs w:val="21"/>
                      <w:lang w:eastAsia="zh-CN"/>
                    </w:rPr>
                  </w:pPr>
                </w:p>
              </w:tc>
              <w:tc>
                <w:tcPr>
                  <w:tcW w:w="1047" w:type="dxa"/>
                </w:tcPr>
                <w:p w14:paraId="17BBE61B">
                  <w:pPr>
                    <w:pStyle w:val="86"/>
                    <w:rPr>
                      <w:rFonts w:hint="eastAsia"/>
                      <w:spacing w:val="7"/>
                      <w:sz w:val="21"/>
                      <w:szCs w:val="21"/>
                      <w:lang w:eastAsia="zh-CN"/>
                    </w:rPr>
                  </w:pPr>
                  <w:r>
                    <w:rPr>
                      <w:rFonts w:hint="eastAsia"/>
                      <w:spacing w:val="7"/>
                      <w:sz w:val="21"/>
                      <w:szCs w:val="21"/>
                      <w:lang w:eastAsia="zh-CN"/>
                    </w:rPr>
                    <w:t>NOx</w:t>
                  </w:r>
                </w:p>
              </w:tc>
              <w:tc>
                <w:tcPr>
                  <w:tcW w:w="1047" w:type="dxa"/>
                </w:tcPr>
                <w:p w14:paraId="1E775CA6">
                  <w:pPr>
                    <w:pStyle w:val="86"/>
                    <w:rPr>
                      <w:rFonts w:hint="eastAsia"/>
                      <w:spacing w:val="7"/>
                      <w:sz w:val="21"/>
                      <w:szCs w:val="21"/>
                      <w:highlight w:val="green"/>
                      <w:lang w:eastAsia="zh-CN"/>
                    </w:rPr>
                  </w:pPr>
                  <w:r>
                    <w:rPr>
                      <w:rFonts w:hint="eastAsia"/>
                      <w:spacing w:val="7"/>
                      <w:sz w:val="21"/>
                      <w:szCs w:val="21"/>
                      <w:lang w:eastAsia="zh-CN"/>
                    </w:rPr>
                    <w:t>21.75</w:t>
                  </w:r>
                </w:p>
              </w:tc>
              <w:tc>
                <w:tcPr>
                  <w:tcW w:w="1047" w:type="dxa"/>
                </w:tcPr>
                <w:p w14:paraId="642A00AD">
                  <w:pPr>
                    <w:pStyle w:val="86"/>
                    <w:ind w:left="125"/>
                    <w:rPr>
                      <w:rFonts w:hint="eastAsia"/>
                      <w:spacing w:val="7"/>
                      <w:sz w:val="21"/>
                      <w:szCs w:val="21"/>
                      <w:highlight w:val="green"/>
                      <w:lang w:eastAsia="zh-CN"/>
                    </w:rPr>
                  </w:pPr>
                  <w:r>
                    <w:rPr>
                      <w:rFonts w:hint="eastAsia"/>
                      <w:spacing w:val="7"/>
                      <w:sz w:val="21"/>
                      <w:szCs w:val="21"/>
                      <w:lang w:eastAsia="zh-CN"/>
                    </w:rPr>
                    <w:t>18.12</w:t>
                  </w:r>
                </w:p>
              </w:tc>
              <w:tc>
                <w:tcPr>
                  <w:tcW w:w="1050" w:type="dxa"/>
                </w:tcPr>
                <w:p w14:paraId="3A68EBC7">
                  <w:pPr>
                    <w:pStyle w:val="86"/>
                    <w:ind w:left="125"/>
                    <w:rPr>
                      <w:rFonts w:hint="eastAsia"/>
                      <w:spacing w:val="7"/>
                      <w:sz w:val="21"/>
                      <w:szCs w:val="21"/>
                      <w:highlight w:val="green"/>
                      <w:lang w:eastAsia="zh-CN"/>
                    </w:rPr>
                  </w:pPr>
                  <w:r>
                    <w:rPr>
                      <w:rFonts w:hint="eastAsia"/>
                      <w:spacing w:val="7"/>
                      <w:sz w:val="21"/>
                      <w:szCs w:val="21"/>
                      <w:lang w:eastAsia="zh-CN"/>
                    </w:rPr>
                    <w:t>64.68</w:t>
                  </w:r>
                </w:p>
              </w:tc>
              <w:tc>
                <w:tcPr>
                  <w:tcW w:w="914" w:type="dxa"/>
                  <w:vMerge w:val="continue"/>
                </w:tcPr>
                <w:p w14:paraId="6629FF97">
                  <w:pPr>
                    <w:pStyle w:val="86"/>
                    <w:rPr>
                      <w:rFonts w:hint="eastAsia"/>
                      <w:spacing w:val="7"/>
                      <w:sz w:val="21"/>
                      <w:szCs w:val="21"/>
                      <w:lang w:eastAsia="zh-CN"/>
                    </w:rPr>
                  </w:pPr>
                </w:p>
              </w:tc>
              <w:tc>
                <w:tcPr>
                  <w:tcW w:w="1182" w:type="dxa"/>
                  <w:vMerge w:val="continue"/>
                </w:tcPr>
                <w:p w14:paraId="743F3CF0">
                  <w:pPr>
                    <w:pStyle w:val="86"/>
                    <w:rPr>
                      <w:rFonts w:hint="eastAsia"/>
                      <w:spacing w:val="7"/>
                      <w:sz w:val="21"/>
                      <w:szCs w:val="21"/>
                      <w:lang w:eastAsia="zh-CN"/>
                    </w:rPr>
                  </w:pPr>
                </w:p>
              </w:tc>
              <w:tc>
                <w:tcPr>
                  <w:tcW w:w="1047" w:type="dxa"/>
                </w:tcPr>
                <w:p w14:paraId="3911B168">
                  <w:pPr>
                    <w:pStyle w:val="86"/>
                    <w:rPr>
                      <w:rFonts w:hint="eastAsia"/>
                      <w:spacing w:val="7"/>
                      <w:sz w:val="21"/>
                      <w:szCs w:val="21"/>
                      <w:highlight w:val="green"/>
                      <w:lang w:eastAsia="zh-CN"/>
                    </w:rPr>
                  </w:pPr>
                  <w:r>
                    <w:rPr>
                      <w:rFonts w:hint="eastAsia"/>
                      <w:spacing w:val="7"/>
                      <w:sz w:val="21"/>
                      <w:szCs w:val="21"/>
                      <w:lang w:eastAsia="zh-CN"/>
                    </w:rPr>
                    <w:t>21.75</w:t>
                  </w:r>
                </w:p>
              </w:tc>
              <w:tc>
                <w:tcPr>
                  <w:tcW w:w="1047" w:type="dxa"/>
                </w:tcPr>
                <w:p w14:paraId="76CFC41C">
                  <w:pPr>
                    <w:pStyle w:val="86"/>
                    <w:ind w:left="125"/>
                    <w:rPr>
                      <w:rFonts w:hint="eastAsia"/>
                      <w:spacing w:val="7"/>
                      <w:sz w:val="21"/>
                      <w:szCs w:val="21"/>
                      <w:highlight w:val="green"/>
                      <w:lang w:eastAsia="zh-CN"/>
                    </w:rPr>
                  </w:pPr>
                  <w:r>
                    <w:rPr>
                      <w:rFonts w:hint="eastAsia"/>
                      <w:spacing w:val="7"/>
                      <w:sz w:val="21"/>
                      <w:szCs w:val="21"/>
                      <w:lang w:eastAsia="zh-CN"/>
                    </w:rPr>
                    <w:t>18.12</w:t>
                  </w:r>
                </w:p>
              </w:tc>
              <w:tc>
                <w:tcPr>
                  <w:tcW w:w="1052" w:type="dxa"/>
                </w:tcPr>
                <w:p w14:paraId="1BA36481">
                  <w:pPr>
                    <w:pStyle w:val="86"/>
                    <w:ind w:left="125"/>
                    <w:rPr>
                      <w:rFonts w:hint="eastAsia"/>
                      <w:spacing w:val="7"/>
                      <w:sz w:val="21"/>
                      <w:szCs w:val="21"/>
                      <w:highlight w:val="green"/>
                      <w:lang w:eastAsia="zh-CN"/>
                    </w:rPr>
                  </w:pPr>
                  <w:r>
                    <w:rPr>
                      <w:rFonts w:hint="eastAsia"/>
                      <w:spacing w:val="7"/>
                      <w:sz w:val="21"/>
                      <w:szCs w:val="21"/>
                      <w:lang w:eastAsia="zh-CN"/>
                    </w:rPr>
                    <w:t>64.68</w:t>
                  </w:r>
                </w:p>
              </w:tc>
              <w:tc>
                <w:tcPr>
                  <w:tcW w:w="1048" w:type="dxa"/>
                </w:tcPr>
                <w:p w14:paraId="665365EE">
                  <w:pPr>
                    <w:pStyle w:val="86"/>
                    <w:rPr>
                      <w:rFonts w:hint="eastAsia"/>
                      <w:spacing w:val="7"/>
                      <w:sz w:val="21"/>
                      <w:szCs w:val="21"/>
                      <w:lang w:eastAsia="zh-CN"/>
                    </w:rPr>
                  </w:pPr>
                  <w:r>
                    <w:rPr>
                      <w:rFonts w:hint="eastAsia"/>
                      <w:spacing w:val="7"/>
                      <w:sz w:val="21"/>
                      <w:szCs w:val="21"/>
                      <w:lang w:eastAsia="zh-CN"/>
                    </w:rPr>
                    <w:t>200</w:t>
                  </w:r>
                </w:p>
              </w:tc>
            </w:tr>
            <w:tr w14:paraId="49033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1047" w:type="dxa"/>
                  <w:vMerge w:val="restart"/>
                </w:tcPr>
                <w:p w14:paraId="73923A2F">
                  <w:pPr>
                    <w:pStyle w:val="86"/>
                    <w:rPr>
                      <w:rFonts w:hint="eastAsia"/>
                      <w:spacing w:val="7"/>
                      <w:sz w:val="21"/>
                      <w:szCs w:val="21"/>
                      <w:lang w:eastAsia="zh-CN"/>
                    </w:rPr>
                  </w:pPr>
                  <w:r>
                    <w:rPr>
                      <w:rFonts w:hint="eastAsia"/>
                      <w:bCs/>
                      <w:sz w:val="21"/>
                      <w:szCs w:val="21"/>
                      <w:lang w:eastAsia="zh-CN"/>
                    </w:rPr>
                    <w:t>压贴机</w:t>
                  </w:r>
                </w:p>
              </w:tc>
              <w:tc>
                <w:tcPr>
                  <w:tcW w:w="1047" w:type="dxa"/>
                  <w:vMerge w:val="restart"/>
                </w:tcPr>
                <w:p w14:paraId="4BCF1B41">
                  <w:pPr>
                    <w:pStyle w:val="86"/>
                    <w:rPr>
                      <w:rFonts w:hint="eastAsia"/>
                      <w:spacing w:val="7"/>
                      <w:sz w:val="21"/>
                      <w:szCs w:val="21"/>
                      <w:lang w:eastAsia="zh-CN"/>
                    </w:rPr>
                  </w:pPr>
                  <w:r>
                    <w:rPr>
                      <w:rFonts w:hint="eastAsia"/>
                      <w:bCs/>
                      <w:sz w:val="21"/>
                      <w:szCs w:val="21"/>
                      <w:lang w:eastAsia="zh-CN"/>
                    </w:rPr>
                    <w:t>风量7200m</w:t>
                  </w:r>
                  <w:r>
                    <w:rPr>
                      <w:rFonts w:hint="eastAsia"/>
                      <w:bCs/>
                      <w:sz w:val="21"/>
                      <w:szCs w:val="21"/>
                      <w:vertAlign w:val="superscript"/>
                      <w:lang w:eastAsia="zh-CN"/>
                    </w:rPr>
                    <w:t>3</w:t>
                  </w:r>
                  <w:r>
                    <w:rPr>
                      <w:bCs/>
                      <w:sz w:val="21"/>
                      <w:szCs w:val="21"/>
                    </w:rPr>
                    <w:t>/h</w:t>
                  </w:r>
                </w:p>
              </w:tc>
              <w:tc>
                <w:tcPr>
                  <w:tcW w:w="1047" w:type="dxa"/>
                </w:tcPr>
                <w:p w14:paraId="635561F4">
                  <w:pPr>
                    <w:pStyle w:val="86"/>
                    <w:rPr>
                      <w:rFonts w:hint="eastAsia"/>
                      <w:spacing w:val="7"/>
                      <w:sz w:val="21"/>
                      <w:szCs w:val="21"/>
                      <w:lang w:eastAsia="zh-CN"/>
                    </w:rPr>
                  </w:pPr>
                  <w:r>
                    <w:rPr>
                      <w:bCs/>
                      <w:sz w:val="21"/>
                      <w:szCs w:val="21"/>
                      <w:lang w:eastAsia="zh-CN"/>
                    </w:rPr>
                    <w:t>VOCs</w:t>
                  </w:r>
                </w:p>
              </w:tc>
              <w:tc>
                <w:tcPr>
                  <w:tcW w:w="1047" w:type="dxa"/>
                </w:tcPr>
                <w:p w14:paraId="5D9BC992">
                  <w:pPr>
                    <w:pStyle w:val="86"/>
                    <w:rPr>
                      <w:rFonts w:hint="eastAsia"/>
                      <w:spacing w:val="7"/>
                      <w:sz w:val="21"/>
                      <w:szCs w:val="21"/>
                      <w:lang w:eastAsia="zh-CN"/>
                    </w:rPr>
                  </w:pPr>
                  <w:r>
                    <w:rPr>
                      <w:rFonts w:hint="eastAsia"/>
                      <w:spacing w:val="7"/>
                      <w:sz w:val="21"/>
                      <w:szCs w:val="21"/>
                      <w:lang w:eastAsia="zh-CN"/>
                    </w:rPr>
                    <w:t>100</w:t>
                  </w:r>
                </w:p>
              </w:tc>
              <w:tc>
                <w:tcPr>
                  <w:tcW w:w="1047" w:type="dxa"/>
                </w:tcPr>
                <w:p w14:paraId="3C90D083">
                  <w:pPr>
                    <w:pStyle w:val="86"/>
                    <w:rPr>
                      <w:rFonts w:hint="eastAsia"/>
                      <w:spacing w:val="7"/>
                      <w:sz w:val="21"/>
                      <w:szCs w:val="21"/>
                      <w:lang w:eastAsia="zh-CN"/>
                    </w:rPr>
                  </w:pPr>
                  <w:r>
                    <w:rPr>
                      <w:rFonts w:hint="eastAsia"/>
                      <w:bCs/>
                      <w:sz w:val="21"/>
                      <w:szCs w:val="21"/>
                      <w:lang w:eastAsia="zh-CN"/>
                    </w:rPr>
                    <w:t>42</w:t>
                  </w:r>
                </w:p>
              </w:tc>
              <w:tc>
                <w:tcPr>
                  <w:tcW w:w="1050" w:type="dxa"/>
                </w:tcPr>
                <w:p w14:paraId="1A9C0FB4">
                  <w:pPr>
                    <w:pStyle w:val="86"/>
                    <w:rPr>
                      <w:rFonts w:hint="eastAsia"/>
                      <w:spacing w:val="7"/>
                      <w:sz w:val="21"/>
                      <w:szCs w:val="21"/>
                      <w:lang w:eastAsia="zh-CN"/>
                    </w:rPr>
                  </w:pPr>
                  <w:r>
                    <w:rPr>
                      <w:rFonts w:hint="eastAsia"/>
                      <w:spacing w:val="7"/>
                      <w:sz w:val="21"/>
                      <w:szCs w:val="21"/>
                      <w:lang w:eastAsia="zh-CN"/>
                    </w:rPr>
                    <w:t>/</w:t>
                  </w:r>
                </w:p>
              </w:tc>
              <w:tc>
                <w:tcPr>
                  <w:tcW w:w="914" w:type="dxa"/>
                  <w:vMerge w:val="restart"/>
                </w:tcPr>
                <w:p w14:paraId="70132542">
                  <w:pPr>
                    <w:pStyle w:val="86"/>
                    <w:rPr>
                      <w:rFonts w:hint="eastAsia"/>
                      <w:spacing w:val="7"/>
                      <w:sz w:val="21"/>
                      <w:szCs w:val="21"/>
                      <w:lang w:eastAsia="zh-CN"/>
                    </w:rPr>
                  </w:pPr>
                  <w:r>
                    <w:rPr>
                      <w:rFonts w:hint="eastAsia"/>
                      <w:spacing w:val="7"/>
                      <w:sz w:val="21"/>
                      <w:szCs w:val="21"/>
                      <w:lang w:eastAsia="zh-CN"/>
                    </w:rPr>
                    <w:t>产污系数法</w:t>
                  </w:r>
                </w:p>
              </w:tc>
              <w:tc>
                <w:tcPr>
                  <w:tcW w:w="1182" w:type="dxa"/>
                  <w:vMerge w:val="restart"/>
                </w:tcPr>
                <w:p w14:paraId="29895003">
                  <w:pPr>
                    <w:pStyle w:val="86"/>
                    <w:rPr>
                      <w:rFonts w:hint="eastAsia"/>
                      <w:spacing w:val="7"/>
                      <w:sz w:val="21"/>
                      <w:szCs w:val="21"/>
                      <w:lang w:eastAsia="zh-CN"/>
                    </w:rPr>
                  </w:pPr>
                  <w:r>
                    <w:rPr>
                      <w:rFonts w:hint="eastAsia"/>
                      <w:spacing w:val="7"/>
                      <w:sz w:val="21"/>
                      <w:szCs w:val="21"/>
                      <w:lang w:eastAsia="zh-CN"/>
                    </w:rPr>
                    <w:t>集气罩负压收集+活性炭装置+15m排气筒</w:t>
                  </w:r>
                </w:p>
              </w:tc>
              <w:tc>
                <w:tcPr>
                  <w:tcW w:w="1047" w:type="dxa"/>
                </w:tcPr>
                <w:p w14:paraId="13CF4076">
                  <w:pPr>
                    <w:pStyle w:val="86"/>
                    <w:rPr>
                      <w:rFonts w:hint="eastAsia"/>
                      <w:spacing w:val="7"/>
                      <w:sz w:val="21"/>
                      <w:szCs w:val="21"/>
                      <w:lang w:eastAsia="zh-CN"/>
                    </w:rPr>
                  </w:pPr>
                  <w:r>
                    <w:rPr>
                      <w:rFonts w:hint="eastAsia"/>
                      <w:spacing w:val="7"/>
                      <w:sz w:val="21"/>
                      <w:szCs w:val="21"/>
                      <w:lang w:eastAsia="zh-CN"/>
                    </w:rPr>
                    <w:t>45</w:t>
                  </w:r>
                </w:p>
              </w:tc>
              <w:tc>
                <w:tcPr>
                  <w:tcW w:w="1047" w:type="dxa"/>
                </w:tcPr>
                <w:p w14:paraId="10E89948">
                  <w:pPr>
                    <w:pStyle w:val="86"/>
                    <w:rPr>
                      <w:rFonts w:hint="eastAsia"/>
                      <w:spacing w:val="7"/>
                      <w:sz w:val="21"/>
                      <w:szCs w:val="21"/>
                      <w:lang w:eastAsia="zh-CN"/>
                    </w:rPr>
                  </w:pPr>
                  <w:r>
                    <w:rPr>
                      <w:rFonts w:hint="eastAsia"/>
                      <w:bCs/>
                      <w:sz w:val="21"/>
                      <w:szCs w:val="21"/>
                      <w:lang w:eastAsia="zh-CN"/>
                    </w:rPr>
                    <w:t>18</w:t>
                  </w:r>
                </w:p>
              </w:tc>
              <w:tc>
                <w:tcPr>
                  <w:tcW w:w="1052" w:type="dxa"/>
                </w:tcPr>
                <w:p w14:paraId="464D0B4A">
                  <w:pPr>
                    <w:pStyle w:val="86"/>
                    <w:rPr>
                      <w:rFonts w:hint="eastAsia"/>
                      <w:spacing w:val="7"/>
                      <w:sz w:val="21"/>
                      <w:szCs w:val="21"/>
                      <w:lang w:eastAsia="zh-CN"/>
                    </w:rPr>
                  </w:pPr>
                  <w:r>
                    <w:rPr>
                      <w:rFonts w:hint="eastAsia"/>
                      <w:spacing w:val="7"/>
                      <w:sz w:val="21"/>
                      <w:szCs w:val="21"/>
                      <w:lang w:eastAsia="zh-CN"/>
                    </w:rPr>
                    <w:t>2.6</w:t>
                  </w:r>
                </w:p>
              </w:tc>
              <w:tc>
                <w:tcPr>
                  <w:tcW w:w="1048" w:type="dxa"/>
                </w:tcPr>
                <w:p w14:paraId="14B6EF33">
                  <w:pPr>
                    <w:pStyle w:val="86"/>
                    <w:rPr>
                      <w:rFonts w:hint="eastAsia"/>
                      <w:spacing w:val="7"/>
                      <w:sz w:val="21"/>
                      <w:szCs w:val="21"/>
                      <w:lang w:eastAsia="zh-CN"/>
                    </w:rPr>
                  </w:pPr>
                  <w:r>
                    <w:rPr>
                      <w:rFonts w:hint="eastAsia"/>
                      <w:spacing w:val="7"/>
                      <w:sz w:val="21"/>
                      <w:szCs w:val="21"/>
                      <w:lang w:eastAsia="zh-CN"/>
                    </w:rPr>
                    <w:t>60</w:t>
                  </w:r>
                </w:p>
              </w:tc>
            </w:tr>
            <w:tr w14:paraId="3F16C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1047" w:type="dxa"/>
                  <w:vMerge w:val="continue"/>
                </w:tcPr>
                <w:p w14:paraId="1C8C74E5">
                  <w:pPr>
                    <w:pStyle w:val="86"/>
                    <w:rPr>
                      <w:rFonts w:hint="eastAsia"/>
                      <w:bCs/>
                      <w:sz w:val="21"/>
                      <w:szCs w:val="21"/>
                      <w:lang w:eastAsia="zh-CN"/>
                    </w:rPr>
                  </w:pPr>
                </w:p>
              </w:tc>
              <w:tc>
                <w:tcPr>
                  <w:tcW w:w="1047" w:type="dxa"/>
                  <w:vMerge w:val="continue"/>
                </w:tcPr>
                <w:p w14:paraId="536D40CB">
                  <w:pPr>
                    <w:pStyle w:val="86"/>
                    <w:rPr>
                      <w:rFonts w:hint="eastAsia"/>
                      <w:bCs/>
                      <w:sz w:val="21"/>
                      <w:szCs w:val="21"/>
                      <w:lang w:eastAsia="zh-CN"/>
                    </w:rPr>
                  </w:pPr>
                </w:p>
              </w:tc>
              <w:tc>
                <w:tcPr>
                  <w:tcW w:w="1047" w:type="dxa"/>
                </w:tcPr>
                <w:p w14:paraId="215B9027">
                  <w:pPr>
                    <w:pStyle w:val="86"/>
                    <w:rPr>
                      <w:rFonts w:hint="eastAsia"/>
                      <w:spacing w:val="7"/>
                      <w:sz w:val="21"/>
                      <w:szCs w:val="21"/>
                      <w:lang w:eastAsia="zh-CN"/>
                    </w:rPr>
                  </w:pPr>
                  <w:r>
                    <w:rPr>
                      <w:rFonts w:hint="eastAsia" w:ascii="Times New Roman" w:hAnsi="Times New Roman" w:cs="Times New Roman"/>
                      <w:bCs/>
                      <w:sz w:val="21"/>
                      <w:szCs w:val="21"/>
                      <w:lang w:eastAsia="zh-CN"/>
                    </w:rPr>
                    <w:t>甲醛</w:t>
                  </w:r>
                </w:p>
              </w:tc>
              <w:tc>
                <w:tcPr>
                  <w:tcW w:w="1047" w:type="dxa"/>
                </w:tcPr>
                <w:p w14:paraId="50B5EAEE">
                  <w:pPr>
                    <w:pStyle w:val="86"/>
                    <w:rPr>
                      <w:rFonts w:hint="eastAsia"/>
                      <w:spacing w:val="7"/>
                      <w:sz w:val="21"/>
                      <w:szCs w:val="21"/>
                      <w:lang w:eastAsia="zh-CN"/>
                    </w:rPr>
                  </w:pPr>
                  <w:r>
                    <w:rPr>
                      <w:rFonts w:hint="eastAsia"/>
                      <w:spacing w:val="7"/>
                      <w:sz w:val="21"/>
                      <w:szCs w:val="21"/>
                      <w:lang w:eastAsia="zh-CN"/>
                    </w:rPr>
                    <w:t>0.396</w:t>
                  </w:r>
                </w:p>
              </w:tc>
              <w:tc>
                <w:tcPr>
                  <w:tcW w:w="1047" w:type="dxa"/>
                </w:tcPr>
                <w:p w14:paraId="6E02803A">
                  <w:pPr>
                    <w:pStyle w:val="86"/>
                    <w:rPr>
                      <w:rFonts w:hint="eastAsia"/>
                      <w:spacing w:val="7"/>
                      <w:sz w:val="21"/>
                      <w:szCs w:val="21"/>
                      <w:lang w:eastAsia="zh-CN"/>
                    </w:rPr>
                  </w:pPr>
                  <w:r>
                    <w:rPr>
                      <w:rFonts w:hint="eastAsia"/>
                      <w:spacing w:val="7"/>
                      <w:sz w:val="21"/>
                      <w:szCs w:val="21"/>
                      <w:lang w:eastAsia="zh-CN"/>
                    </w:rPr>
                    <w:t>0.165</w:t>
                  </w:r>
                </w:p>
              </w:tc>
              <w:tc>
                <w:tcPr>
                  <w:tcW w:w="1050" w:type="dxa"/>
                </w:tcPr>
                <w:p w14:paraId="70FE341E">
                  <w:pPr>
                    <w:pStyle w:val="86"/>
                    <w:rPr>
                      <w:rFonts w:hint="eastAsia"/>
                      <w:spacing w:val="7"/>
                      <w:sz w:val="21"/>
                      <w:szCs w:val="21"/>
                      <w:lang w:eastAsia="zh-CN"/>
                    </w:rPr>
                  </w:pPr>
                  <w:r>
                    <w:rPr>
                      <w:rFonts w:hint="eastAsia"/>
                      <w:spacing w:val="7"/>
                      <w:sz w:val="21"/>
                      <w:szCs w:val="21"/>
                      <w:lang w:eastAsia="zh-CN"/>
                    </w:rPr>
                    <w:t>/</w:t>
                  </w:r>
                </w:p>
              </w:tc>
              <w:tc>
                <w:tcPr>
                  <w:tcW w:w="914" w:type="dxa"/>
                  <w:vMerge w:val="continue"/>
                </w:tcPr>
                <w:p w14:paraId="63225743">
                  <w:pPr>
                    <w:pStyle w:val="86"/>
                    <w:rPr>
                      <w:rFonts w:hint="eastAsia"/>
                      <w:spacing w:val="7"/>
                      <w:sz w:val="21"/>
                      <w:szCs w:val="21"/>
                      <w:lang w:eastAsia="zh-CN"/>
                    </w:rPr>
                  </w:pPr>
                </w:p>
              </w:tc>
              <w:tc>
                <w:tcPr>
                  <w:tcW w:w="1182" w:type="dxa"/>
                  <w:vMerge w:val="continue"/>
                </w:tcPr>
                <w:p w14:paraId="377A82A0">
                  <w:pPr>
                    <w:pStyle w:val="86"/>
                    <w:rPr>
                      <w:rFonts w:hint="eastAsia"/>
                      <w:spacing w:val="7"/>
                      <w:sz w:val="21"/>
                      <w:szCs w:val="21"/>
                      <w:lang w:eastAsia="zh-CN"/>
                    </w:rPr>
                  </w:pPr>
                </w:p>
              </w:tc>
              <w:tc>
                <w:tcPr>
                  <w:tcW w:w="1047" w:type="dxa"/>
                </w:tcPr>
                <w:p w14:paraId="71F2136E">
                  <w:pPr>
                    <w:pStyle w:val="86"/>
                    <w:rPr>
                      <w:rFonts w:hint="eastAsia"/>
                      <w:spacing w:val="7"/>
                      <w:sz w:val="21"/>
                      <w:szCs w:val="21"/>
                      <w:lang w:eastAsia="zh-CN"/>
                    </w:rPr>
                  </w:pPr>
                  <w:r>
                    <w:rPr>
                      <w:rFonts w:hint="eastAsia"/>
                      <w:bCs/>
                      <w:sz w:val="21"/>
                      <w:szCs w:val="21"/>
                      <w:lang w:eastAsia="zh-CN"/>
                    </w:rPr>
                    <w:t>0.178</w:t>
                  </w:r>
                </w:p>
              </w:tc>
              <w:tc>
                <w:tcPr>
                  <w:tcW w:w="1047" w:type="dxa"/>
                </w:tcPr>
                <w:p w14:paraId="6EE064F6">
                  <w:pPr>
                    <w:pStyle w:val="86"/>
                    <w:rPr>
                      <w:rFonts w:hint="eastAsia"/>
                      <w:spacing w:val="7"/>
                      <w:sz w:val="21"/>
                      <w:szCs w:val="21"/>
                      <w:lang w:eastAsia="zh-CN"/>
                    </w:rPr>
                  </w:pPr>
                  <w:r>
                    <w:rPr>
                      <w:rFonts w:hint="eastAsia"/>
                      <w:spacing w:val="7"/>
                      <w:sz w:val="21"/>
                      <w:szCs w:val="21"/>
                      <w:lang w:eastAsia="zh-CN"/>
                    </w:rPr>
                    <w:t>0.074</w:t>
                  </w:r>
                </w:p>
              </w:tc>
              <w:tc>
                <w:tcPr>
                  <w:tcW w:w="1052" w:type="dxa"/>
                </w:tcPr>
                <w:p w14:paraId="318E10E7">
                  <w:pPr>
                    <w:pStyle w:val="86"/>
                    <w:rPr>
                      <w:rFonts w:hint="eastAsia"/>
                      <w:spacing w:val="7"/>
                      <w:sz w:val="21"/>
                      <w:szCs w:val="21"/>
                      <w:lang w:eastAsia="zh-CN"/>
                    </w:rPr>
                  </w:pPr>
                  <w:r>
                    <w:rPr>
                      <w:rFonts w:hint="eastAsia"/>
                      <w:spacing w:val="7"/>
                      <w:sz w:val="21"/>
                      <w:szCs w:val="21"/>
                      <w:lang w:eastAsia="zh-CN"/>
                    </w:rPr>
                    <w:t>0.01</w:t>
                  </w:r>
                </w:p>
              </w:tc>
              <w:tc>
                <w:tcPr>
                  <w:tcW w:w="1048" w:type="dxa"/>
                </w:tcPr>
                <w:p w14:paraId="322B382C">
                  <w:pPr>
                    <w:pStyle w:val="86"/>
                    <w:rPr>
                      <w:rFonts w:hint="eastAsia"/>
                      <w:spacing w:val="7"/>
                      <w:sz w:val="21"/>
                      <w:szCs w:val="21"/>
                      <w:lang w:eastAsia="zh-CN"/>
                    </w:rPr>
                  </w:pPr>
                  <w:r>
                    <w:rPr>
                      <w:rFonts w:hint="eastAsia"/>
                      <w:spacing w:val="7"/>
                      <w:sz w:val="21"/>
                      <w:szCs w:val="21"/>
                      <w:lang w:eastAsia="zh-CN"/>
                    </w:rPr>
                    <w:t>5</w:t>
                  </w:r>
                </w:p>
              </w:tc>
            </w:tr>
          </w:tbl>
          <w:p w14:paraId="72908E5A">
            <w:pPr>
              <w:ind w:firstLine="422"/>
              <w:jc w:val="center"/>
              <w:rPr>
                <w:rFonts w:cs="Times New Roman"/>
                <w:b/>
                <w:sz w:val="21"/>
                <w:szCs w:val="21"/>
              </w:rPr>
            </w:pPr>
            <w:r>
              <w:rPr>
                <w:rFonts w:hint="eastAsia" w:cs="Times New Roman"/>
                <w:b/>
                <w:sz w:val="21"/>
                <w:szCs w:val="21"/>
              </w:rPr>
              <w:t xml:space="preserve">表4-4  项目无组织排放基本信息一览表  </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90"/>
              <w:gridCol w:w="2516"/>
              <w:gridCol w:w="1998"/>
              <w:gridCol w:w="2679"/>
              <w:gridCol w:w="2682"/>
            </w:tblGrid>
            <w:tr w14:paraId="335B8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2190" w:type="dxa"/>
                  <w:vMerge w:val="restart"/>
                  <w:vAlign w:val="center"/>
                </w:tcPr>
                <w:p w14:paraId="218CA7F5">
                  <w:pPr>
                    <w:tabs>
                      <w:tab w:val="left" w:pos="1150"/>
                    </w:tabs>
                    <w:spacing w:line="240" w:lineRule="auto"/>
                    <w:ind w:firstLine="420"/>
                    <w:jc w:val="center"/>
                    <w:rPr>
                      <w:bCs/>
                      <w:sz w:val="21"/>
                      <w:szCs w:val="21"/>
                    </w:rPr>
                  </w:pPr>
                  <w:r>
                    <w:rPr>
                      <w:rFonts w:hint="eastAsia"/>
                      <w:bCs/>
                      <w:sz w:val="21"/>
                      <w:szCs w:val="21"/>
                    </w:rPr>
                    <w:t>位置</w:t>
                  </w:r>
                </w:p>
              </w:tc>
              <w:tc>
                <w:tcPr>
                  <w:tcW w:w="2516" w:type="dxa"/>
                  <w:vMerge w:val="restart"/>
                  <w:vAlign w:val="center"/>
                </w:tcPr>
                <w:p w14:paraId="2C142032">
                  <w:pPr>
                    <w:tabs>
                      <w:tab w:val="left" w:pos="1150"/>
                    </w:tabs>
                    <w:spacing w:line="240" w:lineRule="auto"/>
                    <w:ind w:firstLine="420"/>
                    <w:jc w:val="center"/>
                    <w:rPr>
                      <w:bCs/>
                      <w:sz w:val="21"/>
                      <w:szCs w:val="21"/>
                    </w:rPr>
                  </w:pPr>
                  <w:r>
                    <w:rPr>
                      <w:rFonts w:hint="eastAsia"/>
                      <w:bCs/>
                      <w:sz w:val="21"/>
                      <w:szCs w:val="21"/>
                    </w:rPr>
                    <w:t>污染物</w:t>
                  </w:r>
                </w:p>
              </w:tc>
              <w:tc>
                <w:tcPr>
                  <w:tcW w:w="1998" w:type="dxa"/>
                  <w:vMerge w:val="restart"/>
                  <w:vAlign w:val="center"/>
                </w:tcPr>
                <w:p w14:paraId="1B23EEDD">
                  <w:pPr>
                    <w:tabs>
                      <w:tab w:val="left" w:pos="1150"/>
                    </w:tabs>
                    <w:spacing w:line="240" w:lineRule="auto"/>
                    <w:ind w:firstLine="420"/>
                    <w:jc w:val="center"/>
                    <w:rPr>
                      <w:bCs/>
                      <w:sz w:val="21"/>
                      <w:szCs w:val="21"/>
                    </w:rPr>
                  </w:pPr>
                  <w:r>
                    <w:rPr>
                      <w:rFonts w:hint="eastAsia"/>
                      <w:bCs/>
                      <w:sz w:val="21"/>
                      <w:szCs w:val="21"/>
                    </w:rPr>
                    <w:t>排放时间</w:t>
                  </w:r>
                </w:p>
              </w:tc>
              <w:tc>
                <w:tcPr>
                  <w:tcW w:w="5361" w:type="dxa"/>
                  <w:gridSpan w:val="2"/>
                  <w:vAlign w:val="center"/>
                </w:tcPr>
                <w:p w14:paraId="4C8F5FD0">
                  <w:pPr>
                    <w:tabs>
                      <w:tab w:val="left" w:pos="1150"/>
                    </w:tabs>
                    <w:spacing w:line="240" w:lineRule="auto"/>
                    <w:ind w:firstLine="420"/>
                    <w:jc w:val="center"/>
                    <w:rPr>
                      <w:bCs/>
                      <w:sz w:val="21"/>
                      <w:szCs w:val="21"/>
                    </w:rPr>
                  </w:pPr>
                  <w:r>
                    <w:rPr>
                      <w:rFonts w:hint="eastAsia"/>
                      <w:bCs/>
                      <w:sz w:val="21"/>
                      <w:szCs w:val="21"/>
                    </w:rPr>
                    <w:t>无组织排放</w:t>
                  </w:r>
                </w:p>
              </w:tc>
            </w:tr>
            <w:tr w14:paraId="13FE1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90" w:type="dxa"/>
                  <w:vMerge w:val="continue"/>
                  <w:vAlign w:val="center"/>
                </w:tcPr>
                <w:p w14:paraId="5A16A2E2">
                  <w:pPr>
                    <w:tabs>
                      <w:tab w:val="left" w:pos="1150"/>
                    </w:tabs>
                    <w:spacing w:line="240" w:lineRule="auto"/>
                    <w:ind w:firstLine="420"/>
                    <w:jc w:val="center"/>
                    <w:rPr>
                      <w:bCs/>
                      <w:sz w:val="21"/>
                      <w:szCs w:val="21"/>
                    </w:rPr>
                  </w:pPr>
                </w:p>
              </w:tc>
              <w:tc>
                <w:tcPr>
                  <w:tcW w:w="2516" w:type="dxa"/>
                  <w:vMerge w:val="continue"/>
                  <w:vAlign w:val="center"/>
                </w:tcPr>
                <w:p w14:paraId="31738B7F">
                  <w:pPr>
                    <w:tabs>
                      <w:tab w:val="left" w:pos="1150"/>
                    </w:tabs>
                    <w:spacing w:line="240" w:lineRule="auto"/>
                    <w:ind w:firstLine="420"/>
                    <w:jc w:val="center"/>
                    <w:rPr>
                      <w:bCs/>
                      <w:sz w:val="21"/>
                      <w:szCs w:val="21"/>
                    </w:rPr>
                  </w:pPr>
                </w:p>
              </w:tc>
              <w:tc>
                <w:tcPr>
                  <w:tcW w:w="1998" w:type="dxa"/>
                  <w:vMerge w:val="continue"/>
                  <w:vAlign w:val="center"/>
                </w:tcPr>
                <w:p w14:paraId="38BB6758">
                  <w:pPr>
                    <w:tabs>
                      <w:tab w:val="left" w:pos="1150"/>
                    </w:tabs>
                    <w:spacing w:line="240" w:lineRule="auto"/>
                    <w:ind w:firstLine="420"/>
                    <w:jc w:val="center"/>
                    <w:rPr>
                      <w:bCs/>
                      <w:sz w:val="21"/>
                      <w:szCs w:val="21"/>
                    </w:rPr>
                  </w:pPr>
                </w:p>
              </w:tc>
              <w:tc>
                <w:tcPr>
                  <w:tcW w:w="2679" w:type="dxa"/>
                  <w:vAlign w:val="center"/>
                </w:tcPr>
                <w:p w14:paraId="08787D81">
                  <w:pPr>
                    <w:tabs>
                      <w:tab w:val="left" w:pos="1150"/>
                    </w:tabs>
                    <w:spacing w:line="240" w:lineRule="auto"/>
                    <w:ind w:firstLine="420"/>
                    <w:jc w:val="center"/>
                    <w:rPr>
                      <w:bCs/>
                      <w:sz w:val="21"/>
                      <w:szCs w:val="21"/>
                    </w:rPr>
                  </w:pPr>
                  <w:r>
                    <w:rPr>
                      <w:rFonts w:hint="eastAsia"/>
                      <w:bCs/>
                      <w:sz w:val="21"/>
                      <w:szCs w:val="21"/>
                    </w:rPr>
                    <w:t>排放量kg</w:t>
                  </w:r>
                  <w:r>
                    <w:rPr>
                      <w:bCs/>
                      <w:sz w:val="21"/>
                      <w:szCs w:val="21"/>
                    </w:rPr>
                    <w:t>/a</w:t>
                  </w:r>
                </w:p>
              </w:tc>
              <w:tc>
                <w:tcPr>
                  <w:tcW w:w="2682" w:type="dxa"/>
                  <w:vAlign w:val="center"/>
                </w:tcPr>
                <w:p w14:paraId="11736BDF">
                  <w:pPr>
                    <w:tabs>
                      <w:tab w:val="left" w:pos="1150"/>
                    </w:tabs>
                    <w:spacing w:line="240" w:lineRule="auto"/>
                    <w:ind w:firstLine="420"/>
                    <w:jc w:val="center"/>
                    <w:rPr>
                      <w:bCs/>
                      <w:sz w:val="21"/>
                      <w:szCs w:val="21"/>
                    </w:rPr>
                  </w:pPr>
                  <w:r>
                    <w:rPr>
                      <w:rFonts w:hint="eastAsia"/>
                      <w:bCs/>
                      <w:sz w:val="21"/>
                      <w:szCs w:val="21"/>
                    </w:rPr>
                    <w:t>排放速率g</w:t>
                  </w:r>
                  <w:r>
                    <w:rPr>
                      <w:bCs/>
                      <w:sz w:val="21"/>
                      <w:szCs w:val="21"/>
                    </w:rPr>
                    <w:t>/h</w:t>
                  </w:r>
                </w:p>
              </w:tc>
            </w:tr>
            <w:tr w14:paraId="77F9B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90" w:type="dxa"/>
                  <w:vMerge w:val="restart"/>
                  <w:vAlign w:val="center"/>
                </w:tcPr>
                <w:p w14:paraId="14FA932B">
                  <w:pPr>
                    <w:tabs>
                      <w:tab w:val="left" w:pos="1150"/>
                    </w:tabs>
                    <w:spacing w:line="240" w:lineRule="auto"/>
                    <w:ind w:firstLine="420"/>
                    <w:jc w:val="center"/>
                    <w:rPr>
                      <w:bCs/>
                      <w:sz w:val="21"/>
                      <w:szCs w:val="21"/>
                    </w:rPr>
                  </w:pPr>
                  <w:r>
                    <w:rPr>
                      <w:rFonts w:hint="eastAsia"/>
                      <w:bCs/>
                      <w:sz w:val="21"/>
                      <w:szCs w:val="21"/>
                    </w:rPr>
                    <w:t>二车间</w:t>
                  </w:r>
                </w:p>
              </w:tc>
              <w:tc>
                <w:tcPr>
                  <w:tcW w:w="2516" w:type="dxa"/>
                  <w:vAlign w:val="center"/>
                </w:tcPr>
                <w:p w14:paraId="6BEC8B7F">
                  <w:pPr>
                    <w:tabs>
                      <w:tab w:val="left" w:pos="1150"/>
                    </w:tabs>
                    <w:spacing w:line="240" w:lineRule="auto"/>
                    <w:ind w:firstLine="420"/>
                    <w:jc w:val="center"/>
                    <w:rPr>
                      <w:bCs/>
                      <w:sz w:val="21"/>
                      <w:szCs w:val="21"/>
                    </w:rPr>
                  </w:pPr>
                  <w:r>
                    <w:rPr>
                      <w:bCs/>
                      <w:sz w:val="21"/>
                      <w:szCs w:val="21"/>
                    </w:rPr>
                    <w:t>VOCs</w:t>
                  </w:r>
                </w:p>
              </w:tc>
              <w:tc>
                <w:tcPr>
                  <w:tcW w:w="1998" w:type="dxa"/>
                  <w:vMerge w:val="restart"/>
                  <w:vAlign w:val="center"/>
                </w:tcPr>
                <w:p w14:paraId="6CB06DC9">
                  <w:pPr>
                    <w:tabs>
                      <w:tab w:val="left" w:pos="1150"/>
                    </w:tabs>
                    <w:spacing w:line="240" w:lineRule="auto"/>
                    <w:ind w:firstLine="420"/>
                    <w:jc w:val="center"/>
                    <w:rPr>
                      <w:bCs/>
                      <w:sz w:val="21"/>
                      <w:szCs w:val="21"/>
                    </w:rPr>
                  </w:pPr>
                  <w:r>
                    <w:rPr>
                      <w:rFonts w:hint="eastAsia"/>
                      <w:bCs/>
                      <w:sz w:val="21"/>
                      <w:szCs w:val="21"/>
                    </w:rPr>
                    <w:t>2400</w:t>
                  </w:r>
                </w:p>
              </w:tc>
              <w:tc>
                <w:tcPr>
                  <w:tcW w:w="2679" w:type="dxa"/>
                  <w:vAlign w:val="bottom"/>
                </w:tcPr>
                <w:p w14:paraId="4770B287">
                  <w:pPr>
                    <w:tabs>
                      <w:tab w:val="left" w:pos="1150"/>
                    </w:tabs>
                    <w:spacing w:line="240" w:lineRule="auto"/>
                    <w:ind w:firstLine="420"/>
                    <w:jc w:val="center"/>
                    <w:rPr>
                      <w:bCs/>
                      <w:sz w:val="21"/>
                      <w:szCs w:val="21"/>
                    </w:rPr>
                  </w:pPr>
                  <w:r>
                    <w:rPr>
                      <w:rFonts w:hint="eastAsia"/>
                      <w:bCs/>
                      <w:sz w:val="21"/>
                      <w:szCs w:val="21"/>
                    </w:rPr>
                    <w:t>10</w:t>
                  </w:r>
                </w:p>
              </w:tc>
              <w:tc>
                <w:tcPr>
                  <w:tcW w:w="2682" w:type="dxa"/>
                  <w:vAlign w:val="bottom"/>
                </w:tcPr>
                <w:p w14:paraId="497DBE48">
                  <w:pPr>
                    <w:tabs>
                      <w:tab w:val="left" w:pos="1150"/>
                    </w:tabs>
                    <w:spacing w:line="240" w:lineRule="auto"/>
                    <w:ind w:firstLine="420"/>
                    <w:jc w:val="center"/>
                    <w:rPr>
                      <w:bCs/>
                      <w:sz w:val="21"/>
                      <w:szCs w:val="21"/>
                    </w:rPr>
                  </w:pPr>
                  <w:r>
                    <w:rPr>
                      <w:rFonts w:hint="eastAsia"/>
                      <w:bCs/>
                      <w:sz w:val="21"/>
                      <w:szCs w:val="21"/>
                    </w:rPr>
                    <w:t>4.17</w:t>
                  </w:r>
                </w:p>
              </w:tc>
            </w:tr>
            <w:tr w14:paraId="1082F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90" w:type="dxa"/>
                  <w:vMerge w:val="continue"/>
                  <w:vAlign w:val="center"/>
                </w:tcPr>
                <w:p w14:paraId="327B0D06">
                  <w:pPr>
                    <w:tabs>
                      <w:tab w:val="left" w:pos="1150"/>
                    </w:tabs>
                    <w:spacing w:line="240" w:lineRule="auto"/>
                    <w:ind w:firstLine="420"/>
                    <w:jc w:val="center"/>
                    <w:rPr>
                      <w:bCs/>
                      <w:sz w:val="21"/>
                      <w:szCs w:val="21"/>
                    </w:rPr>
                  </w:pPr>
                </w:p>
              </w:tc>
              <w:tc>
                <w:tcPr>
                  <w:tcW w:w="2516" w:type="dxa"/>
                  <w:vAlign w:val="center"/>
                </w:tcPr>
                <w:p w14:paraId="35AF72F3">
                  <w:pPr>
                    <w:tabs>
                      <w:tab w:val="left" w:pos="1150"/>
                    </w:tabs>
                    <w:spacing w:line="240" w:lineRule="auto"/>
                    <w:ind w:firstLine="420"/>
                    <w:jc w:val="center"/>
                    <w:rPr>
                      <w:bCs/>
                      <w:sz w:val="21"/>
                      <w:szCs w:val="21"/>
                    </w:rPr>
                  </w:pPr>
                  <w:r>
                    <w:rPr>
                      <w:rFonts w:hint="eastAsia" w:cs="Times New Roman"/>
                      <w:bCs/>
                      <w:sz w:val="21"/>
                      <w:szCs w:val="21"/>
                    </w:rPr>
                    <w:t>甲醛</w:t>
                  </w:r>
                </w:p>
              </w:tc>
              <w:tc>
                <w:tcPr>
                  <w:tcW w:w="1998" w:type="dxa"/>
                  <w:vMerge w:val="continue"/>
                  <w:vAlign w:val="center"/>
                </w:tcPr>
                <w:p w14:paraId="26D9B0F7">
                  <w:pPr>
                    <w:tabs>
                      <w:tab w:val="left" w:pos="1150"/>
                    </w:tabs>
                    <w:spacing w:line="240" w:lineRule="auto"/>
                    <w:ind w:firstLine="420"/>
                    <w:jc w:val="center"/>
                    <w:rPr>
                      <w:bCs/>
                      <w:sz w:val="21"/>
                      <w:szCs w:val="21"/>
                    </w:rPr>
                  </w:pPr>
                </w:p>
              </w:tc>
              <w:tc>
                <w:tcPr>
                  <w:tcW w:w="2679" w:type="dxa"/>
                  <w:vAlign w:val="bottom"/>
                </w:tcPr>
                <w:p w14:paraId="0866C1A9">
                  <w:pPr>
                    <w:tabs>
                      <w:tab w:val="left" w:pos="1150"/>
                    </w:tabs>
                    <w:spacing w:line="240" w:lineRule="auto"/>
                    <w:ind w:firstLine="420"/>
                    <w:jc w:val="center"/>
                    <w:rPr>
                      <w:bCs/>
                      <w:sz w:val="21"/>
                      <w:szCs w:val="21"/>
                    </w:rPr>
                  </w:pPr>
                  <w:r>
                    <w:rPr>
                      <w:rFonts w:hint="eastAsia"/>
                      <w:bCs/>
                      <w:sz w:val="21"/>
                      <w:szCs w:val="21"/>
                    </w:rPr>
                    <w:t>0.0396</w:t>
                  </w:r>
                </w:p>
              </w:tc>
              <w:tc>
                <w:tcPr>
                  <w:tcW w:w="2682" w:type="dxa"/>
                  <w:vAlign w:val="bottom"/>
                </w:tcPr>
                <w:p w14:paraId="69202046">
                  <w:pPr>
                    <w:tabs>
                      <w:tab w:val="left" w:pos="1150"/>
                    </w:tabs>
                    <w:spacing w:line="240" w:lineRule="auto"/>
                    <w:ind w:firstLine="420"/>
                    <w:jc w:val="center"/>
                    <w:rPr>
                      <w:bCs/>
                      <w:sz w:val="21"/>
                      <w:szCs w:val="21"/>
                    </w:rPr>
                  </w:pPr>
                  <w:r>
                    <w:rPr>
                      <w:rFonts w:hint="eastAsia"/>
                      <w:bCs/>
                      <w:sz w:val="21"/>
                      <w:szCs w:val="21"/>
                    </w:rPr>
                    <w:t>0.0165</w:t>
                  </w:r>
                </w:p>
              </w:tc>
            </w:tr>
          </w:tbl>
          <w:p w14:paraId="685214EF">
            <w:pPr>
              <w:ind w:firstLine="422"/>
              <w:jc w:val="center"/>
              <w:rPr>
                <w:b/>
                <w:sz w:val="21"/>
                <w:szCs w:val="21"/>
              </w:rPr>
            </w:pPr>
            <w:r>
              <w:rPr>
                <w:rFonts w:hint="eastAsia" w:cs="Times New Roman"/>
                <w:b/>
                <w:sz w:val="21"/>
                <w:szCs w:val="21"/>
              </w:rPr>
              <w:t>表4-5  项目废气排放口基本信息一览表</w:t>
            </w:r>
          </w:p>
          <w:tbl>
            <w:tblPr>
              <w:tblStyle w:val="34"/>
              <w:tblW w:w="126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75"/>
              <w:gridCol w:w="1575"/>
              <w:gridCol w:w="1575"/>
              <w:gridCol w:w="1576"/>
              <w:gridCol w:w="1576"/>
              <w:gridCol w:w="1576"/>
              <w:gridCol w:w="1576"/>
              <w:gridCol w:w="1576"/>
            </w:tblGrid>
            <w:tr w14:paraId="24C5D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5" w:type="dxa"/>
                  <w:vMerge w:val="restart"/>
                </w:tcPr>
                <w:p w14:paraId="2FFA0837">
                  <w:pPr>
                    <w:pStyle w:val="86"/>
                    <w:rPr>
                      <w:rFonts w:hint="eastAsia"/>
                      <w:spacing w:val="7"/>
                      <w:sz w:val="21"/>
                      <w:szCs w:val="21"/>
                      <w:lang w:eastAsia="zh-CN"/>
                    </w:rPr>
                  </w:pPr>
                  <w:r>
                    <w:rPr>
                      <w:rFonts w:hint="eastAsia"/>
                      <w:spacing w:val="7"/>
                      <w:sz w:val="21"/>
                      <w:szCs w:val="21"/>
                      <w:lang w:eastAsia="zh-CN"/>
                    </w:rPr>
                    <w:t>排口名称</w:t>
                  </w:r>
                </w:p>
              </w:tc>
              <w:tc>
                <w:tcPr>
                  <w:tcW w:w="1575" w:type="dxa"/>
                  <w:vMerge w:val="restart"/>
                </w:tcPr>
                <w:p w14:paraId="2619F555">
                  <w:pPr>
                    <w:pStyle w:val="86"/>
                    <w:rPr>
                      <w:rFonts w:hint="eastAsia"/>
                      <w:spacing w:val="7"/>
                      <w:sz w:val="21"/>
                      <w:szCs w:val="21"/>
                      <w:lang w:eastAsia="zh-CN"/>
                    </w:rPr>
                  </w:pPr>
                  <w:r>
                    <w:rPr>
                      <w:rFonts w:hint="eastAsia"/>
                      <w:spacing w:val="7"/>
                      <w:sz w:val="21"/>
                      <w:szCs w:val="21"/>
                      <w:lang w:eastAsia="zh-CN"/>
                    </w:rPr>
                    <w:t>污染物</w:t>
                  </w:r>
                </w:p>
              </w:tc>
              <w:tc>
                <w:tcPr>
                  <w:tcW w:w="3151" w:type="dxa"/>
                  <w:gridSpan w:val="2"/>
                </w:tcPr>
                <w:p w14:paraId="4CE57F11">
                  <w:pPr>
                    <w:pStyle w:val="86"/>
                    <w:rPr>
                      <w:rFonts w:hint="eastAsia"/>
                      <w:spacing w:val="7"/>
                      <w:sz w:val="21"/>
                      <w:szCs w:val="21"/>
                      <w:lang w:eastAsia="zh-CN"/>
                    </w:rPr>
                  </w:pPr>
                  <w:r>
                    <w:rPr>
                      <w:rFonts w:hint="eastAsia"/>
                      <w:spacing w:val="7"/>
                      <w:sz w:val="21"/>
                      <w:szCs w:val="21"/>
                      <w:lang w:eastAsia="zh-CN"/>
                    </w:rPr>
                    <w:t>排放口地理指标</w:t>
                  </w:r>
                </w:p>
              </w:tc>
              <w:tc>
                <w:tcPr>
                  <w:tcW w:w="4728" w:type="dxa"/>
                  <w:gridSpan w:val="3"/>
                </w:tcPr>
                <w:p w14:paraId="1B488A11">
                  <w:pPr>
                    <w:pStyle w:val="86"/>
                    <w:rPr>
                      <w:rFonts w:hint="eastAsia"/>
                      <w:spacing w:val="7"/>
                      <w:sz w:val="21"/>
                      <w:szCs w:val="21"/>
                      <w:lang w:eastAsia="zh-CN"/>
                    </w:rPr>
                  </w:pPr>
                  <w:r>
                    <w:rPr>
                      <w:rFonts w:hint="eastAsia"/>
                      <w:spacing w:val="7"/>
                      <w:sz w:val="21"/>
                      <w:szCs w:val="21"/>
                      <w:lang w:eastAsia="zh-CN"/>
                    </w:rPr>
                    <w:t>排放情况</w:t>
                  </w:r>
                </w:p>
              </w:tc>
              <w:tc>
                <w:tcPr>
                  <w:tcW w:w="1576" w:type="dxa"/>
                  <w:vMerge w:val="restart"/>
                </w:tcPr>
                <w:p w14:paraId="48E56E50">
                  <w:pPr>
                    <w:pStyle w:val="86"/>
                    <w:rPr>
                      <w:rFonts w:hint="eastAsia"/>
                      <w:spacing w:val="7"/>
                      <w:sz w:val="21"/>
                      <w:szCs w:val="21"/>
                      <w:lang w:eastAsia="zh-CN"/>
                    </w:rPr>
                  </w:pPr>
                  <w:r>
                    <w:rPr>
                      <w:rFonts w:hint="eastAsia"/>
                      <w:spacing w:val="7"/>
                      <w:sz w:val="21"/>
                      <w:szCs w:val="21"/>
                      <w:lang w:eastAsia="zh-CN"/>
                    </w:rPr>
                    <w:t>排放口类型</w:t>
                  </w:r>
                </w:p>
              </w:tc>
            </w:tr>
            <w:tr w14:paraId="42187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5" w:type="dxa"/>
                  <w:vMerge w:val="continue"/>
                </w:tcPr>
                <w:p w14:paraId="561B6B84">
                  <w:pPr>
                    <w:pStyle w:val="86"/>
                    <w:rPr>
                      <w:rFonts w:hint="eastAsia"/>
                      <w:spacing w:val="7"/>
                      <w:sz w:val="21"/>
                      <w:szCs w:val="21"/>
                      <w:lang w:eastAsia="zh-CN"/>
                    </w:rPr>
                  </w:pPr>
                </w:p>
              </w:tc>
              <w:tc>
                <w:tcPr>
                  <w:tcW w:w="1575" w:type="dxa"/>
                  <w:vMerge w:val="continue"/>
                </w:tcPr>
                <w:p w14:paraId="74F88E20">
                  <w:pPr>
                    <w:pStyle w:val="86"/>
                    <w:rPr>
                      <w:rFonts w:hint="eastAsia"/>
                      <w:spacing w:val="7"/>
                      <w:sz w:val="21"/>
                      <w:szCs w:val="21"/>
                      <w:lang w:eastAsia="zh-CN"/>
                    </w:rPr>
                  </w:pPr>
                </w:p>
              </w:tc>
              <w:tc>
                <w:tcPr>
                  <w:tcW w:w="1575" w:type="dxa"/>
                </w:tcPr>
                <w:p w14:paraId="7E716665">
                  <w:pPr>
                    <w:pStyle w:val="86"/>
                    <w:rPr>
                      <w:rFonts w:hint="eastAsia"/>
                      <w:spacing w:val="7"/>
                      <w:sz w:val="21"/>
                      <w:szCs w:val="21"/>
                      <w:lang w:eastAsia="zh-CN"/>
                    </w:rPr>
                  </w:pPr>
                  <w:r>
                    <w:rPr>
                      <w:rFonts w:hint="eastAsia"/>
                      <w:spacing w:val="7"/>
                      <w:sz w:val="21"/>
                      <w:szCs w:val="21"/>
                      <w:lang w:eastAsia="zh-CN"/>
                    </w:rPr>
                    <w:t>经度</w:t>
                  </w:r>
                </w:p>
              </w:tc>
              <w:tc>
                <w:tcPr>
                  <w:tcW w:w="1576" w:type="dxa"/>
                </w:tcPr>
                <w:p w14:paraId="5F722BCC">
                  <w:pPr>
                    <w:pStyle w:val="86"/>
                    <w:rPr>
                      <w:rFonts w:hint="eastAsia"/>
                      <w:spacing w:val="7"/>
                      <w:sz w:val="21"/>
                      <w:szCs w:val="21"/>
                      <w:lang w:eastAsia="zh-CN"/>
                    </w:rPr>
                  </w:pPr>
                  <w:r>
                    <w:rPr>
                      <w:rFonts w:hint="eastAsia"/>
                      <w:spacing w:val="7"/>
                      <w:sz w:val="21"/>
                      <w:szCs w:val="21"/>
                      <w:lang w:eastAsia="zh-CN"/>
                    </w:rPr>
                    <w:t>纬度</w:t>
                  </w:r>
                </w:p>
              </w:tc>
              <w:tc>
                <w:tcPr>
                  <w:tcW w:w="1576" w:type="dxa"/>
                </w:tcPr>
                <w:p w14:paraId="3A071BBC">
                  <w:pPr>
                    <w:pStyle w:val="86"/>
                    <w:rPr>
                      <w:rFonts w:hint="eastAsia"/>
                      <w:spacing w:val="7"/>
                      <w:sz w:val="21"/>
                      <w:szCs w:val="21"/>
                      <w:lang w:eastAsia="zh-CN"/>
                    </w:rPr>
                  </w:pPr>
                  <w:r>
                    <w:rPr>
                      <w:rFonts w:hint="eastAsia"/>
                      <w:spacing w:val="7"/>
                      <w:sz w:val="21"/>
                      <w:szCs w:val="21"/>
                      <w:lang w:eastAsia="zh-CN"/>
                    </w:rPr>
                    <w:t>高度m</w:t>
                  </w:r>
                </w:p>
              </w:tc>
              <w:tc>
                <w:tcPr>
                  <w:tcW w:w="1576" w:type="dxa"/>
                </w:tcPr>
                <w:p w14:paraId="3DBFC0FB">
                  <w:pPr>
                    <w:pStyle w:val="86"/>
                    <w:rPr>
                      <w:rFonts w:hint="eastAsia"/>
                      <w:spacing w:val="7"/>
                      <w:sz w:val="21"/>
                      <w:szCs w:val="21"/>
                      <w:lang w:eastAsia="zh-CN"/>
                    </w:rPr>
                  </w:pPr>
                  <w:r>
                    <w:rPr>
                      <w:rFonts w:hint="eastAsia"/>
                      <w:spacing w:val="7"/>
                      <w:sz w:val="21"/>
                      <w:szCs w:val="21"/>
                      <w:lang w:eastAsia="zh-CN"/>
                    </w:rPr>
                    <w:t>温度℃</w:t>
                  </w:r>
                </w:p>
              </w:tc>
              <w:tc>
                <w:tcPr>
                  <w:tcW w:w="1576" w:type="dxa"/>
                </w:tcPr>
                <w:p w14:paraId="005B342E">
                  <w:pPr>
                    <w:pStyle w:val="86"/>
                    <w:rPr>
                      <w:rFonts w:hint="eastAsia"/>
                      <w:spacing w:val="7"/>
                      <w:sz w:val="21"/>
                      <w:szCs w:val="21"/>
                      <w:lang w:eastAsia="zh-CN"/>
                    </w:rPr>
                  </w:pPr>
                  <w:r>
                    <w:rPr>
                      <w:rFonts w:hint="eastAsia"/>
                      <w:spacing w:val="7"/>
                      <w:sz w:val="21"/>
                      <w:szCs w:val="21"/>
                      <w:lang w:eastAsia="zh-CN"/>
                    </w:rPr>
                    <w:t>内径m</w:t>
                  </w:r>
                </w:p>
              </w:tc>
              <w:tc>
                <w:tcPr>
                  <w:tcW w:w="1576" w:type="dxa"/>
                  <w:vMerge w:val="continue"/>
                </w:tcPr>
                <w:p w14:paraId="45ED77C4">
                  <w:pPr>
                    <w:pStyle w:val="86"/>
                    <w:rPr>
                      <w:rFonts w:hint="eastAsia"/>
                      <w:spacing w:val="7"/>
                      <w:sz w:val="21"/>
                      <w:szCs w:val="21"/>
                      <w:lang w:eastAsia="zh-CN"/>
                    </w:rPr>
                  </w:pPr>
                </w:p>
              </w:tc>
            </w:tr>
            <w:tr w14:paraId="4143A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5" w:type="dxa"/>
                </w:tcPr>
                <w:p w14:paraId="3F902566">
                  <w:pPr>
                    <w:pStyle w:val="86"/>
                    <w:rPr>
                      <w:rFonts w:hint="eastAsia"/>
                      <w:spacing w:val="7"/>
                      <w:sz w:val="21"/>
                      <w:szCs w:val="21"/>
                      <w:lang w:eastAsia="zh-CN"/>
                    </w:rPr>
                  </w:pPr>
                  <w:r>
                    <w:rPr>
                      <w:rFonts w:hint="eastAsia"/>
                      <w:bCs/>
                      <w:sz w:val="21"/>
                      <w:szCs w:val="21"/>
                      <w:lang w:eastAsia="zh-CN"/>
                    </w:rPr>
                    <w:t>模温机</w:t>
                  </w:r>
                  <w:r>
                    <w:rPr>
                      <w:rFonts w:hint="eastAsia"/>
                      <w:spacing w:val="7"/>
                      <w:sz w:val="21"/>
                      <w:szCs w:val="21"/>
                      <w:lang w:eastAsia="zh-CN"/>
                    </w:rPr>
                    <w:t>废气排放口</w:t>
                  </w:r>
                  <w:r>
                    <w:rPr>
                      <w:rFonts w:hint="eastAsia" w:cs="Times New Roman"/>
                      <w:sz w:val="21"/>
                      <w:szCs w:val="21"/>
                      <w:lang w:eastAsia="zh-CN"/>
                    </w:rPr>
                    <w:t>DA003</w:t>
                  </w:r>
                </w:p>
              </w:tc>
              <w:tc>
                <w:tcPr>
                  <w:tcW w:w="1575" w:type="dxa"/>
                </w:tcPr>
                <w:p w14:paraId="17F793BF">
                  <w:pPr>
                    <w:pStyle w:val="86"/>
                    <w:rPr>
                      <w:rFonts w:hint="eastAsia"/>
                      <w:spacing w:val="7"/>
                      <w:sz w:val="21"/>
                      <w:szCs w:val="21"/>
                      <w:lang w:eastAsia="zh-CN"/>
                    </w:rPr>
                  </w:pPr>
                  <w:r>
                    <w:rPr>
                      <w:rFonts w:hint="eastAsia"/>
                      <w:spacing w:val="7"/>
                      <w:sz w:val="21"/>
                      <w:szCs w:val="21"/>
                      <w:lang w:eastAsia="zh-CN"/>
                    </w:rPr>
                    <w:t>颗粒物、SO</w:t>
                  </w:r>
                  <w:r>
                    <w:rPr>
                      <w:rFonts w:hint="eastAsia"/>
                      <w:spacing w:val="7"/>
                      <w:sz w:val="21"/>
                      <w:szCs w:val="21"/>
                      <w:vertAlign w:val="subscript"/>
                      <w:lang w:eastAsia="zh-CN"/>
                    </w:rPr>
                    <w:t>2</w:t>
                  </w:r>
                  <w:r>
                    <w:rPr>
                      <w:rFonts w:hint="eastAsia"/>
                      <w:spacing w:val="7"/>
                      <w:sz w:val="21"/>
                      <w:szCs w:val="21"/>
                      <w:lang w:eastAsia="zh-CN"/>
                    </w:rPr>
                    <w:t>、NOx</w:t>
                  </w:r>
                </w:p>
              </w:tc>
              <w:tc>
                <w:tcPr>
                  <w:tcW w:w="1575" w:type="dxa"/>
                </w:tcPr>
                <w:p w14:paraId="0FEBCA20">
                  <w:pPr>
                    <w:pStyle w:val="86"/>
                    <w:rPr>
                      <w:rFonts w:hint="eastAsia"/>
                      <w:spacing w:val="7"/>
                      <w:sz w:val="21"/>
                      <w:szCs w:val="21"/>
                      <w:lang w:eastAsia="zh-CN"/>
                    </w:rPr>
                  </w:pPr>
                  <w:r>
                    <w:rPr>
                      <w:rFonts w:hint="eastAsia"/>
                      <w:spacing w:val="7"/>
                      <w:sz w:val="21"/>
                      <w:szCs w:val="21"/>
                      <w:lang w:eastAsia="zh-CN"/>
                    </w:rPr>
                    <w:t>106.884269</w:t>
                  </w:r>
                </w:p>
              </w:tc>
              <w:tc>
                <w:tcPr>
                  <w:tcW w:w="1576" w:type="dxa"/>
                </w:tcPr>
                <w:p w14:paraId="63B5E8E4">
                  <w:pPr>
                    <w:pStyle w:val="86"/>
                    <w:rPr>
                      <w:rFonts w:hint="eastAsia"/>
                      <w:spacing w:val="7"/>
                      <w:sz w:val="21"/>
                      <w:szCs w:val="21"/>
                      <w:lang w:eastAsia="zh-CN"/>
                    </w:rPr>
                  </w:pPr>
                  <w:r>
                    <w:rPr>
                      <w:rFonts w:hint="eastAsia"/>
                      <w:spacing w:val="7"/>
                      <w:sz w:val="21"/>
                      <w:szCs w:val="21"/>
                      <w:lang w:eastAsia="zh-CN"/>
                    </w:rPr>
                    <w:t>31.860798</w:t>
                  </w:r>
                </w:p>
              </w:tc>
              <w:tc>
                <w:tcPr>
                  <w:tcW w:w="1576" w:type="dxa"/>
                </w:tcPr>
                <w:p w14:paraId="54B466AB">
                  <w:pPr>
                    <w:pStyle w:val="86"/>
                    <w:rPr>
                      <w:rFonts w:hint="eastAsia"/>
                      <w:spacing w:val="7"/>
                      <w:sz w:val="21"/>
                      <w:szCs w:val="21"/>
                      <w:lang w:eastAsia="zh-CN"/>
                    </w:rPr>
                  </w:pPr>
                  <w:r>
                    <w:rPr>
                      <w:rFonts w:hint="eastAsia"/>
                      <w:spacing w:val="7"/>
                      <w:sz w:val="21"/>
                      <w:szCs w:val="21"/>
                      <w:lang w:eastAsia="zh-CN"/>
                    </w:rPr>
                    <w:t>12m</w:t>
                  </w:r>
                </w:p>
              </w:tc>
              <w:tc>
                <w:tcPr>
                  <w:tcW w:w="1576" w:type="dxa"/>
                </w:tcPr>
                <w:p w14:paraId="27D380EB">
                  <w:pPr>
                    <w:pStyle w:val="86"/>
                    <w:rPr>
                      <w:rFonts w:hint="eastAsia"/>
                      <w:spacing w:val="7"/>
                      <w:sz w:val="21"/>
                      <w:szCs w:val="21"/>
                      <w:lang w:eastAsia="zh-CN"/>
                    </w:rPr>
                  </w:pPr>
                  <w:r>
                    <w:rPr>
                      <w:rFonts w:hint="eastAsia"/>
                      <w:spacing w:val="7"/>
                      <w:sz w:val="21"/>
                      <w:szCs w:val="21"/>
                      <w:lang w:eastAsia="zh-CN"/>
                    </w:rPr>
                    <w:t>50</w:t>
                  </w:r>
                </w:p>
              </w:tc>
              <w:tc>
                <w:tcPr>
                  <w:tcW w:w="1576" w:type="dxa"/>
                </w:tcPr>
                <w:p w14:paraId="78058631">
                  <w:pPr>
                    <w:pStyle w:val="86"/>
                    <w:rPr>
                      <w:rFonts w:hint="eastAsia"/>
                      <w:spacing w:val="7"/>
                      <w:sz w:val="21"/>
                      <w:szCs w:val="21"/>
                      <w:lang w:eastAsia="zh-CN"/>
                    </w:rPr>
                  </w:pPr>
                  <w:r>
                    <w:rPr>
                      <w:rFonts w:hint="eastAsia"/>
                      <w:spacing w:val="7"/>
                      <w:sz w:val="21"/>
                      <w:szCs w:val="21"/>
                      <w:lang w:eastAsia="zh-CN"/>
                    </w:rPr>
                    <w:t>0.3</w:t>
                  </w:r>
                </w:p>
              </w:tc>
              <w:tc>
                <w:tcPr>
                  <w:tcW w:w="1576" w:type="dxa"/>
                </w:tcPr>
                <w:p w14:paraId="06FA094E">
                  <w:pPr>
                    <w:pStyle w:val="86"/>
                    <w:rPr>
                      <w:rFonts w:hint="eastAsia"/>
                      <w:spacing w:val="7"/>
                      <w:sz w:val="21"/>
                      <w:szCs w:val="21"/>
                      <w:lang w:eastAsia="zh-CN"/>
                    </w:rPr>
                  </w:pPr>
                  <w:r>
                    <w:rPr>
                      <w:rFonts w:hint="eastAsia"/>
                      <w:bCs/>
                      <w:sz w:val="21"/>
                      <w:szCs w:val="21"/>
                      <w:lang w:eastAsia="zh-CN"/>
                    </w:rPr>
                    <w:t>一般</w:t>
                  </w:r>
                  <w:r>
                    <w:rPr>
                      <w:rFonts w:hint="eastAsia"/>
                      <w:spacing w:val="7"/>
                      <w:sz w:val="21"/>
                      <w:szCs w:val="21"/>
                      <w:lang w:eastAsia="zh-CN"/>
                    </w:rPr>
                    <w:t>排放口</w:t>
                  </w:r>
                </w:p>
              </w:tc>
            </w:tr>
            <w:tr w14:paraId="3529C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5" w:type="dxa"/>
                </w:tcPr>
                <w:p w14:paraId="5A6E13B8">
                  <w:pPr>
                    <w:pStyle w:val="86"/>
                    <w:rPr>
                      <w:rFonts w:hint="eastAsia"/>
                      <w:spacing w:val="7"/>
                      <w:sz w:val="21"/>
                      <w:szCs w:val="21"/>
                      <w:lang w:eastAsia="zh-CN"/>
                    </w:rPr>
                  </w:pPr>
                  <w:r>
                    <w:rPr>
                      <w:rFonts w:hint="eastAsia" w:cs="Times New Roman"/>
                      <w:sz w:val="21"/>
                      <w:szCs w:val="21"/>
                      <w:lang w:eastAsia="zh-CN"/>
                    </w:rPr>
                    <w:t>活性炭排放口DA002</w:t>
                  </w:r>
                </w:p>
              </w:tc>
              <w:tc>
                <w:tcPr>
                  <w:tcW w:w="1575" w:type="dxa"/>
                </w:tcPr>
                <w:p w14:paraId="4BF7546F">
                  <w:pPr>
                    <w:pStyle w:val="86"/>
                    <w:rPr>
                      <w:rFonts w:hint="eastAsia"/>
                      <w:spacing w:val="7"/>
                      <w:sz w:val="21"/>
                      <w:szCs w:val="21"/>
                      <w:lang w:eastAsia="zh-CN"/>
                    </w:rPr>
                  </w:pPr>
                  <w:r>
                    <w:rPr>
                      <w:rFonts w:hint="eastAsia" w:ascii="Times New Roman" w:hAnsi="Times New Roman" w:cs="Times New Roman"/>
                      <w:bCs/>
                      <w:sz w:val="21"/>
                      <w:szCs w:val="21"/>
                      <w:lang w:eastAsia="zh-CN"/>
                    </w:rPr>
                    <w:t>甲醛、</w:t>
                  </w:r>
                  <w:r>
                    <w:rPr>
                      <w:bCs/>
                      <w:sz w:val="21"/>
                      <w:szCs w:val="21"/>
                      <w:lang w:eastAsia="zh-CN"/>
                    </w:rPr>
                    <w:t>VOCs</w:t>
                  </w:r>
                </w:p>
              </w:tc>
              <w:tc>
                <w:tcPr>
                  <w:tcW w:w="1575" w:type="dxa"/>
                </w:tcPr>
                <w:p w14:paraId="6A6EF0F3">
                  <w:pPr>
                    <w:pStyle w:val="86"/>
                    <w:rPr>
                      <w:rFonts w:hint="eastAsia"/>
                      <w:spacing w:val="7"/>
                      <w:sz w:val="21"/>
                      <w:szCs w:val="21"/>
                      <w:lang w:eastAsia="zh-CN"/>
                    </w:rPr>
                  </w:pPr>
                  <w:r>
                    <w:rPr>
                      <w:rFonts w:hint="eastAsia"/>
                      <w:spacing w:val="7"/>
                      <w:sz w:val="21"/>
                      <w:szCs w:val="21"/>
                      <w:lang w:eastAsia="zh-CN"/>
                    </w:rPr>
                    <w:t>106.884215</w:t>
                  </w:r>
                </w:p>
              </w:tc>
              <w:tc>
                <w:tcPr>
                  <w:tcW w:w="1576" w:type="dxa"/>
                </w:tcPr>
                <w:p w14:paraId="3D1E972F">
                  <w:pPr>
                    <w:pStyle w:val="86"/>
                    <w:rPr>
                      <w:rFonts w:hint="eastAsia"/>
                      <w:spacing w:val="7"/>
                      <w:sz w:val="21"/>
                      <w:szCs w:val="21"/>
                      <w:lang w:eastAsia="zh-CN"/>
                    </w:rPr>
                  </w:pPr>
                  <w:r>
                    <w:rPr>
                      <w:rFonts w:hint="eastAsia"/>
                      <w:spacing w:val="7"/>
                      <w:sz w:val="21"/>
                      <w:szCs w:val="21"/>
                      <w:lang w:eastAsia="zh-CN"/>
                    </w:rPr>
                    <w:t>31.861195</w:t>
                  </w:r>
                </w:p>
              </w:tc>
              <w:tc>
                <w:tcPr>
                  <w:tcW w:w="1576" w:type="dxa"/>
                </w:tcPr>
                <w:p w14:paraId="599AB80B">
                  <w:pPr>
                    <w:pStyle w:val="86"/>
                    <w:rPr>
                      <w:rFonts w:hint="eastAsia"/>
                      <w:spacing w:val="7"/>
                      <w:sz w:val="21"/>
                      <w:szCs w:val="21"/>
                      <w:lang w:eastAsia="zh-CN"/>
                    </w:rPr>
                  </w:pPr>
                  <w:r>
                    <w:rPr>
                      <w:rFonts w:hint="eastAsia"/>
                      <w:spacing w:val="7"/>
                      <w:sz w:val="21"/>
                      <w:szCs w:val="21"/>
                      <w:lang w:eastAsia="zh-CN"/>
                    </w:rPr>
                    <w:t>15m</w:t>
                  </w:r>
                </w:p>
              </w:tc>
              <w:tc>
                <w:tcPr>
                  <w:tcW w:w="1576" w:type="dxa"/>
                </w:tcPr>
                <w:p w14:paraId="1F937343">
                  <w:pPr>
                    <w:pStyle w:val="86"/>
                    <w:rPr>
                      <w:rFonts w:hint="eastAsia"/>
                      <w:spacing w:val="7"/>
                      <w:sz w:val="21"/>
                      <w:szCs w:val="21"/>
                      <w:lang w:eastAsia="zh-CN"/>
                    </w:rPr>
                  </w:pPr>
                  <w:r>
                    <w:rPr>
                      <w:rFonts w:hint="eastAsia"/>
                      <w:spacing w:val="7"/>
                      <w:sz w:val="21"/>
                      <w:szCs w:val="21"/>
                      <w:lang w:eastAsia="zh-CN"/>
                    </w:rPr>
                    <w:t>常温</w:t>
                  </w:r>
                </w:p>
              </w:tc>
              <w:tc>
                <w:tcPr>
                  <w:tcW w:w="1576" w:type="dxa"/>
                </w:tcPr>
                <w:p w14:paraId="76B98F14">
                  <w:pPr>
                    <w:pStyle w:val="86"/>
                    <w:rPr>
                      <w:rFonts w:hint="eastAsia"/>
                      <w:spacing w:val="7"/>
                      <w:sz w:val="21"/>
                      <w:szCs w:val="21"/>
                      <w:lang w:eastAsia="zh-CN"/>
                    </w:rPr>
                  </w:pPr>
                  <w:r>
                    <w:rPr>
                      <w:rFonts w:hint="eastAsia"/>
                      <w:spacing w:val="7"/>
                      <w:sz w:val="21"/>
                      <w:szCs w:val="21"/>
                      <w:lang w:eastAsia="zh-CN"/>
                    </w:rPr>
                    <w:t>0.5</w:t>
                  </w:r>
                </w:p>
              </w:tc>
              <w:tc>
                <w:tcPr>
                  <w:tcW w:w="1576" w:type="dxa"/>
                </w:tcPr>
                <w:p w14:paraId="47B2E5E1">
                  <w:pPr>
                    <w:pStyle w:val="86"/>
                    <w:rPr>
                      <w:rFonts w:hint="eastAsia"/>
                      <w:spacing w:val="7"/>
                      <w:sz w:val="21"/>
                      <w:szCs w:val="21"/>
                      <w:lang w:eastAsia="zh-CN"/>
                    </w:rPr>
                  </w:pPr>
                  <w:r>
                    <w:rPr>
                      <w:rFonts w:hint="eastAsia"/>
                      <w:bCs/>
                      <w:sz w:val="21"/>
                      <w:szCs w:val="21"/>
                      <w:lang w:eastAsia="zh-CN"/>
                    </w:rPr>
                    <w:t>一般</w:t>
                  </w:r>
                  <w:r>
                    <w:rPr>
                      <w:rFonts w:hint="eastAsia"/>
                      <w:spacing w:val="7"/>
                      <w:sz w:val="21"/>
                      <w:szCs w:val="21"/>
                      <w:lang w:eastAsia="zh-CN"/>
                    </w:rPr>
                    <w:t>排放口</w:t>
                  </w:r>
                </w:p>
              </w:tc>
            </w:tr>
          </w:tbl>
          <w:p w14:paraId="1FACE756">
            <w:pPr>
              <w:ind w:firstLine="422"/>
              <w:jc w:val="center"/>
              <w:rPr>
                <w:b/>
                <w:sz w:val="21"/>
                <w:szCs w:val="21"/>
              </w:rPr>
            </w:pPr>
            <w:r>
              <w:rPr>
                <w:rFonts w:hint="eastAsia" w:cs="Times New Roman"/>
                <w:b/>
                <w:sz w:val="21"/>
                <w:szCs w:val="21"/>
              </w:rPr>
              <w:t>表4-6   非正常工况大气污染物排放情况一览表</w:t>
            </w:r>
          </w:p>
          <w:tbl>
            <w:tblPr>
              <w:tblStyle w:val="34"/>
              <w:tblW w:w="124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9"/>
              <w:gridCol w:w="1036"/>
              <w:gridCol w:w="1615"/>
              <w:gridCol w:w="1260"/>
              <w:gridCol w:w="1261"/>
              <w:gridCol w:w="1261"/>
              <w:gridCol w:w="1143"/>
              <w:gridCol w:w="1679"/>
              <w:gridCol w:w="2040"/>
            </w:tblGrid>
            <w:tr w14:paraId="48ABA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tcPr>
                <w:p w14:paraId="47337FC5">
                  <w:pPr>
                    <w:pStyle w:val="86"/>
                    <w:rPr>
                      <w:rFonts w:hint="eastAsia"/>
                      <w:spacing w:val="7"/>
                      <w:sz w:val="21"/>
                      <w:szCs w:val="21"/>
                      <w:lang w:eastAsia="zh-CN"/>
                    </w:rPr>
                  </w:pPr>
                  <w:r>
                    <w:rPr>
                      <w:rFonts w:hint="eastAsia"/>
                      <w:spacing w:val="7"/>
                      <w:sz w:val="21"/>
                      <w:szCs w:val="21"/>
                      <w:lang w:eastAsia="zh-CN"/>
                    </w:rPr>
                    <w:t>污染源</w:t>
                  </w:r>
                </w:p>
              </w:tc>
              <w:tc>
                <w:tcPr>
                  <w:tcW w:w="1036" w:type="dxa"/>
                </w:tcPr>
                <w:p w14:paraId="1DB984E1">
                  <w:pPr>
                    <w:pStyle w:val="86"/>
                    <w:rPr>
                      <w:rFonts w:hint="eastAsia"/>
                      <w:spacing w:val="7"/>
                      <w:sz w:val="21"/>
                      <w:szCs w:val="21"/>
                      <w:lang w:eastAsia="zh-CN"/>
                    </w:rPr>
                  </w:pPr>
                  <w:r>
                    <w:rPr>
                      <w:rFonts w:hint="eastAsia"/>
                      <w:spacing w:val="7"/>
                      <w:sz w:val="21"/>
                      <w:szCs w:val="21"/>
                      <w:lang w:eastAsia="zh-CN"/>
                    </w:rPr>
                    <w:t>污染物</w:t>
                  </w:r>
                </w:p>
              </w:tc>
              <w:tc>
                <w:tcPr>
                  <w:tcW w:w="1615" w:type="dxa"/>
                </w:tcPr>
                <w:p w14:paraId="712B7D2F">
                  <w:pPr>
                    <w:pStyle w:val="86"/>
                    <w:rPr>
                      <w:rFonts w:hint="eastAsia"/>
                      <w:spacing w:val="7"/>
                      <w:sz w:val="21"/>
                      <w:szCs w:val="21"/>
                      <w:lang w:eastAsia="zh-CN"/>
                    </w:rPr>
                  </w:pPr>
                  <w:r>
                    <w:rPr>
                      <w:rFonts w:hint="eastAsia"/>
                      <w:spacing w:val="7"/>
                      <w:sz w:val="21"/>
                      <w:szCs w:val="21"/>
                      <w:lang w:eastAsia="zh-CN"/>
                    </w:rPr>
                    <w:t>产污系数</w:t>
                  </w:r>
                </w:p>
              </w:tc>
              <w:tc>
                <w:tcPr>
                  <w:tcW w:w="1260" w:type="dxa"/>
                </w:tcPr>
                <w:p w14:paraId="2C6E5EEC">
                  <w:pPr>
                    <w:pStyle w:val="86"/>
                    <w:rPr>
                      <w:rFonts w:hint="eastAsia"/>
                      <w:spacing w:val="7"/>
                      <w:sz w:val="21"/>
                      <w:szCs w:val="21"/>
                      <w:lang w:eastAsia="zh-CN"/>
                    </w:rPr>
                  </w:pPr>
                  <w:r>
                    <w:rPr>
                      <w:rFonts w:hint="eastAsia"/>
                      <w:spacing w:val="7"/>
                      <w:sz w:val="21"/>
                      <w:szCs w:val="21"/>
                      <w:lang w:eastAsia="zh-CN"/>
                    </w:rPr>
                    <w:t>非正常排放速率kg/h</w:t>
                  </w:r>
                </w:p>
              </w:tc>
              <w:tc>
                <w:tcPr>
                  <w:tcW w:w="1261" w:type="dxa"/>
                </w:tcPr>
                <w:p w14:paraId="213C5E7A">
                  <w:pPr>
                    <w:pStyle w:val="86"/>
                    <w:rPr>
                      <w:rFonts w:hint="eastAsia"/>
                      <w:spacing w:val="7"/>
                      <w:sz w:val="21"/>
                      <w:szCs w:val="21"/>
                      <w:lang w:eastAsia="zh-CN"/>
                    </w:rPr>
                  </w:pPr>
                  <w:r>
                    <w:rPr>
                      <w:rFonts w:hint="eastAsia"/>
                      <w:spacing w:val="7"/>
                      <w:sz w:val="21"/>
                      <w:szCs w:val="21"/>
                      <w:lang w:eastAsia="zh-CN"/>
                    </w:rPr>
                    <w:t>非正常排放浓度mg/m³</w:t>
                  </w:r>
                </w:p>
              </w:tc>
              <w:tc>
                <w:tcPr>
                  <w:tcW w:w="1261" w:type="dxa"/>
                </w:tcPr>
                <w:p w14:paraId="24012086">
                  <w:pPr>
                    <w:pStyle w:val="86"/>
                    <w:rPr>
                      <w:rFonts w:hint="eastAsia"/>
                      <w:spacing w:val="7"/>
                      <w:sz w:val="21"/>
                      <w:szCs w:val="21"/>
                      <w:lang w:eastAsia="zh-CN"/>
                    </w:rPr>
                  </w:pPr>
                  <w:r>
                    <w:rPr>
                      <w:rFonts w:hint="eastAsia"/>
                      <w:spacing w:val="7"/>
                      <w:sz w:val="21"/>
                      <w:szCs w:val="21"/>
                      <w:lang w:eastAsia="zh-CN"/>
                    </w:rPr>
                    <w:t>单次持续时间（h）</w:t>
                  </w:r>
                </w:p>
              </w:tc>
              <w:tc>
                <w:tcPr>
                  <w:tcW w:w="1143" w:type="dxa"/>
                </w:tcPr>
                <w:p w14:paraId="5A4982FA">
                  <w:pPr>
                    <w:pStyle w:val="86"/>
                    <w:rPr>
                      <w:rFonts w:hint="eastAsia"/>
                      <w:spacing w:val="7"/>
                      <w:sz w:val="21"/>
                      <w:szCs w:val="21"/>
                      <w:lang w:eastAsia="zh-CN"/>
                    </w:rPr>
                  </w:pPr>
                  <w:r>
                    <w:rPr>
                      <w:rFonts w:hint="eastAsia"/>
                      <w:spacing w:val="7"/>
                      <w:sz w:val="21"/>
                      <w:szCs w:val="21"/>
                      <w:lang w:eastAsia="zh-CN"/>
                    </w:rPr>
                    <w:t>年发生频次（次）</w:t>
                  </w:r>
                </w:p>
              </w:tc>
              <w:tc>
                <w:tcPr>
                  <w:tcW w:w="1679" w:type="dxa"/>
                </w:tcPr>
                <w:p w14:paraId="5132A9E7">
                  <w:pPr>
                    <w:pStyle w:val="86"/>
                    <w:rPr>
                      <w:rFonts w:hint="eastAsia"/>
                      <w:spacing w:val="7"/>
                      <w:sz w:val="21"/>
                      <w:szCs w:val="21"/>
                      <w:lang w:eastAsia="zh-CN"/>
                    </w:rPr>
                  </w:pPr>
                  <w:r>
                    <w:rPr>
                      <w:rFonts w:hint="eastAsia"/>
                      <w:spacing w:val="7"/>
                      <w:sz w:val="21"/>
                      <w:szCs w:val="21"/>
                      <w:lang w:eastAsia="zh-CN"/>
                    </w:rPr>
                    <w:t>非正常排放原因</w:t>
                  </w:r>
                </w:p>
              </w:tc>
              <w:tc>
                <w:tcPr>
                  <w:tcW w:w="2040" w:type="dxa"/>
                </w:tcPr>
                <w:p w14:paraId="1FACF124">
                  <w:pPr>
                    <w:pStyle w:val="86"/>
                    <w:rPr>
                      <w:rFonts w:hint="eastAsia"/>
                      <w:spacing w:val="7"/>
                      <w:sz w:val="21"/>
                      <w:szCs w:val="21"/>
                      <w:lang w:eastAsia="zh-CN"/>
                    </w:rPr>
                  </w:pPr>
                  <w:r>
                    <w:rPr>
                      <w:rFonts w:hint="eastAsia"/>
                      <w:spacing w:val="7"/>
                      <w:sz w:val="21"/>
                      <w:szCs w:val="21"/>
                      <w:lang w:eastAsia="zh-CN"/>
                    </w:rPr>
                    <w:t>应对措施</w:t>
                  </w:r>
                </w:p>
              </w:tc>
            </w:tr>
            <w:tr w14:paraId="7EA1D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tcPr>
                <w:p w14:paraId="7D179D73">
                  <w:pPr>
                    <w:pStyle w:val="86"/>
                    <w:rPr>
                      <w:rFonts w:hint="eastAsia"/>
                      <w:spacing w:val="7"/>
                      <w:sz w:val="21"/>
                      <w:szCs w:val="21"/>
                      <w:lang w:eastAsia="zh-CN"/>
                    </w:rPr>
                  </w:pPr>
                  <w:r>
                    <w:rPr>
                      <w:rFonts w:hint="eastAsia"/>
                      <w:bCs/>
                      <w:sz w:val="21"/>
                      <w:szCs w:val="21"/>
                    </w:rPr>
                    <w:t>模温机</w:t>
                  </w:r>
                </w:p>
              </w:tc>
              <w:tc>
                <w:tcPr>
                  <w:tcW w:w="1036" w:type="dxa"/>
                </w:tcPr>
                <w:p w14:paraId="0E00528C">
                  <w:pPr>
                    <w:pStyle w:val="86"/>
                    <w:rPr>
                      <w:rFonts w:hint="eastAsia"/>
                      <w:spacing w:val="7"/>
                      <w:sz w:val="21"/>
                      <w:szCs w:val="21"/>
                      <w:lang w:eastAsia="zh-CN"/>
                    </w:rPr>
                  </w:pPr>
                  <w:r>
                    <w:rPr>
                      <w:rFonts w:hint="eastAsia"/>
                      <w:spacing w:val="7"/>
                      <w:sz w:val="21"/>
                      <w:szCs w:val="21"/>
                      <w:lang w:eastAsia="zh-CN"/>
                    </w:rPr>
                    <w:t>NOx</w:t>
                  </w:r>
                </w:p>
              </w:tc>
              <w:tc>
                <w:tcPr>
                  <w:tcW w:w="1615" w:type="dxa"/>
                </w:tcPr>
                <w:p w14:paraId="3D6B6B73">
                  <w:pPr>
                    <w:pStyle w:val="86"/>
                    <w:rPr>
                      <w:rFonts w:hint="eastAsia"/>
                      <w:spacing w:val="7"/>
                      <w:sz w:val="21"/>
                      <w:szCs w:val="21"/>
                      <w:lang w:eastAsia="zh-CN"/>
                    </w:rPr>
                  </w:pPr>
                  <w:r>
                    <w:rPr>
                      <w:rFonts w:hint="eastAsia"/>
                      <w:spacing w:val="7"/>
                      <w:sz w:val="21"/>
                      <w:szCs w:val="21"/>
                      <w:lang w:eastAsia="zh-CN"/>
                    </w:rPr>
                    <w:t>18.71kg/万m³-燃料（无低氮燃烧）</w:t>
                  </w:r>
                </w:p>
              </w:tc>
              <w:tc>
                <w:tcPr>
                  <w:tcW w:w="1260" w:type="dxa"/>
                </w:tcPr>
                <w:p w14:paraId="5D05E328">
                  <w:pPr>
                    <w:pStyle w:val="86"/>
                    <w:rPr>
                      <w:rFonts w:hint="eastAsia"/>
                      <w:spacing w:val="7"/>
                      <w:sz w:val="21"/>
                      <w:szCs w:val="21"/>
                      <w:lang w:eastAsia="zh-CN"/>
                    </w:rPr>
                  </w:pPr>
                  <w:r>
                    <w:rPr>
                      <w:rFonts w:hint="eastAsia"/>
                      <w:spacing w:val="7"/>
                      <w:sz w:val="21"/>
                      <w:szCs w:val="21"/>
                      <w:lang w:eastAsia="zh-CN"/>
                    </w:rPr>
                    <w:t>0.928</w:t>
                  </w:r>
                </w:p>
              </w:tc>
              <w:tc>
                <w:tcPr>
                  <w:tcW w:w="1261" w:type="dxa"/>
                </w:tcPr>
                <w:p w14:paraId="45E86134">
                  <w:pPr>
                    <w:pStyle w:val="86"/>
                    <w:rPr>
                      <w:rFonts w:hint="eastAsia"/>
                      <w:spacing w:val="7"/>
                      <w:sz w:val="21"/>
                      <w:szCs w:val="21"/>
                      <w:lang w:eastAsia="zh-CN"/>
                    </w:rPr>
                  </w:pPr>
                  <w:r>
                    <w:rPr>
                      <w:rFonts w:hint="eastAsia"/>
                      <w:spacing w:val="7"/>
                      <w:sz w:val="21"/>
                      <w:szCs w:val="21"/>
                      <w:lang w:eastAsia="zh-CN"/>
                    </w:rPr>
                    <w:t>173.638</w:t>
                  </w:r>
                </w:p>
              </w:tc>
              <w:tc>
                <w:tcPr>
                  <w:tcW w:w="1261" w:type="dxa"/>
                </w:tcPr>
                <w:p w14:paraId="7EE5E267">
                  <w:pPr>
                    <w:pStyle w:val="86"/>
                    <w:rPr>
                      <w:rFonts w:hint="eastAsia"/>
                      <w:spacing w:val="7"/>
                      <w:sz w:val="21"/>
                      <w:szCs w:val="21"/>
                      <w:lang w:eastAsia="zh-CN"/>
                    </w:rPr>
                  </w:pPr>
                  <w:r>
                    <w:rPr>
                      <w:rFonts w:hint="eastAsia"/>
                      <w:spacing w:val="7"/>
                      <w:sz w:val="21"/>
                      <w:szCs w:val="21"/>
                      <w:lang w:eastAsia="zh-CN"/>
                    </w:rPr>
                    <w:t>0.5</w:t>
                  </w:r>
                </w:p>
              </w:tc>
              <w:tc>
                <w:tcPr>
                  <w:tcW w:w="1143" w:type="dxa"/>
                </w:tcPr>
                <w:p w14:paraId="542B7371">
                  <w:pPr>
                    <w:pStyle w:val="86"/>
                    <w:rPr>
                      <w:rFonts w:hint="eastAsia"/>
                      <w:spacing w:val="7"/>
                      <w:sz w:val="21"/>
                      <w:szCs w:val="21"/>
                      <w:lang w:eastAsia="zh-CN"/>
                    </w:rPr>
                  </w:pPr>
                  <w:r>
                    <w:rPr>
                      <w:rFonts w:hint="eastAsia"/>
                      <w:spacing w:val="7"/>
                      <w:sz w:val="21"/>
                      <w:szCs w:val="21"/>
                      <w:lang w:eastAsia="zh-CN"/>
                    </w:rPr>
                    <w:t>2次/年</w:t>
                  </w:r>
                </w:p>
              </w:tc>
              <w:tc>
                <w:tcPr>
                  <w:tcW w:w="1679" w:type="dxa"/>
                </w:tcPr>
                <w:p w14:paraId="21F890CB">
                  <w:pPr>
                    <w:pStyle w:val="86"/>
                    <w:rPr>
                      <w:rFonts w:hint="eastAsia"/>
                      <w:spacing w:val="7"/>
                      <w:sz w:val="21"/>
                      <w:szCs w:val="21"/>
                      <w:lang w:eastAsia="zh-CN"/>
                    </w:rPr>
                  </w:pPr>
                  <w:r>
                    <w:rPr>
                      <w:rFonts w:hint="eastAsia"/>
                      <w:spacing w:val="7"/>
                      <w:sz w:val="21"/>
                      <w:szCs w:val="21"/>
                      <w:lang w:eastAsia="zh-CN"/>
                    </w:rPr>
                    <w:t>低氮燃烧处理器效率为0</w:t>
                  </w:r>
                </w:p>
              </w:tc>
              <w:tc>
                <w:tcPr>
                  <w:tcW w:w="2040" w:type="dxa"/>
                  <w:vMerge w:val="restart"/>
                </w:tcPr>
                <w:p w14:paraId="57D76DF2">
                  <w:pPr>
                    <w:pStyle w:val="86"/>
                    <w:rPr>
                      <w:rFonts w:hint="eastAsia"/>
                      <w:spacing w:val="7"/>
                      <w:sz w:val="21"/>
                      <w:szCs w:val="21"/>
                      <w:lang w:eastAsia="zh-CN"/>
                    </w:rPr>
                  </w:pPr>
                  <w:r>
                    <w:rPr>
                      <w:rFonts w:hint="eastAsia"/>
                      <w:spacing w:val="7"/>
                      <w:sz w:val="21"/>
                      <w:szCs w:val="21"/>
                      <w:lang w:eastAsia="zh-CN"/>
                    </w:rPr>
                    <w:t>加强管理，定期维护、检修</w:t>
                  </w:r>
                </w:p>
              </w:tc>
            </w:tr>
            <w:tr w14:paraId="5766A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vMerge w:val="restart"/>
                </w:tcPr>
                <w:p w14:paraId="20F1ED7D">
                  <w:pPr>
                    <w:pStyle w:val="86"/>
                    <w:rPr>
                      <w:rFonts w:hint="eastAsia"/>
                      <w:bCs/>
                      <w:sz w:val="21"/>
                      <w:szCs w:val="21"/>
                    </w:rPr>
                  </w:pPr>
                  <w:r>
                    <w:rPr>
                      <w:rFonts w:hint="eastAsia"/>
                      <w:bCs/>
                      <w:sz w:val="21"/>
                      <w:szCs w:val="21"/>
                      <w:lang w:eastAsia="zh-CN"/>
                    </w:rPr>
                    <w:t>压贴机</w:t>
                  </w:r>
                </w:p>
              </w:tc>
              <w:tc>
                <w:tcPr>
                  <w:tcW w:w="1036" w:type="dxa"/>
                </w:tcPr>
                <w:p w14:paraId="7C309C43">
                  <w:pPr>
                    <w:pStyle w:val="86"/>
                    <w:rPr>
                      <w:rFonts w:hint="eastAsia"/>
                      <w:spacing w:val="7"/>
                      <w:sz w:val="21"/>
                      <w:szCs w:val="21"/>
                      <w:lang w:eastAsia="zh-CN"/>
                    </w:rPr>
                  </w:pPr>
                  <w:r>
                    <w:rPr>
                      <w:bCs/>
                      <w:sz w:val="21"/>
                      <w:szCs w:val="21"/>
                    </w:rPr>
                    <w:t>VOCs</w:t>
                  </w:r>
                </w:p>
              </w:tc>
              <w:tc>
                <w:tcPr>
                  <w:tcW w:w="1615" w:type="dxa"/>
                  <w:vMerge w:val="restart"/>
                </w:tcPr>
                <w:p w14:paraId="6FE7BDF5">
                  <w:pPr>
                    <w:pStyle w:val="86"/>
                    <w:rPr>
                      <w:rFonts w:hint="eastAsia"/>
                      <w:spacing w:val="7"/>
                      <w:sz w:val="21"/>
                      <w:szCs w:val="21"/>
                      <w:lang w:eastAsia="zh-CN"/>
                    </w:rPr>
                  </w:pPr>
                  <w:r>
                    <w:rPr>
                      <w:rFonts w:hint="eastAsia"/>
                      <w:spacing w:val="7"/>
                      <w:sz w:val="21"/>
                      <w:szCs w:val="21"/>
                      <w:lang w:eastAsia="zh-CN"/>
                    </w:rPr>
                    <w:t>活性炭无吸附作用</w:t>
                  </w:r>
                </w:p>
              </w:tc>
              <w:tc>
                <w:tcPr>
                  <w:tcW w:w="1260" w:type="dxa"/>
                </w:tcPr>
                <w:p w14:paraId="286F5784">
                  <w:pPr>
                    <w:pStyle w:val="86"/>
                    <w:rPr>
                      <w:rFonts w:hint="eastAsia"/>
                      <w:spacing w:val="7"/>
                      <w:sz w:val="21"/>
                      <w:szCs w:val="21"/>
                      <w:lang w:eastAsia="zh-CN"/>
                    </w:rPr>
                  </w:pPr>
                  <w:r>
                    <w:rPr>
                      <w:rFonts w:hint="eastAsia"/>
                      <w:spacing w:val="7"/>
                      <w:sz w:val="21"/>
                      <w:szCs w:val="21"/>
                      <w:lang w:eastAsia="zh-CN"/>
                    </w:rPr>
                    <w:t>0.042</w:t>
                  </w:r>
                </w:p>
              </w:tc>
              <w:tc>
                <w:tcPr>
                  <w:tcW w:w="1261" w:type="dxa"/>
                </w:tcPr>
                <w:p w14:paraId="527D3200">
                  <w:pPr>
                    <w:pStyle w:val="86"/>
                    <w:rPr>
                      <w:rFonts w:hint="eastAsia"/>
                      <w:spacing w:val="7"/>
                      <w:sz w:val="21"/>
                      <w:szCs w:val="21"/>
                      <w:lang w:eastAsia="zh-CN"/>
                    </w:rPr>
                  </w:pPr>
                  <w:r>
                    <w:rPr>
                      <w:rFonts w:hint="eastAsia"/>
                      <w:spacing w:val="7"/>
                      <w:sz w:val="21"/>
                      <w:szCs w:val="21"/>
                      <w:lang w:eastAsia="zh-CN"/>
                    </w:rPr>
                    <w:t>5.83</w:t>
                  </w:r>
                </w:p>
              </w:tc>
              <w:tc>
                <w:tcPr>
                  <w:tcW w:w="1261" w:type="dxa"/>
                </w:tcPr>
                <w:p w14:paraId="27F41C0B">
                  <w:pPr>
                    <w:pStyle w:val="86"/>
                    <w:rPr>
                      <w:rFonts w:hint="eastAsia"/>
                      <w:spacing w:val="7"/>
                      <w:sz w:val="21"/>
                      <w:szCs w:val="21"/>
                      <w:lang w:eastAsia="zh-CN"/>
                    </w:rPr>
                  </w:pPr>
                  <w:r>
                    <w:rPr>
                      <w:rFonts w:hint="eastAsia"/>
                      <w:spacing w:val="7"/>
                      <w:sz w:val="21"/>
                      <w:szCs w:val="21"/>
                      <w:lang w:eastAsia="zh-CN"/>
                    </w:rPr>
                    <w:t>1h</w:t>
                  </w:r>
                </w:p>
              </w:tc>
              <w:tc>
                <w:tcPr>
                  <w:tcW w:w="1143" w:type="dxa"/>
                  <w:vMerge w:val="restart"/>
                </w:tcPr>
                <w:p w14:paraId="5AE49701">
                  <w:pPr>
                    <w:pStyle w:val="86"/>
                    <w:rPr>
                      <w:rFonts w:hint="eastAsia"/>
                      <w:spacing w:val="7"/>
                      <w:sz w:val="21"/>
                      <w:szCs w:val="21"/>
                      <w:lang w:eastAsia="zh-CN"/>
                    </w:rPr>
                  </w:pPr>
                  <w:r>
                    <w:rPr>
                      <w:rFonts w:hint="eastAsia"/>
                      <w:spacing w:val="7"/>
                      <w:sz w:val="21"/>
                      <w:szCs w:val="21"/>
                      <w:lang w:eastAsia="zh-CN"/>
                    </w:rPr>
                    <w:t>1次/年</w:t>
                  </w:r>
                </w:p>
              </w:tc>
              <w:tc>
                <w:tcPr>
                  <w:tcW w:w="1679" w:type="dxa"/>
                  <w:vMerge w:val="restart"/>
                </w:tcPr>
                <w:p w14:paraId="0E81E65F">
                  <w:pPr>
                    <w:pStyle w:val="86"/>
                    <w:rPr>
                      <w:rFonts w:hint="eastAsia"/>
                      <w:spacing w:val="7"/>
                      <w:sz w:val="21"/>
                      <w:szCs w:val="21"/>
                      <w:lang w:eastAsia="zh-CN"/>
                    </w:rPr>
                  </w:pPr>
                  <w:r>
                    <w:rPr>
                      <w:rFonts w:hint="eastAsia"/>
                      <w:spacing w:val="7"/>
                      <w:sz w:val="21"/>
                      <w:szCs w:val="21"/>
                      <w:lang w:eastAsia="zh-CN"/>
                    </w:rPr>
                    <w:t>活性炭处理器效率为0</w:t>
                  </w:r>
                </w:p>
              </w:tc>
              <w:tc>
                <w:tcPr>
                  <w:tcW w:w="2040" w:type="dxa"/>
                  <w:vMerge w:val="continue"/>
                </w:tcPr>
                <w:p w14:paraId="286F784B">
                  <w:pPr>
                    <w:pStyle w:val="86"/>
                    <w:rPr>
                      <w:rFonts w:hint="eastAsia"/>
                      <w:spacing w:val="7"/>
                      <w:sz w:val="21"/>
                      <w:szCs w:val="21"/>
                      <w:lang w:eastAsia="zh-CN"/>
                    </w:rPr>
                  </w:pPr>
                </w:p>
              </w:tc>
            </w:tr>
            <w:tr w14:paraId="3FAFD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vMerge w:val="continue"/>
                </w:tcPr>
                <w:p w14:paraId="193DD1D5">
                  <w:pPr>
                    <w:pStyle w:val="86"/>
                    <w:rPr>
                      <w:rFonts w:hint="eastAsia"/>
                      <w:spacing w:val="7"/>
                      <w:sz w:val="21"/>
                      <w:szCs w:val="21"/>
                      <w:lang w:eastAsia="zh-CN"/>
                    </w:rPr>
                  </w:pPr>
                </w:p>
              </w:tc>
              <w:tc>
                <w:tcPr>
                  <w:tcW w:w="1036" w:type="dxa"/>
                </w:tcPr>
                <w:p w14:paraId="73A78A21">
                  <w:pPr>
                    <w:pStyle w:val="86"/>
                    <w:rPr>
                      <w:rFonts w:hint="eastAsia"/>
                      <w:spacing w:val="7"/>
                      <w:sz w:val="21"/>
                      <w:szCs w:val="21"/>
                      <w:lang w:eastAsia="zh-CN"/>
                    </w:rPr>
                  </w:pPr>
                  <w:r>
                    <w:rPr>
                      <w:rFonts w:hint="eastAsia" w:ascii="Times New Roman" w:hAnsi="Times New Roman" w:cs="Times New Roman"/>
                      <w:bCs/>
                      <w:sz w:val="21"/>
                      <w:szCs w:val="21"/>
                      <w:lang w:eastAsia="zh-CN"/>
                    </w:rPr>
                    <w:t>甲醛</w:t>
                  </w:r>
                </w:p>
              </w:tc>
              <w:tc>
                <w:tcPr>
                  <w:tcW w:w="1615" w:type="dxa"/>
                  <w:vMerge w:val="continue"/>
                </w:tcPr>
                <w:p w14:paraId="7D6B0534">
                  <w:pPr>
                    <w:pStyle w:val="86"/>
                    <w:rPr>
                      <w:rFonts w:hint="eastAsia"/>
                      <w:spacing w:val="7"/>
                      <w:sz w:val="21"/>
                      <w:szCs w:val="21"/>
                      <w:lang w:eastAsia="zh-CN"/>
                    </w:rPr>
                  </w:pPr>
                </w:p>
              </w:tc>
              <w:tc>
                <w:tcPr>
                  <w:tcW w:w="1260" w:type="dxa"/>
                </w:tcPr>
                <w:p w14:paraId="0DB3876B">
                  <w:pPr>
                    <w:pStyle w:val="86"/>
                    <w:rPr>
                      <w:rFonts w:hint="eastAsia"/>
                      <w:spacing w:val="7"/>
                      <w:sz w:val="21"/>
                      <w:szCs w:val="21"/>
                      <w:lang w:eastAsia="zh-CN"/>
                    </w:rPr>
                  </w:pPr>
                  <w:r>
                    <w:rPr>
                      <w:rFonts w:hint="eastAsia"/>
                      <w:spacing w:val="7"/>
                      <w:sz w:val="21"/>
                      <w:szCs w:val="21"/>
                      <w:lang w:eastAsia="zh-CN"/>
                    </w:rPr>
                    <w:t>0.165*10</w:t>
                  </w:r>
                  <w:r>
                    <w:rPr>
                      <w:rFonts w:hint="eastAsia"/>
                      <w:spacing w:val="7"/>
                      <w:sz w:val="21"/>
                      <w:szCs w:val="21"/>
                      <w:vertAlign w:val="superscript"/>
                      <w:lang w:eastAsia="zh-CN"/>
                    </w:rPr>
                    <w:t>-3</w:t>
                  </w:r>
                </w:p>
              </w:tc>
              <w:tc>
                <w:tcPr>
                  <w:tcW w:w="1261" w:type="dxa"/>
                </w:tcPr>
                <w:p w14:paraId="3B5EBA29">
                  <w:pPr>
                    <w:pStyle w:val="86"/>
                    <w:rPr>
                      <w:rFonts w:hint="eastAsia"/>
                      <w:spacing w:val="7"/>
                      <w:sz w:val="21"/>
                      <w:szCs w:val="21"/>
                      <w:lang w:eastAsia="zh-CN"/>
                    </w:rPr>
                  </w:pPr>
                  <w:r>
                    <w:rPr>
                      <w:rFonts w:hint="eastAsia"/>
                      <w:bCs/>
                      <w:sz w:val="21"/>
                      <w:szCs w:val="21"/>
                      <w:lang w:eastAsia="zh-CN"/>
                    </w:rPr>
                    <w:t>0.023</w:t>
                  </w:r>
                </w:p>
              </w:tc>
              <w:tc>
                <w:tcPr>
                  <w:tcW w:w="1261" w:type="dxa"/>
                </w:tcPr>
                <w:p w14:paraId="3C1889C4">
                  <w:pPr>
                    <w:pStyle w:val="86"/>
                    <w:rPr>
                      <w:rFonts w:hint="eastAsia"/>
                      <w:spacing w:val="7"/>
                      <w:sz w:val="21"/>
                      <w:szCs w:val="21"/>
                      <w:lang w:eastAsia="zh-CN"/>
                    </w:rPr>
                  </w:pPr>
                  <w:r>
                    <w:rPr>
                      <w:rFonts w:hint="eastAsia"/>
                      <w:spacing w:val="7"/>
                      <w:sz w:val="21"/>
                      <w:szCs w:val="21"/>
                      <w:lang w:eastAsia="zh-CN"/>
                    </w:rPr>
                    <w:t>1h</w:t>
                  </w:r>
                </w:p>
              </w:tc>
              <w:tc>
                <w:tcPr>
                  <w:tcW w:w="1143" w:type="dxa"/>
                  <w:vMerge w:val="continue"/>
                </w:tcPr>
                <w:p w14:paraId="1469FA00">
                  <w:pPr>
                    <w:pStyle w:val="86"/>
                    <w:rPr>
                      <w:rFonts w:hint="eastAsia"/>
                      <w:spacing w:val="7"/>
                      <w:sz w:val="21"/>
                      <w:szCs w:val="21"/>
                      <w:lang w:eastAsia="zh-CN"/>
                    </w:rPr>
                  </w:pPr>
                </w:p>
              </w:tc>
              <w:tc>
                <w:tcPr>
                  <w:tcW w:w="1679" w:type="dxa"/>
                  <w:vMerge w:val="continue"/>
                </w:tcPr>
                <w:p w14:paraId="40A884A7">
                  <w:pPr>
                    <w:pStyle w:val="86"/>
                    <w:rPr>
                      <w:rFonts w:hint="eastAsia"/>
                      <w:spacing w:val="7"/>
                      <w:sz w:val="21"/>
                      <w:szCs w:val="21"/>
                      <w:lang w:eastAsia="zh-CN"/>
                    </w:rPr>
                  </w:pPr>
                </w:p>
              </w:tc>
              <w:tc>
                <w:tcPr>
                  <w:tcW w:w="2040" w:type="dxa"/>
                  <w:vMerge w:val="continue"/>
                </w:tcPr>
                <w:p w14:paraId="1BF5CC6B">
                  <w:pPr>
                    <w:pStyle w:val="86"/>
                    <w:rPr>
                      <w:rFonts w:hint="eastAsia"/>
                      <w:spacing w:val="7"/>
                      <w:sz w:val="21"/>
                      <w:szCs w:val="21"/>
                      <w:lang w:eastAsia="zh-CN"/>
                    </w:rPr>
                  </w:pPr>
                </w:p>
              </w:tc>
            </w:tr>
          </w:tbl>
          <w:p w14:paraId="5905B4C0">
            <w:pPr>
              <w:pStyle w:val="20"/>
              <w:ind w:left="480" w:firstLine="0" w:firstLineChars="0"/>
              <w:rPr>
                <w:sz w:val="21"/>
                <w:szCs w:val="21"/>
              </w:rPr>
            </w:pPr>
          </w:p>
        </w:tc>
      </w:tr>
    </w:tbl>
    <w:p w14:paraId="11EC3EFB">
      <w:pPr>
        <w:ind w:firstLine="480"/>
      </w:pPr>
    </w:p>
    <w:p w14:paraId="2F38EF76">
      <w:pPr>
        <w:ind w:firstLine="480"/>
      </w:pPr>
    </w:p>
    <w:p w14:paraId="36475843">
      <w:pPr>
        <w:ind w:firstLine="480"/>
        <w:sectPr>
          <w:pgSz w:w="16838" w:h="11906" w:orient="landscape"/>
          <w:pgMar w:top="1080" w:right="1440" w:bottom="1080" w:left="1440" w:header="851" w:footer="567" w:gutter="0"/>
          <w:cols w:space="425" w:num="1"/>
          <w:docGrid w:type="lines" w:linePitch="326" w:charSpace="0"/>
        </w:sectPr>
      </w:pPr>
    </w:p>
    <w:tbl>
      <w:tblPr>
        <w:tblStyle w:val="3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8"/>
        <w:gridCol w:w="9148"/>
      </w:tblGrid>
      <w:tr w14:paraId="43872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79" w:hRule="atLeast"/>
        </w:trPr>
        <w:tc>
          <w:tcPr>
            <w:tcW w:w="588" w:type="dxa"/>
          </w:tcPr>
          <w:p w14:paraId="6A11C65F">
            <w:pPr>
              <w:pStyle w:val="30"/>
              <w:rPr>
                <w:rFonts w:cs="Times New Roman"/>
              </w:rPr>
            </w:pPr>
            <w:r>
              <w:rPr>
                <w:rFonts w:cs="Times New Roman"/>
              </w:rPr>
              <w:t>运营</w:t>
            </w:r>
          </w:p>
          <w:p w14:paraId="46F42804">
            <w:pPr>
              <w:pStyle w:val="30"/>
              <w:rPr>
                <w:rFonts w:cs="Times New Roman"/>
              </w:rPr>
            </w:pPr>
            <w:r>
              <w:rPr>
                <w:rFonts w:cs="Times New Roman"/>
              </w:rPr>
              <w:t>期环</w:t>
            </w:r>
          </w:p>
          <w:p w14:paraId="1FB004CF">
            <w:pPr>
              <w:pStyle w:val="30"/>
              <w:rPr>
                <w:rFonts w:cs="Times New Roman"/>
              </w:rPr>
            </w:pPr>
            <w:r>
              <w:rPr>
                <w:rFonts w:cs="Times New Roman"/>
              </w:rPr>
              <w:t>境影</w:t>
            </w:r>
          </w:p>
          <w:p w14:paraId="3EB54D7E">
            <w:pPr>
              <w:pStyle w:val="30"/>
              <w:rPr>
                <w:rFonts w:cs="Times New Roman"/>
              </w:rPr>
            </w:pPr>
            <w:r>
              <w:rPr>
                <w:rFonts w:cs="Times New Roman"/>
              </w:rPr>
              <w:t>响和</w:t>
            </w:r>
          </w:p>
          <w:p w14:paraId="4C6AC1E0">
            <w:pPr>
              <w:pStyle w:val="30"/>
              <w:rPr>
                <w:rFonts w:cs="Times New Roman"/>
              </w:rPr>
            </w:pPr>
            <w:r>
              <w:rPr>
                <w:rFonts w:cs="Times New Roman"/>
              </w:rPr>
              <w:t>保护</w:t>
            </w:r>
          </w:p>
          <w:p w14:paraId="369C85D1">
            <w:pPr>
              <w:pStyle w:val="30"/>
              <w:rPr>
                <w:rFonts w:cs="Times New Roman"/>
              </w:rPr>
            </w:pPr>
            <w:r>
              <w:rPr>
                <w:rFonts w:cs="Times New Roman"/>
              </w:rPr>
              <w:t>措施</w:t>
            </w:r>
          </w:p>
        </w:tc>
        <w:tc>
          <w:tcPr>
            <w:tcW w:w="9148" w:type="dxa"/>
          </w:tcPr>
          <w:p w14:paraId="2DC67BCB">
            <w:pPr>
              <w:ind w:firstLine="482"/>
              <w:rPr>
                <w:b/>
              </w:rPr>
            </w:pPr>
            <w:r>
              <w:rPr>
                <w:rFonts w:hint="eastAsia" w:cs="Times New Roman"/>
                <w:b/>
                <w:szCs w:val="24"/>
              </w:rPr>
              <w:t>④污染治理措施可行性分析</w:t>
            </w:r>
          </w:p>
          <w:p w14:paraId="3287DE8F">
            <w:pPr>
              <w:snapToGrid w:val="0"/>
              <w:ind w:firstLine="480"/>
              <w:rPr>
                <w:rFonts w:cs="Times New Roman"/>
                <w:bCs/>
                <w:szCs w:val="24"/>
              </w:rPr>
            </w:pPr>
            <w:r>
              <w:rPr>
                <w:rFonts w:hint="eastAsia" w:cs="Times New Roman"/>
                <w:bCs/>
                <w:szCs w:val="24"/>
              </w:rPr>
              <w:t>本项目为模温机配套安装有低氮燃烧器，使用低氮燃烧器降低氮氧化物的排放量，属于《排污许可证申请与核发技术规范锅炉》(HJ953-2018)中的可行性技术，根据计算结果表 4-2，模温机废气污染物可达标排放，因此模温机烟气治理措施可行。</w:t>
            </w:r>
          </w:p>
          <w:p w14:paraId="2171D630">
            <w:pPr>
              <w:adjustRightInd w:val="0"/>
              <w:snapToGrid w:val="0"/>
              <w:ind w:firstLine="482"/>
            </w:pPr>
            <w:r>
              <w:rPr>
                <w:b/>
              </w:rPr>
              <w:t>活性炭原理：</w:t>
            </w:r>
            <w:r>
              <w:rPr>
                <w:kern w:val="0"/>
                <w:lang w:bidi="ar"/>
              </w:rPr>
              <w:t>由于活性炭固体表面上存在着未平衡和未饱和的分子引力或化学键力，因此当此固体表面与气体接触时，就能吸引气体分子，使其浓聚并保持在固体表面，此现象称为吸附。利用固体表面的吸附能力，使废气与大表面的多孔性固体物质相接触，废气中的污染物被吸附在固体表面上，使其与气体混合物分离，达到净化目的。活性炭吸附是一种对有机废气较为成熟的处理工艺，本项目活性炭处理后处理效率可达</w:t>
            </w:r>
            <w:r>
              <w:rPr>
                <w:rFonts w:hint="eastAsia"/>
                <w:kern w:val="0"/>
                <w:lang w:bidi="ar"/>
              </w:rPr>
              <w:t>50</w:t>
            </w:r>
            <w:r>
              <w:rPr>
                <w:kern w:val="0"/>
                <w:lang w:bidi="ar"/>
              </w:rPr>
              <w:t>%。</w:t>
            </w:r>
            <w:r>
              <w:t>活性炭吸附法利用活性炭内部孔隙结构发达、巨大比表面积原理来吸附有机废气，适用于低浓度有机废气（浓度小于1500mg/m</w:t>
            </w:r>
            <w:r>
              <w:rPr>
                <w:vertAlign w:val="superscript"/>
              </w:rPr>
              <w:t>3</w:t>
            </w:r>
            <w:r>
              <w:t>）。因此，本项目有机废气采用活性炭吸附治理工艺可行。</w:t>
            </w:r>
          </w:p>
          <w:p w14:paraId="2732B8CB">
            <w:pPr>
              <w:adjustRightInd w:val="0"/>
              <w:snapToGrid w:val="0"/>
              <w:ind w:firstLine="482"/>
              <w:rPr>
                <w:b/>
                <w:bCs/>
              </w:rPr>
            </w:pPr>
            <w:r>
              <w:rPr>
                <w:b/>
                <w:bCs/>
              </w:rPr>
              <w:t>活性炭</w:t>
            </w:r>
            <w:r>
              <w:rPr>
                <w:rFonts w:hint="eastAsia"/>
                <w:b/>
                <w:bCs/>
              </w:rPr>
              <w:t>填充量</w:t>
            </w:r>
          </w:p>
          <w:p w14:paraId="5FE816EA">
            <w:pPr>
              <w:adjustRightInd w:val="0"/>
              <w:snapToGrid w:val="0"/>
              <w:ind w:firstLine="480"/>
            </w:pPr>
            <w:r>
              <w:t>根据《简明通风设计手册》，活性炭的有效吸附量为0.24kg/kg-活性炭，经核算项目吸附有机废气量约为</w:t>
            </w:r>
            <w:r>
              <w:rPr>
                <w:rFonts w:hint="eastAsia"/>
              </w:rPr>
              <w:t>0.045t</w:t>
            </w:r>
            <w:r>
              <w:t>/a，理论活性炭需求量为</w:t>
            </w:r>
            <w:r>
              <w:rPr>
                <w:rFonts w:hint="eastAsia"/>
              </w:rPr>
              <w:t>1.96kg</w:t>
            </w:r>
            <w:r>
              <w:t>/a。</w:t>
            </w:r>
          </w:p>
          <w:p w14:paraId="65C400AC">
            <w:pPr>
              <w:adjustRightInd w:val="0"/>
              <w:snapToGrid w:val="0"/>
              <w:ind w:firstLine="480"/>
              <w:rPr>
                <w:szCs w:val="32"/>
              </w:rPr>
            </w:pPr>
            <w:r>
              <w:rPr>
                <w:szCs w:val="32"/>
              </w:rPr>
              <w:t>根据四川省大气污染防治保障中心2024年4月发布的《四川省挥发性有机物治理之活性炭使用管理常见问题工具书》，活性炭一次填充量根据风量及浓度确定，本项目</w:t>
            </w:r>
            <w:r>
              <w:rPr>
                <w:bCs/>
                <w:szCs w:val="24"/>
              </w:rPr>
              <w:t>VOCs</w:t>
            </w:r>
            <w:r>
              <w:rPr>
                <w:szCs w:val="32"/>
              </w:rPr>
              <w:t>初始浓度</w:t>
            </w:r>
            <w:r>
              <w:rPr>
                <w:rFonts w:hint="eastAsia"/>
                <w:szCs w:val="32"/>
              </w:rPr>
              <w:t>约</w:t>
            </w:r>
            <w:r>
              <w:rPr>
                <w:szCs w:val="32"/>
              </w:rPr>
              <w:t>为</w:t>
            </w:r>
            <w:r>
              <w:rPr>
                <w:rFonts w:hint="eastAsia"/>
                <w:szCs w:val="32"/>
              </w:rPr>
              <w:t>5.83</w:t>
            </w:r>
            <w:r>
              <w:rPr>
                <w:szCs w:val="32"/>
              </w:rPr>
              <w:t>mg/m</w:t>
            </w:r>
            <w:r>
              <w:rPr>
                <w:szCs w:val="32"/>
                <w:vertAlign w:val="superscript"/>
              </w:rPr>
              <w:t>3</w:t>
            </w:r>
            <w:r>
              <w:rPr>
                <w:szCs w:val="32"/>
              </w:rPr>
              <w:t>，风量为</w:t>
            </w:r>
            <w:r>
              <w:rPr>
                <w:rFonts w:hint="eastAsia"/>
                <w:szCs w:val="32"/>
              </w:rPr>
              <w:t>72</w:t>
            </w:r>
            <w:r>
              <w:rPr>
                <w:szCs w:val="32"/>
              </w:rPr>
              <w:t>00m</w:t>
            </w:r>
            <w:r>
              <w:rPr>
                <w:szCs w:val="32"/>
                <w:vertAlign w:val="superscript"/>
              </w:rPr>
              <w:t>3</w:t>
            </w:r>
            <w:r>
              <w:rPr>
                <w:szCs w:val="32"/>
              </w:rPr>
              <w:t>/h，活性炭最少填充量为1.</w:t>
            </w:r>
            <w:r>
              <w:rPr>
                <w:rFonts w:hint="eastAsia"/>
                <w:szCs w:val="32"/>
              </w:rPr>
              <w:t>0</w:t>
            </w:r>
            <w:r>
              <w:rPr>
                <w:szCs w:val="32"/>
              </w:rPr>
              <w:t>t（500h）。</w:t>
            </w:r>
          </w:p>
          <w:p w14:paraId="2B5AB561">
            <w:pPr>
              <w:adjustRightInd w:val="0"/>
              <w:snapToGrid w:val="0"/>
              <w:ind w:firstLine="482"/>
              <w:rPr>
                <w:b/>
                <w:bCs/>
              </w:rPr>
            </w:pPr>
            <w:r>
              <w:rPr>
                <w:rFonts w:hint="eastAsia"/>
                <w:b/>
                <w:bCs/>
              </w:rPr>
              <w:t>⑤</w:t>
            </w:r>
            <w:r>
              <w:rPr>
                <w:b/>
                <w:bCs/>
              </w:rPr>
              <w:t>活性炭更换周期：</w:t>
            </w:r>
          </w:p>
          <w:p w14:paraId="51ED1D7C">
            <w:pPr>
              <w:adjustRightInd w:val="0"/>
              <w:snapToGrid w:val="0"/>
              <w:ind w:firstLine="480"/>
              <w:rPr>
                <w:szCs w:val="32"/>
              </w:rPr>
            </w:pPr>
            <w:r>
              <w:rPr>
                <w:szCs w:val="32"/>
              </w:rPr>
              <w:t>参照《四川省挥发性有机物治理之活性炭使用管理常见问题工具书》，本项目活性炭更换周期T计算如下：</w:t>
            </w:r>
          </w:p>
          <w:p w14:paraId="1090F052">
            <w:pPr>
              <w:adjustRightInd w:val="0"/>
              <w:snapToGrid w:val="0"/>
              <w:ind w:firstLine="480"/>
              <w:jc w:val="center"/>
              <w:rPr>
                <w:szCs w:val="32"/>
              </w:rPr>
            </w:pPr>
            <w:r>
              <w:rPr>
                <w:szCs w:val="32"/>
              </w:rPr>
              <w:t>T=m×s÷（c×10</w:t>
            </w:r>
            <w:r>
              <w:rPr>
                <w:szCs w:val="32"/>
                <w:vertAlign w:val="superscript"/>
              </w:rPr>
              <w:t>-6</w:t>
            </w:r>
            <w:r>
              <w:rPr>
                <w:szCs w:val="32"/>
              </w:rPr>
              <w:t>×Q×t）</w:t>
            </w:r>
          </w:p>
          <w:p w14:paraId="23603E33">
            <w:pPr>
              <w:adjustRightInd w:val="0"/>
              <w:snapToGrid w:val="0"/>
              <w:ind w:firstLine="480"/>
              <w:rPr>
                <w:szCs w:val="32"/>
              </w:rPr>
            </w:pPr>
            <w:r>
              <w:rPr>
                <w:szCs w:val="32"/>
              </w:rPr>
              <w:t>式中：T—更换周期，天；</w:t>
            </w:r>
          </w:p>
          <w:p w14:paraId="3E3EFE26">
            <w:pPr>
              <w:adjustRightInd w:val="0"/>
              <w:snapToGrid w:val="0"/>
              <w:ind w:firstLine="1262" w:firstLineChars="526"/>
              <w:rPr>
                <w:szCs w:val="32"/>
              </w:rPr>
            </w:pPr>
            <w:r>
              <w:rPr>
                <w:szCs w:val="32"/>
              </w:rPr>
              <w:t>m—活性炭的用量，kg；</w:t>
            </w:r>
          </w:p>
          <w:p w14:paraId="11A8C68F">
            <w:pPr>
              <w:adjustRightInd w:val="0"/>
              <w:snapToGrid w:val="0"/>
              <w:ind w:firstLine="1262" w:firstLineChars="526"/>
              <w:rPr>
                <w:szCs w:val="32"/>
              </w:rPr>
            </w:pPr>
            <w:r>
              <w:rPr>
                <w:szCs w:val="32"/>
              </w:rPr>
              <w:t>s—动态吸附量，%；本项目取</w:t>
            </w:r>
            <w:r>
              <w:rPr>
                <w:bCs/>
              </w:rPr>
              <w:t>10</w:t>
            </w:r>
            <w:r>
              <w:rPr>
                <w:szCs w:val="32"/>
              </w:rPr>
              <w:t>%；</w:t>
            </w:r>
          </w:p>
          <w:p w14:paraId="12D60BC2">
            <w:pPr>
              <w:adjustRightInd w:val="0"/>
              <w:snapToGrid w:val="0"/>
              <w:ind w:firstLine="1262" w:firstLineChars="526"/>
              <w:rPr>
                <w:szCs w:val="32"/>
              </w:rPr>
            </w:pPr>
            <w:r>
              <w:rPr>
                <w:szCs w:val="32"/>
              </w:rPr>
              <w:t>c—活性炭削减的VOCs浓度，mg/m</w:t>
            </w:r>
            <w:r>
              <w:rPr>
                <w:szCs w:val="32"/>
                <w:vertAlign w:val="superscript"/>
              </w:rPr>
              <w:t>3</w:t>
            </w:r>
            <w:r>
              <w:rPr>
                <w:szCs w:val="32"/>
              </w:rPr>
              <w:t>，</w:t>
            </w:r>
            <w:r>
              <w:rPr>
                <w:bCs/>
              </w:rPr>
              <w:t>废气处理装置</w:t>
            </w:r>
            <w:r>
              <w:rPr>
                <w:szCs w:val="32"/>
              </w:rPr>
              <w:t>削减VOCs为</w:t>
            </w:r>
            <w:r>
              <w:rPr>
                <w:rFonts w:hint="eastAsia"/>
                <w:szCs w:val="32"/>
              </w:rPr>
              <w:t>3.23</w:t>
            </w:r>
            <w:r>
              <w:rPr>
                <w:szCs w:val="32"/>
              </w:rPr>
              <w:t>mg/m</w:t>
            </w:r>
            <w:r>
              <w:rPr>
                <w:szCs w:val="32"/>
                <w:vertAlign w:val="superscript"/>
              </w:rPr>
              <w:t>3</w:t>
            </w:r>
            <w:r>
              <w:rPr>
                <w:szCs w:val="32"/>
              </w:rPr>
              <w:t>；</w:t>
            </w:r>
          </w:p>
          <w:p w14:paraId="388DC09B">
            <w:pPr>
              <w:adjustRightInd w:val="0"/>
              <w:snapToGrid w:val="0"/>
              <w:ind w:firstLine="1262" w:firstLineChars="526"/>
              <w:rPr>
                <w:szCs w:val="32"/>
              </w:rPr>
            </w:pPr>
            <w:r>
              <w:rPr>
                <w:szCs w:val="32"/>
              </w:rPr>
              <w:t>Q—风量，单位m</w:t>
            </w:r>
            <w:r>
              <w:rPr>
                <w:szCs w:val="32"/>
                <w:vertAlign w:val="superscript"/>
              </w:rPr>
              <w:t>3</w:t>
            </w:r>
            <w:r>
              <w:rPr>
                <w:szCs w:val="32"/>
              </w:rPr>
              <w:t>/h，</w:t>
            </w:r>
            <w:r>
              <w:rPr>
                <w:bCs/>
              </w:rPr>
              <w:t>废气处理装置</w:t>
            </w:r>
            <w:r>
              <w:rPr>
                <w:szCs w:val="32"/>
              </w:rPr>
              <w:t>有机废气风量为</w:t>
            </w:r>
            <w:r>
              <w:rPr>
                <w:rFonts w:hint="eastAsia"/>
                <w:bCs/>
              </w:rPr>
              <w:t>720</w:t>
            </w:r>
            <w:r>
              <w:rPr>
                <w:bCs/>
              </w:rPr>
              <w:t>0</w:t>
            </w:r>
            <w:r>
              <w:rPr>
                <w:szCs w:val="32"/>
              </w:rPr>
              <w:t>m</w:t>
            </w:r>
            <w:r>
              <w:rPr>
                <w:szCs w:val="32"/>
                <w:vertAlign w:val="superscript"/>
              </w:rPr>
              <w:t>3</w:t>
            </w:r>
            <w:r>
              <w:rPr>
                <w:szCs w:val="32"/>
              </w:rPr>
              <w:t>/h；</w:t>
            </w:r>
          </w:p>
          <w:p w14:paraId="3122DDD1">
            <w:pPr>
              <w:adjustRightInd w:val="0"/>
              <w:snapToGrid w:val="0"/>
              <w:ind w:firstLine="1262" w:firstLineChars="526"/>
              <w:rPr>
                <w:szCs w:val="32"/>
              </w:rPr>
            </w:pPr>
            <w:r>
              <w:rPr>
                <w:szCs w:val="32"/>
              </w:rPr>
              <w:t>t—运行时间，单位h/d，本项目取值</w:t>
            </w:r>
            <w:r>
              <w:rPr>
                <w:rFonts w:hint="eastAsia"/>
                <w:bCs/>
              </w:rPr>
              <w:t>8</w:t>
            </w:r>
            <w:r>
              <w:rPr>
                <w:szCs w:val="32"/>
              </w:rPr>
              <w:t>h/d。</w:t>
            </w:r>
          </w:p>
          <w:p w14:paraId="21A456CC">
            <w:pPr>
              <w:adjustRightInd w:val="0"/>
              <w:snapToGrid w:val="0"/>
              <w:ind w:firstLine="480"/>
              <w:rPr>
                <w:szCs w:val="32"/>
              </w:rPr>
            </w:pPr>
            <w:r>
              <w:rPr>
                <w:szCs w:val="32"/>
              </w:rPr>
              <w:t>活性炭处理装置更换周期T=1</w:t>
            </w:r>
            <w:r>
              <w:rPr>
                <w:rFonts w:hint="eastAsia"/>
                <w:szCs w:val="32"/>
              </w:rPr>
              <w:t>0</w:t>
            </w:r>
            <w:r>
              <w:rPr>
                <w:szCs w:val="32"/>
              </w:rPr>
              <w:t>00kg×10%/（</w:t>
            </w:r>
            <w:r>
              <w:rPr>
                <w:rFonts w:hint="eastAsia"/>
                <w:szCs w:val="32"/>
              </w:rPr>
              <w:t>3.23</w:t>
            </w:r>
            <w:r>
              <w:rPr>
                <w:szCs w:val="32"/>
              </w:rPr>
              <w:t>mg/m</w:t>
            </w:r>
            <w:r>
              <w:rPr>
                <w:szCs w:val="32"/>
                <w:vertAlign w:val="superscript"/>
              </w:rPr>
              <w:t>3</w:t>
            </w:r>
            <w:r>
              <w:rPr>
                <w:szCs w:val="32"/>
              </w:rPr>
              <w:t>×10</w:t>
            </w:r>
            <w:r>
              <w:rPr>
                <w:szCs w:val="32"/>
                <w:vertAlign w:val="superscript"/>
              </w:rPr>
              <w:t>-6</w:t>
            </w:r>
            <w:r>
              <w:rPr>
                <w:szCs w:val="32"/>
              </w:rPr>
              <w:t>×</w:t>
            </w:r>
            <w:r>
              <w:rPr>
                <w:rFonts w:hint="eastAsia"/>
                <w:szCs w:val="32"/>
              </w:rPr>
              <w:t>72</w:t>
            </w:r>
            <w:r>
              <w:rPr>
                <w:szCs w:val="32"/>
              </w:rPr>
              <w:t>0</w:t>
            </w:r>
            <w:r>
              <w:rPr>
                <w:bCs/>
              </w:rPr>
              <w:t>0</w:t>
            </w:r>
            <w:r>
              <w:rPr>
                <w:szCs w:val="32"/>
              </w:rPr>
              <w:t>m</w:t>
            </w:r>
            <w:r>
              <w:rPr>
                <w:szCs w:val="32"/>
                <w:vertAlign w:val="superscript"/>
              </w:rPr>
              <w:t>3</w:t>
            </w:r>
            <w:r>
              <w:rPr>
                <w:szCs w:val="32"/>
              </w:rPr>
              <w:t>/h×</w:t>
            </w:r>
            <w:r>
              <w:rPr>
                <w:rFonts w:hint="eastAsia"/>
                <w:bCs/>
              </w:rPr>
              <w:t>8</w:t>
            </w:r>
            <w:r>
              <w:rPr>
                <w:szCs w:val="32"/>
              </w:rPr>
              <w:t>h/d）=</w:t>
            </w:r>
            <w:r>
              <w:rPr>
                <w:rFonts w:hint="eastAsia"/>
                <w:szCs w:val="32"/>
              </w:rPr>
              <w:t>537</w:t>
            </w:r>
            <w:r>
              <w:rPr>
                <w:szCs w:val="32"/>
              </w:rPr>
              <w:t>天，即活性炭更换周期约为</w:t>
            </w:r>
            <w:r>
              <w:rPr>
                <w:rFonts w:hint="eastAsia"/>
                <w:bCs/>
              </w:rPr>
              <w:t>537</w:t>
            </w:r>
            <w:r>
              <w:rPr>
                <w:szCs w:val="32"/>
              </w:rPr>
              <w:t>天，但考虑空气中含有大量水分，活性炭使用时间过长，效果变差，为保证后期营运过程中，有机废气能够得到有效处置，因此，</w:t>
            </w:r>
            <w:r>
              <w:rPr>
                <w:bCs/>
              </w:rPr>
              <w:t>废气处理装置</w:t>
            </w:r>
            <w:r>
              <w:rPr>
                <w:szCs w:val="32"/>
              </w:rPr>
              <w:t>活性炭的更换周期为：每</w:t>
            </w:r>
            <w:r>
              <w:rPr>
                <w:rFonts w:hint="eastAsia"/>
                <w:bCs/>
              </w:rPr>
              <w:t>一年</w:t>
            </w:r>
            <w:r>
              <w:rPr>
                <w:szCs w:val="32"/>
              </w:rPr>
              <w:t>更换一次。本项目年生产300d，年更换</w:t>
            </w:r>
            <w:r>
              <w:rPr>
                <w:rFonts w:hint="eastAsia"/>
                <w:szCs w:val="32"/>
              </w:rPr>
              <w:t>1</w:t>
            </w:r>
            <w:r>
              <w:rPr>
                <w:szCs w:val="32"/>
              </w:rPr>
              <w:t>次，每次更换量为1.0t，因此，最终确定的活性炭用量为</w:t>
            </w:r>
            <w:r>
              <w:rPr>
                <w:rFonts w:hint="eastAsia"/>
                <w:szCs w:val="32"/>
              </w:rPr>
              <w:t>1.0</w:t>
            </w:r>
            <w:r>
              <w:rPr>
                <w:szCs w:val="32"/>
              </w:rPr>
              <w:t>t。</w:t>
            </w:r>
          </w:p>
          <w:p w14:paraId="38A2889B">
            <w:pPr>
              <w:ind w:firstLine="480"/>
            </w:pPr>
            <w:r>
              <w:t>根据《关于加快解决当前挥发性有机物治理突出问题的通知》（环大气〔2021〕65号）中的相关要求：“采用颗粒活性炭作为吸附剂时，其碘值不宜低于800mg/g；采用蜂窝活性炭作为吸附剂时，其碘值不宜低于650mg/g”。</w:t>
            </w:r>
          </w:p>
          <w:p w14:paraId="4E5F7A80">
            <w:pPr>
              <w:ind w:firstLine="480"/>
            </w:pPr>
            <w:r>
              <w:t>根据《大气污染治理工程技术导则》（HJ2000-2010）及《吸附法工业有机废气治理工程技术规范》（HJ2026-2013）中的相关要求：“固定床吸附装置吸附层的气体流速应根据吸附剂的形态确定，采用颗粒状吸附剂时，气体流速宜低于0.6m/s；采用蜂窝状吸附剂时，气体流速宜低于1.2m/s”。</w:t>
            </w:r>
          </w:p>
          <w:p w14:paraId="3FEB5252">
            <w:pPr>
              <w:ind w:firstLine="480"/>
            </w:pPr>
            <w:r>
              <w:t>本项目采用</w:t>
            </w:r>
            <w:r>
              <w:rPr>
                <w:bCs/>
              </w:rPr>
              <w:t>颗粒状</w:t>
            </w:r>
            <w:r>
              <w:t>状活性炭，箱体内气体流速均&lt;</w:t>
            </w:r>
            <w:r>
              <w:rPr>
                <w:bCs/>
              </w:rPr>
              <w:t>0.6</w:t>
            </w:r>
            <w:r>
              <w:t>m/s，使用的活性炭碘值不低于800mg/g，结合《排污许可证申请与核发技术规范橡胶和塑料制品工业》（HJ1122-2020），该技术属于可行技术；因此项目拟采取的废气措施可行。</w:t>
            </w:r>
          </w:p>
          <w:p w14:paraId="41C1FB1E">
            <w:pPr>
              <w:snapToGrid w:val="0"/>
              <w:ind w:firstLine="482"/>
              <w:rPr>
                <w:b/>
              </w:rPr>
            </w:pPr>
            <w:r>
              <w:rPr>
                <w:rFonts w:hint="eastAsia" w:cs="Times New Roman"/>
                <w:b/>
                <w:szCs w:val="24"/>
              </w:rPr>
              <w:t>⑥废气监测要求</w:t>
            </w:r>
          </w:p>
          <w:p w14:paraId="49CB73E2">
            <w:pPr>
              <w:ind w:firstLine="480"/>
              <w:rPr>
                <w:bCs/>
              </w:rPr>
            </w:pPr>
            <w:r>
              <w:rPr>
                <w:rFonts w:hint="eastAsia" w:cs="Times New Roman"/>
                <w:bCs/>
                <w:szCs w:val="24"/>
              </w:rPr>
              <w:t>根据《排污单位自行监测技术指南火力发电及锅炉》(HJ820-2017)，本项目废气污染源监测项目及监测频次见下表。</w:t>
            </w:r>
          </w:p>
          <w:p w14:paraId="1D29719B">
            <w:pPr>
              <w:ind w:firstLine="422"/>
              <w:jc w:val="center"/>
              <w:rPr>
                <w:bCs/>
              </w:rPr>
            </w:pPr>
            <w:r>
              <w:rPr>
                <w:rFonts w:hint="eastAsia" w:cs="Times New Roman"/>
                <w:b/>
                <w:sz w:val="21"/>
                <w:szCs w:val="21"/>
              </w:rPr>
              <w:t>表4-6   本项目大气污染物监测计划（运行期间）</w:t>
            </w:r>
          </w:p>
          <w:tbl>
            <w:tblPr>
              <w:tblStyle w:val="34"/>
              <w:tblW w:w="87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9"/>
              <w:gridCol w:w="1296"/>
              <w:gridCol w:w="1940"/>
              <w:gridCol w:w="1864"/>
              <w:gridCol w:w="2610"/>
            </w:tblGrid>
            <w:tr w14:paraId="26CE8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9" w:type="dxa"/>
                </w:tcPr>
                <w:p w14:paraId="59F80C3E">
                  <w:pPr>
                    <w:pStyle w:val="86"/>
                    <w:rPr>
                      <w:rFonts w:hint="eastAsia"/>
                      <w:spacing w:val="7"/>
                      <w:sz w:val="21"/>
                      <w:szCs w:val="21"/>
                      <w:lang w:eastAsia="zh-CN"/>
                    </w:rPr>
                  </w:pPr>
                  <w:r>
                    <w:rPr>
                      <w:rFonts w:hint="eastAsia"/>
                      <w:spacing w:val="7"/>
                      <w:sz w:val="21"/>
                      <w:szCs w:val="21"/>
                      <w:lang w:eastAsia="zh-CN"/>
                    </w:rPr>
                    <w:t>类型</w:t>
                  </w:r>
                </w:p>
              </w:tc>
              <w:tc>
                <w:tcPr>
                  <w:tcW w:w="1296" w:type="dxa"/>
                </w:tcPr>
                <w:p w14:paraId="1BFA8490">
                  <w:pPr>
                    <w:pStyle w:val="86"/>
                    <w:rPr>
                      <w:rFonts w:hint="eastAsia"/>
                      <w:spacing w:val="7"/>
                      <w:sz w:val="21"/>
                      <w:szCs w:val="21"/>
                      <w:lang w:eastAsia="zh-CN"/>
                    </w:rPr>
                  </w:pPr>
                  <w:r>
                    <w:rPr>
                      <w:rFonts w:hint="eastAsia"/>
                      <w:spacing w:val="7"/>
                      <w:sz w:val="21"/>
                      <w:szCs w:val="21"/>
                      <w:lang w:eastAsia="zh-CN"/>
                    </w:rPr>
                    <w:t>监测点位</w:t>
                  </w:r>
                </w:p>
              </w:tc>
              <w:tc>
                <w:tcPr>
                  <w:tcW w:w="1940" w:type="dxa"/>
                </w:tcPr>
                <w:p w14:paraId="74BC3A36">
                  <w:pPr>
                    <w:pStyle w:val="86"/>
                    <w:rPr>
                      <w:rFonts w:hint="eastAsia"/>
                      <w:spacing w:val="7"/>
                      <w:sz w:val="21"/>
                      <w:szCs w:val="21"/>
                      <w:lang w:eastAsia="zh-CN"/>
                    </w:rPr>
                  </w:pPr>
                  <w:r>
                    <w:rPr>
                      <w:rFonts w:hint="eastAsia"/>
                      <w:spacing w:val="7"/>
                      <w:sz w:val="21"/>
                      <w:szCs w:val="21"/>
                      <w:lang w:eastAsia="zh-CN"/>
                    </w:rPr>
                    <w:t>监测因子</w:t>
                  </w:r>
                </w:p>
              </w:tc>
              <w:tc>
                <w:tcPr>
                  <w:tcW w:w="1864" w:type="dxa"/>
                </w:tcPr>
                <w:p w14:paraId="741228C5">
                  <w:pPr>
                    <w:pStyle w:val="86"/>
                    <w:rPr>
                      <w:rFonts w:hint="eastAsia"/>
                      <w:spacing w:val="7"/>
                      <w:sz w:val="21"/>
                      <w:szCs w:val="21"/>
                      <w:lang w:eastAsia="zh-CN"/>
                    </w:rPr>
                  </w:pPr>
                  <w:r>
                    <w:rPr>
                      <w:rFonts w:hint="eastAsia"/>
                      <w:spacing w:val="7"/>
                      <w:sz w:val="21"/>
                      <w:szCs w:val="21"/>
                      <w:lang w:eastAsia="zh-CN"/>
                    </w:rPr>
                    <w:t>监测频次</w:t>
                  </w:r>
                </w:p>
              </w:tc>
              <w:tc>
                <w:tcPr>
                  <w:tcW w:w="2610" w:type="dxa"/>
                </w:tcPr>
                <w:p w14:paraId="77B2F0D8">
                  <w:pPr>
                    <w:pStyle w:val="86"/>
                    <w:rPr>
                      <w:rFonts w:hint="eastAsia"/>
                      <w:spacing w:val="7"/>
                      <w:sz w:val="21"/>
                      <w:szCs w:val="21"/>
                      <w:lang w:eastAsia="zh-CN"/>
                    </w:rPr>
                  </w:pPr>
                  <w:r>
                    <w:rPr>
                      <w:rFonts w:hint="eastAsia"/>
                      <w:spacing w:val="7"/>
                      <w:sz w:val="21"/>
                      <w:szCs w:val="21"/>
                      <w:lang w:eastAsia="zh-CN"/>
                    </w:rPr>
                    <w:t>执行标准</w:t>
                  </w:r>
                </w:p>
              </w:tc>
            </w:tr>
            <w:tr w14:paraId="72386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9" w:type="dxa"/>
                  <w:vMerge w:val="restart"/>
                </w:tcPr>
                <w:p w14:paraId="5B6703B3">
                  <w:pPr>
                    <w:pStyle w:val="86"/>
                    <w:rPr>
                      <w:rFonts w:hint="eastAsia"/>
                      <w:spacing w:val="7"/>
                      <w:sz w:val="21"/>
                      <w:szCs w:val="21"/>
                      <w:lang w:eastAsia="zh-CN"/>
                    </w:rPr>
                  </w:pPr>
                  <w:r>
                    <w:rPr>
                      <w:rFonts w:hint="eastAsia"/>
                      <w:spacing w:val="7"/>
                      <w:sz w:val="21"/>
                      <w:szCs w:val="21"/>
                      <w:lang w:eastAsia="zh-CN"/>
                    </w:rPr>
                    <w:t>有组织</w:t>
                  </w:r>
                </w:p>
              </w:tc>
              <w:tc>
                <w:tcPr>
                  <w:tcW w:w="1296" w:type="dxa"/>
                  <w:vMerge w:val="restart"/>
                </w:tcPr>
                <w:p w14:paraId="1A05C3F2">
                  <w:pPr>
                    <w:pStyle w:val="86"/>
                    <w:rPr>
                      <w:rFonts w:hint="eastAsia"/>
                      <w:spacing w:val="7"/>
                      <w:sz w:val="21"/>
                      <w:szCs w:val="21"/>
                      <w:lang w:eastAsia="zh-CN"/>
                    </w:rPr>
                  </w:pPr>
                  <w:r>
                    <w:rPr>
                      <w:rFonts w:hint="eastAsia"/>
                      <w:spacing w:val="7"/>
                      <w:sz w:val="21"/>
                      <w:szCs w:val="21"/>
                      <w:lang w:eastAsia="zh-CN"/>
                    </w:rPr>
                    <w:t>模温机废气排放口</w:t>
                  </w:r>
                  <w:r>
                    <w:rPr>
                      <w:rFonts w:hint="eastAsia" w:cs="Times New Roman"/>
                      <w:sz w:val="21"/>
                      <w:szCs w:val="21"/>
                      <w:lang w:eastAsia="zh-CN"/>
                    </w:rPr>
                    <w:t>DA003</w:t>
                  </w:r>
                </w:p>
              </w:tc>
              <w:tc>
                <w:tcPr>
                  <w:tcW w:w="1940" w:type="dxa"/>
                  <w:vAlign w:val="center"/>
                </w:tcPr>
                <w:p w14:paraId="6A3ACD30">
                  <w:pPr>
                    <w:spacing w:line="240" w:lineRule="auto"/>
                    <w:ind w:firstLine="0" w:firstLineChars="0"/>
                    <w:jc w:val="center"/>
                    <w:rPr>
                      <w:kern w:val="0"/>
                      <w:sz w:val="21"/>
                      <w:szCs w:val="21"/>
                    </w:rPr>
                  </w:pPr>
                  <w:r>
                    <w:rPr>
                      <w:kern w:val="0"/>
                      <w:sz w:val="21"/>
                      <w:szCs w:val="21"/>
                    </w:rPr>
                    <w:t>颗粒物</w:t>
                  </w:r>
                </w:p>
              </w:tc>
              <w:tc>
                <w:tcPr>
                  <w:tcW w:w="1864" w:type="dxa"/>
                  <w:vAlign w:val="center"/>
                </w:tcPr>
                <w:p w14:paraId="6CDEA611">
                  <w:pPr>
                    <w:spacing w:line="240" w:lineRule="auto"/>
                    <w:ind w:firstLine="0" w:firstLineChars="0"/>
                    <w:jc w:val="center"/>
                    <w:rPr>
                      <w:kern w:val="0"/>
                      <w:sz w:val="21"/>
                      <w:szCs w:val="21"/>
                    </w:rPr>
                  </w:pPr>
                  <w:r>
                    <w:rPr>
                      <w:rFonts w:hint="eastAsia" w:cs="Times New Roman"/>
                      <w:kern w:val="0"/>
                      <w:sz w:val="21"/>
                      <w:szCs w:val="21"/>
                    </w:rPr>
                    <w:t>1次/年</w:t>
                  </w:r>
                </w:p>
              </w:tc>
              <w:tc>
                <w:tcPr>
                  <w:tcW w:w="2610" w:type="dxa"/>
                  <w:vMerge w:val="restart"/>
                  <w:vAlign w:val="center"/>
                </w:tcPr>
                <w:p w14:paraId="3495CF24">
                  <w:pPr>
                    <w:widowControl/>
                    <w:spacing w:line="240" w:lineRule="auto"/>
                    <w:ind w:firstLine="0" w:firstLineChars="0"/>
                    <w:jc w:val="center"/>
                    <w:rPr>
                      <w:kern w:val="0"/>
                      <w:sz w:val="21"/>
                      <w:szCs w:val="21"/>
                    </w:rPr>
                  </w:pPr>
                  <w:r>
                    <w:rPr>
                      <w:rFonts w:hint="eastAsia"/>
                      <w:kern w:val="0"/>
                      <w:sz w:val="21"/>
                      <w:szCs w:val="21"/>
                    </w:rPr>
                    <w:t>《</w:t>
                  </w:r>
                  <w:r>
                    <w:rPr>
                      <w:kern w:val="0"/>
                      <w:sz w:val="21"/>
                      <w:szCs w:val="21"/>
                    </w:rPr>
                    <w:t>锅炉大气污染物排放标准》（GB 13271-2014）表</w:t>
                  </w:r>
                  <w:r>
                    <w:rPr>
                      <w:rFonts w:hint="eastAsia"/>
                      <w:kern w:val="0"/>
                      <w:sz w:val="21"/>
                      <w:szCs w:val="21"/>
                    </w:rPr>
                    <w:t>2</w:t>
                  </w:r>
                  <w:r>
                    <w:rPr>
                      <w:kern w:val="0"/>
                      <w:sz w:val="21"/>
                      <w:szCs w:val="21"/>
                    </w:rPr>
                    <w:t>中</w:t>
                  </w:r>
                  <w:r>
                    <w:rPr>
                      <w:rFonts w:hint="eastAsia"/>
                      <w:kern w:val="0"/>
                      <w:sz w:val="21"/>
                      <w:szCs w:val="21"/>
                    </w:rPr>
                    <w:t>新建锅炉大气污染物排放浓度限值</w:t>
                  </w:r>
                </w:p>
              </w:tc>
            </w:tr>
            <w:tr w14:paraId="13972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9" w:type="dxa"/>
                  <w:vMerge w:val="continue"/>
                </w:tcPr>
                <w:p w14:paraId="77D6744D">
                  <w:pPr>
                    <w:pStyle w:val="86"/>
                    <w:rPr>
                      <w:rFonts w:hint="eastAsia"/>
                      <w:spacing w:val="7"/>
                      <w:sz w:val="21"/>
                      <w:szCs w:val="21"/>
                      <w:lang w:eastAsia="zh-CN"/>
                    </w:rPr>
                  </w:pPr>
                </w:p>
              </w:tc>
              <w:tc>
                <w:tcPr>
                  <w:tcW w:w="1296" w:type="dxa"/>
                  <w:vMerge w:val="continue"/>
                </w:tcPr>
                <w:p w14:paraId="7938B2F8">
                  <w:pPr>
                    <w:pStyle w:val="86"/>
                    <w:rPr>
                      <w:rFonts w:hint="eastAsia"/>
                      <w:spacing w:val="7"/>
                      <w:sz w:val="21"/>
                      <w:szCs w:val="21"/>
                      <w:lang w:eastAsia="zh-CN"/>
                    </w:rPr>
                  </w:pPr>
                </w:p>
              </w:tc>
              <w:tc>
                <w:tcPr>
                  <w:tcW w:w="1940" w:type="dxa"/>
                  <w:vAlign w:val="center"/>
                </w:tcPr>
                <w:p w14:paraId="0F36BDD2">
                  <w:pPr>
                    <w:spacing w:line="240" w:lineRule="auto"/>
                    <w:ind w:firstLine="0" w:firstLineChars="0"/>
                    <w:jc w:val="center"/>
                    <w:rPr>
                      <w:kern w:val="0"/>
                      <w:sz w:val="21"/>
                      <w:szCs w:val="21"/>
                    </w:rPr>
                  </w:pPr>
                  <w:r>
                    <w:rPr>
                      <w:kern w:val="0"/>
                      <w:sz w:val="21"/>
                      <w:szCs w:val="21"/>
                    </w:rPr>
                    <w:t>SO</w:t>
                  </w:r>
                  <w:r>
                    <w:rPr>
                      <w:kern w:val="0"/>
                      <w:sz w:val="21"/>
                      <w:szCs w:val="21"/>
                      <w:vertAlign w:val="subscript"/>
                    </w:rPr>
                    <w:t>2</w:t>
                  </w:r>
                </w:p>
              </w:tc>
              <w:tc>
                <w:tcPr>
                  <w:tcW w:w="1864" w:type="dxa"/>
                  <w:vAlign w:val="center"/>
                </w:tcPr>
                <w:p w14:paraId="421CE027">
                  <w:pPr>
                    <w:spacing w:line="240" w:lineRule="auto"/>
                    <w:ind w:firstLine="0" w:firstLineChars="0"/>
                    <w:jc w:val="center"/>
                    <w:rPr>
                      <w:kern w:val="0"/>
                      <w:sz w:val="21"/>
                      <w:szCs w:val="21"/>
                    </w:rPr>
                  </w:pPr>
                  <w:r>
                    <w:rPr>
                      <w:rFonts w:hint="eastAsia" w:cs="Times New Roman"/>
                      <w:kern w:val="0"/>
                      <w:sz w:val="21"/>
                      <w:szCs w:val="21"/>
                    </w:rPr>
                    <w:t>1次/年</w:t>
                  </w:r>
                </w:p>
              </w:tc>
              <w:tc>
                <w:tcPr>
                  <w:tcW w:w="2610" w:type="dxa"/>
                  <w:vMerge w:val="continue"/>
                </w:tcPr>
                <w:p w14:paraId="68D02137">
                  <w:pPr>
                    <w:pStyle w:val="86"/>
                    <w:rPr>
                      <w:rFonts w:hint="eastAsia"/>
                      <w:spacing w:val="7"/>
                      <w:sz w:val="21"/>
                      <w:szCs w:val="21"/>
                      <w:lang w:eastAsia="zh-CN"/>
                    </w:rPr>
                  </w:pPr>
                </w:p>
              </w:tc>
            </w:tr>
            <w:tr w14:paraId="5D8B3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9" w:type="dxa"/>
                  <w:vMerge w:val="continue"/>
                </w:tcPr>
                <w:p w14:paraId="29D22240">
                  <w:pPr>
                    <w:pStyle w:val="86"/>
                    <w:rPr>
                      <w:rFonts w:hint="eastAsia"/>
                      <w:spacing w:val="7"/>
                      <w:sz w:val="21"/>
                      <w:szCs w:val="21"/>
                      <w:lang w:eastAsia="zh-CN"/>
                    </w:rPr>
                  </w:pPr>
                </w:p>
              </w:tc>
              <w:tc>
                <w:tcPr>
                  <w:tcW w:w="1296" w:type="dxa"/>
                  <w:vMerge w:val="continue"/>
                </w:tcPr>
                <w:p w14:paraId="7D78BECC">
                  <w:pPr>
                    <w:pStyle w:val="86"/>
                    <w:rPr>
                      <w:rFonts w:hint="eastAsia"/>
                      <w:spacing w:val="7"/>
                      <w:sz w:val="21"/>
                      <w:szCs w:val="21"/>
                      <w:lang w:eastAsia="zh-CN"/>
                    </w:rPr>
                  </w:pPr>
                </w:p>
              </w:tc>
              <w:tc>
                <w:tcPr>
                  <w:tcW w:w="1940" w:type="dxa"/>
                  <w:vAlign w:val="center"/>
                </w:tcPr>
                <w:p w14:paraId="1C3C983D">
                  <w:pPr>
                    <w:spacing w:line="240" w:lineRule="auto"/>
                    <w:ind w:firstLine="0" w:firstLineChars="0"/>
                    <w:jc w:val="center"/>
                    <w:rPr>
                      <w:kern w:val="0"/>
                      <w:sz w:val="21"/>
                      <w:szCs w:val="21"/>
                    </w:rPr>
                  </w:pPr>
                  <w:r>
                    <w:rPr>
                      <w:kern w:val="0"/>
                      <w:sz w:val="21"/>
                      <w:szCs w:val="21"/>
                    </w:rPr>
                    <w:t>NOx</w:t>
                  </w:r>
                </w:p>
              </w:tc>
              <w:tc>
                <w:tcPr>
                  <w:tcW w:w="1864" w:type="dxa"/>
                  <w:vAlign w:val="center"/>
                </w:tcPr>
                <w:p w14:paraId="5BA92703">
                  <w:pPr>
                    <w:spacing w:line="240" w:lineRule="auto"/>
                    <w:ind w:firstLine="0" w:firstLineChars="0"/>
                    <w:jc w:val="center"/>
                    <w:rPr>
                      <w:kern w:val="0"/>
                      <w:sz w:val="21"/>
                      <w:szCs w:val="21"/>
                    </w:rPr>
                  </w:pPr>
                  <w:r>
                    <w:rPr>
                      <w:rFonts w:hint="eastAsia" w:cs="Times New Roman"/>
                      <w:kern w:val="0"/>
                      <w:sz w:val="21"/>
                      <w:szCs w:val="21"/>
                    </w:rPr>
                    <w:t>1次/年</w:t>
                  </w:r>
                </w:p>
              </w:tc>
              <w:tc>
                <w:tcPr>
                  <w:tcW w:w="2610" w:type="dxa"/>
                  <w:vMerge w:val="continue"/>
                </w:tcPr>
                <w:p w14:paraId="034A898B">
                  <w:pPr>
                    <w:pStyle w:val="86"/>
                    <w:rPr>
                      <w:rFonts w:hint="eastAsia"/>
                      <w:spacing w:val="7"/>
                      <w:sz w:val="21"/>
                      <w:szCs w:val="21"/>
                      <w:lang w:eastAsia="zh-CN"/>
                    </w:rPr>
                  </w:pPr>
                </w:p>
              </w:tc>
            </w:tr>
            <w:tr w14:paraId="09547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9" w:type="dxa"/>
                  <w:vMerge w:val="continue"/>
                </w:tcPr>
                <w:p w14:paraId="410CA10D">
                  <w:pPr>
                    <w:pStyle w:val="86"/>
                    <w:rPr>
                      <w:rFonts w:hint="eastAsia"/>
                      <w:spacing w:val="7"/>
                      <w:sz w:val="21"/>
                      <w:szCs w:val="21"/>
                      <w:lang w:eastAsia="zh-CN"/>
                    </w:rPr>
                  </w:pPr>
                </w:p>
              </w:tc>
              <w:tc>
                <w:tcPr>
                  <w:tcW w:w="1296" w:type="dxa"/>
                  <w:vMerge w:val="continue"/>
                </w:tcPr>
                <w:p w14:paraId="1C8B39E7">
                  <w:pPr>
                    <w:pStyle w:val="86"/>
                    <w:rPr>
                      <w:rFonts w:hint="eastAsia"/>
                      <w:spacing w:val="7"/>
                      <w:sz w:val="21"/>
                      <w:szCs w:val="21"/>
                      <w:lang w:eastAsia="zh-CN"/>
                    </w:rPr>
                  </w:pPr>
                </w:p>
              </w:tc>
              <w:tc>
                <w:tcPr>
                  <w:tcW w:w="1940" w:type="dxa"/>
                  <w:vAlign w:val="center"/>
                </w:tcPr>
                <w:p w14:paraId="24392604">
                  <w:pPr>
                    <w:spacing w:line="240" w:lineRule="auto"/>
                    <w:ind w:firstLine="0" w:firstLineChars="0"/>
                    <w:jc w:val="center"/>
                    <w:rPr>
                      <w:kern w:val="0"/>
                      <w:sz w:val="21"/>
                      <w:szCs w:val="21"/>
                    </w:rPr>
                  </w:pPr>
                  <w:r>
                    <w:rPr>
                      <w:kern w:val="0"/>
                      <w:sz w:val="21"/>
                      <w:szCs w:val="21"/>
                    </w:rPr>
                    <w:t>烟气黑度（林格曼黑度，级）</w:t>
                  </w:r>
                </w:p>
              </w:tc>
              <w:tc>
                <w:tcPr>
                  <w:tcW w:w="1864" w:type="dxa"/>
                  <w:vAlign w:val="center"/>
                </w:tcPr>
                <w:p w14:paraId="3F742BCA">
                  <w:pPr>
                    <w:spacing w:line="240" w:lineRule="auto"/>
                    <w:ind w:firstLine="0" w:firstLineChars="0"/>
                    <w:jc w:val="center"/>
                    <w:rPr>
                      <w:kern w:val="0"/>
                      <w:sz w:val="21"/>
                      <w:szCs w:val="21"/>
                    </w:rPr>
                  </w:pPr>
                  <w:r>
                    <w:rPr>
                      <w:rFonts w:hint="eastAsia" w:cs="Times New Roman"/>
                      <w:kern w:val="0"/>
                      <w:sz w:val="21"/>
                      <w:szCs w:val="21"/>
                    </w:rPr>
                    <w:t>1次/年</w:t>
                  </w:r>
                </w:p>
              </w:tc>
              <w:tc>
                <w:tcPr>
                  <w:tcW w:w="2610" w:type="dxa"/>
                  <w:vMerge w:val="continue"/>
                </w:tcPr>
                <w:p w14:paraId="66C0B108">
                  <w:pPr>
                    <w:pStyle w:val="86"/>
                    <w:rPr>
                      <w:rFonts w:hint="eastAsia"/>
                      <w:spacing w:val="7"/>
                      <w:sz w:val="21"/>
                      <w:szCs w:val="21"/>
                      <w:lang w:eastAsia="zh-CN"/>
                    </w:rPr>
                  </w:pPr>
                </w:p>
              </w:tc>
            </w:tr>
            <w:tr w14:paraId="652C7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79" w:type="dxa"/>
                  <w:vMerge w:val="continue"/>
                </w:tcPr>
                <w:p w14:paraId="08B82FE0">
                  <w:pPr>
                    <w:pStyle w:val="86"/>
                    <w:rPr>
                      <w:rFonts w:hint="eastAsia"/>
                      <w:spacing w:val="7"/>
                      <w:sz w:val="21"/>
                      <w:szCs w:val="21"/>
                      <w:lang w:eastAsia="zh-CN"/>
                    </w:rPr>
                  </w:pPr>
                </w:p>
              </w:tc>
              <w:tc>
                <w:tcPr>
                  <w:tcW w:w="1296" w:type="dxa"/>
                  <w:vMerge w:val="restart"/>
                </w:tcPr>
                <w:p w14:paraId="1D115707">
                  <w:pPr>
                    <w:pStyle w:val="86"/>
                    <w:rPr>
                      <w:rFonts w:hint="eastAsia"/>
                      <w:spacing w:val="7"/>
                      <w:sz w:val="21"/>
                      <w:szCs w:val="21"/>
                      <w:lang w:eastAsia="zh-CN"/>
                    </w:rPr>
                  </w:pPr>
                  <w:r>
                    <w:rPr>
                      <w:rFonts w:hint="eastAsia"/>
                      <w:bCs/>
                      <w:sz w:val="21"/>
                      <w:szCs w:val="21"/>
                      <w:lang w:eastAsia="zh-CN"/>
                    </w:rPr>
                    <w:t>压贴机活性炭排口</w:t>
                  </w:r>
                  <w:r>
                    <w:rPr>
                      <w:rFonts w:hint="eastAsia" w:cs="Times New Roman"/>
                      <w:sz w:val="21"/>
                      <w:szCs w:val="21"/>
                      <w:lang w:eastAsia="zh-CN"/>
                    </w:rPr>
                    <w:t>DA002</w:t>
                  </w:r>
                </w:p>
              </w:tc>
              <w:tc>
                <w:tcPr>
                  <w:tcW w:w="1940" w:type="dxa"/>
                </w:tcPr>
                <w:p w14:paraId="3D44794A">
                  <w:pPr>
                    <w:pStyle w:val="86"/>
                    <w:rPr>
                      <w:rFonts w:hint="eastAsia"/>
                      <w:kern w:val="0"/>
                      <w:sz w:val="21"/>
                      <w:szCs w:val="21"/>
                    </w:rPr>
                  </w:pPr>
                  <w:r>
                    <w:rPr>
                      <w:rFonts w:hint="eastAsia" w:ascii="Times New Roman" w:hAnsi="Times New Roman" w:cs="Times New Roman"/>
                      <w:bCs/>
                      <w:sz w:val="21"/>
                      <w:szCs w:val="21"/>
                      <w:lang w:eastAsia="zh-CN"/>
                    </w:rPr>
                    <w:t>甲醛</w:t>
                  </w:r>
                </w:p>
              </w:tc>
              <w:tc>
                <w:tcPr>
                  <w:tcW w:w="1864" w:type="dxa"/>
                  <w:vAlign w:val="center"/>
                </w:tcPr>
                <w:p w14:paraId="06EDEC3F">
                  <w:pPr>
                    <w:spacing w:line="0" w:lineRule="atLeast"/>
                    <w:ind w:firstLine="420"/>
                    <w:rPr>
                      <w:bCs/>
                      <w:sz w:val="21"/>
                      <w:szCs w:val="21"/>
                    </w:rPr>
                  </w:pPr>
                  <w:r>
                    <w:rPr>
                      <w:bCs/>
                      <w:sz w:val="21"/>
                      <w:szCs w:val="21"/>
                    </w:rPr>
                    <w:t>1次/年</w:t>
                  </w:r>
                </w:p>
              </w:tc>
              <w:tc>
                <w:tcPr>
                  <w:tcW w:w="2610" w:type="dxa"/>
                  <w:vMerge w:val="restart"/>
                </w:tcPr>
                <w:p w14:paraId="708CD0A0">
                  <w:pPr>
                    <w:pStyle w:val="86"/>
                    <w:rPr>
                      <w:rFonts w:hint="eastAsia"/>
                      <w:spacing w:val="7"/>
                      <w:sz w:val="21"/>
                      <w:szCs w:val="21"/>
                      <w:lang w:eastAsia="zh-CN"/>
                    </w:rPr>
                  </w:pPr>
                  <w:r>
                    <w:rPr>
                      <w:rFonts w:hint="eastAsia"/>
                      <w:kern w:val="0"/>
                      <w:sz w:val="21"/>
                      <w:szCs w:val="21"/>
                      <w:lang w:eastAsia="zh-CN"/>
                    </w:rPr>
                    <w:t>《四川省固定污染源大气挥发性有机物排放标准》（DB51/2377-2017）</w:t>
                  </w:r>
                </w:p>
              </w:tc>
            </w:tr>
            <w:tr w14:paraId="15F80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9" w:type="dxa"/>
                  <w:vMerge w:val="continue"/>
                </w:tcPr>
                <w:p w14:paraId="76B581DA">
                  <w:pPr>
                    <w:pStyle w:val="86"/>
                    <w:rPr>
                      <w:rFonts w:hint="eastAsia"/>
                      <w:spacing w:val="7"/>
                      <w:sz w:val="21"/>
                      <w:szCs w:val="21"/>
                      <w:lang w:eastAsia="zh-CN"/>
                    </w:rPr>
                  </w:pPr>
                </w:p>
              </w:tc>
              <w:tc>
                <w:tcPr>
                  <w:tcW w:w="1296" w:type="dxa"/>
                  <w:vMerge w:val="continue"/>
                </w:tcPr>
                <w:p w14:paraId="2C437AD6">
                  <w:pPr>
                    <w:pStyle w:val="86"/>
                    <w:rPr>
                      <w:rFonts w:hint="eastAsia"/>
                      <w:spacing w:val="7"/>
                      <w:sz w:val="21"/>
                      <w:szCs w:val="21"/>
                      <w:lang w:eastAsia="zh-CN"/>
                    </w:rPr>
                  </w:pPr>
                </w:p>
              </w:tc>
              <w:tc>
                <w:tcPr>
                  <w:tcW w:w="1940" w:type="dxa"/>
                </w:tcPr>
                <w:p w14:paraId="33CC3A49">
                  <w:pPr>
                    <w:pStyle w:val="86"/>
                    <w:rPr>
                      <w:rFonts w:hint="eastAsia"/>
                      <w:kern w:val="0"/>
                      <w:sz w:val="21"/>
                      <w:szCs w:val="21"/>
                      <w:lang w:eastAsia="zh-CN"/>
                    </w:rPr>
                  </w:pPr>
                  <w:r>
                    <w:rPr>
                      <w:bCs/>
                      <w:sz w:val="21"/>
                      <w:szCs w:val="21"/>
                      <w:lang w:eastAsia="zh-CN"/>
                    </w:rPr>
                    <w:t>VOCs</w:t>
                  </w:r>
                </w:p>
              </w:tc>
              <w:tc>
                <w:tcPr>
                  <w:tcW w:w="1864" w:type="dxa"/>
                  <w:vAlign w:val="center"/>
                </w:tcPr>
                <w:p w14:paraId="3CE4D47E">
                  <w:pPr>
                    <w:spacing w:line="0" w:lineRule="atLeast"/>
                    <w:ind w:firstLine="420"/>
                    <w:rPr>
                      <w:bCs/>
                      <w:sz w:val="21"/>
                      <w:szCs w:val="21"/>
                    </w:rPr>
                  </w:pPr>
                  <w:r>
                    <w:rPr>
                      <w:bCs/>
                      <w:sz w:val="21"/>
                      <w:szCs w:val="21"/>
                    </w:rPr>
                    <w:t>1次/年</w:t>
                  </w:r>
                </w:p>
              </w:tc>
              <w:tc>
                <w:tcPr>
                  <w:tcW w:w="2610" w:type="dxa"/>
                  <w:vMerge w:val="continue"/>
                </w:tcPr>
                <w:p w14:paraId="31B8B4AD">
                  <w:pPr>
                    <w:pStyle w:val="86"/>
                    <w:rPr>
                      <w:rFonts w:hint="eastAsia"/>
                      <w:spacing w:val="7"/>
                      <w:sz w:val="21"/>
                      <w:szCs w:val="21"/>
                      <w:lang w:eastAsia="zh-CN"/>
                    </w:rPr>
                  </w:pPr>
                </w:p>
              </w:tc>
            </w:tr>
            <w:tr w14:paraId="15C8B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9" w:type="dxa"/>
                  <w:vMerge w:val="restart"/>
                </w:tcPr>
                <w:p w14:paraId="6854841B">
                  <w:pPr>
                    <w:pStyle w:val="86"/>
                    <w:rPr>
                      <w:rFonts w:hint="eastAsia"/>
                      <w:spacing w:val="7"/>
                      <w:sz w:val="21"/>
                      <w:szCs w:val="21"/>
                      <w:lang w:eastAsia="zh-CN"/>
                    </w:rPr>
                  </w:pPr>
                  <w:r>
                    <w:rPr>
                      <w:rFonts w:hint="eastAsia"/>
                      <w:spacing w:val="7"/>
                      <w:sz w:val="21"/>
                      <w:szCs w:val="21"/>
                      <w:lang w:eastAsia="zh-CN"/>
                    </w:rPr>
                    <w:t>无组织</w:t>
                  </w:r>
                </w:p>
              </w:tc>
              <w:tc>
                <w:tcPr>
                  <w:tcW w:w="1296" w:type="dxa"/>
                  <w:vMerge w:val="restart"/>
                </w:tcPr>
                <w:p w14:paraId="0D5CE411">
                  <w:pPr>
                    <w:pStyle w:val="86"/>
                    <w:rPr>
                      <w:rFonts w:hint="eastAsia"/>
                      <w:spacing w:val="7"/>
                      <w:sz w:val="21"/>
                      <w:szCs w:val="21"/>
                      <w:lang w:eastAsia="zh-CN"/>
                    </w:rPr>
                  </w:pPr>
                  <w:r>
                    <w:rPr>
                      <w:bCs/>
                      <w:sz w:val="21"/>
                      <w:szCs w:val="21"/>
                      <w:lang w:eastAsia="zh-CN"/>
                    </w:rPr>
                    <w:t>厂界</w:t>
                  </w:r>
                </w:p>
              </w:tc>
              <w:tc>
                <w:tcPr>
                  <w:tcW w:w="1940" w:type="dxa"/>
                </w:tcPr>
                <w:p w14:paraId="3FA61500">
                  <w:pPr>
                    <w:pStyle w:val="86"/>
                    <w:rPr>
                      <w:rFonts w:hint="eastAsia"/>
                      <w:kern w:val="0"/>
                      <w:sz w:val="21"/>
                      <w:szCs w:val="21"/>
                      <w:lang w:eastAsia="zh-CN"/>
                    </w:rPr>
                  </w:pPr>
                  <w:r>
                    <w:rPr>
                      <w:rFonts w:hint="eastAsia" w:ascii="Times New Roman" w:hAnsi="Times New Roman" w:cs="Times New Roman"/>
                      <w:bCs/>
                      <w:sz w:val="21"/>
                      <w:szCs w:val="21"/>
                      <w:lang w:eastAsia="zh-CN"/>
                    </w:rPr>
                    <w:t>甲醛</w:t>
                  </w:r>
                </w:p>
              </w:tc>
              <w:tc>
                <w:tcPr>
                  <w:tcW w:w="1864" w:type="dxa"/>
                  <w:vAlign w:val="center"/>
                </w:tcPr>
                <w:p w14:paraId="61807D03">
                  <w:pPr>
                    <w:spacing w:line="0" w:lineRule="atLeast"/>
                    <w:ind w:firstLine="420"/>
                    <w:rPr>
                      <w:bCs/>
                      <w:sz w:val="21"/>
                      <w:szCs w:val="21"/>
                    </w:rPr>
                  </w:pPr>
                  <w:r>
                    <w:rPr>
                      <w:bCs/>
                      <w:sz w:val="21"/>
                      <w:szCs w:val="21"/>
                    </w:rPr>
                    <w:t>1次/年</w:t>
                  </w:r>
                </w:p>
              </w:tc>
              <w:tc>
                <w:tcPr>
                  <w:tcW w:w="2610" w:type="dxa"/>
                  <w:vMerge w:val="continue"/>
                </w:tcPr>
                <w:p w14:paraId="1948B808">
                  <w:pPr>
                    <w:pStyle w:val="86"/>
                    <w:rPr>
                      <w:rFonts w:hint="eastAsia"/>
                      <w:spacing w:val="7"/>
                      <w:sz w:val="21"/>
                      <w:szCs w:val="21"/>
                      <w:lang w:eastAsia="zh-CN"/>
                    </w:rPr>
                  </w:pPr>
                </w:p>
              </w:tc>
            </w:tr>
            <w:tr w14:paraId="27C27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9" w:type="dxa"/>
                  <w:vMerge w:val="continue"/>
                </w:tcPr>
                <w:p w14:paraId="5081AFAE">
                  <w:pPr>
                    <w:pStyle w:val="86"/>
                    <w:rPr>
                      <w:rFonts w:hint="eastAsia"/>
                      <w:spacing w:val="7"/>
                      <w:sz w:val="21"/>
                      <w:szCs w:val="21"/>
                      <w:lang w:eastAsia="zh-CN"/>
                    </w:rPr>
                  </w:pPr>
                </w:p>
              </w:tc>
              <w:tc>
                <w:tcPr>
                  <w:tcW w:w="1296" w:type="dxa"/>
                  <w:vMerge w:val="continue"/>
                </w:tcPr>
                <w:p w14:paraId="1A3D7EEE">
                  <w:pPr>
                    <w:pStyle w:val="86"/>
                    <w:rPr>
                      <w:rFonts w:hint="eastAsia"/>
                      <w:bCs/>
                      <w:sz w:val="21"/>
                      <w:szCs w:val="21"/>
                      <w:lang w:eastAsia="zh-CN"/>
                    </w:rPr>
                  </w:pPr>
                </w:p>
              </w:tc>
              <w:tc>
                <w:tcPr>
                  <w:tcW w:w="1940" w:type="dxa"/>
                </w:tcPr>
                <w:p w14:paraId="443B2656">
                  <w:pPr>
                    <w:pStyle w:val="86"/>
                    <w:rPr>
                      <w:rFonts w:hint="eastAsia"/>
                      <w:kern w:val="0"/>
                      <w:sz w:val="21"/>
                      <w:szCs w:val="21"/>
                      <w:lang w:eastAsia="zh-CN"/>
                    </w:rPr>
                  </w:pPr>
                  <w:r>
                    <w:rPr>
                      <w:bCs/>
                      <w:sz w:val="21"/>
                      <w:szCs w:val="21"/>
                      <w:lang w:eastAsia="zh-CN"/>
                    </w:rPr>
                    <w:t>VOCs</w:t>
                  </w:r>
                </w:p>
              </w:tc>
              <w:tc>
                <w:tcPr>
                  <w:tcW w:w="1864" w:type="dxa"/>
                  <w:vAlign w:val="center"/>
                </w:tcPr>
                <w:p w14:paraId="2C3A7BB9">
                  <w:pPr>
                    <w:spacing w:line="240" w:lineRule="auto"/>
                    <w:ind w:firstLine="0" w:firstLineChars="0"/>
                    <w:jc w:val="center"/>
                    <w:rPr>
                      <w:rFonts w:cs="Times New Roman"/>
                      <w:kern w:val="0"/>
                      <w:sz w:val="21"/>
                      <w:szCs w:val="21"/>
                    </w:rPr>
                  </w:pPr>
                  <w:r>
                    <w:rPr>
                      <w:bCs/>
                      <w:sz w:val="21"/>
                      <w:szCs w:val="21"/>
                    </w:rPr>
                    <w:t>1次/年</w:t>
                  </w:r>
                </w:p>
              </w:tc>
              <w:tc>
                <w:tcPr>
                  <w:tcW w:w="2610" w:type="dxa"/>
                  <w:vMerge w:val="continue"/>
                </w:tcPr>
                <w:p w14:paraId="5AA930D0">
                  <w:pPr>
                    <w:pStyle w:val="86"/>
                    <w:rPr>
                      <w:rFonts w:hint="eastAsia"/>
                      <w:spacing w:val="7"/>
                      <w:sz w:val="21"/>
                      <w:szCs w:val="21"/>
                      <w:lang w:eastAsia="zh-CN"/>
                    </w:rPr>
                  </w:pPr>
                </w:p>
              </w:tc>
            </w:tr>
          </w:tbl>
          <w:p w14:paraId="6A2D2171">
            <w:pPr>
              <w:ind w:firstLine="482"/>
              <w:rPr>
                <w:b/>
              </w:rPr>
            </w:pPr>
            <w:r>
              <w:rPr>
                <w:rFonts w:hint="eastAsia" w:cs="Times New Roman"/>
                <w:b/>
                <w:szCs w:val="24"/>
              </w:rPr>
              <w:t>2、水环境影响及污染防治措施分析</w:t>
            </w:r>
          </w:p>
          <w:p w14:paraId="6068D732">
            <w:pPr>
              <w:ind w:firstLine="480"/>
              <w:rPr>
                <w:rFonts w:cs="Times New Roman"/>
                <w:bCs/>
              </w:rPr>
            </w:pPr>
            <w:r>
              <w:rPr>
                <w:rFonts w:hint="eastAsia" w:cs="Times New Roman"/>
                <w:bCs/>
              </w:rPr>
              <w:t>本项目运营期间生产线不使用水，不产生生产废水，本次改扩建项目不新增员工， 不新增生活污水排放。</w:t>
            </w:r>
          </w:p>
          <w:p w14:paraId="31148FA0">
            <w:pPr>
              <w:ind w:firstLine="482"/>
              <w:rPr>
                <w:b/>
              </w:rPr>
            </w:pPr>
            <w:r>
              <w:rPr>
                <w:rFonts w:hint="eastAsia" w:cs="Times New Roman"/>
                <w:b/>
                <w:szCs w:val="24"/>
              </w:rPr>
              <w:t>3、噪声环境影响及污染防治措施分析</w:t>
            </w:r>
          </w:p>
          <w:p w14:paraId="7CD6CDA1">
            <w:pPr>
              <w:ind w:firstLine="482"/>
              <w:rPr>
                <w:b/>
              </w:rPr>
            </w:pPr>
            <w:r>
              <w:rPr>
                <w:rFonts w:hint="eastAsia" w:cs="Times New Roman"/>
                <w:b/>
                <w:szCs w:val="24"/>
              </w:rPr>
              <w:t>（1）噪声源强</w:t>
            </w:r>
          </w:p>
          <w:p w14:paraId="579B97E4">
            <w:pPr>
              <w:ind w:firstLine="480"/>
              <w:rPr>
                <w:rFonts w:cs="Times New Roman"/>
                <w:szCs w:val="24"/>
              </w:rPr>
            </w:pPr>
            <w:r>
              <w:rPr>
                <w:rFonts w:hint="eastAsia" w:cs="Times New Roman"/>
                <w:bCs/>
                <w:szCs w:val="24"/>
              </w:rPr>
              <w:t>本项目运营期设备噪声源强主要是自动压贴机、修边机、活性炭环保设备风机。噪声源强在60~75</w:t>
            </w:r>
            <w:r>
              <w:rPr>
                <w:rFonts w:hint="eastAsia" w:cs="Times New Roman"/>
                <w:szCs w:val="24"/>
              </w:rPr>
              <w:t>dB。</w:t>
            </w:r>
          </w:p>
          <w:p w14:paraId="083902B7">
            <w:pPr>
              <w:adjustRightInd w:val="0"/>
              <w:snapToGrid w:val="0"/>
              <w:spacing w:line="240" w:lineRule="auto"/>
              <w:ind w:firstLine="0" w:firstLineChars="0"/>
              <w:jc w:val="center"/>
              <w:rPr>
                <w:rFonts w:cs="Times New Roman"/>
                <w:b/>
                <w:bCs/>
                <w:szCs w:val="24"/>
              </w:rPr>
            </w:pPr>
            <w:r>
              <w:rPr>
                <w:rFonts w:cs="Times New Roman"/>
                <w:b/>
                <w:bCs/>
                <w:szCs w:val="24"/>
              </w:rPr>
              <w:t>表4-</w:t>
            </w:r>
            <w:r>
              <w:rPr>
                <w:rFonts w:hint="eastAsia" w:cs="Times New Roman"/>
                <w:b/>
                <w:bCs/>
                <w:szCs w:val="24"/>
              </w:rPr>
              <w:t xml:space="preserve">7  </w:t>
            </w:r>
            <w:r>
              <w:rPr>
                <w:rFonts w:cs="Times New Roman"/>
                <w:b/>
                <w:bCs/>
                <w:szCs w:val="24"/>
              </w:rPr>
              <w:t>工业企业噪声调查表（室内声源）</w:t>
            </w:r>
          </w:p>
          <w:tbl>
            <w:tblPr>
              <w:tblStyle w:val="33"/>
              <w:tblW w:w="88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1"/>
              <w:gridCol w:w="992"/>
              <w:gridCol w:w="1463"/>
              <w:gridCol w:w="1287"/>
              <w:gridCol w:w="851"/>
              <w:gridCol w:w="708"/>
              <w:gridCol w:w="630"/>
              <w:gridCol w:w="833"/>
              <w:gridCol w:w="1372"/>
            </w:tblGrid>
            <w:tr w14:paraId="0BA75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1" w:type="dxa"/>
                  <w:vMerge w:val="restart"/>
                  <w:vAlign w:val="center"/>
                </w:tcPr>
                <w:p w14:paraId="0E29DCBB">
                  <w:pPr>
                    <w:adjustRightInd w:val="0"/>
                    <w:snapToGrid w:val="0"/>
                    <w:spacing w:line="240" w:lineRule="auto"/>
                    <w:ind w:firstLine="0" w:firstLineChars="0"/>
                    <w:rPr>
                      <w:rFonts w:cs="Times New Roman"/>
                      <w:bCs/>
                      <w:kern w:val="21"/>
                      <w:szCs w:val="24"/>
                    </w:rPr>
                  </w:pPr>
                  <w:r>
                    <w:rPr>
                      <w:rFonts w:cs="Times New Roman"/>
                      <w:b/>
                      <w:bCs/>
                      <w:kern w:val="0"/>
                      <w:sz w:val="21"/>
                      <w:szCs w:val="21"/>
                    </w:rPr>
                    <w:t>建筑物名称</w:t>
                  </w:r>
                </w:p>
              </w:tc>
              <w:tc>
                <w:tcPr>
                  <w:tcW w:w="992" w:type="dxa"/>
                  <w:vMerge w:val="restart"/>
                  <w:vAlign w:val="center"/>
                </w:tcPr>
                <w:p w14:paraId="7705B8E3">
                  <w:pPr>
                    <w:adjustRightInd w:val="0"/>
                    <w:snapToGrid w:val="0"/>
                    <w:spacing w:line="240" w:lineRule="auto"/>
                    <w:ind w:firstLine="0" w:firstLineChars="0"/>
                    <w:rPr>
                      <w:rFonts w:cs="Times New Roman"/>
                      <w:bCs/>
                      <w:kern w:val="21"/>
                      <w:szCs w:val="24"/>
                    </w:rPr>
                  </w:pPr>
                  <w:r>
                    <w:rPr>
                      <w:rFonts w:cs="Times New Roman"/>
                      <w:b/>
                      <w:bCs/>
                      <w:kern w:val="0"/>
                      <w:sz w:val="21"/>
                      <w:szCs w:val="21"/>
                    </w:rPr>
                    <w:t>声源名称</w:t>
                  </w:r>
                </w:p>
              </w:tc>
              <w:tc>
                <w:tcPr>
                  <w:tcW w:w="1463" w:type="dxa"/>
                  <w:vAlign w:val="center"/>
                </w:tcPr>
                <w:p w14:paraId="3192DD31">
                  <w:pPr>
                    <w:adjustRightInd w:val="0"/>
                    <w:snapToGrid w:val="0"/>
                    <w:spacing w:line="240" w:lineRule="auto"/>
                    <w:ind w:firstLine="0" w:firstLineChars="0"/>
                    <w:rPr>
                      <w:rFonts w:cs="Times New Roman"/>
                      <w:bCs/>
                      <w:kern w:val="21"/>
                      <w:szCs w:val="24"/>
                    </w:rPr>
                  </w:pPr>
                  <w:r>
                    <w:rPr>
                      <w:rFonts w:cs="Times New Roman"/>
                      <w:b/>
                      <w:bCs/>
                      <w:kern w:val="0"/>
                      <w:sz w:val="21"/>
                      <w:szCs w:val="21"/>
                    </w:rPr>
                    <w:t>声源源强</w:t>
                  </w:r>
                </w:p>
              </w:tc>
              <w:tc>
                <w:tcPr>
                  <w:tcW w:w="1287" w:type="dxa"/>
                  <w:vMerge w:val="restart"/>
                </w:tcPr>
                <w:p w14:paraId="6A3C7D09">
                  <w:pPr>
                    <w:adjustRightInd w:val="0"/>
                    <w:snapToGrid w:val="0"/>
                    <w:spacing w:line="240" w:lineRule="auto"/>
                    <w:ind w:firstLine="0" w:firstLineChars="0"/>
                    <w:rPr>
                      <w:rFonts w:cs="Times New Roman"/>
                      <w:bCs/>
                      <w:kern w:val="21"/>
                      <w:szCs w:val="24"/>
                    </w:rPr>
                  </w:pPr>
                  <w:r>
                    <w:rPr>
                      <w:rFonts w:cs="Times New Roman"/>
                      <w:b/>
                      <w:bCs/>
                      <w:kern w:val="0"/>
                      <w:sz w:val="21"/>
                      <w:szCs w:val="21"/>
                    </w:rPr>
                    <w:t>声源控制措施</w:t>
                  </w:r>
                </w:p>
              </w:tc>
              <w:tc>
                <w:tcPr>
                  <w:tcW w:w="2189" w:type="dxa"/>
                  <w:gridSpan w:val="3"/>
                </w:tcPr>
                <w:p w14:paraId="2D95B31D">
                  <w:pPr>
                    <w:adjustRightInd w:val="0"/>
                    <w:snapToGrid w:val="0"/>
                    <w:spacing w:line="240" w:lineRule="auto"/>
                    <w:ind w:firstLine="0" w:firstLineChars="0"/>
                    <w:rPr>
                      <w:rFonts w:cs="Times New Roman"/>
                      <w:bCs/>
                      <w:kern w:val="21"/>
                      <w:szCs w:val="24"/>
                    </w:rPr>
                  </w:pPr>
                  <w:r>
                    <w:rPr>
                      <w:rFonts w:cs="Times New Roman"/>
                      <w:b/>
                      <w:bCs/>
                      <w:kern w:val="0"/>
                      <w:sz w:val="21"/>
                      <w:szCs w:val="21"/>
                    </w:rPr>
                    <w:t>空间相对位置/m</w:t>
                  </w:r>
                </w:p>
              </w:tc>
              <w:tc>
                <w:tcPr>
                  <w:tcW w:w="833" w:type="dxa"/>
                  <w:vMerge w:val="restart"/>
                  <w:vAlign w:val="center"/>
                </w:tcPr>
                <w:p w14:paraId="63052824">
                  <w:pPr>
                    <w:adjustRightInd w:val="0"/>
                    <w:snapToGrid w:val="0"/>
                    <w:spacing w:line="240" w:lineRule="auto"/>
                    <w:ind w:firstLine="0" w:firstLineChars="0"/>
                    <w:rPr>
                      <w:rFonts w:cs="Times New Roman"/>
                      <w:bCs/>
                      <w:kern w:val="21"/>
                      <w:szCs w:val="24"/>
                    </w:rPr>
                  </w:pPr>
                  <w:r>
                    <w:rPr>
                      <w:rFonts w:cs="Times New Roman"/>
                      <w:b/>
                      <w:bCs/>
                      <w:kern w:val="0"/>
                      <w:sz w:val="21"/>
                      <w:szCs w:val="21"/>
                    </w:rPr>
                    <w:t>运行时段</w:t>
                  </w:r>
                </w:p>
              </w:tc>
              <w:tc>
                <w:tcPr>
                  <w:tcW w:w="1372" w:type="dxa"/>
                  <w:vMerge w:val="restart"/>
                  <w:vAlign w:val="center"/>
                </w:tcPr>
                <w:p w14:paraId="57E1C74A">
                  <w:pPr>
                    <w:adjustRightInd w:val="0"/>
                    <w:snapToGrid w:val="0"/>
                    <w:spacing w:line="240" w:lineRule="auto"/>
                    <w:ind w:firstLine="0" w:firstLineChars="0"/>
                    <w:rPr>
                      <w:rFonts w:cs="Times New Roman"/>
                      <w:bCs/>
                      <w:kern w:val="21"/>
                      <w:szCs w:val="24"/>
                    </w:rPr>
                  </w:pPr>
                  <w:r>
                    <w:rPr>
                      <w:rFonts w:cs="Times New Roman"/>
                      <w:b/>
                      <w:bCs/>
                      <w:kern w:val="0"/>
                      <w:sz w:val="21"/>
                      <w:szCs w:val="21"/>
                    </w:rPr>
                    <w:t>建筑物插入损失/dB（A）</w:t>
                  </w:r>
                </w:p>
              </w:tc>
            </w:tr>
            <w:tr w14:paraId="1A2B2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1" w:type="dxa"/>
                  <w:vMerge w:val="continue"/>
                </w:tcPr>
                <w:p w14:paraId="2DAA4BD7">
                  <w:pPr>
                    <w:adjustRightInd w:val="0"/>
                    <w:snapToGrid w:val="0"/>
                    <w:spacing w:line="240" w:lineRule="auto"/>
                    <w:ind w:firstLine="0" w:firstLineChars="0"/>
                    <w:rPr>
                      <w:rFonts w:cs="Times New Roman"/>
                      <w:bCs/>
                      <w:kern w:val="21"/>
                      <w:szCs w:val="24"/>
                    </w:rPr>
                  </w:pPr>
                </w:p>
              </w:tc>
              <w:tc>
                <w:tcPr>
                  <w:tcW w:w="992" w:type="dxa"/>
                  <w:vMerge w:val="continue"/>
                </w:tcPr>
                <w:p w14:paraId="792C4733">
                  <w:pPr>
                    <w:adjustRightInd w:val="0"/>
                    <w:snapToGrid w:val="0"/>
                    <w:spacing w:line="240" w:lineRule="auto"/>
                    <w:ind w:firstLine="0" w:firstLineChars="0"/>
                    <w:rPr>
                      <w:rFonts w:cs="Times New Roman"/>
                      <w:bCs/>
                      <w:kern w:val="21"/>
                      <w:szCs w:val="24"/>
                    </w:rPr>
                  </w:pPr>
                </w:p>
              </w:tc>
              <w:tc>
                <w:tcPr>
                  <w:tcW w:w="1463" w:type="dxa"/>
                  <w:vAlign w:val="center"/>
                </w:tcPr>
                <w:p w14:paraId="32B47666">
                  <w:pPr>
                    <w:adjustRightInd w:val="0"/>
                    <w:snapToGrid w:val="0"/>
                    <w:spacing w:line="240" w:lineRule="auto"/>
                    <w:ind w:firstLine="0" w:firstLineChars="0"/>
                    <w:rPr>
                      <w:rFonts w:cs="Times New Roman"/>
                      <w:bCs/>
                      <w:kern w:val="21"/>
                      <w:szCs w:val="24"/>
                    </w:rPr>
                  </w:pPr>
                  <w:r>
                    <w:rPr>
                      <w:rFonts w:cs="Times New Roman"/>
                      <w:b/>
                      <w:bCs/>
                      <w:kern w:val="0"/>
                      <w:sz w:val="21"/>
                      <w:szCs w:val="21"/>
                    </w:rPr>
                    <w:t>（声功率级/距声源距离）/（dB（A）/m）</w:t>
                  </w:r>
                </w:p>
              </w:tc>
              <w:tc>
                <w:tcPr>
                  <w:tcW w:w="1287" w:type="dxa"/>
                  <w:vMerge w:val="continue"/>
                </w:tcPr>
                <w:p w14:paraId="502EFF18">
                  <w:pPr>
                    <w:adjustRightInd w:val="0"/>
                    <w:snapToGrid w:val="0"/>
                    <w:spacing w:line="240" w:lineRule="auto"/>
                    <w:ind w:firstLine="0" w:firstLineChars="0"/>
                    <w:rPr>
                      <w:rFonts w:cs="Times New Roman"/>
                      <w:bCs/>
                      <w:kern w:val="21"/>
                      <w:szCs w:val="24"/>
                    </w:rPr>
                  </w:pPr>
                </w:p>
              </w:tc>
              <w:tc>
                <w:tcPr>
                  <w:tcW w:w="851" w:type="dxa"/>
                  <w:vAlign w:val="center"/>
                </w:tcPr>
                <w:p w14:paraId="35FD25F8">
                  <w:pPr>
                    <w:adjustRightInd w:val="0"/>
                    <w:snapToGrid w:val="0"/>
                    <w:spacing w:line="240" w:lineRule="auto"/>
                    <w:ind w:firstLine="0" w:firstLineChars="0"/>
                    <w:rPr>
                      <w:rFonts w:cs="Times New Roman"/>
                      <w:bCs/>
                      <w:kern w:val="21"/>
                      <w:szCs w:val="24"/>
                    </w:rPr>
                  </w:pPr>
                  <w:r>
                    <w:rPr>
                      <w:rFonts w:cs="Times New Roman"/>
                      <w:b/>
                      <w:bCs/>
                      <w:kern w:val="0"/>
                      <w:sz w:val="21"/>
                      <w:szCs w:val="21"/>
                    </w:rPr>
                    <w:t>X</w:t>
                  </w:r>
                </w:p>
              </w:tc>
              <w:tc>
                <w:tcPr>
                  <w:tcW w:w="708" w:type="dxa"/>
                  <w:vAlign w:val="center"/>
                </w:tcPr>
                <w:p w14:paraId="4BA6644C">
                  <w:pPr>
                    <w:adjustRightInd w:val="0"/>
                    <w:snapToGrid w:val="0"/>
                    <w:spacing w:line="240" w:lineRule="auto"/>
                    <w:ind w:firstLine="0" w:firstLineChars="0"/>
                    <w:rPr>
                      <w:rFonts w:cs="Times New Roman"/>
                      <w:bCs/>
                      <w:kern w:val="21"/>
                      <w:szCs w:val="24"/>
                    </w:rPr>
                  </w:pPr>
                  <w:r>
                    <w:rPr>
                      <w:rFonts w:cs="Times New Roman"/>
                      <w:b/>
                      <w:bCs/>
                      <w:kern w:val="0"/>
                      <w:sz w:val="21"/>
                      <w:szCs w:val="21"/>
                    </w:rPr>
                    <w:t>Y</w:t>
                  </w:r>
                </w:p>
              </w:tc>
              <w:tc>
                <w:tcPr>
                  <w:tcW w:w="630" w:type="dxa"/>
                  <w:vAlign w:val="center"/>
                </w:tcPr>
                <w:p w14:paraId="4962A335">
                  <w:pPr>
                    <w:adjustRightInd w:val="0"/>
                    <w:snapToGrid w:val="0"/>
                    <w:spacing w:line="240" w:lineRule="auto"/>
                    <w:ind w:firstLine="0" w:firstLineChars="0"/>
                    <w:rPr>
                      <w:rFonts w:cs="Times New Roman"/>
                      <w:bCs/>
                      <w:kern w:val="21"/>
                      <w:szCs w:val="24"/>
                    </w:rPr>
                  </w:pPr>
                  <w:r>
                    <w:rPr>
                      <w:rFonts w:cs="Times New Roman"/>
                      <w:b/>
                      <w:bCs/>
                      <w:kern w:val="0"/>
                      <w:sz w:val="21"/>
                      <w:szCs w:val="21"/>
                    </w:rPr>
                    <w:t>Z</w:t>
                  </w:r>
                </w:p>
              </w:tc>
              <w:tc>
                <w:tcPr>
                  <w:tcW w:w="833" w:type="dxa"/>
                  <w:vMerge w:val="continue"/>
                </w:tcPr>
                <w:p w14:paraId="681BFBCC">
                  <w:pPr>
                    <w:adjustRightInd w:val="0"/>
                    <w:snapToGrid w:val="0"/>
                    <w:spacing w:line="240" w:lineRule="auto"/>
                    <w:ind w:firstLine="0" w:firstLineChars="0"/>
                    <w:rPr>
                      <w:rFonts w:cs="Times New Roman"/>
                      <w:bCs/>
                      <w:kern w:val="21"/>
                      <w:szCs w:val="24"/>
                    </w:rPr>
                  </w:pPr>
                </w:p>
              </w:tc>
              <w:tc>
                <w:tcPr>
                  <w:tcW w:w="1372" w:type="dxa"/>
                  <w:vMerge w:val="continue"/>
                </w:tcPr>
                <w:p w14:paraId="1497AF42">
                  <w:pPr>
                    <w:adjustRightInd w:val="0"/>
                    <w:snapToGrid w:val="0"/>
                    <w:spacing w:line="240" w:lineRule="auto"/>
                    <w:ind w:firstLine="0" w:firstLineChars="0"/>
                    <w:rPr>
                      <w:rFonts w:cs="Times New Roman"/>
                      <w:bCs/>
                      <w:kern w:val="21"/>
                      <w:szCs w:val="24"/>
                    </w:rPr>
                  </w:pPr>
                </w:p>
              </w:tc>
            </w:tr>
            <w:tr w14:paraId="1DB7E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1" w:type="dxa"/>
                  <w:vMerge w:val="restart"/>
                  <w:vAlign w:val="center"/>
                </w:tcPr>
                <w:p w14:paraId="0519B50A">
                  <w:pPr>
                    <w:adjustRightInd w:val="0"/>
                    <w:snapToGrid w:val="0"/>
                    <w:spacing w:line="240" w:lineRule="auto"/>
                    <w:ind w:firstLine="0" w:firstLineChars="0"/>
                    <w:rPr>
                      <w:rFonts w:cs="Times New Roman"/>
                      <w:bCs/>
                      <w:kern w:val="21"/>
                      <w:szCs w:val="24"/>
                    </w:rPr>
                  </w:pPr>
                  <w:r>
                    <w:rPr>
                      <w:rFonts w:hint="eastAsia" w:cs="Times New Roman"/>
                      <w:bCs/>
                      <w:kern w:val="21"/>
                      <w:szCs w:val="24"/>
                    </w:rPr>
                    <w:t>二车间</w:t>
                  </w:r>
                </w:p>
              </w:tc>
              <w:tc>
                <w:tcPr>
                  <w:tcW w:w="992" w:type="dxa"/>
                </w:tcPr>
                <w:p w14:paraId="4643014C">
                  <w:pPr>
                    <w:adjustRightInd w:val="0"/>
                    <w:snapToGrid w:val="0"/>
                    <w:spacing w:line="240" w:lineRule="auto"/>
                    <w:ind w:firstLine="0" w:firstLineChars="0"/>
                    <w:rPr>
                      <w:rFonts w:cs="Times New Roman"/>
                      <w:bCs/>
                      <w:kern w:val="21"/>
                      <w:szCs w:val="24"/>
                    </w:rPr>
                  </w:pPr>
                  <w:r>
                    <w:rPr>
                      <w:rFonts w:hint="eastAsia"/>
                      <w:bCs/>
                      <w:sz w:val="21"/>
                      <w:szCs w:val="21"/>
                    </w:rPr>
                    <w:t>自动压贴机</w:t>
                  </w:r>
                </w:p>
              </w:tc>
              <w:tc>
                <w:tcPr>
                  <w:tcW w:w="1463" w:type="dxa"/>
                  <w:vAlign w:val="center"/>
                </w:tcPr>
                <w:p w14:paraId="13959116">
                  <w:pPr>
                    <w:adjustRightInd w:val="0"/>
                    <w:snapToGrid w:val="0"/>
                    <w:spacing w:line="240" w:lineRule="auto"/>
                    <w:ind w:firstLine="0" w:firstLineChars="0"/>
                    <w:jc w:val="center"/>
                    <w:rPr>
                      <w:rFonts w:cs="Times New Roman"/>
                      <w:b/>
                      <w:bCs/>
                      <w:kern w:val="0"/>
                      <w:sz w:val="21"/>
                      <w:szCs w:val="21"/>
                    </w:rPr>
                  </w:pPr>
                  <w:r>
                    <w:rPr>
                      <w:rFonts w:hint="eastAsia" w:cs="Times New Roman"/>
                      <w:kern w:val="0"/>
                      <w:sz w:val="21"/>
                      <w:szCs w:val="21"/>
                    </w:rPr>
                    <w:t>6</w:t>
                  </w:r>
                  <w:r>
                    <w:rPr>
                      <w:rFonts w:cs="Times New Roman"/>
                      <w:kern w:val="0"/>
                      <w:sz w:val="21"/>
                      <w:szCs w:val="21"/>
                    </w:rPr>
                    <w:t>5</w:t>
                  </w:r>
                  <w:r>
                    <w:rPr>
                      <w:rFonts w:hint="eastAsia" w:cs="Times New Roman"/>
                      <w:kern w:val="0"/>
                      <w:sz w:val="21"/>
                      <w:szCs w:val="21"/>
                    </w:rPr>
                    <w:t>/1</w:t>
                  </w:r>
                </w:p>
              </w:tc>
              <w:tc>
                <w:tcPr>
                  <w:tcW w:w="1287" w:type="dxa"/>
                  <w:vMerge w:val="restart"/>
                  <w:vAlign w:val="center"/>
                </w:tcPr>
                <w:p w14:paraId="6BEBAF9D">
                  <w:pPr>
                    <w:adjustRightInd w:val="0"/>
                    <w:snapToGrid w:val="0"/>
                    <w:spacing w:line="240" w:lineRule="auto"/>
                    <w:ind w:firstLine="0" w:firstLineChars="0"/>
                    <w:rPr>
                      <w:rFonts w:cs="Times New Roman"/>
                      <w:bCs/>
                      <w:kern w:val="21"/>
                      <w:szCs w:val="24"/>
                    </w:rPr>
                  </w:pPr>
                  <w:r>
                    <w:rPr>
                      <w:rFonts w:cs="Times New Roman"/>
                      <w:kern w:val="0"/>
                      <w:sz w:val="21"/>
                      <w:szCs w:val="21"/>
                    </w:rPr>
                    <w:t>选用低噪声设备、合理布局、定期保养、加强设备保养维护、距离衰减、厂房隔声，基础减振等措施</w:t>
                  </w:r>
                </w:p>
              </w:tc>
              <w:tc>
                <w:tcPr>
                  <w:tcW w:w="851" w:type="dxa"/>
                  <w:vAlign w:val="center"/>
                </w:tcPr>
                <w:p w14:paraId="4BBD03D5">
                  <w:pPr>
                    <w:adjustRightInd w:val="0"/>
                    <w:snapToGrid w:val="0"/>
                    <w:spacing w:line="240" w:lineRule="auto"/>
                    <w:ind w:firstLine="0" w:firstLineChars="0"/>
                    <w:jc w:val="center"/>
                    <w:rPr>
                      <w:rFonts w:cs="Times New Roman"/>
                      <w:kern w:val="0"/>
                      <w:sz w:val="21"/>
                      <w:szCs w:val="21"/>
                    </w:rPr>
                  </w:pPr>
                  <w:r>
                    <w:rPr>
                      <w:rFonts w:hint="eastAsia" w:cs="Times New Roman"/>
                      <w:kern w:val="0"/>
                      <w:sz w:val="21"/>
                      <w:szCs w:val="21"/>
                    </w:rPr>
                    <w:t>4</w:t>
                  </w:r>
                </w:p>
              </w:tc>
              <w:tc>
                <w:tcPr>
                  <w:tcW w:w="708" w:type="dxa"/>
                  <w:vAlign w:val="center"/>
                </w:tcPr>
                <w:p w14:paraId="2D48EE80">
                  <w:pPr>
                    <w:adjustRightInd w:val="0"/>
                    <w:snapToGrid w:val="0"/>
                    <w:spacing w:line="240" w:lineRule="auto"/>
                    <w:ind w:firstLine="0" w:firstLineChars="0"/>
                    <w:jc w:val="center"/>
                    <w:rPr>
                      <w:rFonts w:cs="Times New Roman"/>
                      <w:kern w:val="0"/>
                      <w:sz w:val="21"/>
                      <w:szCs w:val="21"/>
                    </w:rPr>
                  </w:pPr>
                  <w:r>
                    <w:rPr>
                      <w:rFonts w:hint="eastAsia" w:cs="Times New Roman"/>
                      <w:kern w:val="0"/>
                      <w:sz w:val="21"/>
                      <w:szCs w:val="21"/>
                    </w:rPr>
                    <w:t>24</w:t>
                  </w:r>
                </w:p>
              </w:tc>
              <w:tc>
                <w:tcPr>
                  <w:tcW w:w="630" w:type="dxa"/>
                  <w:vAlign w:val="center"/>
                </w:tcPr>
                <w:p w14:paraId="61F28275">
                  <w:pPr>
                    <w:adjustRightInd w:val="0"/>
                    <w:snapToGrid w:val="0"/>
                    <w:spacing w:line="240" w:lineRule="auto"/>
                    <w:ind w:firstLine="0" w:firstLineChars="0"/>
                    <w:jc w:val="center"/>
                    <w:rPr>
                      <w:rFonts w:cs="Times New Roman"/>
                      <w:kern w:val="0"/>
                      <w:sz w:val="21"/>
                      <w:szCs w:val="21"/>
                    </w:rPr>
                  </w:pPr>
                  <w:r>
                    <w:rPr>
                      <w:rFonts w:hint="eastAsia" w:cs="Times New Roman"/>
                      <w:kern w:val="0"/>
                      <w:sz w:val="21"/>
                      <w:szCs w:val="21"/>
                    </w:rPr>
                    <w:t>1</w:t>
                  </w:r>
                </w:p>
              </w:tc>
              <w:tc>
                <w:tcPr>
                  <w:tcW w:w="833" w:type="dxa"/>
                  <w:vMerge w:val="restart"/>
                  <w:vAlign w:val="center"/>
                </w:tcPr>
                <w:p w14:paraId="2F83BA2A">
                  <w:pPr>
                    <w:adjustRightInd w:val="0"/>
                    <w:snapToGrid w:val="0"/>
                    <w:spacing w:line="240" w:lineRule="auto"/>
                    <w:ind w:firstLine="0" w:firstLineChars="0"/>
                    <w:rPr>
                      <w:rFonts w:cs="Times New Roman"/>
                      <w:bCs/>
                      <w:kern w:val="21"/>
                      <w:szCs w:val="24"/>
                    </w:rPr>
                  </w:pPr>
                  <w:r>
                    <w:rPr>
                      <w:rFonts w:hint="eastAsia" w:cs="Times New Roman"/>
                      <w:bCs/>
                      <w:kern w:val="21"/>
                      <w:szCs w:val="24"/>
                    </w:rPr>
                    <w:t>昼间8h</w:t>
                  </w:r>
                </w:p>
              </w:tc>
              <w:tc>
                <w:tcPr>
                  <w:tcW w:w="1372" w:type="dxa"/>
                </w:tcPr>
                <w:p w14:paraId="6B89BA2B">
                  <w:pPr>
                    <w:adjustRightInd w:val="0"/>
                    <w:snapToGrid w:val="0"/>
                    <w:spacing w:line="240" w:lineRule="auto"/>
                    <w:ind w:firstLine="0" w:firstLineChars="0"/>
                    <w:jc w:val="center"/>
                    <w:rPr>
                      <w:rFonts w:cs="Times New Roman"/>
                      <w:bCs/>
                      <w:kern w:val="21"/>
                      <w:szCs w:val="24"/>
                    </w:rPr>
                  </w:pPr>
                  <w:r>
                    <w:rPr>
                      <w:rFonts w:hint="eastAsia" w:cs="Times New Roman"/>
                      <w:bCs/>
                      <w:kern w:val="21"/>
                      <w:szCs w:val="24"/>
                    </w:rPr>
                    <w:t>20</w:t>
                  </w:r>
                </w:p>
              </w:tc>
            </w:tr>
            <w:tr w14:paraId="13096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1" w:type="dxa"/>
                  <w:vMerge w:val="continue"/>
                  <w:vAlign w:val="center"/>
                </w:tcPr>
                <w:p w14:paraId="6A27F163">
                  <w:pPr>
                    <w:adjustRightInd w:val="0"/>
                    <w:snapToGrid w:val="0"/>
                    <w:spacing w:line="240" w:lineRule="auto"/>
                    <w:ind w:firstLine="0" w:firstLineChars="0"/>
                    <w:rPr>
                      <w:rFonts w:cs="Times New Roman"/>
                      <w:bCs/>
                      <w:kern w:val="21"/>
                      <w:szCs w:val="24"/>
                    </w:rPr>
                  </w:pPr>
                </w:p>
              </w:tc>
              <w:tc>
                <w:tcPr>
                  <w:tcW w:w="992" w:type="dxa"/>
                </w:tcPr>
                <w:p w14:paraId="19645EAD">
                  <w:pPr>
                    <w:adjustRightInd w:val="0"/>
                    <w:snapToGrid w:val="0"/>
                    <w:spacing w:line="240" w:lineRule="auto"/>
                    <w:ind w:firstLine="0" w:firstLineChars="0"/>
                    <w:rPr>
                      <w:rFonts w:cs="Times New Roman"/>
                      <w:bCs/>
                      <w:kern w:val="21"/>
                      <w:szCs w:val="24"/>
                    </w:rPr>
                  </w:pPr>
                  <w:r>
                    <w:rPr>
                      <w:rFonts w:hint="eastAsia"/>
                      <w:bCs/>
                      <w:sz w:val="21"/>
                      <w:szCs w:val="21"/>
                    </w:rPr>
                    <w:t>自动压贴机</w:t>
                  </w:r>
                </w:p>
              </w:tc>
              <w:tc>
                <w:tcPr>
                  <w:tcW w:w="1463" w:type="dxa"/>
                  <w:vAlign w:val="center"/>
                </w:tcPr>
                <w:p w14:paraId="3A90C20E">
                  <w:pPr>
                    <w:adjustRightInd w:val="0"/>
                    <w:snapToGrid w:val="0"/>
                    <w:spacing w:line="240" w:lineRule="auto"/>
                    <w:ind w:firstLine="0" w:firstLineChars="0"/>
                    <w:jc w:val="center"/>
                    <w:rPr>
                      <w:rFonts w:cs="Times New Roman"/>
                      <w:b/>
                      <w:bCs/>
                      <w:kern w:val="0"/>
                      <w:sz w:val="21"/>
                      <w:szCs w:val="21"/>
                    </w:rPr>
                  </w:pPr>
                  <w:r>
                    <w:rPr>
                      <w:rFonts w:hint="eastAsia" w:cs="Times New Roman"/>
                      <w:kern w:val="0"/>
                      <w:sz w:val="21"/>
                      <w:szCs w:val="21"/>
                    </w:rPr>
                    <w:t>6</w:t>
                  </w:r>
                  <w:r>
                    <w:rPr>
                      <w:rFonts w:cs="Times New Roman"/>
                      <w:kern w:val="0"/>
                      <w:sz w:val="21"/>
                      <w:szCs w:val="21"/>
                    </w:rPr>
                    <w:t>5</w:t>
                  </w:r>
                  <w:r>
                    <w:rPr>
                      <w:rFonts w:hint="eastAsia" w:cs="Times New Roman"/>
                      <w:kern w:val="0"/>
                      <w:sz w:val="21"/>
                      <w:szCs w:val="21"/>
                    </w:rPr>
                    <w:t>/1</w:t>
                  </w:r>
                </w:p>
              </w:tc>
              <w:tc>
                <w:tcPr>
                  <w:tcW w:w="1287" w:type="dxa"/>
                  <w:vMerge w:val="continue"/>
                  <w:vAlign w:val="center"/>
                </w:tcPr>
                <w:p w14:paraId="5E715732">
                  <w:pPr>
                    <w:adjustRightInd w:val="0"/>
                    <w:snapToGrid w:val="0"/>
                    <w:spacing w:line="240" w:lineRule="auto"/>
                    <w:ind w:firstLine="0" w:firstLineChars="0"/>
                    <w:rPr>
                      <w:rFonts w:cs="Times New Roman"/>
                      <w:bCs/>
                      <w:kern w:val="21"/>
                      <w:szCs w:val="24"/>
                    </w:rPr>
                  </w:pPr>
                </w:p>
              </w:tc>
              <w:tc>
                <w:tcPr>
                  <w:tcW w:w="851" w:type="dxa"/>
                  <w:vAlign w:val="center"/>
                </w:tcPr>
                <w:p w14:paraId="3D2AF746">
                  <w:pPr>
                    <w:adjustRightInd w:val="0"/>
                    <w:snapToGrid w:val="0"/>
                    <w:spacing w:line="240" w:lineRule="auto"/>
                    <w:ind w:firstLine="0" w:firstLineChars="0"/>
                    <w:jc w:val="center"/>
                    <w:rPr>
                      <w:rFonts w:cs="Times New Roman"/>
                      <w:kern w:val="0"/>
                      <w:sz w:val="21"/>
                      <w:szCs w:val="21"/>
                    </w:rPr>
                  </w:pPr>
                  <w:r>
                    <w:rPr>
                      <w:rFonts w:hint="eastAsia" w:cs="Times New Roman"/>
                      <w:kern w:val="0"/>
                      <w:sz w:val="21"/>
                      <w:szCs w:val="21"/>
                    </w:rPr>
                    <w:t>20</w:t>
                  </w:r>
                </w:p>
              </w:tc>
              <w:tc>
                <w:tcPr>
                  <w:tcW w:w="708" w:type="dxa"/>
                  <w:vAlign w:val="center"/>
                </w:tcPr>
                <w:p w14:paraId="345D17AA">
                  <w:pPr>
                    <w:adjustRightInd w:val="0"/>
                    <w:snapToGrid w:val="0"/>
                    <w:spacing w:line="240" w:lineRule="auto"/>
                    <w:ind w:firstLine="0" w:firstLineChars="0"/>
                    <w:jc w:val="center"/>
                    <w:rPr>
                      <w:rFonts w:cs="Times New Roman"/>
                      <w:kern w:val="0"/>
                      <w:sz w:val="21"/>
                      <w:szCs w:val="21"/>
                    </w:rPr>
                  </w:pPr>
                  <w:r>
                    <w:rPr>
                      <w:rFonts w:hint="eastAsia" w:cs="Times New Roman"/>
                      <w:kern w:val="0"/>
                      <w:sz w:val="21"/>
                      <w:szCs w:val="21"/>
                    </w:rPr>
                    <w:t>32</w:t>
                  </w:r>
                </w:p>
              </w:tc>
              <w:tc>
                <w:tcPr>
                  <w:tcW w:w="630" w:type="dxa"/>
                  <w:vAlign w:val="center"/>
                </w:tcPr>
                <w:p w14:paraId="7261A96D">
                  <w:pPr>
                    <w:adjustRightInd w:val="0"/>
                    <w:snapToGrid w:val="0"/>
                    <w:spacing w:line="240" w:lineRule="auto"/>
                    <w:ind w:firstLine="0" w:firstLineChars="0"/>
                    <w:jc w:val="center"/>
                    <w:rPr>
                      <w:rFonts w:cs="Times New Roman"/>
                      <w:kern w:val="0"/>
                      <w:sz w:val="21"/>
                      <w:szCs w:val="21"/>
                    </w:rPr>
                  </w:pPr>
                  <w:r>
                    <w:rPr>
                      <w:rFonts w:hint="eastAsia" w:cs="Times New Roman"/>
                      <w:kern w:val="0"/>
                      <w:sz w:val="21"/>
                      <w:szCs w:val="21"/>
                    </w:rPr>
                    <w:t>1</w:t>
                  </w:r>
                </w:p>
              </w:tc>
              <w:tc>
                <w:tcPr>
                  <w:tcW w:w="833" w:type="dxa"/>
                  <w:vMerge w:val="continue"/>
                  <w:vAlign w:val="center"/>
                </w:tcPr>
                <w:p w14:paraId="27AD9E2E">
                  <w:pPr>
                    <w:adjustRightInd w:val="0"/>
                    <w:snapToGrid w:val="0"/>
                    <w:spacing w:line="240" w:lineRule="auto"/>
                    <w:ind w:firstLine="0" w:firstLineChars="0"/>
                    <w:rPr>
                      <w:rFonts w:cs="Times New Roman"/>
                      <w:bCs/>
                      <w:kern w:val="21"/>
                      <w:szCs w:val="24"/>
                    </w:rPr>
                  </w:pPr>
                </w:p>
              </w:tc>
              <w:tc>
                <w:tcPr>
                  <w:tcW w:w="1372" w:type="dxa"/>
                </w:tcPr>
                <w:p w14:paraId="4A9A0D9F">
                  <w:pPr>
                    <w:adjustRightInd w:val="0"/>
                    <w:snapToGrid w:val="0"/>
                    <w:spacing w:line="240" w:lineRule="auto"/>
                    <w:ind w:firstLine="0" w:firstLineChars="0"/>
                    <w:jc w:val="center"/>
                    <w:rPr>
                      <w:rFonts w:cs="Times New Roman"/>
                      <w:bCs/>
                      <w:kern w:val="21"/>
                      <w:szCs w:val="24"/>
                    </w:rPr>
                  </w:pPr>
                  <w:r>
                    <w:rPr>
                      <w:rFonts w:hint="eastAsia" w:cs="Times New Roman"/>
                      <w:bCs/>
                      <w:kern w:val="21"/>
                      <w:szCs w:val="24"/>
                    </w:rPr>
                    <w:t>20</w:t>
                  </w:r>
                </w:p>
              </w:tc>
            </w:tr>
            <w:tr w14:paraId="78D66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1" w:type="dxa"/>
                  <w:vMerge w:val="continue"/>
                  <w:vAlign w:val="center"/>
                </w:tcPr>
                <w:p w14:paraId="2A73E38C">
                  <w:pPr>
                    <w:adjustRightInd w:val="0"/>
                    <w:snapToGrid w:val="0"/>
                    <w:spacing w:line="240" w:lineRule="auto"/>
                    <w:ind w:firstLine="0" w:firstLineChars="0"/>
                    <w:rPr>
                      <w:rFonts w:cs="Times New Roman"/>
                      <w:bCs/>
                      <w:kern w:val="21"/>
                      <w:szCs w:val="24"/>
                    </w:rPr>
                  </w:pPr>
                </w:p>
              </w:tc>
              <w:tc>
                <w:tcPr>
                  <w:tcW w:w="992" w:type="dxa"/>
                  <w:vAlign w:val="center"/>
                </w:tcPr>
                <w:p w14:paraId="3AED390B">
                  <w:pPr>
                    <w:adjustRightInd w:val="0"/>
                    <w:snapToGrid w:val="0"/>
                    <w:spacing w:line="240" w:lineRule="auto"/>
                    <w:ind w:firstLine="0" w:firstLineChars="0"/>
                    <w:rPr>
                      <w:rFonts w:cs="Times New Roman"/>
                      <w:bCs/>
                      <w:kern w:val="21"/>
                      <w:szCs w:val="24"/>
                    </w:rPr>
                  </w:pPr>
                  <w:r>
                    <w:rPr>
                      <w:rFonts w:hint="eastAsia"/>
                      <w:bCs/>
                      <w:sz w:val="21"/>
                      <w:szCs w:val="21"/>
                    </w:rPr>
                    <w:t>燃气模温机</w:t>
                  </w:r>
                </w:p>
              </w:tc>
              <w:tc>
                <w:tcPr>
                  <w:tcW w:w="1463" w:type="dxa"/>
                  <w:vAlign w:val="center"/>
                </w:tcPr>
                <w:p w14:paraId="39B223E7">
                  <w:pPr>
                    <w:adjustRightInd w:val="0"/>
                    <w:snapToGrid w:val="0"/>
                    <w:spacing w:line="240" w:lineRule="auto"/>
                    <w:ind w:firstLine="0" w:firstLineChars="0"/>
                    <w:jc w:val="center"/>
                    <w:rPr>
                      <w:rFonts w:cs="Times New Roman"/>
                      <w:b/>
                      <w:bCs/>
                      <w:kern w:val="0"/>
                      <w:sz w:val="21"/>
                      <w:szCs w:val="21"/>
                    </w:rPr>
                  </w:pPr>
                  <w:r>
                    <w:rPr>
                      <w:rFonts w:cs="Times New Roman"/>
                      <w:kern w:val="0"/>
                      <w:sz w:val="21"/>
                      <w:szCs w:val="21"/>
                    </w:rPr>
                    <w:t>6</w:t>
                  </w:r>
                  <w:r>
                    <w:rPr>
                      <w:rFonts w:hint="eastAsia" w:cs="Times New Roman"/>
                      <w:kern w:val="0"/>
                      <w:sz w:val="21"/>
                      <w:szCs w:val="21"/>
                    </w:rPr>
                    <w:t>0</w:t>
                  </w:r>
                  <w:r>
                    <w:rPr>
                      <w:rFonts w:cs="Times New Roman"/>
                      <w:kern w:val="0"/>
                      <w:sz w:val="21"/>
                      <w:szCs w:val="21"/>
                    </w:rPr>
                    <w:t>/1</w:t>
                  </w:r>
                </w:p>
              </w:tc>
              <w:tc>
                <w:tcPr>
                  <w:tcW w:w="1287" w:type="dxa"/>
                  <w:vMerge w:val="continue"/>
                  <w:vAlign w:val="center"/>
                </w:tcPr>
                <w:p w14:paraId="021824A5">
                  <w:pPr>
                    <w:adjustRightInd w:val="0"/>
                    <w:snapToGrid w:val="0"/>
                    <w:spacing w:line="240" w:lineRule="auto"/>
                    <w:ind w:firstLine="0" w:firstLineChars="0"/>
                    <w:rPr>
                      <w:rFonts w:cs="Times New Roman"/>
                      <w:bCs/>
                      <w:kern w:val="21"/>
                      <w:szCs w:val="24"/>
                    </w:rPr>
                  </w:pPr>
                </w:p>
              </w:tc>
              <w:tc>
                <w:tcPr>
                  <w:tcW w:w="851" w:type="dxa"/>
                  <w:vAlign w:val="center"/>
                </w:tcPr>
                <w:p w14:paraId="73428B9B">
                  <w:pPr>
                    <w:adjustRightInd w:val="0"/>
                    <w:snapToGrid w:val="0"/>
                    <w:spacing w:line="240" w:lineRule="auto"/>
                    <w:ind w:firstLine="0" w:firstLineChars="0"/>
                    <w:jc w:val="center"/>
                    <w:rPr>
                      <w:rFonts w:cs="Times New Roman"/>
                      <w:kern w:val="0"/>
                      <w:sz w:val="21"/>
                      <w:szCs w:val="21"/>
                    </w:rPr>
                  </w:pPr>
                  <w:r>
                    <w:rPr>
                      <w:rFonts w:hint="eastAsia" w:cs="Times New Roman"/>
                      <w:kern w:val="0"/>
                      <w:sz w:val="21"/>
                      <w:szCs w:val="21"/>
                    </w:rPr>
                    <w:t>-10</w:t>
                  </w:r>
                </w:p>
              </w:tc>
              <w:tc>
                <w:tcPr>
                  <w:tcW w:w="708" w:type="dxa"/>
                  <w:vAlign w:val="center"/>
                </w:tcPr>
                <w:p w14:paraId="5AF2A5F5">
                  <w:pPr>
                    <w:adjustRightInd w:val="0"/>
                    <w:snapToGrid w:val="0"/>
                    <w:spacing w:line="240" w:lineRule="auto"/>
                    <w:ind w:firstLine="0" w:firstLineChars="0"/>
                    <w:jc w:val="center"/>
                    <w:rPr>
                      <w:rFonts w:cs="Times New Roman"/>
                      <w:kern w:val="0"/>
                      <w:sz w:val="21"/>
                      <w:szCs w:val="21"/>
                    </w:rPr>
                  </w:pPr>
                  <w:r>
                    <w:rPr>
                      <w:rFonts w:hint="eastAsia" w:cs="Times New Roman"/>
                      <w:kern w:val="0"/>
                      <w:sz w:val="21"/>
                      <w:szCs w:val="21"/>
                    </w:rPr>
                    <w:t>29</w:t>
                  </w:r>
                </w:p>
              </w:tc>
              <w:tc>
                <w:tcPr>
                  <w:tcW w:w="630" w:type="dxa"/>
                  <w:vAlign w:val="center"/>
                </w:tcPr>
                <w:p w14:paraId="29D58118">
                  <w:pPr>
                    <w:adjustRightInd w:val="0"/>
                    <w:snapToGrid w:val="0"/>
                    <w:spacing w:line="240" w:lineRule="auto"/>
                    <w:ind w:firstLine="0" w:firstLineChars="0"/>
                    <w:jc w:val="center"/>
                    <w:rPr>
                      <w:rFonts w:cs="Times New Roman"/>
                      <w:kern w:val="0"/>
                      <w:sz w:val="21"/>
                      <w:szCs w:val="21"/>
                    </w:rPr>
                  </w:pPr>
                  <w:r>
                    <w:rPr>
                      <w:rFonts w:hint="eastAsia" w:cs="Times New Roman"/>
                      <w:kern w:val="0"/>
                      <w:sz w:val="21"/>
                      <w:szCs w:val="21"/>
                    </w:rPr>
                    <w:t>1</w:t>
                  </w:r>
                </w:p>
              </w:tc>
              <w:tc>
                <w:tcPr>
                  <w:tcW w:w="833" w:type="dxa"/>
                  <w:vMerge w:val="continue"/>
                  <w:vAlign w:val="center"/>
                </w:tcPr>
                <w:p w14:paraId="7EC64E6E">
                  <w:pPr>
                    <w:adjustRightInd w:val="0"/>
                    <w:snapToGrid w:val="0"/>
                    <w:spacing w:line="240" w:lineRule="auto"/>
                    <w:ind w:firstLine="0" w:firstLineChars="0"/>
                    <w:rPr>
                      <w:rFonts w:cs="Times New Roman"/>
                      <w:bCs/>
                      <w:kern w:val="21"/>
                      <w:szCs w:val="24"/>
                    </w:rPr>
                  </w:pPr>
                </w:p>
              </w:tc>
              <w:tc>
                <w:tcPr>
                  <w:tcW w:w="1372" w:type="dxa"/>
                </w:tcPr>
                <w:p w14:paraId="18BBD490">
                  <w:pPr>
                    <w:adjustRightInd w:val="0"/>
                    <w:snapToGrid w:val="0"/>
                    <w:spacing w:line="240" w:lineRule="auto"/>
                    <w:ind w:firstLine="0" w:firstLineChars="0"/>
                    <w:jc w:val="center"/>
                    <w:rPr>
                      <w:rFonts w:cs="Times New Roman"/>
                      <w:bCs/>
                      <w:kern w:val="21"/>
                      <w:szCs w:val="24"/>
                    </w:rPr>
                  </w:pPr>
                  <w:r>
                    <w:rPr>
                      <w:rFonts w:hint="eastAsia" w:cs="Times New Roman"/>
                      <w:bCs/>
                      <w:kern w:val="21"/>
                      <w:szCs w:val="24"/>
                    </w:rPr>
                    <w:t>20</w:t>
                  </w:r>
                </w:p>
              </w:tc>
            </w:tr>
            <w:tr w14:paraId="16EA0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1" w:type="dxa"/>
                  <w:vMerge w:val="continue"/>
                  <w:vAlign w:val="center"/>
                </w:tcPr>
                <w:p w14:paraId="539BAE39">
                  <w:pPr>
                    <w:adjustRightInd w:val="0"/>
                    <w:snapToGrid w:val="0"/>
                    <w:spacing w:line="240" w:lineRule="auto"/>
                    <w:ind w:firstLine="0" w:firstLineChars="0"/>
                    <w:rPr>
                      <w:rFonts w:cs="Times New Roman"/>
                      <w:bCs/>
                      <w:kern w:val="21"/>
                      <w:szCs w:val="24"/>
                    </w:rPr>
                  </w:pPr>
                </w:p>
              </w:tc>
              <w:tc>
                <w:tcPr>
                  <w:tcW w:w="992" w:type="dxa"/>
                  <w:vAlign w:val="center"/>
                </w:tcPr>
                <w:p w14:paraId="167796F4">
                  <w:pPr>
                    <w:adjustRightInd w:val="0"/>
                    <w:snapToGrid w:val="0"/>
                    <w:spacing w:line="240" w:lineRule="auto"/>
                    <w:ind w:firstLine="0" w:firstLineChars="0"/>
                    <w:rPr>
                      <w:rFonts w:cs="Times New Roman"/>
                      <w:bCs/>
                      <w:kern w:val="21"/>
                      <w:szCs w:val="24"/>
                    </w:rPr>
                  </w:pPr>
                  <w:r>
                    <w:rPr>
                      <w:rFonts w:hint="eastAsia"/>
                      <w:bCs/>
                      <w:sz w:val="21"/>
                      <w:szCs w:val="21"/>
                    </w:rPr>
                    <w:t>燃气模温机</w:t>
                  </w:r>
                </w:p>
              </w:tc>
              <w:tc>
                <w:tcPr>
                  <w:tcW w:w="1463" w:type="dxa"/>
                  <w:vAlign w:val="center"/>
                </w:tcPr>
                <w:p w14:paraId="04E6C4BE">
                  <w:pPr>
                    <w:adjustRightInd w:val="0"/>
                    <w:snapToGrid w:val="0"/>
                    <w:spacing w:line="240" w:lineRule="auto"/>
                    <w:ind w:firstLine="0" w:firstLineChars="0"/>
                    <w:jc w:val="center"/>
                    <w:rPr>
                      <w:rFonts w:cs="Times New Roman"/>
                      <w:b/>
                      <w:bCs/>
                      <w:kern w:val="0"/>
                      <w:sz w:val="21"/>
                      <w:szCs w:val="21"/>
                    </w:rPr>
                  </w:pPr>
                  <w:r>
                    <w:rPr>
                      <w:rFonts w:cs="Times New Roman"/>
                      <w:kern w:val="0"/>
                      <w:sz w:val="21"/>
                      <w:szCs w:val="21"/>
                    </w:rPr>
                    <w:t>6</w:t>
                  </w:r>
                  <w:r>
                    <w:rPr>
                      <w:rFonts w:hint="eastAsia" w:cs="Times New Roman"/>
                      <w:kern w:val="0"/>
                      <w:sz w:val="21"/>
                      <w:szCs w:val="21"/>
                    </w:rPr>
                    <w:t>0</w:t>
                  </w:r>
                  <w:r>
                    <w:rPr>
                      <w:rFonts w:cs="Times New Roman"/>
                      <w:kern w:val="0"/>
                      <w:sz w:val="21"/>
                      <w:szCs w:val="21"/>
                    </w:rPr>
                    <w:t>/1</w:t>
                  </w:r>
                </w:p>
              </w:tc>
              <w:tc>
                <w:tcPr>
                  <w:tcW w:w="1287" w:type="dxa"/>
                  <w:vMerge w:val="continue"/>
                  <w:vAlign w:val="center"/>
                </w:tcPr>
                <w:p w14:paraId="2416660C">
                  <w:pPr>
                    <w:adjustRightInd w:val="0"/>
                    <w:snapToGrid w:val="0"/>
                    <w:spacing w:line="240" w:lineRule="auto"/>
                    <w:ind w:firstLine="0" w:firstLineChars="0"/>
                    <w:rPr>
                      <w:rFonts w:cs="Times New Roman"/>
                      <w:bCs/>
                      <w:kern w:val="21"/>
                      <w:szCs w:val="24"/>
                    </w:rPr>
                  </w:pPr>
                </w:p>
              </w:tc>
              <w:tc>
                <w:tcPr>
                  <w:tcW w:w="851" w:type="dxa"/>
                  <w:vAlign w:val="center"/>
                </w:tcPr>
                <w:p w14:paraId="0A55969B">
                  <w:pPr>
                    <w:adjustRightInd w:val="0"/>
                    <w:snapToGrid w:val="0"/>
                    <w:spacing w:line="240" w:lineRule="auto"/>
                    <w:ind w:firstLine="0" w:firstLineChars="0"/>
                    <w:jc w:val="center"/>
                    <w:rPr>
                      <w:rFonts w:cs="Times New Roman"/>
                      <w:kern w:val="0"/>
                      <w:sz w:val="21"/>
                      <w:szCs w:val="21"/>
                    </w:rPr>
                  </w:pPr>
                  <w:r>
                    <w:rPr>
                      <w:rFonts w:hint="eastAsia" w:cs="Times New Roman"/>
                      <w:kern w:val="0"/>
                      <w:sz w:val="21"/>
                      <w:szCs w:val="21"/>
                    </w:rPr>
                    <w:t>23</w:t>
                  </w:r>
                </w:p>
              </w:tc>
              <w:tc>
                <w:tcPr>
                  <w:tcW w:w="708" w:type="dxa"/>
                  <w:vAlign w:val="center"/>
                </w:tcPr>
                <w:p w14:paraId="107F6D49">
                  <w:pPr>
                    <w:adjustRightInd w:val="0"/>
                    <w:snapToGrid w:val="0"/>
                    <w:spacing w:line="240" w:lineRule="auto"/>
                    <w:ind w:firstLine="0" w:firstLineChars="0"/>
                    <w:jc w:val="center"/>
                    <w:rPr>
                      <w:rFonts w:cs="Times New Roman"/>
                      <w:kern w:val="0"/>
                      <w:sz w:val="21"/>
                      <w:szCs w:val="21"/>
                    </w:rPr>
                  </w:pPr>
                  <w:r>
                    <w:rPr>
                      <w:rFonts w:hint="eastAsia" w:cs="Times New Roman"/>
                      <w:kern w:val="0"/>
                      <w:sz w:val="21"/>
                      <w:szCs w:val="21"/>
                    </w:rPr>
                    <w:t>42</w:t>
                  </w:r>
                </w:p>
              </w:tc>
              <w:tc>
                <w:tcPr>
                  <w:tcW w:w="630" w:type="dxa"/>
                  <w:vAlign w:val="center"/>
                </w:tcPr>
                <w:p w14:paraId="03904D1C">
                  <w:pPr>
                    <w:adjustRightInd w:val="0"/>
                    <w:snapToGrid w:val="0"/>
                    <w:spacing w:line="240" w:lineRule="auto"/>
                    <w:ind w:firstLine="0" w:firstLineChars="0"/>
                    <w:jc w:val="center"/>
                    <w:rPr>
                      <w:rFonts w:cs="Times New Roman"/>
                      <w:kern w:val="0"/>
                      <w:sz w:val="21"/>
                      <w:szCs w:val="21"/>
                    </w:rPr>
                  </w:pPr>
                  <w:r>
                    <w:rPr>
                      <w:rFonts w:hint="eastAsia" w:cs="Times New Roman"/>
                      <w:kern w:val="0"/>
                      <w:sz w:val="21"/>
                      <w:szCs w:val="21"/>
                    </w:rPr>
                    <w:t>1</w:t>
                  </w:r>
                </w:p>
              </w:tc>
              <w:tc>
                <w:tcPr>
                  <w:tcW w:w="833" w:type="dxa"/>
                  <w:vMerge w:val="continue"/>
                  <w:vAlign w:val="center"/>
                </w:tcPr>
                <w:p w14:paraId="51EAD881">
                  <w:pPr>
                    <w:adjustRightInd w:val="0"/>
                    <w:snapToGrid w:val="0"/>
                    <w:spacing w:line="240" w:lineRule="auto"/>
                    <w:ind w:firstLine="0" w:firstLineChars="0"/>
                    <w:rPr>
                      <w:rFonts w:cs="Times New Roman"/>
                      <w:bCs/>
                      <w:kern w:val="21"/>
                      <w:szCs w:val="24"/>
                    </w:rPr>
                  </w:pPr>
                </w:p>
              </w:tc>
              <w:tc>
                <w:tcPr>
                  <w:tcW w:w="1372" w:type="dxa"/>
                </w:tcPr>
                <w:p w14:paraId="3980A295">
                  <w:pPr>
                    <w:adjustRightInd w:val="0"/>
                    <w:snapToGrid w:val="0"/>
                    <w:spacing w:line="240" w:lineRule="auto"/>
                    <w:ind w:firstLine="0" w:firstLineChars="0"/>
                    <w:jc w:val="center"/>
                    <w:rPr>
                      <w:rFonts w:cs="Times New Roman"/>
                      <w:bCs/>
                      <w:kern w:val="21"/>
                      <w:szCs w:val="24"/>
                    </w:rPr>
                  </w:pPr>
                  <w:r>
                    <w:rPr>
                      <w:rFonts w:hint="eastAsia" w:cs="Times New Roman"/>
                      <w:bCs/>
                      <w:kern w:val="21"/>
                      <w:szCs w:val="24"/>
                    </w:rPr>
                    <w:t>20</w:t>
                  </w:r>
                </w:p>
              </w:tc>
            </w:tr>
            <w:tr w14:paraId="4D93B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1" w:type="dxa"/>
                  <w:vMerge w:val="continue"/>
                  <w:vAlign w:val="center"/>
                </w:tcPr>
                <w:p w14:paraId="2A159438">
                  <w:pPr>
                    <w:adjustRightInd w:val="0"/>
                    <w:snapToGrid w:val="0"/>
                    <w:spacing w:line="240" w:lineRule="auto"/>
                    <w:ind w:firstLine="0" w:firstLineChars="0"/>
                    <w:rPr>
                      <w:rFonts w:cs="Times New Roman"/>
                      <w:bCs/>
                      <w:kern w:val="21"/>
                      <w:szCs w:val="24"/>
                    </w:rPr>
                  </w:pPr>
                </w:p>
              </w:tc>
              <w:tc>
                <w:tcPr>
                  <w:tcW w:w="992" w:type="dxa"/>
                  <w:vAlign w:val="center"/>
                </w:tcPr>
                <w:p w14:paraId="18E3E1F7">
                  <w:pPr>
                    <w:adjustRightInd w:val="0"/>
                    <w:snapToGrid w:val="0"/>
                    <w:spacing w:line="240" w:lineRule="auto"/>
                    <w:ind w:firstLine="0" w:firstLineChars="0"/>
                    <w:rPr>
                      <w:rFonts w:cs="Times New Roman"/>
                      <w:bCs/>
                      <w:kern w:val="21"/>
                      <w:szCs w:val="24"/>
                    </w:rPr>
                  </w:pPr>
                  <w:r>
                    <w:rPr>
                      <w:rFonts w:hint="eastAsia"/>
                      <w:bCs/>
                      <w:sz w:val="21"/>
                      <w:szCs w:val="21"/>
                    </w:rPr>
                    <w:t>修边机</w:t>
                  </w:r>
                </w:p>
              </w:tc>
              <w:tc>
                <w:tcPr>
                  <w:tcW w:w="1463" w:type="dxa"/>
                  <w:vAlign w:val="center"/>
                </w:tcPr>
                <w:p w14:paraId="79608E5A">
                  <w:pPr>
                    <w:adjustRightInd w:val="0"/>
                    <w:snapToGrid w:val="0"/>
                    <w:spacing w:line="240" w:lineRule="auto"/>
                    <w:ind w:firstLine="0" w:firstLineChars="0"/>
                    <w:jc w:val="center"/>
                    <w:rPr>
                      <w:rFonts w:cs="Times New Roman"/>
                      <w:b/>
                      <w:bCs/>
                      <w:kern w:val="0"/>
                      <w:sz w:val="21"/>
                      <w:szCs w:val="21"/>
                    </w:rPr>
                  </w:pPr>
                  <w:r>
                    <w:rPr>
                      <w:rFonts w:cs="Times New Roman"/>
                      <w:kern w:val="0"/>
                      <w:sz w:val="21"/>
                      <w:szCs w:val="21"/>
                    </w:rPr>
                    <w:t>6</w:t>
                  </w:r>
                  <w:r>
                    <w:rPr>
                      <w:rFonts w:hint="eastAsia" w:cs="Times New Roman"/>
                      <w:kern w:val="0"/>
                      <w:sz w:val="21"/>
                      <w:szCs w:val="21"/>
                    </w:rPr>
                    <w:t>5</w:t>
                  </w:r>
                  <w:r>
                    <w:rPr>
                      <w:rFonts w:cs="Times New Roman"/>
                      <w:kern w:val="0"/>
                      <w:sz w:val="21"/>
                      <w:szCs w:val="21"/>
                    </w:rPr>
                    <w:t>/1</w:t>
                  </w:r>
                </w:p>
              </w:tc>
              <w:tc>
                <w:tcPr>
                  <w:tcW w:w="1287" w:type="dxa"/>
                  <w:vMerge w:val="continue"/>
                  <w:vAlign w:val="center"/>
                </w:tcPr>
                <w:p w14:paraId="084219CB">
                  <w:pPr>
                    <w:adjustRightInd w:val="0"/>
                    <w:snapToGrid w:val="0"/>
                    <w:spacing w:line="240" w:lineRule="auto"/>
                    <w:ind w:firstLine="0" w:firstLineChars="0"/>
                    <w:rPr>
                      <w:rFonts w:cs="Times New Roman"/>
                      <w:bCs/>
                      <w:kern w:val="21"/>
                      <w:szCs w:val="24"/>
                    </w:rPr>
                  </w:pPr>
                </w:p>
              </w:tc>
              <w:tc>
                <w:tcPr>
                  <w:tcW w:w="851" w:type="dxa"/>
                  <w:vAlign w:val="center"/>
                </w:tcPr>
                <w:p w14:paraId="6AE44767">
                  <w:pPr>
                    <w:adjustRightInd w:val="0"/>
                    <w:snapToGrid w:val="0"/>
                    <w:spacing w:line="240" w:lineRule="auto"/>
                    <w:ind w:firstLine="0" w:firstLineChars="0"/>
                    <w:jc w:val="center"/>
                    <w:rPr>
                      <w:rFonts w:cs="Times New Roman"/>
                      <w:kern w:val="0"/>
                      <w:sz w:val="21"/>
                      <w:szCs w:val="21"/>
                    </w:rPr>
                  </w:pPr>
                  <w:r>
                    <w:rPr>
                      <w:rFonts w:hint="eastAsia" w:cs="Times New Roman"/>
                      <w:kern w:val="0"/>
                      <w:sz w:val="21"/>
                      <w:szCs w:val="21"/>
                    </w:rPr>
                    <w:t>1</w:t>
                  </w:r>
                </w:p>
              </w:tc>
              <w:tc>
                <w:tcPr>
                  <w:tcW w:w="708" w:type="dxa"/>
                  <w:vAlign w:val="center"/>
                </w:tcPr>
                <w:p w14:paraId="52941F45">
                  <w:pPr>
                    <w:adjustRightInd w:val="0"/>
                    <w:snapToGrid w:val="0"/>
                    <w:spacing w:line="240" w:lineRule="auto"/>
                    <w:ind w:firstLine="0" w:firstLineChars="0"/>
                    <w:jc w:val="center"/>
                    <w:rPr>
                      <w:rFonts w:cs="Times New Roman"/>
                      <w:kern w:val="0"/>
                      <w:sz w:val="21"/>
                      <w:szCs w:val="21"/>
                    </w:rPr>
                  </w:pPr>
                  <w:r>
                    <w:rPr>
                      <w:rFonts w:hint="eastAsia" w:cs="Times New Roman"/>
                      <w:kern w:val="0"/>
                      <w:sz w:val="21"/>
                      <w:szCs w:val="21"/>
                    </w:rPr>
                    <w:t>34</w:t>
                  </w:r>
                </w:p>
              </w:tc>
              <w:tc>
                <w:tcPr>
                  <w:tcW w:w="630" w:type="dxa"/>
                  <w:vAlign w:val="center"/>
                </w:tcPr>
                <w:p w14:paraId="178086CA">
                  <w:pPr>
                    <w:adjustRightInd w:val="0"/>
                    <w:snapToGrid w:val="0"/>
                    <w:spacing w:line="240" w:lineRule="auto"/>
                    <w:ind w:firstLine="0" w:firstLineChars="0"/>
                    <w:jc w:val="center"/>
                    <w:rPr>
                      <w:rFonts w:cs="Times New Roman"/>
                      <w:kern w:val="0"/>
                      <w:sz w:val="21"/>
                      <w:szCs w:val="21"/>
                    </w:rPr>
                  </w:pPr>
                  <w:r>
                    <w:rPr>
                      <w:rFonts w:hint="eastAsia" w:cs="Times New Roman"/>
                      <w:kern w:val="0"/>
                      <w:sz w:val="21"/>
                      <w:szCs w:val="21"/>
                    </w:rPr>
                    <w:t>1</w:t>
                  </w:r>
                </w:p>
              </w:tc>
              <w:tc>
                <w:tcPr>
                  <w:tcW w:w="833" w:type="dxa"/>
                  <w:vMerge w:val="continue"/>
                  <w:vAlign w:val="center"/>
                </w:tcPr>
                <w:p w14:paraId="38BFBC5D">
                  <w:pPr>
                    <w:adjustRightInd w:val="0"/>
                    <w:snapToGrid w:val="0"/>
                    <w:spacing w:line="240" w:lineRule="auto"/>
                    <w:ind w:firstLine="0" w:firstLineChars="0"/>
                    <w:rPr>
                      <w:rFonts w:cs="Times New Roman"/>
                      <w:bCs/>
                      <w:kern w:val="21"/>
                      <w:szCs w:val="24"/>
                    </w:rPr>
                  </w:pPr>
                </w:p>
              </w:tc>
              <w:tc>
                <w:tcPr>
                  <w:tcW w:w="1372" w:type="dxa"/>
                </w:tcPr>
                <w:p w14:paraId="2EAA127B">
                  <w:pPr>
                    <w:adjustRightInd w:val="0"/>
                    <w:snapToGrid w:val="0"/>
                    <w:spacing w:line="240" w:lineRule="auto"/>
                    <w:ind w:firstLine="0" w:firstLineChars="0"/>
                    <w:jc w:val="center"/>
                    <w:rPr>
                      <w:rFonts w:cs="Times New Roman"/>
                      <w:bCs/>
                      <w:kern w:val="21"/>
                      <w:szCs w:val="24"/>
                    </w:rPr>
                  </w:pPr>
                  <w:r>
                    <w:rPr>
                      <w:rFonts w:hint="eastAsia" w:cs="Times New Roman"/>
                      <w:bCs/>
                      <w:kern w:val="21"/>
                      <w:szCs w:val="24"/>
                    </w:rPr>
                    <w:t>20</w:t>
                  </w:r>
                </w:p>
              </w:tc>
            </w:tr>
            <w:tr w14:paraId="4FCF9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1" w:type="dxa"/>
                  <w:vMerge w:val="continue"/>
                  <w:vAlign w:val="center"/>
                </w:tcPr>
                <w:p w14:paraId="36294818">
                  <w:pPr>
                    <w:adjustRightInd w:val="0"/>
                    <w:snapToGrid w:val="0"/>
                    <w:spacing w:line="240" w:lineRule="auto"/>
                    <w:ind w:firstLine="0" w:firstLineChars="0"/>
                    <w:rPr>
                      <w:rFonts w:cs="Times New Roman"/>
                      <w:bCs/>
                      <w:kern w:val="21"/>
                      <w:szCs w:val="24"/>
                    </w:rPr>
                  </w:pPr>
                </w:p>
              </w:tc>
              <w:tc>
                <w:tcPr>
                  <w:tcW w:w="992" w:type="dxa"/>
                  <w:vAlign w:val="center"/>
                </w:tcPr>
                <w:p w14:paraId="68BF7F35">
                  <w:pPr>
                    <w:adjustRightInd w:val="0"/>
                    <w:snapToGrid w:val="0"/>
                    <w:spacing w:line="240" w:lineRule="auto"/>
                    <w:ind w:firstLine="0" w:firstLineChars="0"/>
                    <w:rPr>
                      <w:rFonts w:cs="Times New Roman"/>
                      <w:bCs/>
                      <w:sz w:val="21"/>
                      <w:szCs w:val="21"/>
                    </w:rPr>
                  </w:pPr>
                  <w:r>
                    <w:rPr>
                      <w:rFonts w:hint="eastAsia"/>
                      <w:bCs/>
                      <w:sz w:val="21"/>
                      <w:szCs w:val="21"/>
                    </w:rPr>
                    <w:t>修边机</w:t>
                  </w:r>
                </w:p>
              </w:tc>
              <w:tc>
                <w:tcPr>
                  <w:tcW w:w="1463" w:type="dxa"/>
                  <w:vAlign w:val="center"/>
                </w:tcPr>
                <w:p w14:paraId="158000D4">
                  <w:pPr>
                    <w:adjustRightInd w:val="0"/>
                    <w:snapToGrid w:val="0"/>
                    <w:spacing w:line="240" w:lineRule="auto"/>
                    <w:ind w:firstLine="0" w:firstLineChars="0"/>
                    <w:jc w:val="center"/>
                    <w:rPr>
                      <w:rFonts w:cs="Times New Roman"/>
                      <w:kern w:val="0"/>
                      <w:sz w:val="21"/>
                      <w:szCs w:val="21"/>
                    </w:rPr>
                  </w:pPr>
                  <w:r>
                    <w:rPr>
                      <w:rFonts w:cs="Times New Roman"/>
                      <w:kern w:val="0"/>
                      <w:sz w:val="21"/>
                      <w:szCs w:val="21"/>
                    </w:rPr>
                    <w:t>65/1</w:t>
                  </w:r>
                </w:p>
              </w:tc>
              <w:tc>
                <w:tcPr>
                  <w:tcW w:w="1287" w:type="dxa"/>
                  <w:vMerge w:val="continue"/>
                  <w:vAlign w:val="center"/>
                </w:tcPr>
                <w:p w14:paraId="6AAC800F">
                  <w:pPr>
                    <w:adjustRightInd w:val="0"/>
                    <w:snapToGrid w:val="0"/>
                    <w:spacing w:line="240" w:lineRule="auto"/>
                    <w:ind w:firstLine="0" w:firstLineChars="0"/>
                    <w:rPr>
                      <w:rFonts w:cs="Times New Roman"/>
                      <w:bCs/>
                      <w:kern w:val="21"/>
                      <w:szCs w:val="24"/>
                    </w:rPr>
                  </w:pPr>
                </w:p>
              </w:tc>
              <w:tc>
                <w:tcPr>
                  <w:tcW w:w="851" w:type="dxa"/>
                  <w:vAlign w:val="center"/>
                </w:tcPr>
                <w:p w14:paraId="76B99E61">
                  <w:pPr>
                    <w:adjustRightInd w:val="0"/>
                    <w:snapToGrid w:val="0"/>
                    <w:spacing w:line="240" w:lineRule="auto"/>
                    <w:ind w:firstLine="0" w:firstLineChars="0"/>
                    <w:jc w:val="center"/>
                    <w:rPr>
                      <w:rFonts w:cs="Times New Roman"/>
                      <w:kern w:val="0"/>
                      <w:sz w:val="21"/>
                      <w:szCs w:val="21"/>
                    </w:rPr>
                  </w:pPr>
                  <w:r>
                    <w:rPr>
                      <w:rFonts w:hint="eastAsia" w:cs="Times New Roman"/>
                      <w:kern w:val="0"/>
                      <w:sz w:val="21"/>
                      <w:szCs w:val="21"/>
                    </w:rPr>
                    <w:t>16</w:t>
                  </w:r>
                </w:p>
              </w:tc>
              <w:tc>
                <w:tcPr>
                  <w:tcW w:w="708" w:type="dxa"/>
                  <w:vAlign w:val="center"/>
                </w:tcPr>
                <w:p w14:paraId="49FDF4C3">
                  <w:pPr>
                    <w:adjustRightInd w:val="0"/>
                    <w:snapToGrid w:val="0"/>
                    <w:spacing w:line="240" w:lineRule="auto"/>
                    <w:ind w:firstLine="0" w:firstLineChars="0"/>
                    <w:jc w:val="center"/>
                    <w:rPr>
                      <w:rFonts w:cs="Times New Roman"/>
                      <w:kern w:val="0"/>
                      <w:sz w:val="21"/>
                      <w:szCs w:val="21"/>
                    </w:rPr>
                  </w:pPr>
                  <w:r>
                    <w:rPr>
                      <w:rFonts w:hint="eastAsia" w:cs="Times New Roman"/>
                      <w:kern w:val="0"/>
                      <w:sz w:val="21"/>
                      <w:szCs w:val="21"/>
                    </w:rPr>
                    <w:t>39</w:t>
                  </w:r>
                </w:p>
              </w:tc>
              <w:tc>
                <w:tcPr>
                  <w:tcW w:w="630" w:type="dxa"/>
                  <w:vAlign w:val="center"/>
                </w:tcPr>
                <w:p w14:paraId="2EA3AAB1">
                  <w:pPr>
                    <w:adjustRightInd w:val="0"/>
                    <w:snapToGrid w:val="0"/>
                    <w:spacing w:line="240" w:lineRule="auto"/>
                    <w:ind w:firstLine="0" w:firstLineChars="0"/>
                    <w:jc w:val="center"/>
                    <w:rPr>
                      <w:rFonts w:cs="Times New Roman"/>
                      <w:kern w:val="0"/>
                      <w:sz w:val="21"/>
                      <w:szCs w:val="21"/>
                    </w:rPr>
                  </w:pPr>
                  <w:r>
                    <w:rPr>
                      <w:rFonts w:hint="eastAsia" w:cs="Times New Roman"/>
                      <w:kern w:val="0"/>
                      <w:sz w:val="21"/>
                      <w:szCs w:val="21"/>
                    </w:rPr>
                    <w:t>1</w:t>
                  </w:r>
                </w:p>
              </w:tc>
              <w:tc>
                <w:tcPr>
                  <w:tcW w:w="833" w:type="dxa"/>
                  <w:vMerge w:val="continue"/>
                  <w:vAlign w:val="center"/>
                </w:tcPr>
                <w:p w14:paraId="57D81793">
                  <w:pPr>
                    <w:adjustRightInd w:val="0"/>
                    <w:snapToGrid w:val="0"/>
                    <w:spacing w:line="240" w:lineRule="auto"/>
                    <w:ind w:firstLine="0" w:firstLineChars="0"/>
                    <w:rPr>
                      <w:rFonts w:cs="Times New Roman"/>
                      <w:bCs/>
                      <w:kern w:val="21"/>
                      <w:szCs w:val="24"/>
                    </w:rPr>
                  </w:pPr>
                </w:p>
              </w:tc>
              <w:tc>
                <w:tcPr>
                  <w:tcW w:w="1372" w:type="dxa"/>
                </w:tcPr>
                <w:p w14:paraId="180D42FD">
                  <w:pPr>
                    <w:adjustRightInd w:val="0"/>
                    <w:snapToGrid w:val="0"/>
                    <w:spacing w:line="240" w:lineRule="auto"/>
                    <w:ind w:firstLine="0" w:firstLineChars="0"/>
                    <w:jc w:val="center"/>
                    <w:rPr>
                      <w:rFonts w:cs="Times New Roman"/>
                      <w:bCs/>
                      <w:kern w:val="21"/>
                      <w:szCs w:val="24"/>
                    </w:rPr>
                  </w:pPr>
                  <w:r>
                    <w:rPr>
                      <w:rFonts w:hint="eastAsia" w:cs="Times New Roman"/>
                      <w:bCs/>
                      <w:kern w:val="21"/>
                      <w:szCs w:val="24"/>
                    </w:rPr>
                    <w:t>20</w:t>
                  </w:r>
                </w:p>
              </w:tc>
            </w:tr>
          </w:tbl>
          <w:p w14:paraId="548E882A">
            <w:pPr>
              <w:adjustRightInd w:val="0"/>
              <w:snapToGrid w:val="0"/>
              <w:ind w:firstLine="480"/>
              <w:rPr>
                <w:rFonts w:cs="Times New Roman"/>
                <w:bCs/>
                <w:kern w:val="21"/>
                <w:szCs w:val="24"/>
              </w:rPr>
            </w:pPr>
            <w:r>
              <w:rPr>
                <w:rFonts w:cs="Times New Roman"/>
                <w:szCs w:val="24"/>
              </w:rPr>
              <w:t>注：空间坐标以</w:t>
            </w:r>
            <w:r>
              <w:rPr>
                <w:rFonts w:hint="eastAsia" w:cs="Times New Roman"/>
                <w:szCs w:val="24"/>
              </w:rPr>
              <w:t>二</w:t>
            </w:r>
            <w:r>
              <w:rPr>
                <w:rFonts w:cs="Times New Roman"/>
                <w:szCs w:val="24"/>
              </w:rPr>
              <w:t>生产车间西南角为（0，0，0）点。</w:t>
            </w:r>
          </w:p>
          <w:p w14:paraId="427E94A3">
            <w:pPr>
              <w:adjustRightInd w:val="0"/>
              <w:snapToGrid w:val="0"/>
              <w:ind w:firstLine="482"/>
              <w:jc w:val="center"/>
              <w:rPr>
                <w:rFonts w:cs="Times New Roman"/>
                <w:b/>
                <w:kern w:val="21"/>
                <w:szCs w:val="24"/>
              </w:rPr>
            </w:pPr>
            <w:r>
              <w:rPr>
                <w:rFonts w:hint="eastAsia" w:cs="Times New Roman"/>
                <w:b/>
                <w:kern w:val="21"/>
                <w:szCs w:val="24"/>
              </w:rPr>
              <w:t>表4-8  工业企业噪声源强调查清单（室外声源）</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6"/>
              <w:gridCol w:w="1061"/>
              <w:gridCol w:w="767"/>
              <w:gridCol w:w="1227"/>
              <w:gridCol w:w="1000"/>
              <w:gridCol w:w="957"/>
              <w:gridCol w:w="1222"/>
              <w:gridCol w:w="1560"/>
            </w:tblGrid>
            <w:tr w14:paraId="0C089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vMerge w:val="restart"/>
                </w:tcPr>
                <w:p w14:paraId="0D191B3E">
                  <w:pPr>
                    <w:adjustRightInd w:val="0"/>
                    <w:snapToGrid w:val="0"/>
                    <w:spacing w:line="240" w:lineRule="auto"/>
                    <w:ind w:firstLine="0" w:firstLineChars="0"/>
                    <w:rPr>
                      <w:rFonts w:cs="Times New Roman"/>
                      <w:sz w:val="21"/>
                      <w:szCs w:val="21"/>
                    </w:rPr>
                  </w:pPr>
                  <w:r>
                    <w:rPr>
                      <w:rFonts w:hint="eastAsia" w:cs="Times New Roman"/>
                      <w:sz w:val="21"/>
                      <w:szCs w:val="21"/>
                    </w:rPr>
                    <w:t>声源名称</w:t>
                  </w:r>
                </w:p>
              </w:tc>
              <w:tc>
                <w:tcPr>
                  <w:tcW w:w="1061" w:type="dxa"/>
                  <w:vMerge w:val="restart"/>
                </w:tcPr>
                <w:p w14:paraId="1736CDD4">
                  <w:pPr>
                    <w:adjustRightInd w:val="0"/>
                    <w:snapToGrid w:val="0"/>
                    <w:spacing w:line="240" w:lineRule="auto"/>
                    <w:ind w:firstLine="0" w:firstLineChars="0"/>
                    <w:rPr>
                      <w:rFonts w:cs="Times New Roman"/>
                      <w:sz w:val="21"/>
                      <w:szCs w:val="21"/>
                    </w:rPr>
                  </w:pPr>
                  <w:r>
                    <w:rPr>
                      <w:rFonts w:hint="eastAsia" w:cs="Times New Roman"/>
                      <w:sz w:val="21"/>
                      <w:szCs w:val="21"/>
                    </w:rPr>
                    <w:t>单声源声功率级dB(A)</w:t>
                  </w:r>
                </w:p>
              </w:tc>
              <w:tc>
                <w:tcPr>
                  <w:tcW w:w="767" w:type="dxa"/>
                  <w:vMerge w:val="restart"/>
                </w:tcPr>
                <w:p w14:paraId="2C82E940">
                  <w:pPr>
                    <w:adjustRightInd w:val="0"/>
                    <w:snapToGrid w:val="0"/>
                    <w:spacing w:line="240" w:lineRule="auto"/>
                    <w:ind w:firstLine="0" w:firstLineChars="0"/>
                    <w:rPr>
                      <w:rFonts w:cs="Times New Roman"/>
                      <w:sz w:val="21"/>
                      <w:szCs w:val="21"/>
                    </w:rPr>
                  </w:pPr>
                  <w:r>
                    <w:rPr>
                      <w:rFonts w:hint="eastAsia" w:cs="Times New Roman"/>
                      <w:sz w:val="21"/>
                      <w:szCs w:val="21"/>
                    </w:rPr>
                    <w:t>数量/台</w:t>
                  </w:r>
                </w:p>
              </w:tc>
              <w:tc>
                <w:tcPr>
                  <w:tcW w:w="1227" w:type="dxa"/>
                  <w:vMerge w:val="restart"/>
                </w:tcPr>
                <w:p w14:paraId="353B0EAC">
                  <w:pPr>
                    <w:adjustRightInd w:val="0"/>
                    <w:snapToGrid w:val="0"/>
                    <w:spacing w:line="240" w:lineRule="auto"/>
                    <w:ind w:firstLine="0" w:firstLineChars="0"/>
                    <w:rPr>
                      <w:rFonts w:cs="Times New Roman"/>
                      <w:sz w:val="21"/>
                      <w:szCs w:val="21"/>
                    </w:rPr>
                  </w:pPr>
                  <w:r>
                    <w:rPr>
                      <w:rFonts w:hint="eastAsia" w:cs="Times New Roman"/>
                      <w:sz w:val="21"/>
                      <w:szCs w:val="21"/>
                    </w:rPr>
                    <w:t>声源控制措施</w:t>
                  </w:r>
                </w:p>
              </w:tc>
              <w:tc>
                <w:tcPr>
                  <w:tcW w:w="3179" w:type="dxa"/>
                  <w:gridSpan w:val="3"/>
                </w:tcPr>
                <w:p w14:paraId="35AEAED5">
                  <w:pPr>
                    <w:adjustRightInd w:val="0"/>
                    <w:snapToGrid w:val="0"/>
                    <w:spacing w:line="240" w:lineRule="auto"/>
                    <w:ind w:firstLine="0" w:firstLineChars="0"/>
                    <w:rPr>
                      <w:rFonts w:cs="Times New Roman"/>
                      <w:sz w:val="21"/>
                      <w:szCs w:val="21"/>
                    </w:rPr>
                  </w:pPr>
                  <w:r>
                    <w:rPr>
                      <w:rFonts w:hint="eastAsia" w:cs="Times New Roman"/>
                      <w:sz w:val="21"/>
                      <w:szCs w:val="21"/>
                    </w:rPr>
                    <w:t>空间相对位置/m</w:t>
                  </w:r>
                </w:p>
              </w:tc>
              <w:tc>
                <w:tcPr>
                  <w:tcW w:w="1560" w:type="dxa"/>
                </w:tcPr>
                <w:p w14:paraId="0975ECC3">
                  <w:pPr>
                    <w:adjustRightInd w:val="0"/>
                    <w:snapToGrid w:val="0"/>
                    <w:spacing w:line="240" w:lineRule="auto"/>
                    <w:ind w:firstLine="0" w:firstLineChars="0"/>
                    <w:rPr>
                      <w:rFonts w:cs="Times New Roman"/>
                      <w:sz w:val="21"/>
                      <w:szCs w:val="21"/>
                    </w:rPr>
                  </w:pPr>
                  <w:r>
                    <w:rPr>
                      <w:rFonts w:hint="eastAsia" w:cs="Times New Roman"/>
                      <w:sz w:val="21"/>
                      <w:szCs w:val="21"/>
                    </w:rPr>
                    <w:t>运行时段</w:t>
                  </w:r>
                </w:p>
              </w:tc>
            </w:tr>
            <w:tr w14:paraId="5F076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vMerge w:val="continue"/>
                </w:tcPr>
                <w:p w14:paraId="41A14EF2">
                  <w:pPr>
                    <w:adjustRightInd w:val="0"/>
                    <w:snapToGrid w:val="0"/>
                    <w:spacing w:line="240" w:lineRule="auto"/>
                    <w:ind w:firstLine="0" w:firstLineChars="0"/>
                    <w:rPr>
                      <w:rFonts w:cs="Times New Roman"/>
                      <w:sz w:val="21"/>
                      <w:szCs w:val="21"/>
                    </w:rPr>
                  </w:pPr>
                </w:p>
              </w:tc>
              <w:tc>
                <w:tcPr>
                  <w:tcW w:w="1061" w:type="dxa"/>
                  <w:vMerge w:val="continue"/>
                </w:tcPr>
                <w:p w14:paraId="645E6C8F">
                  <w:pPr>
                    <w:adjustRightInd w:val="0"/>
                    <w:snapToGrid w:val="0"/>
                    <w:spacing w:line="240" w:lineRule="auto"/>
                    <w:ind w:firstLine="0" w:firstLineChars="0"/>
                    <w:rPr>
                      <w:rFonts w:cs="Times New Roman"/>
                      <w:sz w:val="21"/>
                      <w:szCs w:val="21"/>
                    </w:rPr>
                  </w:pPr>
                </w:p>
              </w:tc>
              <w:tc>
                <w:tcPr>
                  <w:tcW w:w="767" w:type="dxa"/>
                  <w:vMerge w:val="continue"/>
                </w:tcPr>
                <w:p w14:paraId="15779134">
                  <w:pPr>
                    <w:adjustRightInd w:val="0"/>
                    <w:snapToGrid w:val="0"/>
                    <w:spacing w:line="240" w:lineRule="auto"/>
                    <w:ind w:firstLine="0" w:firstLineChars="0"/>
                    <w:rPr>
                      <w:rFonts w:cs="Times New Roman"/>
                      <w:sz w:val="21"/>
                      <w:szCs w:val="21"/>
                    </w:rPr>
                  </w:pPr>
                </w:p>
              </w:tc>
              <w:tc>
                <w:tcPr>
                  <w:tcW w:w="1227" w:type="dxa"/>
                  <w:vMerge w:val="continue"/>
                </w:tcPr>
                <w:p w14:paraId="270A36E8">
                  <w:pPr>
                    <w:adjustRightInd w:val="0"/>
                    <w:snapToGrid w:val="0"/>
                    <w:spacing w:line="240" w:lineRule="auto"/>
                    <w:ind w:firstLine="0" w:firstLineChars="0"/>
                    <w:rPr>
                      <w:rFonts w:cs="Times New Roman"/>
                      <w:sz w:val="21"/>
                      <w:szCs w:val="21"/>
                    </w:rPr>
                  </w:pPr>
                </w:p>
              </w:tc>
              <w:tc>
                <w:tcPr>
                  <w:tcW w:w="1000" w:type="dxa"/>
                </w:tcPr>
                <w:p w14:paraId="4DE932E7">
                  <w:pPr>
                    <w:adjustRightInd w:val="0"/>
                    <w:snapToGrid w:val="0"/>
                    <w:spacing w:line="240" w:lineRule="auto"/>
                    <w:ind w:firstLine="0" w:firstLineChars="0"/>
                    <w:jc w:val="center"/>
                    <w:rPr>
                      <w:rFonts w:cs="Times New Roman"/>
                      <w:sz w:val="21"/>
                      <w:szCs w:val="21"/>
                    </w:rPr>
                  </w:pPr>
                  <w:r>
                    <w:rPr>
                      <w:rFonts w:hint="eastAsia" w:cs="Times New Roman"/>
                      <w:sz w:val="21"/>
                      <w:szCs w:val="21"/>
                    </w:rPr>
                    <w:t>X</w:t>
                  </w:r>
                </w:p>
              </w:tc>
              <w:tc>
                <w:tcPr>
                  <w:tcW w:w="957" w:type="dxa"/>
                </w:tcPr>
                <w:p w14:paraId="0652B2D8">
                  <w:pPr>
                    <w:adjustRightInd w:val="0"/>
                    <w:snapToGrid w:val="0"/>
                    <w:spacing w:line="240" w:lineRule="auto"/>
                    <w:ind w:firstLine="0" w:firstLineChars="0"/>
                    <w:jc w:val="center"/>
                    <w:rPr>
                      <w:rFonts w:cs="Times New Roman"/>
                      <w:sz w:val="21"/>
                      <w:szCs w:val="21"/>
                    </w:rPr>
                  </w:pPr>
                  <w:r>
                    <w:rPr>
                      <w:rFonts w:hint="eastAsia" w:cs="Times New Roman"/>
                      <w:sz w:val="21"/>
                      <w:szCs w:val="21"/>
                    </w:rPr>
                    <w:t>Y</w:t>
                  </w:r>
                </w:p>
              </w:tc>
              <w:tc>
                <w:tcPr>
                  <w:tcW w:w="1222" w:type="dxa"/>
                </w:tcPr>
                <w:p w14:paraId="2DA3C3AA">
                  <w:pPr>
                    <w:adjustRightInd w:val="0"/>
                    <w:snapToGrid w:val="0"/>
                    <w:spacing w:line="240" w:lineRule="auto"/>
                    <w:ind w:firstLine="0" w:firstLineChars="0"/>
                    <w:jc w:val="center"/>
                    <w:rPr>
                      <w:rFonts w:cs="Times New Roman"/>
                      <w:sz w:val="21"/>
                      <w:szCs w:val="21"/>
                    </w:rPr>
                  </w:pPr>
                  <w:r>
                    <w:rPr>
                      <w:rFonts w:hint="eastAsia" w:cs="Times New Roman"/>
                      <w:sz w:val="21"/>
                      <w:szCs w:val="21"/>
                    </w:rPr>
                    <w:t>Z</w:t>
                  </w:r>
                </w:p>
              </w:tc>
              <w:tc>
                <w:tcPr>
                  <w:tcW w:w="1560" w:type="dxa"/>
                  <w:vMerge w:val="restart"/>
                </w:tcPr>
                <w:p w14:paraId="7E961743">
                  <w:pPr>
                    <w:adjustRightInd w:val="0"/>
                    <w:snapToGrid w:val="0"/>
                    <w:spacing w:line="240" w:lineRule="auto"/>
                    <w:ind w:firstLine="0" w:firstLineChars="0"/>
                    <w:rPr>
                      <w:rFonts w:cs="Times New Roman"/>
                      <w:sz w:val="21"/>
                      <w:szCs w:val="21"/>
                    </w:rPr>
                  </w:pPr>
                  <w:r>
                    <w:rPr>
                      <w:rFonts w:hint="eastAsia" w:cs="Times New Roman"/>
                      <w:bCs/>
                      <w:kern w:val="21"/>
                      <w:szCs w:val="24"/>
                    </w:rPr>
                    <w:t>24h</w:t>
                  </w:r>
                </w:p>
              </w:tc>
            </w:tr>
            <w:tr w14:paraId="7AC24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14:paraId="395F3C36">
                  <w:pPr>
                    <w:adjustRightInd w:val="0"/>
                    <w:snapToGrid w:val="0"/>
                    <w:spacing w:line="240" w:lineRule="auto"/>
                    <w:ind w:firstLine="0" w:firstLineChars="0"/>
                    <w:rPr>
                      <w:rFonts w:cs="Times New Roman"/>
                      <w:sz w:val="21"/>
                      <w:szCs w:val="21"/>
                    </w:rPr>
                  </w:pPr>
                  <w:r>
                    <w:rPr>
                      <w:rFonts w:cs="Times New Roman"/>
                      <w:kern w:val="0"/>
                      <w:sz w:val="21"/>
                      <w:szCs w:val="21"/>
                    </w:rPr>
                    <w:t>环保风机</w:t>
                  </w:r>
                </w:p>
              </w:tc>
              <w:tc>
                <w:tcPr>
                  <w:tcW w:w="1061" w:type="dxa"/>
                </w:tcPr>
                <w:p w14:paraId="1595C447">
                  <w:pPr>
                    <w:adjustRightInd w:val="0"/>
                    <w:snapToGrid w:val="0"/>
                    <w:spacing w:line="240" w:lineRule="auto"/>
                    <w:ind w:firstLine="0" w:firstLineChars="0"/>
                    <w:rPr>
                      <w:rFonts w:cs="Times New Roman"/>
                      <w:sz w:val="21"/>
                      <w:szCs w:val="21"/>
                    </w:rPr>
                  </w:pPr>
                  <w:r>
                    <w:rPr>
                      <w:rFonts w:hint="eastAsia" w:cs="Times New Roman"/>
                      <w:kern w:val="0"/>
                      <w:sz w:val="21"/>
                      <w:szCs w:val="21"/>
                    </w:rPr>
                    <w:t>75</w:t>
                  </w:r>
                </w:p>
              </w:tc>
              <w:tc>
                <w:tcPr>
                  <w:tcW w:w="767" w:type="dxa"/>
                </w:tcPr>
                <w:p w14:paraId="2D979769">
                  <w:pPr>
                    <w:adjustRightInd w:val="0"/>
                    <w:snapToGrid w:val="0"/>
                    <w:spacing w:line="240" w:lineRule="auto"/>
                    <w:ind w:firstLine="0" w:firstLineChars="0"/>
                    <w:rPr>
                      <w:rFonts w:cs="Times New Roman"/>
                      <w:sz w:val="21"/>
                      <w:szCs w:val="21"/>
                    </w:rPr>
                  </w:pPr>
                  <w:r>
                    <w:rPr>
                      <w:rFonts w:hint="eastAsia" w:cs="Times New Roman"/>
                      <w:sz w:val="21"/>
                      <w:szCs w:val="21"/>
                    </w:rPr>
                    <w:t>1</w:t>
                  </w:r>
                </w:p>
              </w:tc>
              <w:tc>
                <w:tcPr>
                  <w:tcW w:w="1227" w:type="dxa"/>
                </w:tcPr>
                <w:p w14:paraId="2B9852CA">
                  <w:pPr>
                    <w:adjustRightInd w:val="0"/>
                    <w:snapToGrid w:val="0"/>
                    <w:spacing w:line="240" w:lineRule="auto"/>
                    <w:ind w:firstLine="0" w:firstLineChars="0"/>
                    <w:rPr>
                      <w:rFonts w:cs="Times New Roman"/>
                      <w:sz w:val="21"/>
                      <w:szCs w:val="21"/>
                    </w:rPr>
                  </w:pPr>
                  <w:r>
                    <w:rPr>
                      <w:rFonts w:hint="eastAsia" w:cs="Times New Roman"/>
                      <w:sz w:val="21"/>
                      <w:szCs w:val="21"/>
                    </w:rPr>
                    <w:t>基座减振，合理布局</w:t>
                  </w:r>
                </w:p>
              </w:tc>
              <w:tc>
                <w:tcPr>
                  <w:tcW w:w="1000" w:type="dxa"/>
                  <w:vAlign w:val="center"/>
                </w:tcPr>
                <w:p w14:paraId="0DACD957">
                  <w:pPr>
                    <w:adjustRightInd w:val="0"/>
                    <w:snapToGrid w:val="0"/>
                    <w:spacing w:line="240" w:lineRule="auto"/>
                    <w:ind w:firstLine="0" w:firstLineChars="0"/>
                    <w:jc w:val="center"/>
                    <w:rPr>
                      <w:rFonts w:cs="Times New Roman"/>
                      <w:sz w:val="21"/>
                      <w:szCs w:val="21"/>
                    </w:rPr>
                  </w:pPr>
                  <w:r>
                    <w:rPr>
                      <w:rFonts w:hint="eastAsia" w:cs="Times New Roman"/>
                      <w:kern w:val="0"/>
                      <w:sz w:val="21"/>
                      <w:szCs w:val="21"/>
                    </w:rPr>
                    <w:t>27</w:t>
                  </w:r>
                </w:p>
              </w:tc>
              <w:tc>
                <w:tcPr>
                  <w:tcW w:w="957" w:type="dxa"/>
                  <w:vAlign w:val="center"/>
                </w:tcPr>
                <w:p w14:paraId="3B1A9CCC">
                  <w:pPr>
                    <w:adjustRightInd w:val="0"/>
                    <w:snapToGrid w:val="0"/>
                    <w:spacing w:line="240" w:lineRule="auto"/>
                    <w:ind w:firstLine="0" w:firstLineChars="0"/>
                    <w:jc w:val="center"/>
                    <w:rPr>
                      <w:rFonts w:cs="Times New Roman"/>
                      <w:sz w:val="21"/>
                      <w:szCs w:val="21"/>
                    </w:rPr>
                  </w:pPr>
                  <w:r>
                    <w:rPr>
                      <w:rFonts w:hint="eastAsia" w:cs="Times New Roman"/>
                      <w:kern w:val="0"/>
                      <w:sz w:val="21"/>
                      <w:szCs w:val="21"/>
                    </w:rPr>
                    <w:t>63</w:t>
                  </w:r>
                </w:p>
              </w:tc>
              <w:tc>
                <w:tcPr>
                  <w:tcW w:w="1222" w:type="dxa"/>
                  <w:vAlign w:val="center"/>
                </w:tcPr>
                <w:p w14:paraId="06FE0ED0">
                  <w:pPr>
                    <w:adjustRightInd w:val="0"/>
                    <w:snapToGrid w:val="0"/>
                    <w:spacing w:line="240" w:lineRule="auto"/>
                    <w:ind w:firstLine="0" w:firstLineChars="0"/>
                    <w:jc w:val="center"/>
                    <w:rPr>
                      <w:rFonts w:cs="Times New Roman"/>
                      <w:sz w:val="21"/>
                      <w:szCs w:val="21"/>
                    </w:rPr>
                  </w:pPr>
                  <w:r>
                    <w:rPr>
                      <w:rFonts w:hint="eastAsia" w:cs="Times New Roman"/>
                      <w:kern w:val="0"/>
                      <w:sz w:val="21"/>
                      <w:szCs w:val="21"/>
                    </w:rPr>
                    <w:t>1</w:t>
                  </w:r>
                </w:p>
              </w:tc>
              <w:tc>
                <w:tcPr>
                  <w:tcW w:w="1560" w:type="dxa"/>
                  <w:vMerge w:val="continue"/>
                </w:tcPr>
                <w:p w14:paraId="5B8AE6BA">
                  <w:pPr>
                    <w:adjustRightInd w:val="0"/>
                    <w:snapToGrid w:val="0"/>
                    <w:spacing w:line="240" w:lineRule="auto"/>
                    <w:ind w:firstLine="0" w:firstLineChars="0"/>
                    <w:rPr>
                      <w:rFonts w:cs="Times New Roman"/>
                      <w:sz w:val="21"/>
                      <w:szCs w:val="21"/>
                    </w:rPr>
                  </w:pPr>
                </w:p>
              </w:tc>
            </w:tr>
          </w:tbl>
          <w:p w14:paraId="071EF028">
            <w:pPr>
              <w:ind w:firstLine="482"/>
              <w:rPr>
                <w:b/>
              </w:rPr>
            </w:pPr>
            <w:r>
              <w:rPr>
                <w:rFonts w:hint="eastAsia" w:cs="Times New Roman"/>
                <w:b/>
                <w:szCs w:val="24"/>
              </w:rPr>
              <w:t>（2）本项目</w:t>
            </w:r>
            <w:r>
              <w:rPr>
                <w:rFonts w:cs="Times New Roman"/>
                <w:b/>
              </w:rPr>
              <w:t>噪声治理</w:t>
            </w:r>
            <w:r>
              <w:rPr>
                <w:rFonts w:hint="eastAsia" w:cs="Times New Roman"/>
                <w:b/>
              </w:rPr>
              <w:t>已采取的</w:t>
            </w:r>
            <w:r>
              <w:rPr>
                <w:rFonts w:cs="Times New Roman"/>
                <w:b/>
              </w:rPr>
              <w:t>措施</w:t>
            </w:r>
          </w:p>
          <w:p w14:paraId="48EFD857">
            <w:pPr>
              <w:ind w:firstLine="480"/>
            </w:pPr>
            <w:r>
              <w:rPr>
                <w:rFonts w:cs="Times New Roman"/>
                <w:szCs w:val="24"/>
              </w:rPr>
              <w:t>为控制项目噪声源出现污染影响，建设单位主要从降低声源源强值及传播途径上采取防治措施，采取的具体措施如下：</w:t>
            </w:r>
          </w:p>
          <w:p w14:paraId="344B6915">
            <w:pPr>
              <w:ind w:firstLine="480"/>
            </w:pPr>
            <w:r>
              <w:rPr>
                <w:rFonts w:eastAsia="微软雅黑" w:cs="Times New Roman"/>
                <w:szCs w:val="24"/>
              </w:rPr>
              <w:t>①</w:t>
            </w:r>
            <w:r>
              <w:rPr>
                <w:rFonts w:cs="Times New Roman"/>
                <w:szCs w:val="24"/>
              </w:rPr>
              <w:t>优先选择低噪声设备：在满足生产工艺需求的前提下在设备选型时选择噪声低的设备。</w:t>
            </w:r>
          </w:p>
          <w:p w14:paraId="4C0B1E8C">
            <w:pPr>
              <w:ind w:firstLine="480"/>
            </w:pPr>
            <w:r>
              <w:rPr>
                <w:rFonts w:eastAsia="微软雅黑" w:cs="Times New Roman"/>
                <w:szCs w:val="24"/>
              </w:rPr>
              <w:t>②</w:t>
            </w:r>
            <w:r>
              <w:rPr>
                <w:rFonts w:cs="Times New Roman"/>
                <w:szCs w:val="24"/>
              </w:rPr>
              <w:t>设备降噪措施：</w:t>
            </w:r>
            <w:r>
              <w:rPr>
                <w:rFonts w:hint="eastAsia" w:cs="Times New Roman"/>
                <w:szCs w:val="24"/>
              </w:rPr>
              <w:t>锅炉房</w:t>
            </w:r>
            <w:r>
              <w:rPr>
                <w:rFonts w:cs="Times New Roman"/>
                <w:szCs w:val="24"/>
              </w:rPr>
              <w:t>内的设备充分利用</w:t>
            </w:r>
            <w:r>
              <w:rPr>
                <w:rFonts w:hint="eastAsia" w:cs="Times New Roman"/>
                <w:szCs w:val="24"/>
              </w:rPr>
              <w:t>建筑物</w:t>
            </w:r>
            <w:r>
              <w:rPr>
                <w:rFonts w:cs="Times New Roman"/>
                <w:szCs w:val="24"/>
              </w:rPr>
              <w:t>隔声和距离衰减降低设备噪声对周围环境影响，机械加工设备基础减震，</w:t>
            </w:r>
            <w:r>
              <w:rPr>
                <w:rFonts w:hint="eastAsia" w:cs="Times New Roman"/>
                <w:szCs w:val="24"/>
              </w:rPr>
              <w:t>并</w:t>
            </w:r>
            <w:r>
              <w:rPr>
                <w:rFonts w:cs="Times New Roman"/>
                <w:szCs w:val="24"/>
              </w:rPr>
              <w:t>通过设备减振、消声、加强维护降低设备对周围环境的影响。</w:t>
            </w:r>
          </w:p>
          <w:p w14:paraId="619FCB7B">
            <w:pPr>
              <w:ind w:firstLine="480"/>
            </w:pPr>
            <w:r>
              <w:rPr>
                <w:rFonts w:eastAsia="微软雅黑" w:cs="Times New Roman"/>
                <w:szCs w:val="24"/>
              </w:rPr>
              <w:t>③</w:t>
            </w:r>
            <w:r>
              <w:rPr>
                <w:rFonts w:cs="Times New Roman"/>
                <w:szCs w:val="24"/>
              </w:rPr>
              <w:t>加强管理：建立设备定期维护、保养的管理制度，保证设备正常运转，防止设备故障形成的非正常生产噪声；加强职工环保意识教育，提倡文明生产，防止人为噪声。</w:t>
            </w:r>
          </w:p>
          <w:p w14:paraId="4A4E19BB">
            <w:pPr>
              <w:ind w:firstLine="480"/>
              <w:rPr>
                <w:rFonts w:eastAsia="微软雅黑" w:cs="Times New Roman"/>
                <w:szCs w:val="24"/>
              </w:rPr>
            </w:pPr>
            <w:r>
              <w:rPr>
                <w:rFonts w:eastAsia="微软雅黑" w:cs="Times New Roman"/>
                <w:szCs w:val="24"/>
              </w:rPr>
              <w:t>④</w:t>
            </w:r>
            <w:r>
              <w:rPr>
                <w:rFonts w:hint="eastAsia" w:cs="Times New Roman"/>
                <w:szCs w:val="24"/>
              </w:rPr>
              <w:t>合理安排生产时间：车间昼间生产，夜间不生产。</w:t>
            </w:r>
          </w:p>
          <w:p w14:paraId="313DF1ED">
            <w:pPr>
              <w:ind w:firstLine="480"/>
              <w:rPr>
                <w:rFonts w:cs="Times New Roman"/>
                <w:szCs w:val="24"/>
              </w:rPr>
            </w:pPr>
            <w:r>
              <w:rPr>
                <w:rFonts w:hint="eastAsia" w:cs="Times New Roman"/>
                <w:szCs w:val="24"/>
              </w:rPr>
              <w:t>⑤</w:t>
            </w:r>
            <w:r>
              <w:rPr>
                <w:rFonts w:cs="Times New Roman"/>
                <w:szCs w:val="24"/>
              </w:rPr>
              <w:t>生产过程中要求做到轻拿轻放，文明装卸，尽可能减轻装卸噪声对外环境的影响。</w:t>
            </w:r>
          </w:p>
          <w:p w14:paraId="3076E684">
            <w:pPr>
              <w:ind w:firstLine="482"/>
              <w:rPr>
                <w:rFonts w:cs="Times New Roman"/>
                <w:b/>
              </w:rPr>
            </w:pPr>
            <w:r>
              <w:rPr>
                <w:rFonts w:cs="Times New Roman"/>
                <w:b/>
              </w:rPr>
              <w:t>（</w:t>
            </w:r>
            <w:r>
              <w:rPr>
                <w:rFonts w:hint="eastAsia" w:cs="Times New Roman"/>
                <w:b/>
              </w:rPr>
              <w:t>3</w:t>
            </w:r>
            <w:r>
              <w:rPr>
                <w:rFonts w:cs="Times New Roman"/>
                <w:b/>
              </w:rPr>
              <w:t>）</w:t>
            </w:r>
            <w:r>
              <w:rPr>
                <w:rFonts w:hint="eastAsia" w:cs="Times New Roman"/>
                <w:b/>
              </w:rPr>
              <w:t>厂界噪声达标情况</w:t>
            </w:r>
          </w:p>
          <w:p w14:paraId="5C76327D">
            <w:pPr>
              <w:ind w:firstLine="480"/>
              <w:rPr>
                <w:rFonts w:cs="Times New Roman"/>
                <w:bCs/>
              </w:rPr>
            </w:pPr>
            <w:r>
              <w:rPr>
                <w:rFonts w:hint="eastAsia" w:cs="Times New Roman"/>
                <w:bCs/>
              </w:rPr>
              <w:t>根据现状监测结果可知，厂房二车间项目试运行时，厂房厂界噪声能够达到《工业企业厂界环境噪声排放标准》GB12348-2008中3类标准限值要求。</w:t>
            </w:r>
          </w:p>
          <w:p w14:paraId="3D7BCBC3">
            <w:pPr>
              <w:ind w:firstLine="482"/>
              <w:rPr>
                <w:rFonts w:cs="Times New Roman"/>
                <w:b/>
              </w:rPr>
            </w:pPr>
            <w:r>
              <w:rPr>
                <w:rFonts w:cs="Times New Roman"/>
                <w:b/>
              </w:rPr>
              <w:t>（</w:t>
            </w:r>
            <w:r>
              <w:rPr>
                <w:rFonts w:hint="eastAsia" w:cs="Times New Roman"/>
                <w:b/>
              </w:rPr>
              <w:t>4</w:t>
            </w:r>
            <w:r>
              <w:rPr>
                <w:rFonts w:cs="Times New Roman"/>
                <w:b/>
              </w:rPr>
              <w:t>）</w:t>
            </w:r>
            <w:r>
              <w:rPr>
                <w:rFonts w:hint="eastAsia" w:cs="Times New Roman"/>
                <w:b/>
              </w:rPr>
              <w:t>整改要求</w:t>
            </w:r>
          </w:p>
          <w:p w14:paraId="5144D653">
            <w:pPr>
              <w:ind w:firstLine="480"/>
              <w:rPr>
                <w:rFonts w:cs="Times New Roman"/>
                <w:bCs/>
              </w:rPr>
            </w:pPr>
            <w:r>
              <w:rPr>
                <w:rFonts w:hint="eastAsia" w:cs="Times New Roman"/>
                <w:bCs/>
              </w:rPr>
              <w:t>无需整改。</w:t>
            </w:r>
          </w:p>
          <w:p w14:paraId="58DF09DD">
            <w:pPr>
              <w:ind w:firstLine="482"/>
              <w:rPr>
                <w:rFonts w:cs="Times New Roman"/>
                <w:b/>
              </w:rPr>
            </w:pPr>
            <w:r>
              <w:rPr>
                <w:rFonts w:cs="Times New Roman"/>
                <w:b/>
              </w:rPr>
              <w:t>（5）监测要求</w:t>
            </w:r>
          </w:p>
          <w:p w14:paraId="7F8A49B5">
            <w:pPr>
              <w:ind w:firstLine="480"/>
              <w:rPr>
                <w:rFonts w:cs="Times New Roman"/>
              </w:rPr>
            </w:pPr>
            <w:r>
              <w:rPr>
                <w:rFonts w:cs="Times New Roman"/>
              </w:rPr>
              <w:t>根据《排污单位自行监测技术指南 总则》（HJ 819-2017），项目噪声监测要求见下表。</w:t>
            </w:r>
          </w:p>
          <w:p w14:paraId="773AB091">
            <w:pPr>
              <w:pStyle w:val="13"/>
              <w:rPr>
                <w:rFonts w:cs="Times New Roman"/>
                <w:sz w:val="24"/>
              </w:rPr>
            </w:pPr>
            <w:r>
              <w:rPr>
                <w:rFonts w:cs="Times New Roman"/>
                <w:sz w:val="24"/>
              </w:rPr>
              <w:t>表</w:t>
            </w:r>
            <w:r>
              <w:rPr>
                <w:rFonts w:cs="Times New Roman"/>
                <w:sz w:val="24"/>
              </w:rPr>
              <w:fldChar w:fldCharType="begin"/>
            </w:r>
            <w:r>
              <w:rPr>
                <w:rFonts w:cs="Times New Roman"/>
                <w:sz w:val="24"/>
              </w:rPr>
              <w:instrText xml:space="preserve"> SEQ seq \c </w:instrText>
            </w:r>
            <w:r>
              <w:rPr>
                <w:rFonts w:cs="Times New Roman"/>
                <w:sz w:val="24"/>
              </w:rPr>
              <w:fldChar w:fldCharType="separate"/>
            </w:r>
            <w:r>
              <w:rPr>
                <w:rFonts w:cs="Times New Roman"/>
                <w:sz w:val="24"/>
              </w:rPr>
              <w:t>4</w:t>
            </w:r>
            <w:r>
              <w:rPr>
                <w:rFonts w:cs="Times New Roman"/>
                <w:sz w:val="24"/>
              </w:rPr>
              <w:fldChar w:fldCharType="end"/>
            </w:r>
            <w:r>
              <w:rPr>
                <w:rFonts w:cs="Times New Roman"/>
                <w:sz w:val="24"/>
              </w:rPr>
              <w:noBreakHyphen/>
            </w:r>
            <w:r>
              <w:rPr>
                <w:rFonts w:hint="eastAsia" w:cs="Times New Roman"/>
                <w:sz w:val="24"/>
              </w:rPr>
              <w:t>7</w:t>
            </w:r>
            <w:r>
              <w:rPr>
                <w:rFonts w:cs="Times New Roman"/>
                <w:sz w:val="24"/>
              </w:rPr>
              <w:t xml:space="preserve"> </w:t>
            </w:r>
            <w:r>
              <w:rPr>
                <w:rFonts w:hint="eastAsia" w:cs="Times New Roman"/>
                <w:sz w:val="24"/>
              </w:rPr>
              <w:t xml:space="preserve"> </w:t>
            </w:r>
            <w:r>
              <w:rPr>
                <w:rFonts w:cs="Times New Roman"/>
                <w:sz w:val="24"/>
              </w:rPr>
              <w:t>各预测点噪声贡献值 单位：dB（A）</w:t>
            </w:r>
          </w:p>
          <w:tbl>
            <w:tblPr>
              <w:tblStyle w:val="3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72"/>
              <w:gridCol w:w="3075"/>
              <w:gridCol w:w="3075"/>
            </w:tblGrid>
            <w:tr w14:paraId="18F4F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554" w:type="pct"/>
                  <w:vAlign w:val="center"/>
                </w:tcPr>
                <w:p w14:paraId="2194A8C8">
                  <w:pPr>
                    <w:pStyle w:val="53"/>
                    <w:rPr>
                      <w:rFonts w:cs="Times New Roman"/>
                    </w:rPr>
                  </w:pPr>
                  <w:r>
                    <w:rPr>
                      <w:rFonts w:cs="Times New Roman"/>
                    </w:rPr>
                    <w:t>监测点位</w:t>
                  </w:r>
                </w:p>
              </w:tc>
              <w:tc>
                <w:tcPr>
                  <w:tcW w:w="1723" w:type="pct"/>
                  <w:vAlign w:val="center"/>
                </w:tcPr>
                <w:p w14:paraId="5F1BCF1B">
                  <w:pPr>
                    <w:pStyle w:val="53"/>
                    <w:rPr>
                      <w:rFonts w:cs="Times New Roman"/>
                    </w:rPr>
                  </w:pPr>
                  <w:r>
                    <w:rPr>
                      <w:rFonts w:cs="Times New Roman"/>
                    </w:rPr>
                    <w:t>监测因子</w:t>
                  </w:r>
                </w:p>
              </w:tc>
              <w:tc>
                <w:tcPr>
                  <w:tcW w:w="1723" w:type="pct"/>
                  <w:vAlign w:val="center"/>
                </w:tcPr>
                <w:p w14:paraId="48E51F77">
                  <w:pPr>
                    <w:pStyle w:val="53"/>
                    <w:rPr>
                      <w:rFonts w:cs="Times New Roman"/>
                    </w:rPr>
                  </w:pPr>
                  <w:r>
                    <w:rPr>
                      <w:rFonts w:cs="Times New Roman"/>
                    </w:rPr>
                    <w:t>监测频次</w:t>
                  </w:r>
                </w:p>
              </w:tc>
            </w:tr>
            <w:tr w14:paraId="3ABB7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554" w:type="pct"/>
                  <w:vAlign w:val="center"/>
                </w:tcPr>
                <w:p w14:paraId="09C91944">
                  <w:pPr>
                    <w:pStyle w:val="14"/>
                    <w:rPr>
                      <w:rFonts w:cs="Times New Roman"/>
                    </w:rPr>
                  </w:pPr>
                  <w:r>
                    <w:rPr>
                      <w:rFonts w:cs="Times New Roman"/>
                    </w:rPr>
                    <w:t>项目区域四周外1m处</w:t>
                  </w:r>
                </w:p>
              </w:tc>
              <w:tc>
                <w:tcPr>
                  <w:tcW w:w="1723" w:type="pct"/>
                  <w:vAlign w:val="center"/>
                </w:tcPr>
                <w:p w14:paraId="02DAE94C">
                  <w:pPr>
                    <w:pStyle w:val="14"/>
                    <w:rPr>
                      <w:rFonts w:cs="Times New Roman"/>
                    </w:rPr>
                  </w:pPr>
                  <w:r>
                    <w:rPr>
                      <w:rFonts w:cs="Times New Roman"/>
                    </w:rPr>
                    <w:t>Leq（dB（A））（昼间）</w:t>
                  </w:r>
                </w:p>
              </w:tc>
              <w:tc>
                <w:tcPr>
                  <w:tcW w:w="1723" w:type="pct"/>
                  <w:vAlign w:val="center"/>
                </w:tcPr>
                <w:p w14:paraId="2334C6CD">
                  <w:pPr>
                    <w:pStyle w:val="14"/>
                    <w:rPr>
                      <w:rFonts w:cs="Times New Roman"/>
                    </w:rPr>
                  </w:pPr>
                  <w:r>
                    <w:rPr>
                      <w:rFonts w:cs="Times New Roman"/>
                    </w:rPr>
                    <w:t>1次/季度</w:t>
                  </w:r>
                </w:p>
              </w:tc>
            </w:tr>
          </w:tbl>
          <w:p w14:paraId="44D7B584">
            <w:pPr>
              <w:pStyle w:val="3"/>
              <w:spacing w:before="163"/>
            </w:pPr>
            <w:r>
              <w:t>4、运营期固体废物环境影响分析和保护措施</w:t>
            </w:r>
          </w:p>
          <w:p w14:paraId="225B5D53">
            <w:pPr>
              <w:ind w:firstLine="480"/>
              <w:rPr>
                <w:rFonts w:cs="Times New Roman"/>
              </w:rPr>
            </w:pPr>
            <w:r>
              <w:rPr>
                <w:rFonts w:cs="Times New Roman"/>
              </w:rPr>
              <w:t>本项目产生的固体废物为</w:t>
            </w:r>
            <w:r>
              <w:rPr>
                <w:rFonts w:hint="eastAsia" w:cs="Times New Roman"/>
              </w:rPr>
              <w:t>废边角料</w:t>
            </w:r>
            <w:r>
              <w:rPr>
                <w:rFonts w:cs="Times New Roman"/>
              </w:rPr>
              <w:t>、危险废物。</w:t>
            </w:r>
          </w:p>
          <w:p w14:paraId="261800DC">
            <w:pPr>
              <w:ind w:firstLine="482"/>
              <w:rPr>
                <w:rFonts w:cs="Times New Roman"/>
                <w:b/>
                <w:bCs/>
              </w:rPr>
            </w:pPr>
            <w:r>
              <w:rPr>
                <w:rFonts w:cs="Times New Roman"/>
                <w:b/>
                <w:bCs/>
              </w:rPr>
              <w:t>（1）</w:t>
            </w:r>
            <w:r>
              <w:rPr>
                <w:rFonts w:hint="eastAsia" w:cs="Times New Roman"/>
                <w:b/>
                <w:bCs/>
              </w:rPr>
              <w:t>废边角料</w:t>
            </w:r>
          </w:p>
          <w:p w14:paraId="01E5CB3F">
            <w:pPr>
              <w:autoSpaceDE w:val="0"/>
              <w:autoSpaceDN w:val="0"/>
              <w:ind w:firstLine="480"/>
              <w:rPr>
                <w:kern w:val="0"/>
              </w:rPr>
            </w:pPr>
            <w:r>
              <w:rPr>
                <w:rFonts w:hint="eastAsia" w:cs="Times New Roman"/>
              </w:rPr>
              <w:t>项目修边机会产生三聚氰胺浸渍纸废边角料，产生量约0.5t/a</w:t>
            </w:r>
            <w:r>
              <w:rPr>
                <w:kern w:val="0"/>
              </w:rPr>
              <w:t>。</w:t>
            </w:r>
            <w:r>
              <w:rPr>
                <w:rFonts w:hint="eastAsia"/>
                <w:kern w:val="0"/>
              </w:rPr>
              <w:t>统一收集后，由环卫部门外运处置。</w:t>
            </w:r>
          </w:p>
          <w:p w14:paraId="67B2E2C3">
            <w:pPr>
              <w:ind w:firstLine="482"/>
              <w:rPr>
                <w:rFonts w:cs="Times New Roman"/>
                <w:b/>
                <w:spacing w:val="-3"/>
              </w:rPr>
            </w:pPr>
            <w:r>
              <w:rPr>
                <w:rFonts w:cs="Times New Roman"/>
                <w:b/>
              </w:rPr>
              <w:t>（2）</w:t>
            </w:r>
            <w:r>
              <w:rPr>
                <w:rFonts w:cs="Times New Roman"/>
                <w:b/>
                <w:spacing w:val="-3"/>
              </w:rPr>
              <w:t>危险废物</w:t>
            </w:r>
          </w:p>
          <w:p w14:paraId="54B2397E">
            <w:pPr>
              <w:autoSpaceDE w:val="0"/>
              <w:autoSpaceDN w:val="0"/>
              <w:adjustRightInd w:val="0"/>
              <w:ind w:firstLine="480"/>
            </w:pPr>
            <w:r>
              <w:rPr>
                <w:szCs w:val="24"/>
              </w:rPr>
              <w:fldChar w:fldCharType="begin"/>
            </w:r>
            <w:r>
              <w:rPr>
                <w:szCs w:val="24"/>
              </w:rPr>
              <w:instrText xml:space="preserve"> = 1 \* GB3 </w:instrText>
            </w:r>
            <w:r>
              <w:rPr>
                <w:szCs w:val="24"/>
              </w:rPr>
              <w:fldChar w:fldCharType="separate"/>
            </w:r>
            <w:r>
              <w:rPr>
                <w:rFonts w:hint="eastAsia" w:ascii="宋体" w:hAnsi="宋体" w:cs="宋体"/>
                <w:szCs w:val="24"/>
              </w:rPr>
              <w:t>①</w:t>
            </w:r>
            <w:r>
              <w:rPr>
                <w:szCs w:val="24"/>
              </w:rPr>
              <w:fldChar w:fldCharType="end"/>
            </w:r>
            <w:r>
              <w:rPr>
                <w:szCs w:val="24"/>
              </w:rPr>
              <w:t>废活性炭：</w:t>
            </w:r>
            <w:r>
              <w:rPr>
                <w:rFonts w:cs="Times New Roman"/>
                <w:kern w:val="0"/>
              </w:rPr>
              <w:t>项目采用活性炭吸附设备对有机废气进行处理，将产生废活性炭，</w:t>
            </w:r>
            <w:r>
              <w:rPr>
                <w:rFonts w:cs="Times New Roman"/>
              </w:rPr>
              <w:t>根据《国家危险废物名录》（2025年版），废活性炭为危险废物，危险废物代码HW49 900-039-49中所列“烟气、VOCs 治理过程（不包括餐饮行业油烟治理过程）产生的废活性炭”。</w:t>
            </w:r>
            <w:r>
              <w:rPr>
                <w:rFonts w:hint="eastAsia" w:cs="Times New Roman"/>
              </w:rPr>
              <w:t>废活性炭由专用包装袋包装，</w:t>
            </w:r>
            <w:r>
              <w:t>暂存在项目危废暂存间内，定期交由具有相应危废处理资质的专业单位处置。</w:t>
            </w:r>
          </w:p>
          <w:p w14:paraId="545481C5">
            <w:pPr>
              <w:autoSpaceDE w:val="0"/>
              <w:autoSpaceDN w:val="0"/>
              <w:adjustRightInd w:val="0"/>
              <w:ind w:firstLine="480"/>
            </w:pPr>
            <w:r>
              <w:rPr>
                <w:rFonts w:hint="eastAsia"/>
              </w:rPr>
              <w:t>本项目有机废气经活性炭吸附装置净化处理后排放，为保证吸附率，需定期更换活性炭。本项目1kg活性炭吸附0.24kg有机废气，为了保证吸附净化效率，要求建设单位每年更换1次活性炭，废活性炭产生量约1.045t/a。</w:t>
            </w:r>
          </w:p>
          <w:p w14:paraId="49034B17">
            <w:pPr>
              <w:autoSpaceDE w:val="0"/>
              <w:autoSpaceDN w:val="0"/>
              <w:adjustRightInd w:val="0"/>
              <w:ind w:firstLine="480"/>
            </w:pPr>
            <w:r>
              <w:fldChar w:fldCharType="begin"/>
            </w:r>
            <w:r>
              <w:instrText xml:space="preserve"> = 2 \* GB3 </w:instrText>
            </w:r>
            <w:r>
              <w:fldChar w:fldCharType="separate"/>
            </w:r>
            <w:r>
              <w:rPr>
                <w:rFonts w:hint="eastAsia" w:ascii="宋体" w:hAnsi="宋体" w:cs="宋体"/>
              </w:rPr>
              <w:t>②</w:t>
            </w:r>
            <w:r>
              <w:fldChar w:fldCharType="end"/>
            </w:r>
            <w:r>
              <w:t>废</w:t>
            </w:r>
            <w:r>
              <w:rPr>
                <w:rFonts w:hint="eastAsia"/>
              </w:rPr>
              <w:t>介质</w:t>
            </w:r>
            <w:r>
              <w:t>油：项目</w:t>
            </w:r>
            <w:r>
              <w:rPr>
                <w:rFonts w:hint="eastAsia"/>
              </w:rPr>
              <w:t>模温机</w:t>
            </w:r>
            <w:r>
              <w:t>生产设备</w:t>
            </w:r>
            <w:r>
              <w:rPr>
                <w:rFonts w:hint="eastAsia"/>
              </w:rPr>
              <w:t>会每5年更换介质油，每台500kg，每五年</w:t>
            </w:r>
            <w:r>
              <w:t>产生量约为1 t/a，</w:t>
            </w:r>
            <w:r>
              <w:rPr>
                <w:rFonts w:cs="Times New Roman"/>
              </w:rPr>
              <w:t>对照《国家危险废物名录》，废液压油属HW08 900-218-08 “液压设备维护、更换和拆解过程中产生的废液压油”。</w:t>
            </w:r>
            <w:bookmarkStart w:id="81" w:name="OLE_LINK89"/>
            <w:bookmarkStart w:id="82" w:name="OLE_LINK55"/>
            <w:r>
              <w:rPr>
                <w:rFonts w:cs="Times New Roman"/>
              </w:rPr>
              <w:t>废液压油密封桶装</w:t>
            </w:r>
            <w:r>
              <w:rPr>
                <w:rFonts w:cs="Times New Roman"/>
                <w:kern w:val="0"/>
                <w:szCs w:val="24"/>
              </w:rPr>
              <w:t>于危险废物暂存间暂存，定期交由有资质单位及时清运处置。</w:t>
            </w:r>
            <w:bookmarkEnd w:id="81"/>
            <w:bookmarkEnd w:id="82"/>
            <w:r>
              <w:t>废机油采用专用密封容器盛装，暂存在项目危废暂存间内，定期交由具有相应危废处理资质的专业单位处置。</w:t>
            </w:r>
          </w:p>
          <w:p w14:paraId="1E649A1C">
            <w:pPr>
              <w:autoSpaceDE w:val="0"/>
              <w:autoSpaceDN w:val="0"/>
              <w:adjustRightInd w:val="0"/>
              <w:ind w:firstLine="482"/>
              <w:rPr>
                <w:rFonts w:cs="Times New Roman"/>
                <w:b/>
              </w:rPr>
            </w:pPr>
            <w:r>
              <w:rPr>
                <w:rFonts w:cs="Times New Roman"/>
                <w:b/>
              </w:rPr>
              <w:t>（4）治理措施</w:t>
            </w:r>
          </w:p>
          <w:p w14:paraId="1478D51A">
            <w:pPr>
              <w:spacing w:before="15"/>
              <w:ind w:firstLine="480"/>
              <w:rPr>
                <w:rFonts w:cs="Times New Roman"/>
                <w:szCs w:val="24"/>
                <w:u w:val="single"/>
              </w:rPr>
            </w:pPr>
            <w:r>
              <w:rPr>
                <w:rFonts w:hint="eastAsia"/>
                <w:u w:val="single"/>
              </w:rPr>
              <w:t>经现场踏勘，目前项目未正式生产，未产生危险废物，项目车间内没有建设危废暂存间，未签订危废协议。</w:t>
            </w:r>
          </w:p>
          <w:p w14:paraId="7A94115F">
            <w:pPr>
              <w:spacing w:before="15"/>
              <w:ind w:firstLine="482"/>
              <w:rPr>
                <w:rFonts w:cs="Times New Roman"/>
                <w:szCs w:val="24"/>
              </w:rPr>
            </w:pPr>
            <w:r>
              <w:rPr>
                <w:rFonts w:hint="eastAsia" w:cs="Times New Roman"/>
                <w:b/>
                <w:bCs/>
                <w:szCs w:val="24"/>
              </w:rPr>
              <w:t>整改措施：</w:t>
            </w:r>
            <w:r>
              <w:rPr>
                <w:rFonts w:cs="Times New Roman"/>
                <w:szCs w:val="24"/>
              </w:rPr>
              <w:t>本项目车间设置</w:t>
            </w:r>
            <w:r>
              <w:rPr>
                <w:rFonts w:hint="eastAsia" w:cs="Times New Roman"/>
                <w:szCs w:val="24"/>
              </w:rPr>
              <w:t>危废</w:t>
            </w:r>
            <w:r>
              <w:rPr>
                <w:rFonts w:cs="Times New Roman"/>
                <w:szCs w:val="24"/>
              </w:rPr>
              <w:t>暂存间，单独房间，面积约</w:t>
            </w:r>
            <w:r>
              <w:rPr>
                <w:rFonts w:hint="eastAsia" w:cs="Times New Roman"/>
                <w:szCs w:val="24"/>
              </w:rPr>
              <w:t>5</w:t>
            </w:r>
            <w:r>
              <w:rPr>
                <w:rFonts w:cs="Times New Roman"/>
                <w:szCs w:val="24"/>
              </w:rPr>
              <w:t>m</w:t>
            </w:r>
            <w:r>
              <w:rPr>
                <w:rFonts w:cs="Times New Roman"/>
                <w:szCs w:val="24"/>
                <w:vertAlign w:val="superscript"/>
              </w:rPr>
              <w:t>2</w:t>
            </w:r>
            <w:r>
              <w:rPr>
                <w:rFonts w:cs="Times New Roman"/>
                <w:szCs w:val="24"/>
              </w:rPr>
              <w:t>。危险废物经分类收集后暂存于危废暂存间。危险废物暂存应做到暂存间地面进行防腐、防渗处理防止危险废物发生泄漏造成地下水污染；并设置明显的警示标识，由专人管理；厂方应及时、妥善清运危险废物，尽量减少危险废物临时贮存量；项目厂方应与有危险废物处置资质的单位签订的危废委托处理协议，项目验收时提供危废协议，危险废物集中分类收集后定期交由有资质的单位处置；建立危废处置台账。</w:t>
            </w:r>
          </w:p>
          <w:p w14:paraId="1D6B5BEE">
            <w:pPr>
              <w:ind w:firstLine="480"/>
              <w:rPr>
                <w:rFonts w:cs="Times New Roman"/>
                <w:szCs w:val="24"/>
              </w:rPr>
            </w:pPr>
            <w:r>
              <w:rPr>
                <w:rFonts w:cs="Times New Roman"/>
                <w:szCs w:val="24"/>
              </w:rPr>
              <w:t>危废暂存间应严格按照《危险废物储存污染控制标准》的要求设计，</w:t>
            </w:r>
            <w:r>
              <w:t>具备防风、防晒、防雨、防漏、防渗、防腐等功能。</w:t>
            </w:r>
            <w:r>
              <w:rPr>
                <w:rFonts w:cs="Times New Roman"/>
                <w:szCs w:val="24"/>
              </w:rPr>
              <w:t>防止二次污染。本项目固废产生情况如下表：</w:t>
            </w:r>
          </w:p>
          <w:p w14:paraId="3AB27B06">
            <w:pPr>
              <w:pStyle w:val="13"/>
              <w:rPr>
                <w:rFonts w:cs="Times New Roman"/>
              </w:rPr>
            </w:pPr>
            <w:r>
              <w:rPr>
                <w:rFonts w:cs="Times New Roman"/>
              </w:rPr>
              <w:t>表</w:t>
            </w:r>
            <w:r>
              <w:rPr>
                <w:rFonts w:cs="Times New Roman"/>
              </w:rPr>
              <w:fldChar w:fldCharType="begin"/>
            </w:r>
            <w:r>
              <w:rPr>
                <w:rFonts w:cs="Times New Roman"/>
              </w:rPr>
              <w:instrText xml:space="preserve"> SEQ seq \c </w:instrText>
            </w:r>
            <w:r>
              <w:rPr>
                <w:rFonts w:cs="Times New Roman"/>
              </w:rPr>
              <w:fldChar w:fldCharType="separate"/>
            </w:r>
            <w:r>
              <w:rPr>
                <w:rFonts w:cs="Times New Roman"/>
              </w:rPr>
              <w:t>4</w:t>
            </w:r>
            <w:r>
              <w:rPr>
                <w:rFonts w:cs="Times New Roman"/>
              </w:rPr>
              <w:fldChar w:fldCharType="end"/>
            </w:r>
            <w:r>
              <w:rPr>
                <w:rFonts w:cs="Times New Roman"/>
              </w:rPr>
              <w:noBreakHyphen/>
            </w:r>
            <w:r>
              <w:rPr>
                <w:rFonts w:hint="eastAsia" w:cs="Times New Roman"/>
              </w:rPr>
              <w:t>8</w:t>
            </w:r>
            <w:r>
              <w:rPr>
                <w:rFonts w:cs="Times New Roman"/>
              </w:rPr>
              <w:t xml:space="preserve"> 本项目运营期固废产生及处置情况一览表</w:t>
            </w:r>
          </w:p>
          <w:tbl>
            <w:tblPr>
              <w:tblStyle w:val="33"/>
              <w:tblW w:w="4998" w:type="pct"/>
              <w:tblInd w:w="0" w:type="dxa"/>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Layout w:type="autofit"/>
              <w:tblCellMar>
                <w:top w:w="0" w:type="dxa"/>
                <w:left w:w="0" w:type="dxa"/>
                <w:bottom w:w="0" w:type="dxa"/>
                <w:right w:w="0" w:type="dxa"/>
              </w:tblCellMar>
            </w:tblPr>
            <w:tblGrid>
              <w:gridCol w:w="1856"/>
              <w:gridCol w:w="1155"/>
              <w:gridCol w:w="978"/>
              <w:gridCol w:w="1363"/>
              <w:gridCol w:w="748"/>
              <w:gridCol w:w="2823"/>
            </w:tblGrid>
            <w:tr w14:paraId="48550201">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1040" w:type="pct"/>
                  <w:tcBorders>
                    <w:tl2br w:val="nil"/>
                    <w:tr2bl w:val="nil"/>
                  </w:tcBorders>
                  <w:vAlign w:val="center"/>
                </w:tcPr>
                <w:p w14:paraId="6C266C8B">
                  <w:pPr>
                    <w:pStyle w:val="53"/>
                    <w:rPr>
                      <w:rFonts w:cs="Times New Roman"/>
                    </w:rPr>
                  </w:pPr>
                  <w:r>
                    <w:rPr>
                      <w:rFonts w:cs="Times New Roman"/>
                    </w:rPr>
                    <w:t>废物名称</w:t>
                  </w:r>
                </w:p>
              </w:tc>
              <w:tc>
                <w:tcPr>
                  <w:tcW w:w="647" w:type="pct"/>
                  <w:tcBorders>
                    <w:tl2br w:val="nil"/>
                    <w:tr2bl w:val="nil"/>
                  </w:tcBorders>
                  <w:vAlign w:val="center"/>
                </w:tcPr>
                <w:p w14:paraId="191F08C2">
                  <w:pPr>
                    <w:pStyle w:val="53"/>
                    <w:rPr>
                      <w:rFonts w:cs="Times New Roman"/>
                    </w:rPr>
                  </w:pPr>
                  <w:r>
                    <w:rPr>
                      <w:rFonts w:cs="Times New Roman"/>
                    </w:rPr>
                    <w:t>属性</w:t>
                  </w:r>
                </w:p>
              </w:tc>
              <w:tc>
                <w:tcPr>
                  <w:tcW w:w="548" w:type="pct"/>
                  <w:tcBorders>
                    <w:tl2br w:val="nil"/>
                    <w:tr2bl w:val="nil"/>
                  </w:tcBorders>
                  <w:vAlign w:val="center"/>
                </w:tcPr>
                <w:p w14:paraId="569FC27B">
                  <w:pPr>
                    <w:pStyle w:val="53"/>
                    <w:rPr>
                      <w:rFonts w:cs="Times New Roman"/>
                    </w:rPr>
                  </w:pPr>
                  <w:r>
                    <w:rPr>
                      <w:rFonts w:cs="Times New Roman"/>
                    </w:rPr>
                    <w:t>产生量（t/a）</w:t>
                  </w:r>
                </w:p>
              </w:tc>
              <w:tc>
                <w:tcPr>
                  <w:tcW w:w="764" w:type="pct"/>
                  <w:tcBorders>
                    <w:tl2br w:val="nil"/>
                    <w:tr2bl w:val="nil"/>
                  </w:tcBorders>
                  <w:vAlign w:val="center"/>
                </w:tcPr>
                <w:p w14:paraId="49F4D7E0">
                  <w:pPr>
                    <w:pStyle w:val="53"/>
                    <w:rPr>
                      <w:rFonts w:cs="Times New Roman"/>
                    </w:rPr>
                  </w:pPr>
                  <w:r>
                    <w:rPr>
                      <w:rFonts w:cs="Times New Roman"/>
                    </w:rPr>
                    <w:t>产生工序</w:t>
                  </w:r>
                </w:p>
              </w:tc>
              <w:tc>
                <w:tcPr>
                  <w:tcW w:w="419" w:type="pct"/>
                  <w:tcBorders>
                    <w:tl2br w:val="nil"/>
                    <w:tr2bl w:val="nil"/>
                  </w:tcBorders>
                  <w:vAlign w:val="center"/>
                </w:tcPr>
                <w:p w14:paraId="510A9B7E">
                  <w:pPr>
                    <w:pStyle w:val="53"/>
                    <w:rPr>
                      <w:rFonts w:cs="Times New Roman"/>
                    </w:rPr>
                  </w:pPr>
                  <w:r>
                    <w:rPr>
                      <w:rFonts w:cs="Times New Roman"/>
                    </w:rPr>
                    <w:t>形态</w:t>
                  </w:r>
                </w:p>
              </w:tc>
              <w:tc>
                <w:tcPr>
                  <w:tcW w:w="1583" w:type="pct"/>
                  <w:tcBorders>
                    <w:tl2br w:val="nil"/>
                    <w:tr2bl w:val="nil"/>
                  </w:tcBorders>
                  <w:vAlign w:val="center"/>
                </w:tcPr>
                <w:p w14:paraId="1EFC18ED">
                  <w:pPr>
                    <w:pStyle w:val="53"/>
                    <w:rPr>
                      <w:rFonts w:cs="Times New Roman"/>
                    </w:rPr>
                  </w:pPr>
                  <w:r>
                    <w:rPr>
                      <w:rFonts w:cs="Times New Roman"/>
                    </w:rPr>
                    <w:t>处置方式</w:t>
                  </w:r>
                </w:p>
              </w:tc>
            </w:tr>
            <w:tr w14:paraId="6DA2838D">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389" w:hRule="atLeast"/>
              </w:trPr>
              <w:tc>
                <w:tcPr>
                  <w:tcW w:w="1040" w:type="pct"/>
                  <w:tcBorders>
                    <w:tl2br w:val="nil"/>
                    <w:tr2bl w:val="nil"/>
                  </w:tcBorders>
                  <w:vAlign w:val="center"/>
                </w:tcPr>
                <w:p w14:paraId="003ACC44">
                  <w:pPr>
                    <w:pStyle w:val="14"/>
                    <w:rPr>
                      <w:rFonts w:cs="Times New Roman"/>
                    </w:rPr>
                  </w:pPr>
                  <w:bookmarkStart w:id="83" w:name="_Hlk207723139"/>
                  <w:r>
                    <w:rPr>
                      <w:rFonts w:hint="eastAsia" w:cs="Times New Roman"/>
                      <w:bCs/>
                    </w:rPr>
                    <w:t>废边角料</w:t>
                  </w:r>
                </w:p>
              </w:tc>
              <w:tc>
                <w:tcPr>
                  <w:tcW w:w="647" w:type="pct"/>
                  <w:tcBorders>
                    <w:tl2br w:val="nil"/>
                    <w:tr2bl w:val="nil"/>
                  </w:tcBorders>
                  <w:vAlign w:val="center"/>
                </w:tcPr>
                <w:p w14:paraId="6ABAEF65">
                  <w:pPr>
                    <w:pStyle w:val="14"/>
                    <w:rPr>
                      <w:rFonts w:cs="Times New Roman"/>
                    </w:rPr>
                  </w:pPr>
                  <w:r>
                    <w:rPr>
                      <w:rFonts w:cs="Times New Roman"/>
                    </w:rPr>
                    <w:t>一般固废</w:t>
                  </w:r>
                </w:p>
              </w:tc>
              <w:tc>
                <w:tcPr>
                  <w:tcW w:w="548" w:type="pct"/>
                  <w:tcBorders>
                    <w:tl2br w:val="nil"/>
                    <w:tr2bl w:val="nil"/>
                  </w:tcBorders>
                  <w:vAlign w:val="center"/>
                </w:tcPr>
                <w:p w14:paraId="207ED35B">
                  <w:pPr>
                    <w:pStyle w:val="14"/>
                    <w:rPr>
                      <w:rFonts w:cs="Times New Roman"/>
                    </w:rPr>
                  </w:pPr>
                  <w:r>
                    <w:rPr>
                      <w:rFonts w:hint="eastAsia" w:cs="Times New Roman"/>
                    </w:rPr>
                    <w:t>0.5</w:t>
                  </w:r>
                </w:p>
              </w:tc>
              <w:tc>
                <w:tcPr>
                  <w:tcW w:w="764" w:type="pct"/>
                  <w:tcBorders>
                    <w:tl2br w:val="nil"/>
                    <w:tr2bl w:val="nil"/>
                  </w:tcBorders>
                  <w:vAlign w:val="center"/>
                </w:tcPr>
                <w:p w14:paraId="3C7F0DDF">
                  <w:pPr>
                    <w:pStyle w:val="14"/>
                    <w:rPr>
                      <w:rFonts w:cs="Times New Roman"/>
                      <w:bCs/>
                    </w:rPr>
                  </w:pPr>
                  <w:r>
                    <w:rPr>
                      <w:rFonts w:hint="eastAsia" w:cs="Times New Roman"/>
                    </w:rPr>
                    <w:t>修边工序</w:t>
                  </w:r>
                </w:p>
              </w:tc>
              <w:tc>
                <w:tcPr>
                  <w:tcW w:w="419" w:type="pct"/>
                  <w:tcBorders>
                    <w:tl2br w:val="nil"/>
                    <w:tr2bl w:val="nil"/>
                  </w:tcBorders>
                  <w:vAlign w:val="center"/>
                </w:tcPr>
                <w:p w14:paraId="7143E63F">
                  <w:pPr>
                    <w:pStyle w:val="14"/>
                    <w:rPr>
                      <w:rFonts w:cs="Times New Roman"/>
                      <w:bCs/>
                    </w:rPr>
                  </w:pPr>
                  <w:r>
                    <w:rPr>
                      <w:rFonts w:cs="Times New Roman"/>
                      <w:bCs/>
                    </w:rPr>
                    <w:t>固态</w:t>
                  </w:r>
                </w:p>
              </w:tc>
              <w:tc>
                <w:tcPr>
                  <w:tcW w:w="1583" w:type="pct"/>
                  <w:tcBorders>
                    <w:tl2br w:val="nil"/>
                    <w:tr2bl w:val="nil"/>
                  </w:tcBorders>
                  <w:vAlign w:val="center"/>
                </w:tcPr>
                <w:p w14:paraId="54E4EE9B">
                  <w:pPr>
                    <w:pStyle w:val="14"/>
                    <w:rPr>
                      <w:rFonts w:cs="Times New Roman"/>
                      <w:bCs/>
                    </w:rPr>
                  </w:pPr>
                  <w:r>
                    <w:rPr>
                      <w:rFonts w:hint="eastAsia"/>
                    </w:rPr>
                    <w:t>卫部门外运处置</w:t>
                  </w:r>
                </w:p>
              </w:tc>
            </w:tr>
            <w:bookmarkEnd w:id="83"/>
            <w:tr w14:paraId="5B96BAFE">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329" w:hRule="atLeast"/>
              </w:trPr>
              <w:tc>
                <w:tcPr>
                  <w:tcW w:w="1040" w:type="pct"/>
                  <w:tcBorders>
                    <w:tl2br w:val="nil"/>
                    <w:tr2bl w:val="nil"/>
                  </w:tcBorders>
                  <w:vAlign w:val="center"/>
                </w:tcPr>
                <w:p w14:paraId="0E9DB0DC">
                  <w:pPr>
                    <w:pStyle w:val="14"/>
                    <w:rPr>
                      <w:rFonts w:cs="Times New Roman"/>
                    </w:rPr>
                  </w:pPr>
                  <w:r>
                    <w:rPr>
                      <w:rFonts w:cs="Times New Roman"/>
                      <w:kern w:val="21"/>
                    </w:rPr>
                    <w:t>废活性炭</w:t>
                  </w:r>
                </w:p>
              </w:tc>
              <w:tc>
                <w:tcPr>
                  <w:tcW w:w="647" w:type="pct"/>
                  <w:vMerge w:val="restart"/>
                  <w:tcBorders>
                    <w:tl2br w:val="nil"/>
                    <w:tr2bl w:val="nil"/>
                  </w:tcBorders>
                  <w:vAlign w:val="center"/>
                </w:tcPr>
                <w:p w14:paraId="5296AC7B">
                  <w:pPr>
                    <w:pStyle w:val="14"/>
                    <w:rPr>
                      <w:rFonts w:cs="Times New Roman"/>
                    </w:rPr>
                  </w:pPr>
                  <w:r>
                    <w:rPr>
                      <w:rFonts w:hint="eastAsia" w:cs="Times New Roman"/>
                    </w:rPr>
                    <w:t>危险废物</w:t>
                  </w:r>
                </w:p>
              </w:tc>
              <w:tc>
                <w:tcPr>
                  <w:tcW w:w="548" w:type="pct"/>
                  <w:tcBorders>
                    <w:tl2br w:val="nil"/>
                    <w:tr2bl w:val="nil"/>
                  </w:tcBorders>
                  <w:vAlign w:val="center"/>
                </w:tcPr>
                <w:p w14:paraId="7963CC3D">
                  <w:pPr>
                    <w:pStyle w:val="14"/>
                    <w:rPr>
                      <w:rFonts w:cs="Times New Roman"/>
                    </w:rPr>
                  </w:pPr>
                  <w:r>
                    <w:rPr>
                      <w:rFonts w:hint="eastAsia" w:cs="Times New Roman"/>
                    </w:rPr>
                    <w:t>1.045</w:t>
                  </w:r>
                </w:p>
              </w:tc>
              <w:tc>
                <w:tcPr>
                  <w:tcW w:w="764" w:type="pct"/>
                  <w:tcBorders>
                    <w:tl2br w:val="nil"/>
                    <w:tr2bl w:val="nil"/>
                  </w:tcBorders>
                  <w:vAlign w:val="center"/>
                </w:tcPr>
                <w:p w14:paraId="049F2D09">
                  <w:pPr>
                    <w:pStyle w:val="14"/>
                    <w:rPr>
                      <w:rFonts w:cs="Times New Roman"/>
                    </w:rPr>
                  </w:pPr>
                  <w:r>
                    <w:rPr>
                      <w:rFonts w:cs="Times New Roman"/>
                    </w:rPr>
                    <w:t>废气处理</w:t>
                  </w:r>
                </w:p>
              </w:tc>
              <w:tc>
                <w:tcPr>
                  <w:tcW w:w="419" w:type="pct"/>
                  <w:tcBorders>
                    <w:tl2br w:val="nil"/>
                    <w:tr2bl w:val="nil"/>
                  </w:tcBorders>
                  <w:vAlign w:val="center"/>
                </w:tcPr>
                <w:p w14:paraId="698F62E5">
                  <w:pPr>
                    <w:pStyle w:val="14"/>
                    <w:rPr>
                      <w:rFonts w:cs="Times New Roman"/>
                    </w:rPr>
                  </w:pPr>
                  <w:r>
                    <w:rPr>
                      <w:rFonts w:cs="Times New Roman"/>
                    </w:rPr>
                    <w:t>固态</w:t>
                  </w:r>
                </w:p>
              </w:tc>
              <w:tc>
                <w:tcPr>
                  <w:tcW w:w="1583" w:type="pct"/>
                  <w:vMerge w:val="restart"/>
                  <w:tcBorders>
                    <w:tl2br w:val="nil"/>
                    <w:tr2bl w:val="nil"/>
                  </w:tcBorders>
                  <w:vAlign w:val="center"/>
                </w:tcPr>
                <w:p w14:paraId="3CD1E6F9">
                  <w:pPr>
                    <w:pStyle w:val="14"/>
                    <w:rPr>
                      <w:rFonts w:cs="Times New Roman"/>
                      <w:bCs/>
                    </w:rPr>
                  </w:pPr>
                  <w:r>
                    <w:rPr>
                      <w:rFonts w:cs="Times New Roman"/>
                      <w:bCs/>
                    </w:rPr>
                    <w:t>暂存于危废暂存间，定期交由资质单位处置</w:t>
                  </w:r>
                </w:p>
              </w:tc>
            </w:tr>
            <w:tr w14:paraId="66D11CF1">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329" w:hRule="atLeast"/>
              </w:trPr>
              <w:tc>
                <w:tcPr>
                  <w:tcW w:w="1040" w:type="pct"/>
                  <w:tcBorders>
                    <w:tl2br w:val="nil"/>
                    <w:tr2bl w:val="nil"/>
                  </w:tcBorders>
                  <w:vAlign w:val="center"/>
                </w:tcPr>
                <w:p w14:paraId="409088A0">
                  <w:pPr>
                    <w:pStyle w:val="14"/>
                    <w:rPr>
                      <w:rFonts w:cs="Times New Roman"/>
                      <w:kern w:val="21"/>
                    </w:rPr>
                  </w:pPr>
                  <w:r>
                    <w:t>废</w:t>
                  </w:r>
                  <w:r>
                    <w:rPr>
                      <w:rFonts w:hint="eastAsia"/>
                    </w:rPr>
                    <w:t>介质</w:t>
                  </w:r>
                  <w:r>
                    <w:t>油</w:t>
                  </w:r>
                </w:p>
              </w:tc>
              <w:tc>
                <w:tcPr>
                  <w:tcW w:w="647" w:type="pct"/>
                  <w:vMerge w:val="continue"/>
                  <w:tcBorders>
                    <w:tl2br w:val="nil"/>
                    <w:tr2bl w:val="nil"/>
                  </w:tcBorders>
                  <w:vAlign w:val="center"/>
                </w:tcPr>
                <w:p w14:paraId="03D6409D">
                  <w:pPr>
                    <w:pStyle w:val="14"/>
                    <w:rPr>
                      <w:rFonts w:cs="Times New Roman"/>
                    </w:rPr>
                  </w:pPr>
                </w:p>
              </w:tc>
              <w:tc>
                <w:tcPr>
                  <w:tcW w:w="548" w:type="pct"/>
                  <w:tcBorders>
                    <w:tl2br w:val="nil"/>
                    <w:tr2bl w:val="nil"/>
                  </w:tcBorders>
                  <w:vAlign w:val="center"/>
                </w:tcPr>
                <w:p w14:paraId="4D797C62">
                  <w:pPr>
                    <w:pStyle w:val="14"/>
                    <w:rPr>
                      <w:rFonts w:cs="Times New Roman"/>
                    </w:rPr>
                  </w:pPr>
                  <w:r>
                    <w:rPr>
                      <w:rFonts w:hint="eastAsia" w:cs="Times New Roman"/>
                    </w:rPr>
                    <w:t>1t/5年</w:t>
                  </w:r>
                </w:p>
              </w:tc>
              <w:tc>
                <w:tcPr>
                  <w:tcW w:w="764" w:type="pct"/>
                  <w:tcBorders>
                    <w:tl2br w:val="nil"/>
                    <w:tr2bl w:val="nil"/>
                  </w:tcBorders>
                  <w:vAlign w:val="center"/>
                </w:tcPr>
                <w:p w14:paraId="48A5A207">
                  <w:pPr>
                    <w:pStyle w:val="14"/>
                    <w:rPr>
                      <w:rFonts w:cs="Times New Roman"/>
                    </w:rPr>
                  </w:pPr>
                  <w:r>
                    <w:rPr>
                      <w:rFonts w:cs="Times New Roman"/>
                    </w:rPr>
                    <w:t>设备维护</w:t>
                  </w:r>
                </w:p>
              </w:tc>
              <w:tc>
                <w:tcPr>
                  <w:tcW w:w="419" w:type="pct"/>
                  <w:tcBorders>
                    <w:tl2br w:val="nil"/>
                    <w:tr2bl w:val="nil"/>
                  </w:tcBorders>
                  <w:vAlign w:val="center"/>
                </w:tcPr>
                <w:p w14:paraId="1545CC00">
                  <w:pPr>
                    <w:pStyle w:val="14"/>
                    <w:rPr>
                      <w:rFonts w:cs="Times New Roman"/>
                    </w:rPr>
                  </w:pPr>
                  <w:r>
                    <w:rPr>
                      <w:rFonts w:cs="Times New Roman"/>
                    </w:rPr>
                    <w:t>液态</w:t>
                  </w:r>
                </w:p>
                <w:p w14:paraId="31AFCD3B">
                  <w:pPr>
                    <w:pStyle w:val="14"/>
                    <w:rPr>
                      <w:rFonts w:cs="Times New Roman"/>
                    </w:rPr>
                  </w:pPr>
                  <w:r>
                    <w:rPr>
                      <w:rFonts w:cs="Times New Roman"/>
                    </w:rPr>
                    <w:t>固态</w:t>
                  </w:r>
                </w:p>
              </w:tc>
              <w:tc>
                <w:tcPr>
                  <w:tcW w:w="1583" w:type="pct"/>
                  <w:vMerge w:val="continue"/>
                  <w:tcBorders>
                    <w:tl2br w:val="nil"/>
                    <w:tr2bl w:val="nil"/>
                  </w:tcBorders>
                  <w:vAlign w:val="center"/>
                </w:tcPr>
                <w:p w14:paraId="406110DF">
                  <w:pPr>
                    <w:pStyle w:val="14"/>
                    <w:rPr>
                      <w:rFonts w:cs="Times New Roman"/>
                      <w:bCs/>
                    </w:rPr>
                  </w:pPr>
                </w:p>
              </w:tc>
            </w:tr>
            <w:tr w14:paraId="56C6D439">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255" w:hRule="atLeast"/>
              </w:trPr>
              <w:tc>
                <w:tcPr>
                  <w:tcW w:w="1040" w:type="pct"/>
                  <w:tcBorders>
                    <w:tl2br w:val="nil"/>
                    <w:tr2bl w:val="nil"/>
                  </w:tcBorders>
                  <w:vAlign w:val="center"/>
                </w:tcPr>
                <w:p w14:paraId="7F5032E5">
                  <w:pPr>
                    <w:pStyle w:val="14"/>
                    <w:rPr>
                      <w:rFonts w:cs="Times New Roman"/>
                    </w:rPr>
                  </w:pPr>
                  <w:r>
                    <w:rPr>
                      <w:rFonts w:cs="Times New Roman"/>
                    </w:rPr>
                    <w:t>合计</w:t>
                  </w:r>
                </w:p>
              </w:tc>
              <w:tc>
                <w:tcPr>
                  <w:tcW w:w="647" w:type="pct"/>
                  <w:tcBorders>
                    <w:tl2br w:val="nil"/>
                    <w:tr2bl w:val="nil"/>
                  </w:tcBorders>
                  <w:vAlign w:val="center"/>
                </w:tcPr>
                <w:p w14:paraId="42BD8A3B">
                  <w:pPr>
                    <w:pStyle w:val="14"/>
                    <w:rPr>
                      <w:rFonts w:cs="Times New Roman"/>
                    </w:rPr>
                  </w:pPr>
                  <w:r>
                    <w:rPr>
                      <w:rFonts w:cs="Times New Roman"/>
                    </w:rPr>
                    <w:t>/</w:t>
                  </w:r>
                </w:p>
              </w:tc>
              <w:tc>
                <w:tcPr>
                  <w:tcW w:w="548" w:type="pct"/>
                  <w:tcBorders>
                    <w:tl2br w:val="nil"/>
                    <w:tr2bl w:val="nil"/>
                  </w:tcBorders>
                  <w:vAlign w:val="center"/>
                </w:tcPr>
                <w:p w14:paraId="7C6CC9D4">
                  <w:pPr>
                    <w:pStyle w:val="14"/>
                    <w:rPr>
                      <w:rFonts w:cs="Times New Roman"/>
                    </w:rPr>
                  </w:pPr>
                  <w:r>
                    <w:rPr>
                      <w:rFonts w:hint="eastAsia" w:cs="Times New Roman"/>
                    </w:rPr>
                    <w:t>1.745</w:t>
                  </w:r>
                </w:p>
              </w:tc>
              <w:tc>
                <w:tcPr>
                  <w:tcW w:w="764" w:type="pct"/>
                  <w:tcBorders>
                    <w:tl2br w:val="nil"/>
                    <w:tr2bl w:val="nil"/>
                  </w:tcBorders>
                  <w:vAlign w:val="center"/>
                </w:tcPr>
                <w:p w14:paraId="7487C665">
                  <w:pPr>
                    <w:pStyle w:val="14"/>
                    <w:rPr>
                      <w:rFonts w:cs="Times New Roman"/>
                    </w:rPr>
                  </w:pPr>
                  <w:r>
                    <w:rPr>
                      <w:rFonts w:cs="Times New Roman"/>
                    </w:rPr>
                    <w:t>/</w:t>
                  </w:r>
                </w:p>
              </w:tc>
              <w:tc>
                <w:tcPr>
                  <w:tcW w:w="419" w:type="pct"/>
                  <w:tcBorders>
                    <w:tl2br w:val="nil"/>
                    <w:tr2bl w:val="nil"/>
                  </w:tcBorders>
                  <w:vAlign w:val="center"/>
                </w:tcPr>
                <w:p w14:paraId="17D2FE9D">
                  <w:pPr>
                    <w:pStyle w:val="14"/>
                    <w:rPr>
                      <w:rFonts w:cs="Times New Roman"/>
                    </w:rPr>
                  </w:pPr>
                  <w:r>
                    <w:rPr>
                      <w:rFonts w:cs="Times New Roman"/>
                    </w:rPr>
                    <w:t>/</w:t>
                  </w:r>
                </w:p>
              </w:tc>
              <w:tc>
                <w:tcPr>
                  <w:tcW w:w="1583" w:type="pct"/>
                  <w:tcBorders>
                    <w:tl2br w:val="nil"/>
                    <w:tr2bl w:val="nil"/>
                  </w:tcBorders>
                  <w:vAlign w:val="center"/>
                </w:tcPr>
                <w:p w14:paraId="147E927F">
                  <w:pPr>
                    <w:pStyle w:val="14"/>
                    <w:rPr>
                      <w:rFonts w:cs="Times New Roman"/>
                      <w:bCs/>
                    </w:rPr>
                  </w:pPr>
                  <w:r>
                    <w:rPr>
                      <w:rFonts w:cs="Times New Roman"/>
                      <w:bCs/>
                    </w:rPr>
                    <w:t>/</w:t>
                  </w:r>
                </w:p>
              </w:tc>
            </w:tr>
          </w:tbl>
          <w:p w14:paraId="24C8707E">
            <w:pPr>
              <w:pStyle w:val="13"/>
              <w:rPr>
                <w:rFonts w:cs="Times New Roman"/>
              </w:rPr>
            </w:pPr>
            <w:r>
              <w:rPr>
                <w:rFonts w:cs="Times New Roman"/>
              </w:rPr>
              <w:t>表</w:t>
            </w:r>
            <w:r>
              <w:rPr>
                <w:rFonts w:cs="Times New Roman"/>
              </w:rPr>
              <w:fldChar w:fldCharType="begin"/>
            </w:r>
            <w:r>
              <w:rPr>
                <w:rFonts w:cs="Times New Roman"/>
              </w:rPr>
              <w:instrText xml:space="preserve"> SEQ seq \c </w:instrText>
            </w:r>
            <w:r>
              <w:rPr>
                <w:rFonts w:cs="Times New Roman"/>
              </w:rPr>
              <w:fldChar w:fldCharType="separate"/>
            </w:r>
            <w:r>
              <w:rPr>
                <w:rFonts w:cs="Times New Roman"/>
              </w:rPr>
              <w:t>4</w:t>
            </w:r>
            <w:r>
              <w:rPr>
                <w:rFonts w:cs="Times New Roman"/>
              </w:rPr>
              <w:fldChar w:fldCharType="end"/>
            </w:r>
            <w:r>
              <w:rPr>
                <w:rFonts w:cs="Times New Roman"/>
              </w:rPr>
              <w:noBreakHyphen/>
            </w:r>
            <w:r>
              <w:rPr>
                <w:rFonts w:hint="eastAsia" w:cs="Times New Roman"/>
              </w:rPr>
              <w:t xml:space="preserve">9 </w:t>
            </w:r>
            <w:r>
              <w:rPr>
                <w:rFonts w:cs="Times New Roman"/>
              </w:rPr>
              <w:fldChar w:fldCharType="begin"/>
            </w:r>
            <w:r>
              <w:rPr>
                <w:rFonts w:cs="Times New Roman"/>
              </w:rPr>
              <w:instrText xml:space="preserve"> SEQ 表 \* ARABIC \s 1 </w:instrText>
            </w:r>
            <w:r>
              <w:rPr>
                <w:rFonts w:cs="Times New Roman"/>
              </w:rPr>
              <w:fldChar w:fldCharType="separate"/>
            </w:r>
            <w:r>
              <w:rPr>
                <w:rFonts w:cs="Times New Roman"/>
              </w:rPr>
              <w:fldChar w:fldCharType="end"/>
            </w:r>
            <w:r>
              <w:rPr>
                <w:rFonts w:cs="Times New Roman"/>
              </w:rPr>
              <w:t xml:space="preserve"> 本项目营运期间危险废物产生及处置情况</w:t>
            </w:r>
          </w:p>
          <w:tbl>
            <w:tblPr>
              <w:tblStyle w:val="33"/>
              <w:tblW w:w="8926" w:type="dxa"/>
              <w:jc w:val="center"/>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Layout w:type="autofit"/>
              <w:tblCellMar>
                <w:top w:w="0" w:type="dxa"/>
                <w:left w:w="108" w:type="dxa"/>
                <w:bottom w:w="0" w:type="dxa"/>
                <w:right w:w="108" w:type="dxa"/>
              </w:tblCellMar>
            </w:tblPr>
            <w:tblGrid>
              <w:gridCol w:w="503"/>
              <w:gridCol w:w="799"/>
              <w:gridCol w:w="799"/>
              <w:gridCol w:w="1196"/>
              <w:gridCol w:w="811"/>
              <w:gridCol w:w="769"/>
              <w:gridCol w:w="427"/>
              <w:gridCol w:w="633"/>
              <w:gridCol w:w="654"/>
              <w:gridCol w:w="742"/>
              <w:gridCol w:w="633"/>
              <w:gridCol w:w="960"/>
            </w:tblGrid>
            <w:tr w14:paraId="5DA20CE1">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282" w:type="pct"/>
                  <w:tcBorders>
                    <w:tl2br w:val="nil"/>
                    <w:tr2bl w:val="nil"/>
                  </w:tcBorders>
                  <w:vAlign w:val="center"/>
                </w:tcPr>
                <w:p w14:paraId="389046D3">
                  <w:pPr>
                    <w:pStyle w:val="53"/>
                    <w:rPr>
                      <w:rFonts w:cs="Times New Roman"/>
                    </w:rPr>
                  </w:pPr>
                  <w:r>
                    <w:rPr>
                      <w:rFonts w:cs="Times New Roman"/>
                    </w:rPr>
                    <w:t>序号</w:t>
                  </w:r>
                </w:p>
              </w:tc>
              <w:tc>
                <w:tcPr>
                  <w:tcW w:w="447" w:type="pct"/>
                  <w:tcBorders>
                    <w:tl2br w:val="nil"/>
                    <w:tr2bl w:val="nil"/>
                  </w:tcBorders>
                  <w:vAlign w:val="center"/>
                </w:tcPr>
                <w:p w14:paraId="11F9D736">
                  <w:pPr>
                    <w:pStyle w:val="53"/>
                    <w:rPr>
                      <w:rFonts w:cs="Times New Roman"/>
                    </w:rPr>
                  </w:pPr>
                  <w:r>
                    <w:rPr>
                      <w:rFonts w:cs="Times New Roman"/>
                    </w:rPr>
                    <w:t>危险废物名称</w:t>
                  </w:r>
                </w:p>
              </w:tc>
              <w:tc>
                <w:tcPr>
                  <w:tcW w:w="447" w:type="pct"/>
                  <w:tcBorders>
                    <w:tl2br w:val="nil"/>
                    <w:tr2bl w:val="nil"/>
                  </w:tcBorders>
                  <w:vAlign w:val="center"/>
                </w:tcPr>
                <w:p w14:paraId="38C1DBD4">
                  <w:pPr>
                    <w:pStyle w:val="53"/>
                    <w:rPr>
                      <w:rFonts w:cs="Times New Roman"/>
                    </w:rPr>
                  </w:pPr>
                  <w:r>
                    <w:rPr>
                      <w:rFonts w:cs="Times New Roman"/>
                    </w:rPr>
                    <w:t>危险废物类别</w:t>
                  </w:r>
                </w:p>
              </w:tc>
              <w:tc>
                <w:tcPr>
                  <w:tcW w:w="669" w:type="pct"/>
                  <w:tcBorders>
                    <w:tl2br w:val="nil"/>
                    <w:tr2bl w:val="nil"/>
                  </w:tcBorders>
                  <w:vAlign w:val="center"/>
                </w:tcPr>
                <w:p w14:paraId="001B2A1D">
                  <w:pPr>
                    <w:pStyle w:val="53"/>
                    <w:rPr>
                      <w:rFonts w:cs="Times New Roman"/>
                    </w:rPr>
                  </w:pPr>
                  <w:r>
                    <w:rPr>
                      <w:rFonts w:cs="Times New Roman"/>
                    </w:rPr>
                    <w:t>危险废物代码</w:t>
                  </w:r>
                </w:p>
              </w:tc>
              <w:tc>
                <w:tcPr>
                  <w:tcW w:w="454" w:type="pct"/>
                  <w:tcBorders>
                    <w:tl2br w:val="nil"/>
                    <w:tr2bl w:val="nil"/>
                  </w:tcBorders>
                  <w:vAlign w:val="center"/>
                </w:tcPr>
                <w:p w14:paraId="2D2B42B3">
                  <w:pPr>
                    <w:pStyle w:val="53"/>
                    <w:rPr>
                      <w:rFonts w:cs="Times New Roman"/>
                    </w:rPr>
                  </w:pPr>
                  <w:r>
                    <w:rPr>
                      <w:rFonts w:cs="Times New Roman"/>
                    </w:rPr>
                    <w:t>产生量（吨/年）</w:t>
                  </w:r>
                </w:p>
              </w:tc>
              <w:tc>
                <w:tcPr>
                  <w:tcW w:w="430" w:type="pct"/>
                  <w:tcBorders>
                    <w:tl2br w:val="nil"/>
                    <w:tr2bl w:val="nil"/>
                  </w:tcBorders>
                  <w:vAlign w:val="center"/>
                </w:tcPr>
                <w:p w14:paraId="6FAA8E4A">
                  <w:pPr>
                    <w:pStyle w:val="53"/>
                    <w:rPr>
                      <w:rFonts w:cs="Times New Roman"/>
                    </w:rPr>
                  </w:pPr>
                  <w:r>
                    <w:rPr>
                      <w:rFonts w:cs="Times New Roman"/>
                    </w:rPr>
                    <w:t>产生工序及装置</w:t>
                  </w:r>
                </w:p>
              </w:tc>
              <w:tc>
                <w:tcPr>
                  <w:tcW w:w="239" w:type="pct"/>
                  <w:tcBorders>
                    <w:tl2br w:val="nil"/>
                    <w:tr2bl w:val="nil"/>
                  </w:tcBorders>
                  <w:vAlign w:val="center"/>
                </w:tcPr>
                <w:p w14:paraId="7D219D1F">
                  <w:pPr>
                    <w:pStyle w:val="53"/>
                    <w:rPr>
                      <w:rFonts w:cs="Times New Roman"/>
                    </w:rPr>
                  </w:pPr>
                  <w:r>
                    <w:rPr>
                      <w:rFonts w:cs="Times New Roman"/>
                    </w:rPr>
                    <w:t>形态</w:t>
                  </w:r>
                </w:p>
              </w:tc>
              <w:tc>
                <w:tcPr>
                  <w:tcW w:w="354" w:type="pct"/>
                  <w:tcBorders>
                    <w:tl2br w:val="nil"/>
                    <w:tr2bl w:val="nil"/>
                  </w:tcBorders>
                  <w:vAlign w:val="center"/>
                </w:tcPr>
                <w:p w14:paraId="0D95B25D">
                  <w:pPr>
                    <w:pStyle w:val="53"/>
                    <w:rPr>
                      <w:rFonts w:cs="Times New Roman"/>
                    </w:rPr>
                  </w:pPr>
                  <w:r>
                    <w:rPr>
                      <w:rFonts w:cs="Times New Roman"/>
                    </w:rPr>
                    <w:t>主要成分</w:t>
                  </w:r>
                </w:p>
              </w:tc>
              <w:tc>
                <w:tcPr>
                  <w:tcW w:w="366" w:type="pct"/>
                  <w:tcBorders>
                    <w:tl2br w:val="nil"/>
                    <w:tr2bl w:val="nil"/>
                  </w:tcBorders>
                  <w:vAlign w:val="center"/>
                </w:tcPr>
                <w:p w14:paraId="42E85641">
                  <w:pPr>
                    <w:pStyle w:val="53"/>
                    <w:rPr>
                      <w:rFonts w:cs="Times New Roman"/>
                    </w:rPr>
                  </w:pPr>
                  <w:r>
                    <w:rPr>
                      <w:rFonts w:cs="Times New Roman"/>
                    </w:rPr>
                    <w:t>有害成分</w:t>
                  </w:r>
                </w:p>
              </w:tc>
              <w:tc>
                <w:tcPr>
                  <w:tcW w:w="415" w:type="pct"/>
                  <w:tcBorders>
                    <w:tl2br w:val="nil"/>
                    <w:tr2bl w:val="nil"/>
                  </w:tcBorders>
                  <w:vAlign w:val="center"/>
                </w:tcPr>
                <w:p w14:paraId="6641C57E">
                  <w:pPr>
                    <w:pStyle w:val="53"/>
                    <w:rPr>
                      <w:rFonts w:cs="Times New Roman"/>
                    </w:rPr>
                  </w:pPr>
                  <w:r>
                    <w:rPr>
                      <w:rFonts w:cs="Times New Roman"/>
                    </w:rPr>
                    <w:t>产废周期</w:t>
                  </w:r>
                </w:p>
              </w:tc>
              <w:tc>
                <w:tcPr>
                  <w:tcW w:w="354" w:type="pct"/>
                  <w:tcBorders>
                    <w:tl2br w:val="nil"/>
                    <w:tr2bl w:val="nil"/>
                  </w:tcBorders>
                  <w:vAlign w:val="center"/>
                </w:tcPr>
                <w:p w14:paraId="0442505D">
                  <w:pPr>
                    <w:pStyle w:val="53"/>
                    <w:rPr>
                      <w:rFonts w:cs="Times New Roman"/>
                    </w:rPr>
                  </w:pPr>
                  <w:r>
                    <w:rPr>
                      <w:rFonts w:cs="Times New Roman"/>
                    </w:rPr>
                    <w:t>危险</w:t>
                  </w:r>
                </w:p>
                <w:p w14:paraId="7F11AE3D">
                  <w:pPr>
                    <w:pStyle w:val="53"/>
                    <w:rPr>
                      <w:rFonts w:cs="Times New Roman"/>
                    </w:rPr>
                  </w:pPr>
                  <w:r>
                    <w:rPr>
                      <w:rFonts w:cs="Times New Roman"/>
                    </w:rPr>
                    <w:t>特性</w:t>
                  </w:r>
                </w:p>
              </w:tc>
              <w:tc>
                <w:tcPr>
                  <w:tcW w:w="537" w:type="pct"/>
                  <w:tcBorders>
                    <w:tl2br w:val="nil"/>
                    <w:tr2bl w:val="nil"/>
                  </w:tcBorders>
                  <w:vAlign w:val="center"/>
                </w:tcPr>
                <w:p w14:paraId="64564BAD">
                  <w:pPr>
                    <w:pStyle w:val="53"/>
                    <w:rPr>
                      <w:rFonts w:cs="Times New Roman"/>
                    </w:rPr>
                  </w:pPr>
                  <w:r>
                    <w:rPr>
                      <w:rFonts w:cs="Times New Roman"/>
                    </w:rPr>
                    <w:t>污染防治措施</w:t>
                  </w:r>
                </w:p>
              </w:tc>
            </w:tr>
            <w:tr w14:paraId="0FF30B70">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54" w:hRule="atLeast"/>
                <w:jc w:val="center"/>
              </w:trPr>
              <w:tc>
                <w:tcPr>
                  <w:tcW w:w="282" w:type="pct"/>
                  <w:tcBorders>
                    <w:tl2br w:val="nil"/>
                    <w:tr2bl w:val="nil"/>
                  </w:tcBorders>
                  <w:vAlign w:val="center"/>
                </w:tcPr>
                <w:p w14:paraId="2CD4F632">
                  <w:pPr>
                    <w:pStyle w:val="14"/>
                    <w:rPr>
                      <w:rFonts w:cs="Times New Roman"/>
                    </w:rPr>
                  </w:pPr>
                  <w:r>
                    <w:rPr>
                      <w:rFonts w:cs="Times New Roman"/>
                    </w:rPr>
                    <w:t>2</w:t>
                  </w:r>
                </w:p>
              </w:tc>
              <w:tc>
                <w:tcPr>
                  <w:tcW w:w="447" w:type="pct"/>
                  <w:tcBorders>
                    <w:tl2br w:val="nil"/>
                    <w:tr2bl w:val="nil"/>
                  </w:tcBorders>
                  <w:vAlign w:val="center"/>
                </w:tcPr>
                <w:p w14:paraId="00F5A992">
                  <w:pPr>
                    <w:pStyle w:val="14"/>
                    <w:rPr>
                      <w:rFonts w:cs="Times New Roman"/>
                    </w:rPr>
                  </w:pPr>
                  <w:r>
                    <w:rPr>
                      <w:rFonts w:cs="Times New Roman"/>
                      <w:bCs/>
                    </w:rPr>
                    <w:t>废活性炭</w:t>
                  </w:r>
                </w:p>
              </w:tc>
              <w:tc>
                <w:tcPr>
                  <w:tcW w:w="447" w:type="pct"/>
                  <w:tcBorders>
                    <w:tl2br w:val="nil"/>
                    <w:tr2bl w:val="nil"/>
                  </w:tcBorders>
                  <w:vAlign w:val="center"/>
                </w:tcPr>
                <w:p w14:paraId="6B76EB80">
                  <w:pPr>
                    <w:pStyle w:val="14"/>
                    <w:rPr>
                      <w:rFonts w:cs="Times New Roman"/>
                    </w:rPr>
                  </w:pPr>
                  <w:r>
                    <w:rPr>
                      <w:rFonts w:cs="Times New Roman"/>
                    </w:rPr>
                    <w:t>HW49</w:t>
                  </w:r>
                </w:p>
              </w:tc>
              <w:tc>
                <w:tcPr>
                  <w:tcW w:w="669" w:type="pct"/>
                  <w:tcBorders>
                    <w:tl2br w:val="nil"/>
                    <w:tr2bl w:val="nil"/>
                  </w:tcBorders>
                  <w:vAlign w:val="center"/>
                </w:tcPr>
                <w:p w14:paraId="4C3586CF">
                  <w:pPr>
                    <w:pStyle w:val="14"/>
                    <w:rPr>
                      <w:rFonts w:cs="Times New Roman"/>
                    </w:rPr>
                  </w:pPr>
                  <w:r>
                    <w:rPr>
                      <w:rFonts w:cs="Times New Roman"/>
                    </w:rPr>
                    <w:t>900-039-49</w:t>
                  </w:r>
                </w:p>
              </w:tc>
              <w:tc>
                <w:tcPr>
                  <w:tcW w:w="454" w:type="pct"/>
                  <w:tcBorders>
                    <w:tl2br w:val="nil"/>
                    <w:tr2bl w:val="nil"/>
                  </w:tcBorders>
                  <w:vAlign w:val="center"/>
                </w:tcPr>
                <w:p w14:paraId="3C819B93">
                  <w:pPr>
                    <w:pStyle w:val="14"/>
                    <w:rPr>
                      <w:rFonts w:cs="Times New Roman"/>
                    </w:rPr>
                  </w:pPr>
                  <w:r>
                    <w:rPr>
                      <w:rFonts w:hint="eastAsia" w:cs="Times New Roman"/>
                    </w:rPr>
                    <w:t>1.045</w:t>
                  </w:r>
                </w:p>
              </w:tc>
              <w:tc>
                <w:tcPr>
                  <w:tcW w:w="430" w:type="pct"/>
                  <w:tcBorders>
                    <w:tl2br w:val="nil"/>
                    <w:tr2bl w:val="nil"/>
                  </w:tcBorders>
                  <w:vAlign w:val="center"/>
                </w:tcPr>
                <w:p w14:paraId="533A3137">
                  <w:pPr>
                    <w:pStyle w:val="14"/>
                    <w:rPr>
                      <w:rFonts w:cs="Times New Roman"/>
                    </w:rPr>
                  </w:pPr>
                  <w:r>
                    <w:rPr>
                      <w:rFonts w:cs="Times New Roman"/>
                    </w:rPr>
                    <w:t>废气处理</w:t>
                  </w:r>
                </w:p>
              </w:tc>
              <w:tc>
                <w:tcPr>
                  <w:tcW w:w="239" w:type="pct"/>
                  <w:tcBorders>
                    <w:tl2br w:val="nil"/>
                    <w:tr2bl w:val="nil"/>
                  </w:tcBorders>
                  <w:vAlign w:val="center"/>
                </w:tcPr>
                <w:p w14:paraId="7A7EEA83">
                  <w:pPr>
                    <w:pStyle w:val="14"/>
                    <w:rPr>
                      <w:rFonts w:cs="Times New Roman"/>
                    </w:rPr>
                  </w:pPr>
                  <w:r>
                    <w:rPr>
                      <w:rFonts w:cs="Times New Roman"/>
                    </w:rPr>
                    <w:t>固态</w:t>
                  </w:r>
                </w:p>
              </w:tc>
              <w:tc>
                <w:tcPr>
                  <w:tcW w:w="354" w:type="pct"/>
                  <w:tcBorders>
                    <w:tl2br w:val="nil"/>
                    <w:tr2bl w:val="nil"/>
                  </w:tcBorders>
                  <w:vAlign w:val="center"/>
                </w:tcPr>
                <w:p w14:paraId="71F79421">
                  <w:pPr>
                    <w:pStyle w:val="14"/>
                    <w:rPr>
                      <w:rFonts w:cs="Times New Roman"/>
                    </w:rPr>
                  </w:pPr>
                  <w:r>
                    <w:rPr>
                      <w:rFonts w:cs="Times New Roman"/>
                    </w:rPr>
                    <w:t>炭</w:t>
                  </w:r>
                </w:p>
              </w:tc>
              <w:tc>
                <w:tcPr>
                  <w:tcW w:w="366" w:type="pct"/>
                  <w:tcBorders>
                    <w:tl2br w:val="nil"/>
                    <w:tr2bl w:val="nil"/>
                  </w:tcBorders>
                  <w:vAlign w:val="center"/>
                </w:tcPr>
                <w:p w14:paraId="41FAAF99">
                  <w:pPr>
                    <w:pStyle w:val="14"/>
                    <w:rPr>
                      <w:rFonts w:cs="Times New Roman"/>
                    </w:rPr>
                  </w:pPr>
                  <w:r>
                    <w:rPr>
                      <w:rFonts w:cs="Times New Roman"/>
                    </w:rPr>
                    <w:t>有机废气</w:t>
                  </w:r>
                </w:p>
              </w:tc>
              <w:tc>
                <w:tcPr>
                  <w:tcW w:w="415" w:type="pct"/>
                  <w:tcBorders>
                    <w:tl2br w:val="nil"/>
                    <w:tr2bl w:val="nil"/>
                  </w:tcBorders>
                  <w:vAlign w:val="center"/>
                </w:tcPr>
                <w:p w14:paraId="492F52EE">
                  <w:pPr>
                    <w:pStyle w:val="14"/>
                    <w:rPr>
                      <w:rFonts w:cs="Times New Roman"/>
                    </w:rPr>
                  </w:pPr>
                  <w:bookmarkStart w:id="84" w:name="OLE_LINK197"/>
                  <w:bookmarkStart w:id="85" w:name="OLE_LINK196"/>
                  <w:r>
                    <w:rPr>
                      <w:rFonts w:cs="Times New Roman"/>
                    </w:rPr>
                    <w:t>每</w:t>
                  </w:r>
                  <w:bookmarkEnd w:id="84"/>
                  <w:bookmarkEnd w:id="85"/>
                  <w:r>
                    <w:rPr>
                      <w:rFonts w:hint="eastAsia" w:cs="Times New Roman"/>
                    </w:rPr>
                    <w:t>半年</w:t>
                  </w:r>
                  <w:r>
                    <w:rPr>
                      <w:rFonts w:cs="Times New Roman"/>
                    </w:rPr>
                    <w:t xml:space="preserve"> </w:t>
                  </w:r>
                </w:p>
              </w:tc>
              <w:tc>
                <w:tcPr>
                  <w:tcW w:w="354" w:type="pct"/>
                  <w:tcBorders>
                    <w:tl2br w:val="nil"/>
                    <w:tr2bl w:val="nil"/>
                  </w:tcBorders>
                  <w:vAlign w:val="center"/>
                </w:tcPr>
                <w:p w14:paraId="378D3FD7">
                  <w:pPr>
                    <w:pStyle w:val="14"/>
                    <w:rPr>
                      <w:rFonts w:cs="Times New Roman"/>
                    </w:rPr>
                  </w:pPr>
                  <w:r>
                    <w:rPr>
                      <w:rFonts w:cs="Times New Roman"/>
                    </w:rPr>
                    <w:t>T</w:t>
                  </w:r>
                </w:p>
              </w:tc>
              <w:tc>
                <w:tcPr>
                  <w:tcW w:w="537" w:type="pct"/>
                  <w:vMerge w:val="restart"/>
                  <w:tcBorders>
                    <w:tl2br w:val="nil"/>
                    <w:tr2bl w:val="nil"/>
                  </w:tcBorders>
                  <w:vAlign w:val="center"/>
                </w:tcPr>
                <w:p w14:paraId="40D6EA9B">
                  <w:pPr>
                    <w:pStyle w:val="14"/>
                    <w:rPr>
                      <w:rFonts w:cs="Times New Roman"/>
                    </w:rPr>
                  </w:pPr>
                  <w:r>
                    <w:rPr>
                      <w:rFonts w:hint="eastAsia" w:cs="Times New Roman"/>
                    </w:rPr>
                    <w:t>分类收集，暂存危废间，由资质单位处置</w:t>
                  </w:r>
                </w:p>
              </w:tc>
            </w:tr>
            <w:tr w14:paraId="2321E68B">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54" w:hRule="atLeast"/>
                <w:jc w:val="center"/>
              </w:trPr>
              <w:tc>
                <w:tcPr>
                  <w:tcW w:w="282" w:type="pct"/>
                  <w:tcBorders>
                    <w:tl2br w:val="nil"/>
                    <w:tr2bl w:val="nil"/>
                  </w:tcBorders>
                  <w:vAlign w:val="center"/>
                </w:tcPr>
                <w:p w14:paraId="7A0A73F8">
                  <w:pPr>
                    <w:pStyle w:val="14"/>
                    <w:rPr>
                      <w:rFonts w:cs="Times New Roman"/>
                    </w:rPr>
                  </w:pPr>
                  <w:r>
                    <w:rPr>
                      <w:rFonts w:cs="Times New Roman"/>
                    </w:rPr>
                    <w:t>4</w:t>
                  </w:r>
                </w:p>
              </w:tc>
              <w:tc>
                <w:tcPr>
                  <w:tcW w:w="447" w:type="pct"/>
                  <w:tcBorders>
                    <w:tl2br w:val="nil"/>
                    <w:tr2bl w:val="nil"/>
                  </w:tcBorders>
                  <w:vAlign w:val="center"/>
                </w:tcPr>
                <w:p w14:paraId="7E0FD857">
                  <w:pPr>
                    <w:pStyle w:val="14"/>
                    <w:rPr>
                      <w:rFonts w:cs="Times New Roman"/>
                    </w:rPr>
                  </w:pPr>
                  <w:r>
                    <w:rPr>
                      <w:rFonts w:cs="Times New Roman"/>
                      <w:bCs/>
                    </w:rPr>
                    <w:t>废液压油</w:t>
                  </w:r>
                </w:p>
              </w:tc>
              <w:tc>
                <w:tcPr>
                  <w:tcW w:w="447" w:type="pct"/>
                  <w:tcBorders>
                    <w:tl2br w:val="nil"/>
                    <w:tr2bl w:val="nil"/>
                  </w:tcBorders>
                  <w:vAlign w:val="center"/>
                </w:tcPr>
                <w:p w14:paraId="40EB8D7F">
                  <w:pPr>
                    <w:pStyle w:val="14"/>
                    <w:rPr>
                      <w:rFonts w:cs="Times New Roman"/>
                    </w:rPr>
                  </w:pPr>
                  <w:r>
                    <w:rPr>
                      <w:rFonts w:cs="Times New Roman"/>
                    </w:rPr>
                    <w:t>HW08</w:t>
                  </w:r>
                </w:p>
              </w:tc>
              <w:tc>
                <w:tcPr>
                  <w:tcW w:w="669" w:type="pct"/>
                  <w:tcBorders>
                    <w:tl2br w:val="nil"/>
                    <w:tr2bl w:val="nil"/>
                  </w:tcBorders>
                  <w:vAlign w:val="center"/>
                </w:tcPr>
                <w:p w14:paraId="27A01FC6">
                  <w:pPr>
                    <w:pStyle w:val="14"/>
                    <w:rPr>
                      <w:rFonts w:cs="Times New Roman"/>
                    </w:rPr>
                  </w:pPr>
                  <w:r>
                    <w:rPr>
                      <w:rFonts w:cs="Times New Roman"/>
                    </w:rPr>
                    <w:t>900-218-08</w:t>
                  </w:r>
                </w:p>
              </w:tc>
              <w:tc>
                <w:tcPr>
                  <w:tcW w:w="454" w:type="pct"/>
                  <w:tcBorders>
                    <w:tl2br w:val="nil"/>
                    <w:tr2bl w:val="nil"/>
                  </w:tcBorders>
                  <w:vAlign w:val="center"/>
                </w:tcPr>
                <w:p w14:paraId="44EFB237">
                  <w:pPr>
                    <w:pStyle w:val="14"/>
                    <w:rPr>
                      <w:rFonts w:cs="Times New Roman"/>
                    </w:rPr>
                  </w:pPr>
                  <w:r>
                    <w:rPr>
                      <w:rFonts w:cs="Times New Roman"/>
                    </w:rPr>
                    <w:t>0.</w:t>
                  </w:r>
                  <w:r>
                    <w:rPr>
                      <w:rFonts w:hint="eastAsia" w:cs="Times New Roman"/>
                    </w:rPr>
                    <w:t>2</w:t>
                  </w:r>
                </w:p>
              </w:tc>
              <w:tc>
                <w:tcPr>
                  <w:tcW w:w="430" w:type="pct"/>
                  <w:tcBorders>
                    <w:tl2br w:val="nil"/>
                    <w:tr2bl w:val="nil"/>
                  </w:tcBorders>
                  <w:vAlign w:val="center"/>
                </w:tcPr>
                <w:p w14:paraId="3A94C62A">
                  <w:pPr>
                    <w:pStyle w:val="14"/>
                    <w:rPr>
                      <w:rFonts w:cs="Times New Roman"/>
                    </w:rPr>
                  </w:pPr>
                  <w:r>
                    <w:rPr>
                      <w:rFonts w:hint="eastAsia" w:cs="Times New Roman"/>
                    </w:rPr>
                    <w:t>导热油</w:t>
                  </w:r>
                </w:p>
              </w:tc>
              <w:tc>
                <w:tcPr>
                  <w:tcW w:w="239" w:type="pct"/>
                  <w:tcBorders>
                    <w:tl2br w:val="nil"/>
                    <w:tr2bl w:val="nil"/>
                  </w:tcBorders>
                  <w:vAlign w:val="center"/>
                </w:tcPr>
                <w:p w14:paraId="78831F75">
                  <w:pPr>
                    <w:pStyle w:val="14"/>
                    <w:rPr>
                      <w:rFonts w:cs="Times New Roman"/>
                    </w:rPr>
                  </w:pPr>
                  <w:r>
                    <w:rPr>
                      <w:rFonts w:cs="Times New Roman"/>
                    </w:rPr>
                    <w:t>液态</w:t>
                  </w:r>
                </w:p>
              </w:tc>
              <w:tc>
                <w:tcPr>
                  <w:tcW w:w="354" w:type="pct"/>
                  <w:tcBorders>
                    <w:tl2br w:val="nil"/>
                    <w:tr2bl w:val="nil"/>
                  </w:tcBorders>
                  <w:vAlign w:val="center"/>
                </w:tcPr>
                <w:p w14:paraId="595AC26A">
                  <w:pPr>
                    <w:pStyle w:val="14"/>
                    <w:rPr>
                      <w:rFonts w:cs="Times New Roman"/>
                    </w:rPr>
                  </w:pPr>
                  <w:r>
                    <w:rPr>
                      <w:rFonts w:cs="Times New Roman"/>
                    </w:rPr>
                    <w:t>矿物油</w:t>
                  </w:r>
                </w:p>
              </w:tc>
              <w:tc>
                <w:tcPr>
                  <w:tcW w:w="366" w:type="pct"/>
                  <w:tcBorders>
                    <w:tl2br w:val="nil"/>
                    <w:tr2bl w:val="nil"/>
                  </w:tcBorders>
                  <w:vAlign w:val="center"/>
                </w:tcPr>
                <w:p w14:paraId="09E1408A">
                  <w:pPr>
                    <w:pStyle w:val="14"/>
                    <w:rPr>
                      <w:rFonts w:cs="Times New Roman"/>
                    </w:rPr>
                  </w:pPr>
                  <w:r>
                    <w:rPr>
                      <w:rFonts w:cs="Times New Roman"/>
                    </w:rPr>
                    <w:t>液压油</w:t>
                  </w:r>
                </w:p>
              </w:tc>
              <w:tc>
                <w:tcPr>
                  <w:tcW w:w="415" w:type="pct"/>
                  <w:tcBorders>
                    <w:tl2br w:val="nil"/>
                    <w:tr2bl w:val="nil"/>
                  </w:tcBorders>
                  <w:vAlign w:val="center"/>
                </w:tcPr>
                <w:p w14:paraId="2175B46B">
                  <w:pPr>
                    <w:pStyle w:val="14"/>
                    <w:rPr>
                      <w:rFonts w:cs="Times New Roman"/>
                    </w:rPr>
                  </w:pPr>
                  <w:r>
                    <w:rPr>
                      <w:rFonts w:cs="Times New Roman"/>
                    </w:rPr>
                    <w:t>每</w:t>
                  </w:r>
                  <w:r>
                    <w:rPr>
                      <w:rFonts w:hint="eastAsia" w:cs="Times New Roman"/>
                    </w:rPr>
                    <w:t>5年</w:t>
                  </w:r>
                </w:p>
              </w:tc>
              <w:tc>
                <w:tcPr>
                  <w:tcW w:w="354" w:type="pct"/>
                  <w:tcBorders>
                    <w:tl2br w:val="nil"/>
                    <w:tr2bl w:val="nil"/>
                  </w:tcBorders>
                  <w:vAlign w:val="center"/>
                </w:tcPr>
                <w:p w14:paraId="3B972EE2">
                  <w:pPr>
                    <w:pStyle w:val="14"/>
                    <w:rPr>
                      <w:rFonts w:cs="Times New Roman"/>
                    </w:rPr>
                  </w:pPr>
                  <w:r>
                    <w:rPr>
                      <w:rFonts w:cs="Times New Roman"/>
                    </w:rPr>
                    <w:t>T/I</w:t>
                  </w:r>
                </w:p>
              </w:tc>
              <w:tc>
                <w:tcPr>
                  <w:tcW w:w="537" w:type="pct"/>
                  <w:vMerge w:val="continue"/>
                  <w:tcBorders>
                    <w:tl2br w:val="nil"/>
                    <w:tr2bl w:val="nil"/>
                  </w:tcBorders>
                  <w:vAlign w:val="center"/>
                </w:tcPr>
                <w:p w14:paraId="31EE6EEA">
                  <w:pPr>
                    <w:pStyle w:val="14"/>
                    <w:rPr>
                      <w:rFonts w:cs="Times New Roman"/>
                    </w:rPr>
                  </w:pPr>
                </w:p>
              </w:tc>
            </w:tr>
          </w:tbl>
          <w:p w14:paraId="66962CAC">
            <w:pPr>
              <w:pStyle w:val="13"/>
              <w:rPr>
                <w:rFonts w:cs="Times New Roman"/>
              </w:rPr>
            </w:pPr>
            <w:bookmarkStart w:id="86" w:name="OLE_LINK201"/>
            <w:bookmarkStart w:id="87" w:name="OLE_LINK200"/>
            <w:r>
              <w:rPr>
                <w:rFonts w:cs="Times New Roman"/>
              </w:rPr>
              <w:t>表</w:t>
            </w:r>
            <w:r>
              <w:rPr>
                <w:rFonts w:cs="Times New Roman"/>
              </w:rPr>
              <w:fldChar w:fldCharType="begin"/>
            </w:r>
            <w:r>
              <w:rPr>
                <w:rFonts w:cs="Times New Roman"/>
              </w:rPr>
              <w:instrText xml:space="preserve"> SEQ seq \c </w:instrText>
            </w:r>
            <w:r>
              <w:rPr>
                <w:rFonts w:cs="Times New Roman"/>
              </w:rPr>
              <w:fldChar w:fldCharType="separate"/>
            </w:r>
            <w:r>
              <w:rPr>
                <w:rFonts w:cs="Times New Roman"/>
              </w:rPr>
              <w:t>4</w:t>
            </w:r>
            <w:r>
              <w:rPr>
                <w:rFonts w:cs="Times New Roman"/>
              </w:rPr>
              <w:fldChar w:fldCharType="end"/>
            </w:r>
            <w:r>
              <w:rPr>
                <w:rFonts w:cs="Times New Roman"/>
              </w:rPr>
              <w:noBreakHyphen/>
            </w:r>
            <w:r>
              <w:rPr>
                <w:rFonts w:hint="eastAsia" w:cs="Times New Roman"/>
              </w:rPr>
              <w:t>10</w:t>
            </w:r>
            <w:r>
              <w:rPr>
                <w:rFonts w:cs="Times New Roman"/>
              </w:rPr>
              <w:t xml:space="preserve"> </w:t>
            </w:r>
            <w:bookmarkEnd w:id="86"/>
            <w:bookmarkEnd w:id="87"/>
            <w:r>
              <w:rPr>
                <w:rFonts w:cs="Times New Roman"/>
              </w:rPr>
              <w:t>建设项目危险废物贮存场所（设施）基本情况表</w:t>
            </w:r>
          </w:p>
          <w:tbl>
            <w:tblPr>
              <w:tblStyle w:val="33"/>
              <w:tblW w:w="4999" w:type="pct"/>
              <w:jc w:val="center"/>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Layout w:type="autofit"/>
              <w:tblCellMar>
                <w:top w:w="0" w:type="dxa"/>
                <w:left w:w="108" w:type="dxa"/>
                <w:bottom w:w="0" w:type="dxa"/>
                <w:right w:w="108" w:type="dxa"/>
              </w:tblCellMar>
            </w:tblPr>
            <w:tblGrid>
              <w:gridCol w:w="524"/>
              <w:gridCol w:w="1208"/>
              <w:gridCol w:w="953"/>
              <w:gridCol w:w="826"/>
              <w:gridCol w:w="1196"/>
              <w:gridCol w:w="767"/>
              <w:gridCol w:w="713"/>
              <w:gridCol w:w="1251"/>
              <w:gridCol w:w="760"/>
              <w:gridCol w:w="727"/>
            </w:tblGrid>
            <w:tr w14:paraId="01D3390C">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294" w:type="pct"/>
                  <w:tcBorders>
                    <w:tl2br w:val="nil"/>
                    <w:tr2bl w:val="nil"/>
                  </w:tcBorders>
                  <w:vAlign w:val="center"/>
                </w:tcPr>
                <w:p w14:paraId="2A3CBBF2">
                  <w:pPr>
                    <w:pStyle w:val="53"/>
                    <w:rPr>
                      <w:rFonts w:cs="Times New Roman"/>
                    </w:rPr>
                  </w:pPr>
                  <w:r>
                    <w:rPr>
                      <w:rFonts w:cs="Times New Roman"/>
                    </w:rPr>
                    <w:t>序号</w:t>
                  </w:r>
                </w:p>
              </w:tc>
              <w:tc>
                <w:tcPr>
                  <w:tcW w:w="676" w:type="pct"/>
                  <w:tcBorders>
                    <w:tl2br w:val="nil"/>
                    <w:tr2bl w:val="nil"/>
                  </w:tcBorders>
                  <w:vAlign w:val="center"/>
                </w:tcPr>
                <w:p w14:paraId="7702F73F">
                  <w:pPr>
                    <w:pStyle w:val="53"/>
                    <w:rPr>
                      <w:rFonts w:cs="Times New Roman"/>
                    </w:rPr>
                  </w:pPr>
                  <w:r>
                    <w:rPr>
                      <w:rFonts w:cs="Times New Roman"/>
                    </w:rPr>
                    <w:t>贮存场所（设施）</w:t>
                  </w:r>
                </w:p>
                <w:p w14:paraId="47D41EE7">
                  <w:pPr>
                    <w:pStyle w:val="53"/>
                    <w:rPr>
                      <w:rFonts w:cs="Times New Roman"/>
                    </w:rPr>
                  </w:pPr>
                  <w:r>
                    <w:rPr>
                      <w:rFonts w:cs="Times New Roman"/>
                    </w:rPr>
                    <w:t>名称</w:t>
                  </w:r>
                </w:p>
              </w:tc>
              <w:tc>
                <w:tcPr>
                  <w:tcW w:w="533" w:type="pct"/>
                  <w:tcBorders>
                    <w:tl2br w:val="nil"/>
                    <w:tr2bl w:val="nil"/>
                  </w:tcBorders>
                  <w:vAlign w:val="center"/>
                </w:tcPr>
                <w:p w14:paraId="2FB256DD">
                  <w:pPr>
                    <w:pStyle w:val="53"/>
                    <w:rPr>
                      <w:rFonts w:cs="Times New Roman"/>
                    </w:rPr>
                  </w:pPr>
                  <w:r>
                    <w:rPr>
                      <w:rFonts w:cs="Times New Roman"/>
                    </w:rPr>
                    <w:t>危险废物名称</w:t>
                  </w:r>
                </w:p>
              </w:tc>
              <w:tc>
                <w:tcPr>
                  <w:tcW w:w="462" w:type="pct"/>
                  <w:tcBorders>
                    <w:tl2br w:val="nil"/>
                    <w:tr2bl w:val="nil"/>
                  </w:tcBorders>
                  <w:vAlign w:val="center"/>
                </w:tcPr>
                <w:p w14:paraId="67BB390B">
                  <w:pPr>
                    <w:pStyle w:val="53"/>
                    <w:rPr>
                      <w:rFonts w:cs="Times New Roman"/>
                    </w:rPr>
                  </w:pPr>
                  <w:r>
                    <w:rPr>
                      <w:rFonts w:cs="Times New Roman"/>
                    </w:rPr>
                    <w:t>危险废物类别</w:t>
                  </w:r>
                </w:p>
              </w:tc>
              <w:tc>
                <w:tcPr>
                  <w:tcW w:w="669" w:type="pct"/>
                  <w:tcBorders>
                    <w:tl2br w:val="nil"/>
                    <w:tr2bl w:val="nil"/>
                  </w:tcBorders>
                  <w:vAlign w:val="center"/>
                </w:tcPr>
                <w:p w14:paraId="14885642">
                  <w:pPr>
                    <w:pStyle w:val="53"/>
                    <w:rPr>
                      <w:rFonts w:cs="Times New Roman"/>
                    </w:rPr>
                  </w:pPr>
                  <w:r>
                    <w:rPr>
                      <w:rFonts w:cs="Times New Roman"/>
                    </w:rPr>
                    <w:t>危险废物代码</w:t>
                  </w:r>
                </w:p>
              </w:tc>
              <w:tc>
                <w:tcPr>
                  <w:tcW w:w="429" w:type="pct"/>
                  <w:tcBorders>
                    <w:tl2br w:val="nil"/>
                    <w:tr2bl w:val="nil"/>
                  </w:tcBorders>
                  <w:vAlign w:val="center"/>
                </w:tcPr>
                <w:p w14:paraId="4D61CDBC">
                  <w:pPr>
                    <w:pStyle w:val="53"/>
                    <w:rPr>
                      <w:rFonts w:cs="Times New Roman"/>
                    </w:rPr>
                  </w:pPr>
                  <w:r>
                    <w:rPr>
                      <w:rFonts w:cs="Times New Roman"/>
                    </w:rPr>
                    <w:t>位置</w:t>
                  </w:r>
                </w:p>
              </w:tc>
              <w:tc>
                <w:tcPr>
                  <w:tcW w:w="399" w:type="pct"/>
                  <w:tcBorders>
                    <w:tl2br w:val="nil"/>
                    <w:tr2bl w:val="nil"/>
                  </w:tcBorders>
                  <w:vAlign w:val="center"/>
                </w:tcPr>
                <w:p w14:paraId="3C1E8222">
                  <w:pPr>
                    <w:pStyle w:val="53"/>
                    <w:rPr>
                      <w:rFonts w:cs="Times New Roman"/>
                    </w:rPr>
                  </w:pPr>
                  <w:r>
                    <w:rPr>
                      <w:rFonts w:cs="Times New Roman"/>
                    </w:rPr>
                    <w:t>占地面积</w:t>
                  </w:r>
                </w:p>
              </w:tc>
              <w:tc>
                <w:tcPr>
                  <w:tcW w:w="700" w:type="pct"/>
                  <w:tcBorders>
                    <w:tl2br w:val="nil"/>
                    <w:tr2bl w:val="nil"/>
                  </w:tcBorders>
                  <w:vAlign w:val="center"/>
                </w:tcPr>
                <w:p w14:paraId="79732E36">
                  <w:pPr>
                    <w:pStyle w:val="53"/>
                    <w:rPr>
                      <w:rFonts w:cs="Times New Roman"/>
                    </w:rPr>
                  </w:pPr>
                  <w:r>
                    <w:rPr>
                      <w:rFonts w:cs="Times New Roman"/>
                    </w:rPr>
                    <w:t>贮存方式</w:t>
                  </w:r>
                </w:p>
              </w:tc>
              <w:tc>
                <w:tcPr>
                  <w:tcW w:w="425" w:type="pct"/>
                  <w:tcBorders>
                    <w:tl2br w:val="nil"/>
                    <w:tr2bl w:val="nil"/>
                  </w:tcBorders>
                  <w:vAlign w:val="center"/>
                </w:tcPr>
                <w:p w14:paraId="52C0C1FB">
                  <w:pPr>
                    <w:pStyle w:val="53"/>
                    <w:rPr>
                      <w:rFonts w:cs="Times New Roman"/>
                    </w:rPr>
                  </w:pPr>
                  <w:r>
                    <w:rPr>
                      <w:rFonts w:cs="Times New Roman"/>
                    </w:rPr>
                    <w:t>贮存</w:t>
                  </w:r>
                </w:p>
                <w:p w14:paraId="47DE9778">
                  <w:pPr>
                    <w:pStyle w:val="53"/>
                    <w:rPr>
                      <w:rFonts w:cs="Times New Roman"/>
                    </w:rPr>
                  </w:pPr>
                  <w:r>
                    <w:rPr>
                      <w:rFonts w:cs="Times New Roman"/>
                    </w:rPr>
                    <w:t>能力</w:t>
                  </w:r>
                </w:p>
              </w:tc>
              <w:tc>
                <w:tcPr>
                  <w:tcW w:w="407" w:type="pct"/>
                  <w:tcBorders>
                    <w:tl2br w:val="nil"/>
                    <w:tr2bl w:val="nil"/>
                  </w:tcBorders>
                  <w:vAlign w:val="center"/>
                </w:tcPr>
                <w:p w14:paraId="4165B5E7">
                  <w:pPr>
                    <w:pStyle w:val="53"/>
                    <w:rPr>
                      <w:rFonts w:cs="Times New Roman"/>
                    </w:rPr>
                  </w:pPr>
                  <w:r>
                    <w:rPr>
                      <w:rFonts w:cs="Times New Roman"/>
                    </w:rPr>
                    <w:t>贮存</w:t>
                  </w:r>
                </w:p>
                <w:p w14:paraId="76003A8D">
                  <w:pPr>
                    <w:pStyle w:val="53"/>
                    <w:rPr>
                      <w:rFonts w:cs="Times New Roman"/>
                    </w:rPr>
                  </w:pPr>
                  <w:r>
                    <w:rPr>
                      <w:rFonts w:cs="Times New Roman"/>
                    </w:rPr>
                    <w:t>周期</w:t>
                  </w:r>
                </w:p>
              </w:tc>
            </w:tr>
            <w:tr w14:paraId="37E9E7A9">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677" w:hRule="atLeast"/>
                <w:jc w:val="center"/>
              </w:trPr>
              <w:tc>
                <w:tcPr>
                  <w:tcW w:w="294" w:type="pct"/>
                  <w:tcBorders>
                    <w:tl2br w:val="nil"/>
                    <w:tr2bl w:val="nil"/>
                  </w:tcBorders>
                  <w:vAlign w:val="center"/>
                </w:tcPr>
                <w:p w14:paraId="1F4044B9">
                  <w:pPr>
                    <w:pStyle w:val="14"/>
                    <w:rPr>
                      <w:rFonts w:cs="Times New Roman"/>
                    </w:rPr>
                  </w:pPr>
                  <w:r>
                    <w:rPr>
                      <w:rFonts w:cs="Times New Roman"/>
                    </w:rPr>
                    <w:t>1</w:t>
                  </w:r>
                </w:p>
              </w:tc>
              <w:tc>
                <w:tcPr>
                  <w:tcW w:w="676" w:type="pct"/>
                  <w:vMerge w:val="restart"/>
                  <w:tcBorders>
                    <w:tl2br w:val="nil"/>
                    <w:tr2bl w:val="nil"/>
                  </w:tcBorders>
                  <w:vAlign w:val="center"/>
                </w:tcPr>
                <w:p w14:paraId="7F992BFF">
                  <w:pPr>
                    <w:pStyle w:val="14"/>
                    <w:rPr>
                      <w:rFonts w:cs="Times New Roman"/>
                    </w:rPr>
                  </w:pPr>
                  <w:r>
                    <w:rPr>
                      <w:rFonts w:cs="Times New Roman"/>
                    </w:rPr>
                    <w:t>危险废物暂存间</w:t>
                  </w:r>
                </w:p>
              </w:tc>
              <w:tc>
                <w:tcPr>
                  <w:tcW w:w="533" w:type="pct"/>
                  <w:tcBorders>
                    <w:tl2br w:val="nil"/>
                    <w:tr2bl w:val="nil"/>
                  </w:tcBorders>
                  <w:vAlign w:val="center"/>
                </w:tcPr>
                <w:p w14:paraId="3239CEB9">
                  <w:pPr>
                    <w:pStyle w:val="14"/>
                    <w:rPr>
                      <w:rFonts w:cs="Times New Roman"/>
                    </w:rPr>
                  </w:pPr>
                  <w:r>
                    <w:rPr>
                      <w:rFonts w:cs="Times New Roman"/>
                      <w:bCs/>
                    </w:rPr>
                    <w:t>废液压油</w:t>
                  </w:r>
                </w:p>
              </w:tc>
              <w:tc>
                <w:tcPr>
                  <w:tcW w:w="462" w:type="pct"/>
                  <w:tcBorders>
                    <w:tl2br w:val="nil"/>
                    <w:tr2bl w:val="nil"/>
                  </w:tcBorders>
                  <w:vAlign w:val="center"/>
                </w:tcPr>
                <w:p w14:paraId="6EBC5710">
                  <w:pPr>
                    <w:pStyle w:val="14"/>
                    <w:rPr>
                      <w:rFonts w:cs="Times New Roman"/>
                    </w:rPr>
                  </w:pPr>
                  <w:r>
                    <w:rPr>
                      <w:rFonts w:cs="Times New Roman"/>
                    </w:rPr>
                    <w:t>HW08</w:t>
                  </w:r>
                </w:p>
              </w:tc>
              <w:tc>
                <w:tcPr>
                  <w:tcW w:w="669" w:type="pct"/>
                  <w:tcBorders>
                    <w:tl2br w:val="nil"/>
                    <w:tr2bl w:val="nil"/>
                  </w:tcBorders>
                  <w:vAlign w:val="center"/>
                </w:tcPr>
                <w:p w14:paraId="4A64E212">
                  <w:pPr>
                    <w:pStyle w:val="14"/>
                    <w:rPr>
                      <w:rFonts w:cs="Times New Roman"/>
                    </w:rPr>
                  </w:pPr>
                  <w:r>
                    <w:rPr>
                      <w:rFonts w:cs="Times New Roman"/>
                    </w:rPr>
                    <w:t>900-218-08</w:t>
                  </w:r>
                </w:p>
              </w:tc>
              <w:tc>
                <w:tcPr>
                  <w:tcW w:w="429" w:type="pct"/>
                  <w:vMerge w:val="restart"/>
                  <w:tcBorders>
                    <w:tl2br w:val="nil"/>
                    <w:tr2bl w:val="nil"/>
                  </w:tcBorders>
                  <w:vAlign w:val="center"/>
                </w:tcPr>
                <w:p w14:paraId="1B419DB0">
                  <w:pPr>
                    <w:pStyle w:val="14"/>
                    <w:rPr>
                      <w:rFonts w:cs="Times New Roman"/>
                    </w:rPr>
                  </w:pPr>
                  <w:r>
                    <w:rPr>
                      <w:rFonts w:hint="eastAsia" w:cs="Times New Roman"/>
                    </w:rPr>
                    <w:t>二车间内</w:t>
                  </w:r>
                </w:p>
              </w:tc>
              <w:tc>
                <w:tcPr>
                  <w:tcW w:w="399" w:type="pct"/>
                  <w:vMerge w:val="restart"/>
                  <w:tcBorders>
                    <w:tl2br w:val="nil"/>
                    <w:tr2bl w:val="nil"/>
                  </w:tcBorders>
                  <w:vAlign w:val="center"/>
                </w:tcPr>
                <w:p w14:paraId="3F4B37EA">
                  <w:pPr>
                    <w:pStyle w:val="14"/>
                    <w:rPr>
                      <w:rFonts w:cs="Times New Roman"/>
                    </w:rPr>
                  </w:pPr>
                  <w:r>
                    <w:rPr>
                      <w:rFonts w:hint="eastAsia" w:cs="Times New Roman"/>
                    </w:rPr>
                    <w:t>5</w:t>
                  </w:r>
                  <w:r>
                    <w:rPr>
                      <w:rFonts w:cs="Times New Roman"/>
                    </w:rPr>
                    <w:t>m</w:t>
                  </w:r>
                  <w:r>
                    <w:rPr>
                      <w:rFonts w:cs="Times New Roman"/>
                      <w:vertAlign w:val="superscript"/>
                    </w:rPr>
                    <w:t>2</w:t>
                  </w:r>
                </w:p>
              </w:tc>
              <w:tc>
                <w:tcPr>
                  <w:tcW w:w="700" w:type="pct"/>
                  <w:vMerge w:val="restart"/>
                  <w:tcBorders>
                    <w:tl2br w:val="nil"/>
                    <w:tr2bl w:val="nil"/>
                  </w:tcBorders>
                  <w:vAlign w:val="center"/>
                </w:tcPr>
                <w:p w14:paraId="43ACD0B8">
                  <w:pPr>
                    <w:pStyle w:val="14"/>
                    <w:rPr>
                      <w:rFonts w:cs="Times New Roman"/>
                    </w:rPr>
                  </w:pPr>
                  <w:r>
                    <w:rPr>
                      <w:rFonts w:cs="Times New Roman"/>
                    </w:rPr>
                    <w:t>分类收集，液体桶装放置于托盘上，其余放置于防渗漏容器内</w:t>
                  </w:r>
                </w:p>
              </w:tc>
              <w:tc>
                <w:tcPr>
                  <w:tcW w:w="425" w:type="pct"/>
                  <w:vMerge w:val="restart"/>
                  <w:tcBorders>
                    <w:tl2br w:val="nil"/>
                    <w:tr2bl w:val="nil"/>
                  </w:tcBorders>
                  <w:vAlign w:val="center"/>
                </w:tcPr>
                <w:p w14:paraId="57CFEBF9">
                  <w:pPr>
                    <w:pStyle w:val="14"/>
                    <w:rPr>
                      <w:rFonts w:cs="Times New Roman"/>
                    </w:rPr>
                  </w:pPr>
                  <w:r>
                    <w:rPr>
                      <w:rFonts w:hint="eastAsia" w:cs="Times New Roman"/>
                    </w:rPr>
                    <w:t>20</w:t>
                  </w:r>
                  <w:r>
                    <w:rPr>
                      <w:rFonts w:cs="Times New Roman"/>
                    </w:rPr>
                    <w:t>t</w:t>
                  </w:r>
                </w:p>
              </w:tc>
              <w:tc>
                <w:tcPr>
                  <w:tcW w:w="407" w:type="pct"/>
                  <w:vMerge w:val="restart"/>
                  <w:tcBorders>
                    <w:tl2br w:val="nil"/>
                    <w:tr2bl w:val="nil"/>
                  </w:tcBorders>
                  <w:vAlign w:val="center"/>
                </w:tcPr>
                <w:p w14:paraId="5E9C9416">
                  <w:pPr>
                    <w:pStyle w:val="14"/>
                    <w:rPr>
                      <w:rFonts w:cs="Times New Roman"/>
                    </w:rPr>
                  </w:pPr>
                  <w:r>
                    <w:rPr>
                      <w:rFonts w:hint="eastAsia" w:cs="Times New Roman"/>
                    </w:rPr>
                    <w:t>1年</w:t>
                  </w:r>
                </w:p>
              </w:tc>
            </w:tr>
            <w:tr w14:paraId="4453F823">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294" w:type="pct"/>
                  <w:tcBorders>
                    <w:tl2br w:val="nil"/>
                    <w:tr2bl w:val="nil"/>
                  </w:tcBorders>
                  <w:vAlign w:val="center"/>
                </w:tcPr>
                <w:p w14:paraId="236905CE">
                  <w:pPr>
                    <w:pStyle w:val="14"/>
                    <w:rPr>
                      <w:rFonts w:cs="Times New Roman"/>
                    </w:rPr>
                  </w:pPr>
                  <w:r>
                    <w:rPr>
                      <w:rFonts w:cs="Times New Roman"/>
                    </w:rPr>
                    <w:t>2</w:t>
                  </w:r>
                </w:p>
              </w:tc>
              <w:tc>
                <w:tcPr>
                  <w:tcW w:w="676" w:type="pct"/>
                  <w:vMerge w:val="continue"/>
                  <w:tcBorders>
                    <w:tl2br w:val="nil"/>
                    <w:tr2bl w:val="nil"/>
                  </w:tcBorders>
                  <w:vAlign w:val="center"/>
                </w:tcPr>
                <w:p w14:paraId="0F106749">
                  <w:pPr>
                    <w:pStyle w:val="14"/>
                    <w:rPr>
                      <w:rFonts w:cs="Times New Roman"/>
                    </w:rPr>
                  </w:pPr>
                </w:p>
              </w:tc>
              <w:tc>
                <w:tcPr>
                  <w:tcW w:w="533" w:type="pct"/>
                  <w:tcBorders>
                    <w:tl2br w:val="nil"/>
                    <w:tr2bl w:val="nil"/>
                  </w:tcBorders>
                  <w:vAlign w:val="center"/>
                </w:tcPr>
                <w:p w14:paraId="03571EE2">
                  <w:pPr>
                    <w:pStyle w:val="14"/>
                    <w:rPr>
                      <w:rFonts w:cs="Times New Roman"/>
                      <w:kern w:val="2"/>
                    </w:rPr>
                  </w:pPr>
                  <w:r>
                    <w:rPr>
                      <w:rFonts w:cs="Times New Roman"/>
                      <w:bCs/>
                    </w:rPr>
                    <w:t>废活性炭</w:t>
                  </w:r>
                </w:p>
              </w:tc>
              <w:tc>
                <w:tcPr>
                  <w:tcW w:w="462" w:type="pct"/>
                  <w:tcBorders>
                    <w:tl2br w:val="nil"/>
                    <w:tr2bl w:val="nil"/>
                  </w:tcBorders>
                  <w:vAlign w:val="center"/>
                </w:tcPr>
                <w:p w14:paraId="404882E4">
                  <w:pPr>
                    <w:pStyle w:val="14"/>
                    <w:rPr>
                      <w:rFonts w:cs="Times New Roman"/>
                    </w:rPr>
                  </w:pPr>
                  <w:r>
                    <w:rPr>
                      <w:rFonts w:cs="Times New Roman"/>
                    </w:rPr>
                    <w:t>HW49</w:t>
                  </w:r>
                </w:p>
              </w:tc>
              <w:tc>
                <w:tcPr>
                  <w:tcW w:w="669" w:type="pct"/>
                  <w:tcBorders>
                    <w:tl2br w:val="nil"/>
                    <w:tr2bl w:val="nil"/>
                  </w:tcBorders>
                  <w:vAlign w:val="center"/>
                </w:tcPr>
                <w:p w14:paraId="38D246E9">
                  <w:pPr>
                    <w:pStyle w:val="14"/>
                    <w:rPr>
                      <w:rFonts w:cs="Times New Roman"/>
                    </w:rPr>
                  </w:pPr>
                  <w:r>
                    <w:rPr>
                      <w:rFonts w:cs="Times New Roman"/>
                    </w:rPr>
                    <w:t>900-039-49</w:t>
                  </w:r>
                </w:p>
              </w:tc>
              <w:tc>
                <w:tcPr>
                  <w:tcW w:w="429" w:type="pct"/>
                  <w:vMerge w:val="continue"/>
                  <w:tcBorders>
                    <w:tl2br w:val="nil"/>
                    <w:tr2bl w:val="nil"/>
                  </w:tcBorders>
                  <w:vAlign w:val="center"/>
                </w:tcPr>
                <w:p w14:paraId="75F72990">
                  <w:pPr>
                    <w:pStyle w:val="14"/>
                    <w:rPr>
                      <w:rFonts w:cs="Times New Roman"/>
                    </w:rPr>
                  </w:pPr>
                </w:p>
              </w:tc>
              <w:tc>
                <w:tcPr>
                  <w:tcW w:w="399" w:type="pct"/>
                  <w:vMerge w:val="continue"/>
                  <w:tcBorders>
                    <w:tl2br w:val="nil"/>
                    <w:tr2bl w:val="nil"/>
                  </w:tcBorders>
                  <w:vAlign w:val="center"/>
                </w:tcPr>
                <w:p w14:paraId="2602801C">
                  <w:pPr>
                    <w:pStyle w:val="14"/>
                    <w:rPr>
                      <w:rFonts w:cs="Times New Roman"/>
                    </w:rPr>
                  </w:pPr>
                </w:p>
              </w:tc>
              <w:tc>
                <w:tcPr>
                  <w:tcW w:w="700" w:type="pct"/>
                  <w:vMerge w:val="continue"/>
                  <w:tcBorders>
                    <w:tl2br w:val="nil"/>
                    <w:tr2bl w:val="nil"/>
                  </w:tcBorders>
                  <w:vAlign w:val="center"/>
                </w:tcPr>
                <w:p w14:paraId="48F98352">
                  <w:pPr>
                    <w:pStyle w:val="14"/>
                    <w:rPr>
                      <w:rFonts w:cs="Times New Roman"/>
                    </w:rPr>
                  </w:pPr>
                </w:p>
              </w:tc>
              <w:tc>
                <w:tcPr>
                  <w:tcW w:w="425" w:type="pct"/>
                  <w:vMerge w:val="continue"/>
                  <w:tcBorders>
                    <w:tl2br w:val="nil"/>
                    <w:tr2bl w:val="nil"/>
                  </w:tcBorders>
                  <w:vAlign w:val="center"/>
                </w:tcPr>
                <w:p w14:paraId="272FAFC4">
                  <w:pPr>
                    <w:pStyle w:val="14"/>
                    <w:rPr>
                      <w:rFonts w:cs="Times New Roman"/>
                    </w:rPr>
                  </w:pPr>
                </w:p>
              </w:tc>
              <w:tc>
                <w:tcPr>
                  <w:tcW w:w="407" w:type="pct"/>
                  <w:vMerge w:val="continue"/>
                  <w:tcBorders>
                    <w:tl2br w:val="nil"/>
                    <w:tr2bl w:val="nil"/>
                  </w:tcBorders>
                  <w:vAlign w:val="center"/>
                </w:tcPr>
                <w:p w14:paraId="6B76B6E9">
                  <w:pPr>
                    <w:pStyle w:val="14"/>
                    <w:rPr>
                      <w:rFonts w:cs="Times New Roman"/>
                    </w:rPr>
                  </w:pPr>
                </w:p>
              </w:tc>
            </w:tr>
          </w:tbl>
          <w:p w14:paraId="64633B57">
            <w:pPr>
              <w:ind w:firstLine="480"/>
              <w:rPr>
                <w:rFonts w:cs="Times New Roman"/>
                <w:b/>
                <w:bCs/>
              </w:rPr>
            </w:pPr>
            <w:r>
              <w:rPr>
                <w:rFonts w:cs="Times New Roman"/>
                <w:snapToGrid w:val="0"/>
                <w:kern w:val="40"/>
              </w:rPr>
              <w:t>按照《危险化学品安全管理条例》、</w:t>
            </w:r>
            <w:r>
              <w:rPr>
                <w:rFonts w:cs="Times New Roman"/>
              </w:rPr>
              <w:t>《危险废物贮存污染控制标准》（GB18597-2023）、《危险废物贮存处置管理规定》</w:t>
            </w:r>
            <w:r>
              <w:rPr>
                <w:rFonts w:cs="Times New Roman"/>
                <w:snapToGrid w:val="0"/>
                <w:kern w:val="40"/>
              </w:rPr>
              <w:t>，结合本项目产生的危险废物性质，本项目应做到：</w:t>
            </w:r>
          </w:p>
          <w:p w14:paraId="4DE876A2">
            <w:pPr>
              <w:ind w:firstLine="482"/>
              <w:rPr>
                <w:rFonts w:cs="Times New Roman"/>
                <w:b/>
                <w:bCs/>
              </w:rPr>
            </w:pPr>
            <w:r>
              <w:rPr>
                <w:rFonts w:cs="Times New Roman"/>
                <w:b/>
                <w:bCs/>
              </w:rPr>
              <w:t>危废暂存间设置要求：</w:t>
            </w:r>
          </w:p>
          <w:p w14:paraId="6A1C129F">
            <w:pPr>
              <w:ind w:firstLine="480"/>
              <w:jc w:val="left"/>
              <w:rPr>
                <w:rFonts w:cs="Times New Roman"/>
              </w:rPr>
            </w:pPr>
            <w:r>
              <w:rPr>
                <w:rFonts w:cs="Times New Roman"/>
              </w:rPr>
              <w:fldChar w:fldCharType="begin"/>
            </w:r>
            <w:r>
              <w:rPr>
                <w:rFonts w:cs="Times New Roman"/>
              </w:rPr>
              <w:instrText xml:space="preserve"> = 1 \* GB3 \* MERGEFORMAT </w:instrText>
            </w:r>
            <w:r>
              <w:rPr>
                <w:rFonts w:cs="Times New Roman"/>
              </w:rPr>
              <w:fldChar w:fldCharType="separate"/>
            </w:r>
            <w:r>
              <w:rPr>
                <w:rFonts w:hint="eastAsia" w:ascii="宋体" w:hAnsi="宋体" w:cs="宋体"/>
              </w:rPr>
              <w:t>①</w:t>
            </w:r>
            <w:r>
              <w:rPr>
                <w:rFonts w:cs="Times New Roman"/>
              </w:rPr>
              <w:fldChar w:fldCharType="end"/>
            </w:r>
            <w:r>
              <w:rPr>
                <w:rFonts w:cs="Times New Roman"/>
              </w:rPr>
              <w:t>危险废物贮存间必须要密闭建设，门口内侧设立围堰，地面应做好硬化及“</w:t>
            </w:r>
            <w:r>
              <w:rPr>
                <w:rFonts w:hint="eastAsia" w:cs="Times New Roman"/>
              </w:rPr>
              <w:t>六</w:t>
            </w:r>
            <w:r>
              <w:rPr>
                <w:rFonts w:cs="Times New Roman"/>
              </w:rPr>
              <w:t>防”（</w:t>
            </w:r>
            <w:r>
              <w:t>防风、防晒、防雨、防漏、防渗、防腐</w:t>
            </w:r>
            <w:r>
              <w:rPr>
                <w:rFonts w:cs="Times New Roman"/>
              </w:rPr>
              <w:t>）措施。</w:t>
            </w:r>
          </w:p>
          <w:p w14:paraId="52033B92">
            <w:pPr>
              <w:ind w:firstLine="480"/>
              <w:jc w:val="left"/>
              <w:rPr>
                <w:rFonts w:cs="Times New Roman"/>
              </w:rPr>
            </w:pPr>
            <w:r>
              <w:rPr>
                <w:rFonts w:cs="Times New Roman"/>
              </w:rPr>
              <w:fldChar w:fldCharType="begin"/>
            </w:r>
            <w:r>
              <w:rPr>
                <w:rFonts w:cs="Times New Roman"/>
              </w:rPr>
              <w:instrText xml:space="preserve"> = 2 \* GB3 \* MERGEFORMAT </w:instrText>
            </w:r>
            <w:r>
              <w:rPr>
                <w:rFonts w:cs="Times New Roman"/>
              </w:rPr>
              <w:fldChar w:fldCharType="separate"/>
            </w:r>
            <w:r>
              <w:rPr>
                <w:rFonts w:hint="eastAsia" w:ascii="宋体" w:hAnsi="宋体" w:cs="宋体"/>
              </w:rPr>
              <w:t>②</w:t>
            </w:r>
            <w:r>
              <w:rPr>
                <w:rFonts w:cs="Times New Roman"/>
              </w:rPr>
              <w:fldChar w:fldCharType="end"/>
            </w:r>
            <w:r>
              <w:rPr>
                <w:rFonts w:cs="Times New Roman"/>
              </w:rPr>
              <w:t>危险废物贮存间门口需张贴标准规范的危险废物标识和危废信息板，屋内张贴企业《危险废物管理制度》。</w:t>
            </w:r>
          </w:p>
          <w:p w14:paraId="611139C3">
            <w:pPr>
              <w:ind w:firstLine="480"/>
              <w:jc w:val="left"/>
              <w:rPr>
                <w:rFonts w:cs="Times New Roman"/>
              </w:rPr>
            </w:pPr>
            <w:r>
              <w:rPr>
                <w:rFonts w:cs="Times New Roman"/>
              </w:rPr>
              <w:fldChar w:fldCharType="begin"/>
            </w:r>
            <w:r>
              <w:rPr>
                <w:rFonts w:cs="Times New Roman"/>
              </w:rPr>
              <w:instrText xml:space="preserve"> = 3 \* GB3 \* MERGEFORMAT </w:instrText>
            </w:r>
            <w:r>
              <w:rPr>
                <w:rFonts w:cs="Times New Roman"/>
              </w:rPr>
              <w:fldChar w:fldCharType="separate"/>
            </w:r>
            <w:r>
              <w:rPr>
                <w:rFonts w:hint="eastAsia" w:ascii="宋体" w:hAnsi="宋体" w:cs="宋体"/>
              </w:rPr>
              <w:t>③</w:t>
            </w:r>
            <w:r>
              <w:rPr>
                <w:rFonts w:cs="Times New Roman"/>
              </w:rPr>
              <w:fldChar w:fldCharType="end"/>
            </w:r>
            <w:r>
              <w:rPr>
                <w:rFonts w:cs="Times New Roman"/>
              </w:rPr>
              <w:t>危险废物贮存间应设置隔离安全门锁，门锁需按照“双人双锁”制度管理。（两把钥匙分别由两个危废负责人管理，不得一人管理）。</w:t>
            </w:r>
          </w:p>
          <w:p w14:paraId="6CE1D2FE">
            <w:pPr>
              <w:ind w:firstLine="480"/>
              <w:jc w:val="left"/>
              <w:rPr>
                <w:rFonts w:cs="Times New Roman"/>
              </w:rPr>
            </w:pPr>
            <w:r>
              <w:rPr>
                <w:rFonts w:cs="Times New Roman"/>
              </w:rPr>
              <w:fldChar w:fldCharType="begin"/>
            </w:r>
            <w:r>
              <w:rPr>
                <w:rFonts w:cs="Times New Roman"/>
              </w:rPr>
              <w:instrText xml:space="preserve"> = 4 \* GB3 \* MERGEFORMAT </w:instrText>
            </w:r>
            <w:r>
              <w:rPr>
                <w:rFonts w:cs="Times New Roman"/>
              </w:rPr>
              <w:fldChar w:fldCharType="separate"/>
            </w:r>
            <w:r>
              <w:rPr>
                <w:rFonts w:hint="eastAsia" w:ascii="宋体" w:hAnsi="宋体" w:cs="宋体"/>
              </w:rPr>
              <w:t>④</w:t>
            </w:r>
            <w:r>
              <w:rPr>
                <w:rFonts w:cs="Times New Roman"/>
              </w:rPr>
              <w:fldChar w:fldCharType="end"/>
            </w:r>
            <w:r>
              <w:rPr>
                <w:rFonts w:cs="Times New Roman"/>
              </w:rPr>
              <w:t>不同种类危险废物应有明显的过道划分，墙上张贴危废名称，液态危废需将盛装容器放至防泄漏托盘内并在容器粘贴危险废物标签，固态危废包装需完好无破损并系挂危险废物标签，并按要求填写。</w:t>
            </w:r>
          </w:p>
          <w:p w14:paraId="2E683C5B">
            <w:pPr>
              <w:ind w:firstLine="480"/>
              <w:jc w:val="left"/>
              <w:rPr>
                <w:rFonts w:cs="Times New Roman"/>
              </w:rPr>
            </w:pPr>
            <w:r>
              <w:rPr>
                <w:rFonts w:cs="Times New Roman"/>
              </w:rPr>
              <w:fldChar w:fldCharType="begin"/>
            </w:r>
            <w:r>
              <w:rPr>
                <w:rFonts w:cs="Times New Roman"/>
              </w:rPr>
              <w:instrText xml:space="preserve"> = 5 \* GB3 \* MERGEFORMAT </w:instrText>
            </w:r>
            <w:r>
              <w:rPr>
                <w:rFonts w:cs="Times New Roman"/>
              </w:rPr>
              <w:fldChar w:fldCharType="separate"/>
            </w:r>
            <w:r>
              <w:rPr>
                <w:rFonts w:hint="eastAsia" w:ascii="宋体" w:hAnsi="宋体" w:cs="宋体"/>
              </w:rPr>
              <w:t>⑤</w:t>
            </w:r>
            <w:r>
              <w:rPr>
                <w:rFonts w:cs="Times New Roman"/>
              </w:rPr>
              <w:fldChar w:fldCharType="end"/>
            </w:r>
            <w:r>
              <w:rPr>
                <w:rFonts w:cs="Times New Roman"/>
              </w:rPr>
              <w:t>建立台账并悬挂于危废间内，转入及转出（处置、自利用）需要填写危废种类、数量、时间及负责人员姓名。</w:t>
            </w:r>
          </w:p>
          <w:p w14:paraId="6FE0400E">
            <w:pPr>
              <w:ind w:firstLine="480"/>
              <w:jc w:val="left"/>
              <w:rPr>
                <w:rFonts w:cs="Times New Roman"/>
              </w:rPr>
            </w:pPr>
            <w:r>
              <w:rPr>
                <w:rFonts w:cs="Times New Roman"/>
              </w:rPr>
              <w:fldChar w:fldCharType="begin"/>
            </w:r>
            <w:r>
              <w:rPr>
                <w:rFonts w:cs="Times New Roman"/>
              </w:rPr>
              <w:instrText xml:space="preserve"> = 6 \* GB3 \* MERGEFORMAT </w:instrText>
            </w:r>
            <w:r>
              <w:rPr>
                <w:rFonts w:cs="Times New Roman"/>
              </w:rPr>
              <w:fldChar w:fldCharType="separate"/>
            </w:r>
            <w:r>
              <w:rPr>
                <w:rFonts w:hint="eastAsia" w:ascii="宋体" w:hAnsi="宋体" w:cs="宋体"/>
              </w:rPr>
              <w:t>⑥</w:t>
            </w:r>
            <w:r>
              <w:rPr>
                <w:rFonts w:cs="Times New Roman"/>
              </w:rPr>
              <w:fldChar w:fldCharType="end"/>
            </w:r>
            <w:r>
              <w:rPr>
                <w:rFonts w:cs="Times New Roman"/>
              </w:rPr>
              <w:t>危险废物贮存间内禁止存放除危险废物及应急工具以外的其他物品。</w:t>
            </w:r>
          </w:p>
          <w:p w14:paraId="0906407E">
            <w:pPr>
              <w:adjustRightInd w:val="0"/>
              <w:ind w:firstLine="482"/>
              <w:rPr>
                <w:rFonts w:cs="Times New Roman"/>
                <w:b/>
              </w:rPr>
            </w:pPr>
            <w:r>
              <w:rPr>
                <w:rFonts w:cs="Times New Roman"/>
                <w:b/>
              </w:rPr>
              <w:t>根据《危险废物贮存处置管理规定》的相关规定，本次环评对本项目危险废物暂存另提出如下要求：</w:t>
            </w:r>
          </w:p>
          <w:p w14:paraId="4FE4C85C">
            <w:pPr>
              <w:ind w:firstLine="482"/>
              <w:rPr>
                <w:rFonts w:cs="Times New Roman"/>
                <w:b/>
                <w:bCs/>
              </w:rPr>
            </w:pPr>
            <w:r>
              <w:rPr>
                <w:rFonts w:cs="Times New Roman"/>
                <w:b/>
                <w:bCs/>
              </w:rPr>
              <w:t>危险废物收集和暂存：</w:t>
            </w:r>
          </w:p>
          <w:p w14:paraId="16E7602B">
            <w:pPr>
              <w:ind w:firstLine="480"/>
              <w:rPr>
                <w:rFonts w:cs="Times New Roman"/>
              </w:rPr>
            </w:pPr>
            <w:r>
              <w:rPr>
                <w:rFonts w:hint="eastAsia" w:ascii="宋体" w:hAnsi="宋体" w:cs="宋体"/>
              </w:rPr>
              <w:t>①</w:t>
            </w:r>
            <w:r>
              <w:rPr>
                <w:rFonts w:cs="Times New Roman"/>
              </w:rPr>
              <w:t>按废弃物类别配备相应的收集容器，容器不能有破损、盖子损坏或其他可能导致废弃物泄漏的隐患。废弃物收集容器应粘贴危险废弃物标签，明显标示其中的废弃物名称、主要成分与性质，并保持清晰可见。</w:t>
            </w:r>
          </w:p>
          <w:p w14:paraId="456116EE">
            <w:pPr>
              <w:ind w:firstLine="480"/>
              <w:rPr>
                <w:rFonts w:cs="Times New Roman"/>
              </w:rPr>
            </w:pPr>
            <w:r>
              <w:rPr>
                <w:rFonts w:hint="eastAsia" w:ascii="宋体" w:hAnsi="宋体" w:cs="宋体"/>
              </w:rPr>
              <w:t>②</w:t>
            </w:r>
            <w:r>
              <w:rPr>
                <w:rFonts w:cs="Times New Roman"/>
              </w:rPr>
              <w:t>危险废弃物严格投放在相应的收集容器中，严禁将危险废弃物与生活垃圾混装。</w:t>
            </w:r>
          </w:p>
          <w:p w14:paraId="38B982FA">
            <w:pPr>
              <w:ind w:firstLine="480"/>
              <w:rPr>
                <w:rFonts w:cs="Times New Roman"/>
              </w:rPr>
            </w:pPr>
            <w:r>
              <w:rPr>
                <w:rFonts w:hint="eastAsia" w:ascii="宋体" w:hAnsi="宋体" w:cs="宋体"/>
              </w:rPr>
              <w:t>③</w:t>
            </w:r>
            <w:r>
              <w:rPr>
                <w:rFonts w:cs="Times New Roman"/>
              </w:rPr>
              <w:t>危险废弃物收集容器应存放在符合安全与环保要求的专门场所及室内特定区域，要避免高温、日晒、雨淋，远离火源。存放危险废弃物的场所应张贴危险废弃物标志、危险废物管理制度、危险化学品及危险废物意外事故防范措施和应急预案、危险废物储存库房管理规定等。</w:t>
            </w:r>
          </w:p>
          <w:p w14:paraId="3FE2747B">
            <w:pPr>
              <w:ind w:firstLine="482"/>
              <w:rPr>
                <w:rFonts w:cs="Times New Roman"/>
                <w:b/>
                <w:bCs/>
              </w:rPr>
            </w:pPr>
            <w:r>
              <w:rPr>
                <w:rFonts w:cs="Times New Roman"/>
                <w:b/>
                <w:bCs/>
              </w:rPr>
              <w:t>危险废物转运和处理：</w:t>
            </w:r>
          </w:p>
          <w:p w14:paraId="6D9B6D58">
            <w:pPr>
              <w:ind w:firstLine="559" w:firstLineChars="233"/>
              <w:rPr>
                <w:rFonts w:cs="Times New Roman"/>
              </w:rPr>
            </w:pPr>
            <w:r>
              <w:rPr>
                <w:rFonts w:cs="Times New Roman"/>
              </w:rPr>
              <w:t>根据中华人民共和国国务院令第344号《危险化学品安全管理条例》的有关规定，在危险废弃物外运至处置单位时必须严格遵守以下要求：</w:t>
            </w:r>
          </w:p>
          <w:p w14:paraId="7EBEC0ED">
            <w:pPr>
              <w:ind w:firstLine="559" w:firstLineChars="233"/>
              <w:rPr>
                <w:rFonts w:cs="Times New Roman"/>
              </w:rPr>
            </w:pPr>
            <w:r>
              <w:rPr>
                <w:rFonts w:hint="eastAsia" w:ascii="宋体" w:hAnsi="宋体" w:cs="宋体"/>
              </w:rPr>
              <w:t>①</w:t>
            </w:r>
            <w:r>
              <w:rPr>
                <w:rFonts w:cs="Times New Roman"/>
              </w:rPr>
              <w:t>做好每次外运处置废弃物的运输登记，认真填写危险废物转移联单（每种废物填写一份联单），并加盖公司公章，经运输单位核实验收签字后，联及其余各联交付运输单位，随危险废物转移运行。第四联交接受单位，第五联交接受地环保局。将联单第一联副联自留存档，将联单第二联交移出地环境保护行政主管部门。</w:t>
            </w:r>
          </w:p>
          <w:p w14:paraId="76FC3CF4">
            <w:pPr>
              <w:ind w:firstLine="559" w:firstLineChars="233"/>
              <w:rPr>
                <w:rFonts w:cs="Times New Roman"/>
              </w:rPr>
            </w:pPr>
            <w:r>
              <w:rPr>
                <w:rFonts w:hint="eastAsia" w:ascii="宋体" w:hAnsi="宋体" w:cs="宋体"/>
              </w:rPr>
              <w:t>②</w:t>
            </w:r>
            <w:r>
              <w:rPr>
                <w:rFonts w:cs="Times New Roman"/>
              </w:rPr>
              <w:t>废弃物处置单位的运输人员必须掌握危险化学品运输的安全知识，了解所运载的危险化学品的性质、危害特性、包装容器的使用特性和发生意外时的应急措施。运输车辆必须具有车辆危险货物运输许可证。驾驶人员必须由取得驾驶执照的熟练人员担任。</w:t>
            </w:r>
          </w:p>
          <w:p w14:paraId="45BB5C65">
            <w:pPr>
              <w:ind w:firstLine="559" w:firstLineChars="233"/>
              <w:rPr>
                <w:rFonts w:cs="Times New Roman"/>
              </w:rPr>
            </w:pPr>
            <w:r>
              <w:rPr>
                <w:rFonts w:hint="eastAsia" w:ascii="宋体" w:hAnsi="宋体" w:cs="宋体"/>
              </w:rPr>
              <w:t>③</w:t>
            </w:r>
            <w:r>
              <w:rPr>
                <w:rFonts w:cs="Times New Roman"/>
              </w:rPr>
              <w:t>处置单位在运输危险废弃物时必须配备押运人员，并随时处于押运人员的监管之下，不得超装、超载，严格按照所在城市规定的行车时间和行车路线行驶，不得进入危险化学品运输车辆禁止通行的区域。</w:t>
            </w:r>
          </w:p>
          <w:p w14:paraId="3FD45CFE">
            <w:pPr>
              <w:ind w:firstLine="559" w:firstLineChars="233"/>
              <w:rPr>
                <w:rFonts w:cs="Times New Roman"/>
              </w:rPr>
            </w:pPr>
            <w:r>
              <w:rPr>
                <w:rFonts w:hint="eastAsia" w:ascii="宋体" w:hAnsi="宋体" w:cs="宋体"/>
              </w:rPr>
              <w:t>④</w:t>
            </w:r>
            <w:r>
              <w:rPr>
                <w:rFonts w:cs="Times New Roman"/>
              </w:rPr>
              <w:t>危险废弃物在运输途中若发生被盗、丢失、流散、泄漏等情况时，公司及押运人员必须立即向当地公安部门报告，并采取一切可能的警示措施。</w:t>
            </w:r>
          </w:p>
          <w:p w14:paraId="51004EFE">
            <w:pPr>
              <w:ind w:firstLine="480"/>
              <w:rPr>
                <w:rFonts w:cs="Times New Roman"/>
              </w:rPr>
            </w:pPr>
            <w:r>
              <w:rPr>
                <w:rFonts w:hint="eastAsia" w:ascii="宋体" w:hAnsi="宋体" w:cs="宋体"/>
              </w:rPr>
              <w:t>⑤</w:t>
            </w:r>
            <w:r>
              <w:rPr>
                <w:rFonts w:cs="Times New Roman"/>
              </w:rPr>
              <w:t>一旦发生废弃物泄漏事故，公司和废弃物处置单位都应积极协助有关部门采取必要的安全措施，减少事故损失，防止事故蔓延、扩大；针对事故对人体、动植物、土壤、水源、空气造成的现实危害和可能产生的危害，应迅速采取封闭、隔离、洗消等措施，并对事故造成的危害进行监测、处置，直至符合国家环境保护标准。</w:t>
            </w:r>
          </w:p>
          <w:p w14:paraId="13E3547F">
            <w:pPr>
              <w:ind w:firstLine="482"/>
              <w:rPr>
                <w:rFonts w:cs="Times New Roman"/>
                <w:b/>
                <w:bCs/>
              </w:rPr>
            </w:pPr>
            <w:r>
              <w:rPr>
                <w:rFonts w:cs="Times New Roman"/>
                <w:b/>
                <w:bCs/>
              </w:rPr>
              <w:t>危险废物管理制度：</w:t>
            </w:r>
          </w:p>
          <w:p w14:paraId="132D4709">
            <w:pPr>
              <w:ind w:firstLine="480"/>
              <w:rPr>
                <w:rFonts w:cs="Times New Roman"/>
              </w:rPr>
            </w:pPr>
            <w:r>
              <w:rPr>
                <w:rFonts w:hint="eastAsia" w:ascii="宋体" w:hAnsi="宋体" w:cs="宋体"/>
              </w:rPr>
              <w:t>①</w:t>
            </w:r>
            <w:r>
              <w:rPr>
                <w:rFonts w:cs="Times New Roman"/>
              </w:rPr>
              <w:t>危险废物的收集、暂存、转移、综合利用活动必须遵守国家和地方有关规定。</w:t>
            </w:r>
          </w:p>
          <w:p w14:paraId="4B0ACEE7">
            <w:pPr>
              <w:ind w:firstLine="480"/>
              <w:rPr>
                <w:rFonts w:cs="Times New Roman"/>
              </w:rPr>
            </w:pPr>
            <w:r>
              <w:rPr>
                <w:rFonts w:hint="eastAsia" w:ascii="宋体" w:hAnsi="宋体" w:cs="宋体"/>
              </w:rPr>
              <w:t>②</w:t>
            </w:r>
            <w:r>
              <w:rPr>
                <w:rFonts w:cs="Times New Roman"/>
              </w:rPr>
              <w:t>危险废物的容器和包装物以及收集、暂存、转移、处置危险废物的设施、场所，必须设置危险废物识别标志。</w:t>
            </w:r>
          </w:p>
          <w:p w14:paraId="78B05B51">
            <w:pPr>
              <w:ind w:firstLine="480"/>
              <w:rPr>
                <w:rFonts w:cs="Times New Roman"/>
              </w:rPr>
            </w:pPr>
            <w:r>
              <w:rPr>
                <w:rFonts w:hint="eastAsia" w:ascii="宋体" w:hAnsi="宋体" w:cs="宋体"/>
              </w:rPr>
              <w:t>③</w:t>
            </w:r>
            <w:r>
              <w:rPr>
                <w:rFonts w:cs="Times New Roman"/>
              </w:rPr>
              <w:t>对危险废物暂时贮存场所要加强管理，定期巡检，确保危险废物不扩散、不渗漏、不丢失等。</w:t>
            </w:r>
          </w:p>
          <w:p w14:paraId="20AC25BE">
            <w:pPr>
              <w:ind w:firstLine="480"/>
              <w:rPr>
                <w:rFonts w:cs="Times New Roman"/>
              </w:rPr>
            </w:pPr>
            <w:r>
              <w:rPr>
                <w:rFonts w:hint="eastAsia" w:ascii="宋体" w:hAnsi="宋体" w:cs="宋体"/>
              </w:rPr>
              <w:t>④</w:t>
            </w:r>
            <w:r>
              <w:rPr>
                <w:rFonts w:cs="Times New Roman"/>
              </w:rPr>
              <w:t>制定危险废物管理计划，并向县生态环境部门申报危险废物的种类、产生量、流向、贮存、处置等有关资料。</w:t>
            </w:r>
          </w:p>
          <w:p w14:paraId="0730B27C">
            <w:pPr>
              <w:ind w:firstLine="480"/>
              <w:jc w:val="left"/>
              <w:rPr>
                <w:rFonts w:cs="Times New Roman"/>
              </w:rPr>
            </w:pPr>
            <w:r>
              <w:rPr>
                <w:rFonts w:hint="eastAsia" w:ascii="宋体" w:hAnsi="宋体" w:cs="宋体"/>
              </w:rPr>
              <w:t>⑤</w:t>
            </w:r>
            <w:r>
              <w:rPr>
                <w:rFonts w:cs="Times New Roman"/>
              </w:rPr>
              <w:t>禁止向环境倾倒、堆置危险废物。</w:t>
            </w:r>
          </w:p>
          <w:p w14:paraId="723BE4F5">
            <w:pPr>
              <w:ind w:firstLine="480"/>
              <w:jc w:val="left"/>
              <w:rPr>
                <w:rFonts w:cs="Times New Roman"/>
              </w:rPr>
            </w:pPr>
            <w:r>
              <w:rPr>
                <w:rFonts w:hint="eastAsia" w:ascii="宋体" w:hAnsi="宋体" w:cs="宋体"/>
              </w:rPr>
              <w:t>⑥</w:t>
            </w:r>
            <w:r>
              <w:rPr>
                <w:rFonts w:cs="Times New Roman"/>
              </w:rPr>
              <w:t>禁止将危险废物混入非危险废物中收集、暂存、转移、处置。</w:t>
            </w:r>
          </w:p>
          <w:p w14:paraId="7ECB87C2">
            <w:pPr>
              <w:ind w:firstLine="480"/>
              <w:jc w:val="left"/>
              <w:rPr>
                <w:rFonts w:cs="Times New Roman"/>
              </w:rPr>
            </w:pPr>
            <w:r>
              <w:rPr>
                <w:rFonts w:hint="eastAsia" w:ascii="宋体" w:hAnsi="宋体" w:cs="宋体"/>
              </w:rPr>
              <w:t>⑦</w:t>
            </w:r>
            <w:r>
              <w:rPr>
                <w:rFonts w:cs="Times New Roman"/>
              </w:rPr>
              <w:t>需要转移危险废物时，严格按照《危险废物转移联单管理办法》对危险废物进行转移处置，必须按照相关规定办理危险废物转移联单，未经批准，不得进行转移。</w:t>
            </w:r>
          </w:p>
          <w:p w14:paraId="612407F3">
            <w:pPr>
              <w:ind w:firstLine="480"/>
              <w:jc w:val="left"/>
              <w:rPr>
                <w:rFonts w:cs="Times New Roman"/>
              </w:rPr>
            </w:pPr>
            <w:r>
              <w:rPr>
                <w:rFonts w:hint="eastAsia" w:ascii="宋体" w:hAnsi="宋体" w:cs="宋体"/>
              </w:rPr>
              <w:t>⑧</w:t>
            </w:r>
            <w:r>
              <w:rPr>
                <w:rFonts w:cs="Times New Roman"/>
              </w:rPr>
              <w:t>禁止将危险废物转移至无危险废物经营资质的单位。</w:t>
            </w:r>
          </w:p>
          <w:p w14:paraId="3E51D376">
            <w:pPr>
              <w:ind w:firstLine="480"/>
              <w:jc w:val="left"/>
              <w:rPr>
                <w:rFonts w:cs="Times New Roman"/>
              </w:rPr>
            </w:pPr>
            <w:r>
              <w:rPr>
                <w:rFonts w:hint="eastAsia" w:ascii="宋体" w:hAnsi="宋体" w:cs="宋体"/>
              </w:rPr>
              <w:t>⑨</w:t>
            </w:r>
            <w:r>
              <w:rPr>
                <w:rFonts w:cs="Times New Roman"/>
              </w:rPr>
              <w:t>运输危险废物，必须采取防止污染环境的措施，并遵守国家有关危险货物运输管理的规定。禁止将危险废物与旅客在同一运输工具上载运。</w:t>
            </w:r>
          </w:p>
          <w:p w14:paraId="642A3C11">
            <w:pPr>
              <w:ind w:firstLine="480"/>
              <w:jc w:val="left"/>
              <w:rPr>
                <w:rFonts w:cs="Times New Roman"/>
              </w:rPr>
            </w:pPr>
            <w:r>
              <w:rPr>
                <w:rFonts w:hint="eastAsia" w:ascii="宋体" w:hAnsi="宋体" w:cs="宋体"/>
              </w:rPr>
              <w:t>⑩</w:t>
            </w:r>
            <w:r>
              <w:rPr>
                <w:rFonts w:cs="Times New Roman"/>
              </w:rPr>
              <w:t>制定危险废物污染事故防范措施和应急预案，并报县生态环境部门进行备案，建立健全危险废物管理台账。</w:t>
            </w:r>
          </w:p>
          <w:p w14:paraId="434F4F16">
            <w:pPr>
              <w:ind w:firstLine="480"/>
              <w:jc w:val="left"/>
              <w:rPr>
                <w:rFonts w:cs="Times New Roman"/>
              </w:rPr>
            </w:pPr>
            <w:r>
              <w:rPr>
                <w:rFonts w:ascii="Cambria Math" w:hAnsi="Cambria Math" w:cs="Cambria Math"/>
              </w:rPr>
              <w:t>⑪</w:t>
            </w:r>
            <w:r>
              <w:rPr>
                <w:rFonts w:cs="Times New Roman"/>
              </w:rPr>
              <w:t>因发生事故或者其他突发性事件，造成危险废物严重污染环境时，必须立即采取措施消除或者减轻对环境的污染危害，及时通报可能受到污染危害的单位和居民，并向市生态环境部门和有关部门报告，接受调查处理。</w:t>
            </w:r>
          </w:p>
          <w:p w14:paraId="5499E2F2">
            <w:pPr>
              <w:adjustRightInd w:val="0"/>
              <w:snapToGrid w:val="0"/>
              <w:ind w:firstLine="480"/>
              <w:rPr>
                <w:rFonts w:cs="Times New Roman"/>
                <w:bCs/>
              </w:rPr>
            </w:pPr>
            <w:r>
              <w:rPr>
                <w:rFonts w:cs="Times New Roman"/>
                <w:bCs/>
              </w:rPr>
              <w:t>综上所述，在采取以上措施后，项目运营期产生的固体废弃物去向明确，处置合理，不会造成二次污染。</w:t>
            </w:r>
          </w:p>
          <w:p w14:paraId="2EA44398">
            <w:pPr>
              <w:pStyle w:val="3"/>
              <w:spacing w:before="0" w:beforeLines="0"/>
            </w:pPr>
            <w:r>
              <w:t>5、地下水、土壤环境影响分析</w:t>
            </w:r>
          </w:p>
          <w:p w14:paraId="6EC1E459">
            <w:pPr>
              <w:autoSpaceDE w:val="0"/>
              <w:autoSpaceDN w:val="0"/>
              <w:adjustRightInd w:val="0"/>
              <w:snapToGrid w:val="0"/>
              <w:ind w:firstLine="482"/>
              <w:rPr>
                <w:rFonts w:cs="Times New Roman"/>
                <w:b/>
              </w:rPr>
            </w:pPr>
            <w:r>
              <w:rPr>
                <w:rFonts w:cs="Times New Roman"/>
                <w:b/>
              </w:rPr>
              <w:t>（1）防治地下水污染控制措施的原则</w:t>
            </w:r>
          </w:p>
          <w:p w14:paraId="1F622B23">
            <w:pPr>
              <w:autoSpaceDE w:val="0"/>
              <w:autoSpaceDN w:val="0"/>
              <w:adjustRightInd w:val="0"/>
              <w:snapToGrid w:val="0"/>
              <w:ind w:firstLine="480"/>
              <w:rPr>
                <w:rFonts w:cs="Times New Roman"/>
                <w:kern w:val="0"/>
                <w:szCs w:val="21"/>
              </w:rPr>
            </w:pPr>
            <w:r>
              <w:rPr>
                <w:rFonts w:cs="Times New Roman"/>
                <w:kern w:val="0"/>
                <w:szCs w:val="21"/>
              </w:rPr>
              <w:t>为防止项目建设对地下水环境造成污染，建设单位应坚持“源头控制、监管、应急响应”的原则，即采取主动控制和被动控制相结合的措施。</w:t>
            </w:r>
          </w:p>
          <w:p w14:paraId="141D9A7C">
            <w:pPr>
              <w:autoSpaceDE w:val="0"/>
              <w:autoSpaceDN w:val="0"/>
              <w:adjustRightInd w:val="0"/>
              <w:snapToGrid w:val="0"/>
              <w:ind w:firstLine="480"/>
              <w:rPr>
                <w:rFonts w:cs="Times New Roman"/>
                <w:kern w:val="0"/>
                <w:szCs w:val="21"/>
              </w:rPr>
            </w:pPr>
            <w:r>
              <w:rPr>
                <w:rFonts w:hint="eastAsia" w:ascii="宋体" w:hAnsi="宋体" w:cs="宋体"/>
                <w:kern w:val="0"/>
                <w:szCs w:val="21"/>
              </w:rPr>
              <w:t>①</w:t>
            </w:r>
            <w:r>
              <w:rPr>
                <w:rFonts w:cs="Times New Roman"/>
                <w:kern w:val="0"/>
                <w:szCs w:val="21"/>
              </w:rPr>
              <w:t>主动控制即从源头控制措施，将污染物泄漏的环境风险事故降到最低程度。</w:t>
            </w:r>
            <w:r>
              <w:rPr>
                <w:rFonts w:hint="eastAsia" w:ascii="宋体" w:hAnsi="宋体" w:cs="宋体"/>
                <w:kern w:val="0"/>
                <w:szCs w:val="21"/>
              </w:rPr>
              <w:t>②</w:t>
            </w:r>
            <w:r>
              <w:rPr>
                <w:rFonts w:cs="Times New Roman"/>
                <w:kern w:val="0"/>
                <w:szCs w:val="21"/>
              </w:rPr>
              <w:t>被动控制即末端控制措施，主要包括厂区污染区地面的防渗措施和泄漏、渗漏污染物收集措施，即在污染区地面进行防渗处理，防止洒落地面的污染物渗入地下。</w:t>
            </w:r>
          </w:p>
          <w:p w14:paraId="4EBC4670">
            <w:pPr>
              <w:autoSpaceDE w:val="0"/>
              <w:autoSpaceDN w:val="0"/>
              <w:adjustRightInd w:val="0"/>
              <w:snapToGrid w:val="0"/>
              <w:ind w:firstLine="480"/>
              <w:rPr>
                <w:rFonts w:cs="Times New Roman"/>
                <w:kern w:val="0"/>
                <w:szCs w:val="21"/>
              </w:rPr>
            </w:pPr>
            <w:r>
              <w:rPr>
                <w:rFonts w:hint="eastAsia" w:ascii="宋体" w:hAnsi="宋体" w:cs="宋体"/>
                <w:kern w:val="0"/>
                <w:szCs w:val="21"/>
              </w:rPr>
              <w:t>②</w:t>
            </w:r>
            <w:r>
              <w:rPr>
                <w:rFonts w:cs="Times New Roman"/>
                <w:kern w:val="0"/>
                <w:szCs w:val="21"/>
              </w:rPr>
              <w:t>被动控制即末端控制措施，主要包括厂区污染区地面的防渗措施和泄漏、渗漏污染物收集措施，即在污染区地面进行防渗处理，防止洒落地面的污染物渗入地下。</w:t>
            </w:r>
          </w:p>
          <w:p w14:paraId="27E703CA">
            <w:pPr>
              <w:autoSpaceDE w:val="0"/>
              <w:autoSpaceDN w:val="0"/>
              <w:adjustRightInd w:val="0"/>
              <w:snapToGrid w:val="0"/>
              <w:ind w:firstLine="480"/>
              <w:rPr>
                <w:rFonts w:cs="Times New Roman"/>
                <w:kern w:val="0"/>
                <w:szCs w:val="21"/>
              </w:rPr>
            </w:pPr>
            <w:r>
              <w:rPr>
                <w:rFonts w:hint="eastAsia" w:ascii="宋体" w:hAnsi="宋体" w:cs="宋体"/>
                <w:kern w:val="0"/>
                <w:szCs w:val="21"/>
              </w:rPr>
              <w:t>③</w:t>
            </w:r>
            <w:r>
              <w:rPr>
                <w:rFonts w:cs="Times New Roman"/>
                <w:kern w:val="0"/>
                <w:szCs w:val="21"/>
              </w:rPr>
              <w:t>以重点装置区为主，一般生产区为辅；事故易发区为主，一般区为辅。</w:t>
            </w:r>
          </w:p>
          <w:p w14:paraId="648932B3">
            <w:pPr>
              <w:autoSpaceDE w:val="0"/>
              <w:autoSpaceDN w:val="0"/>
              <w:adjustRightInd w:val="0"/>
              <w:snapToGrid w:val="0"/>
              <w:ind w:firstLine="480"/>
              <w:rPr>
                <w:rFonts w:cs="Times New Roman"/>
                <w:kern w:val="0"/>
                <w:szCs w:val="21"/>
              </w:rPr>
            </w:pPr>
            <w:r>
              <w:rPr>
                <w:rFonts w:hint="eastAsia" w:ascii="宋体" w:hAnsi="宋体" w:cs="宋体"/>
                <w:kern w:val="0"/>
                <w:szCs w:val="21"/>
              </w:rPr>
              <w:t>④</w:t>
            </w:r>
            <w:r>
              <w:rPr>
                <w:rFonts w:cs="Times New Roman"/>
                <w:kern w:val="0"/>
                <w:szCs w:val="21"/>
              </w:rPr>
              <w:t>应急响应措施，包括一旦发现地下水污染事故，立即启动应急预案、采取应急措施控制地下水污染，并使污染得到治理。</w:t>
            </w:r>
          </w:p>
          <w:p w14:paraId="7E6AE074">
            <w:pPr>
              <w:wordWrap w:val="0"/>
              <w:ind w:firstLine="482"/>
              <w:jc w:val="left"/>
              <w:rPr>
                <w:rFonts w:cs="Times New Roman"/>
                <w:b/>
                <w:bCs/>
                <w:kern w:val="0"/>
                <w:lang w:bidi="ar"/>
              </w:rPr>
            </w:pPr>
            <w:r>
              <w:rPr>
                <w:rFonts w:cs="Times New Roman"/>
                <w:b/>
                <w:bCs/>
                <w:kern w:val="0"/>
                <w:lang w:bidi="ar"/>
              </w:rPr>
              <w:t>（2）源头控制措施</w:t>
            </w:r>
          </w:p>
          <w:p w14:paraId="6531C3C4">
            <w:pPr>
              <w:wordWrap w:val="0"/>
              <w:ind w:firstLine="480"/>
              <w:jc w:val="left"/>
              <w:rPr>
                <w:rFonts w:cs="Times New Roman"/>
                <w:kern w:val="0"/>
                <w:lang w:bidi="ar"/>
              </w:rPr>
            </w:pPr>
            <w:r>
              <w:rPr>
                <w:rFonts w:hint="eastAsia" w:ascii="宋体" w:hAnsi="宋体" w:cs="宋体"/>
                <w:kern w:val="0"/>
                <w:lang w:bidi="ar"/>
              </w:rPr>
              <w:t>①</w:t>
            </w:r>
            <w:r>
              <w:rPr>
                <w:rFonts w:cs="Times New Roman"/>
                <w:kern w:val="0"/>
                <w:lang w:bidi="ar"/>
              </w:rPr>
              <w:t>积极推行实施清洁生产，实现废水的循环利用，减少污染物的排放量;</w:t>
            </w:r>
          </w:p>
          <w:p w14:paraId="41301955">
            <w:pPr>
              <w:wordWrap w:val="0"/>
              <w:ind w:firstLine="480"/>
              <w:jc w:val="left"/>
              <w:rPr>
                <w:rFonts w:cs="Times New Roman"/>
                <w:kern w:val="0"/>
                <w:lang w:bidi="ar"/>
              </w:rPr>
            </w:pPr>
            <w:r>
              <w:rPr>
                <w:rFonts w:hint="eastAsia" w:ascii="宋体" w:hAnsi="宋体" w:cs="宋体"/>
                <w:kern w:val="0"/>
                <w:lang w:bidi="ar"/>
              </w:rPr>
              <w:t>②</w:t>
            </w:r>
            <w:r>
              <w:rPr>
                <w:rFonts w:cs="Times New Roman"/>
                <w:kern w:val="0"/>
                <w:lang w:bidi="ar"/>
              </w:rPr>
              <w:t>根据国家现行相关规范加强环境管理，采取防止和降低污染物跑、冒、滴、漏的措施。正常生产过程中应加强巡检及时处理污染物跑、冒、滴、漏，同时应加强对防渗工程的检查，若发现防渗密封材料老化或损坏，应及时维修更换;</w:t>
            </w:r>
          </w:p>
          <w:p w14:paraId="6D48B7A1">
            <w:pPr>
              <w:wordWrap w:val="0"/>
              <w:ind w:firstLine="480"/>
              <w:jc w:val="left"/>
              <w:rPr>
                <w:rFonts w:cs="Times New Roman"/>
                <w:kern w:val="0"/>
                <w:lang w:bidi="ar"/>
              </w:rPr>
            </w:pPr>
            <w:r>
              <w:rPr>
                <w:rFonts w:hint="eastAsia" w:ascii="宋体" w:hAnsi="宋体" w:cs="宋体"/>
                <w:kern w:val="0"/>
                <w:lang w:bidi="ar"/>
              </w:rPr>
              <w:t>③</w:t>
            </w:r>
            <w:r>
              <w:rPr>
                <w:rFonts w:cs="Times New Roman"/>
                <w:kern w:val="0"/>
                <w:lang w:bidi="ar"/>
              </w:rPr>
              <w:t>对工艺、管道、设备采取控制措施，防止污染物的跑、冒滴、漏，将污染物泄漏的环境风险事故降到最低限度。</w:t>
            </w:r>
          </w:p>
          <w:p w14:paraId="19B98EF5">
            <w:pPr>
              <w:widowControl/>
              <w:ind w:firstLine="482"/>
              <w:jc w:val="left"/>
              <w:rPr>
                <w:rFonts w:cs="Times New Roman"/>
                <w:b/>
                <w:bCs/>
              </w:rPr>
            </w:pPr>
            <w:r>
              <w:rPr>
                <w:rFonts w:cs="Times New Roman"/>
                <w:b/>
                <w:bCs/>
              </w:rPr>
              <w:t>（3）防渗措施</w:t>
            </w:r>
          </w:p>
          <w:p w14:paraId="7EADFD08">
            <w:pPr>
              <w:wordWrap w:val="0"/>
              <w:ind w:firstLine="480"/>
              <w:jc w:val="left"/>
              <w:rPr>
                <w:rFonts w:cs="Times New Roman"/>
              </w:rPr>
            </w:pPr>
            <w:r>
              <w:rPr>
                <w:rFonts w:cs="Times New Roman"/>
              </w:rPr>
              <w:t>为了降低本项目对地下水环境造成的影响，项目应严格按照《环境影响评价技术导则-地下水环境》（HJ610-2016）及《国务院关于印发土壤污染防治行动计划的通知》（国发〔2016〕31号）、《环境影响评价技术导则土壤环境（试行）》（HJ964-2018）的相关规定，按照“源头控制、分区防治、污染监控、应急响应”的原则进行地下水、土壤污染防治控制，本项目运营期产生</w:t>
            </w:r>
            <w:r>
              <w:rPr>
                <w:rFonts w:hint="eastAsia" w:cs="Times New Roman"/>
              </w:rPr>
              <w:t>废活性炭</w:t>
            </w:r>
            <w:r>
              <w:rPr>
                <w:rFonts w:cs="Times New Roman"/>
              </w:rPr>
              <w:t>危废和</w:t>
            </w:r>
            <w:r>
              <w:rPr>
                <w:rFonts w:hint="eastAsia" w:cs="Times New Roman"/>
              </w:rPr>
              <w:t>生活污水</w:t>
            </w:r>
            <w:r>
              <w:rPr>
                <w:rFonts w:cs="Times New Roman"/>
              </w:rPr>
              <w:t>，如果管理不善，会因入渗而污染地下水。本项目产生的</w:t>
            </w:r>
            <w:r>
              <w:rPr>
                <w:rFonts w:hint="eastAsia" w:cs="Times New Roman"/>
              </w:rPr>
              <w:t>生活</w:t>
            </w:r>
            <w:r>
              <w:rPr>
                <w:rFonts w:cs="Times New Roman"/>
              </w:rPr>
              <w:t>污水如果渗排、漏排，固体废物乱堆乱放，污染物经过土壤过滤、吸附、离子交换、沉淀、水解及生物积累等过程使部分污染物渗入地下，将对地下水造成严重污染。为保护该地下水，项目内防渗分区分为重点防渗区、一般防渗分区。具体措施如下：</w:t>
            </w:r>
          </w:p>
          <w:p w14:paraId="73D1064D">
            <w:pPr>
              <w:wordWrap w:val="0"/>
              <w:ind w:firstLine="480"/>
              <w:jc w:val="left"/>
              <w:rPr>
                <w:rFonts w:cs="Times New Roman"/>
              </w:rPr>
            </w:pPr>
            <w:r>
              <w:rPr>
                <w:rFonts w:hint="eastAsia" w:ascii="宋体" w:hAnsi="宋体" w:cs="宋体"/>
              </w:rPr>
              <w:t>①</w:t>
            </w:r>
            <w:r>
              <w:rPr>
                <w:rFonts w:cs="Times New Roman"/>
              </w:rPr>
              <w:t>实施生产固体废物循环利用，减少污染物的排放量；防止污染物的跑冒漏滴，将污染物的泄漏环境风险事故降到最低限度；</w:t>
            </w:r>
          </w:p>
          <w:p w14:paraId="34EBB57B">
            <w:pPr>
              <w:wordWrap w:val="0"/>
              <w:ind w:firstLine="480"/>
              <w:jc w:val="left"/>
              <w:rPr>
                <w:rFonts w:cs="Times New Roman"/>
              </w:rPr>
            </w:pPr>
            <w:r>
              <w:rPr>
                <w:rFonts w:hint="eastAsia" w:ascii="宋体" w:hAnsi="宋体" w:cs="宋体"/>
              </w:rPr>
              <w:t>②</w:t>
            </w:r>
            <w:r>
              <w:rPr>
                <w:rFonts w:cs="Times New Roman"/>
              </w:rPr>
              <w:t>生产区地面已采用防渗混凝土进行一般防渗；</w:t>
            </w:r>
          </w:p>
          <w:p w14:paraId="519DECC0">
            <w:pPr>
              <w:wordWrap w:val="0"/>
              <w:ind w:firstLine="480"/>
              <w:jc w:val="left"/>
              <w:rPr>
                <w:rFonts w:cs="Times New Roman"/>
              </w:rPr>
            </w:pPr>
            <w:r>
              <w:rPr>
                <w:rFonts w:hint="eastAsia" w:ascii="宋体" w:hAnsi="宋体" w:cs="宋体"/>
              </w:rPr>
              <w:t>③</w:t>
            </w:r>
            <w:r>
              <w:rPr>
                <w:rFonts w:cs="Times New Roman"/>
              </w:rPr>
              <w:t>对不同的区域进行分区防渗。防止洒落地面的污染物渗入地下，并把滞留在地面的污染物收集起来，集中处置，从而避免对地下水及土壤的污染。污染防渗分区如下表：</w:t>
            </w:r>
          </w:p>
          <w:p w14:paraId="32905D04">
            <w:pPr>
              <w:pStyle w:val="13"/>
              <w:rPr>
                <w:rFonts w:cs="Times New Roman"/>
                <w:sz w:val="24"/>
              </w:rPr>
            </w:pPr>
            <w:r>
              <w:rPr>
                <w:rFonts w:cs="Times New Roman"/>
              </w:rPr>
              <w:t>表</w:t>
            </w:r>
            <w:r>
              <w:rPr>
                <w:rFonts w:cs="Times New Roman"/>
              </w:rPr>
              <w:fldChar w:fldCharType="begin"/>
            </w:r>
            <w:r>
              <w:rPr>
                <w:rFonts w:cs="Times New Roman"/>
              </w:rPr>
              <w:instrText xml:space="preserve"> SEQ seq \c </w:instrText>
            </w:r>
            <w:r>
              <w:rPr>
                <w:rFonts w:cs="Times New Roman"/>
              </w:rPr>
              <w:fldChar w:fldCharType="separate"/>
            </w:r>
            <w:r>
              <w:rPr>
                <w:rFonts w:cs="Times New Roman"/>
              </w:rPr>
              <w:t>4</w:t>
            </w:r>
            <w:r>
              <w:rPr>
                <w:rFonts w:cs="Times New Roman"/>
              </w:rPr>
              <w:fldChar w:fldCharType="end"/>
            </w:r>
            <w:r>
              <w:rPr>
                <w:rFonts w:cs="Times New Roman"/>
              </w:rPr>
              <w:noBreakHyphen/>
            </w:r>
            <w:r>
              <w:rPr>
                <w:rFonts w:cs="Times New Roman"/>
              </w:rPr>
              <w:fldChar w:fldCharType="begin"/>
            </w:r>
            <w:r>
              <w:rPr>
                <w:rFonts w:cs="Times New Roman"/>
              </w:rPr>
              <w:instrText xml:space="preserve"> SEQ 表 \* ARABIC \s 1 </w:instrText>
            </w:r>
            <w:r>
              <w:rPr>
                <w:rFonts w:cs="Times New Roman"/>
              </w:rPr>
              <w:fldChar w:fldCharType="separate"/>
            </w:r>
            <w:r>
              <w:rPr>
                <w:rFonts w:cs="Times New Roman"/>
              </w:rPr>
              <w:t>1</w:t>
            </w:r>
            <w:r>
              <w:rPr>
                <w:rFonts w:hint="eastAsia" w:cs="Times New Roman"/>
              </w:rPr>
              <w:t>1</w:t>
            </w:r>
            <w:r>
              <w:rPr>
                <w:rFonts w:cs="Times New Roman"/>
              </w:rPr>
              <w:fldChar w:fldCharType="end"/>
            </w:r>
            <w:r>
              <w:rPr>
                <w:rFonts w:cs="Times New Roman"/>
              </w:rPr>
              <w:t xml:space="preserve"> 项目分区防渗一览表</w:t>
            </w:r>
          </w:p>
          <w:tbl>
            <w:tblPr>
              <w:tblStyle w:val="33"/>
              <w:tblW w:w="5000" w:type="pct"/>
              <w:jc w:val="center"/>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Layout w:type="autofit"/>
              <w:tblCellMar>
                <w:top w:w="0" w:type="dxa"/>
                <w:left w:w="108" w:type="dxa"/>
                <w:bottom w:w="0" w:type="dxa"/>
                <w:right w:w="108" w:type="dxa"/>
              </w:tblCellMar>
            </w:tblPr>
            <w:tblGrid>
              <w:gridCol w:w="1371"/>
              <w:gridCol w:w="1728"/>
              <w:gridCol w:w="4403"/>
              <w:gridCol w:w="1425"/>
            </w:tblGrid>
            <w:tr w14:paraId="277C9B06">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768" w:type="pct"/>
                  <w:tcBorders>
                    <w:tl2br w:val="nil"/>
                    <w:tr2bl w:val="nil"/>
                  </w:tcBorders>
                  <w:vAlign w:val="center"/>
                </w:tcPr>
                <w:p w14:paraId="674D1F11">
                  <w:pPr>
                    <w:pStyle w:val="53"/>
                    <w:rPr>
                      <w:rFonts w:cs="Times New Roman"/>
                    </w:rPr>
                  </w:pPr>
                  <w:r>
                    <w:rPr>
                      <w:rFonts w:cs="Times New Roman"/>
                    </w:rPr>
                    <w:t>防渗分区</w:t>
                  </w:r>
                </w:p>
              </w:tc>
              <w:tc>
                <w:tcPr>
                  <w:tcW w:w="968" w:type="pct"/>
                  <w:tcBorders>
                    <w:tl2br w:val="nil"/>
                    <w:tr2bl w:val="nil"/>
                  </w:tcBorders>
                  <w:vAlign w:val="center"/>
                </w:tcPr>
                <w:p w14:paraId="14ADCD5C">
                  <w:pPr>
                    <w:pStyle w:val="53"/>
                    <w:rPr>
                      <w:rFonts w:cs="Times New Roman"/>
                    </w:rPr>
                  </w:pPr>
                  <w:r>
                    <w:rPr>
                      <w:rFonts w:cs="Times New Roman"/>
                    </w:rPr>
                    <w:t>防渗区域</w:t>
                  </w:r>
                </w:p>
              </w:tc>
              <w:tc>
                <w:tcPr>
                  <w:tcW w:w="2466" w:type="pct"/>
                  <w:tcBorders>
                    <w:tl2br w:val="nil"/>
                    <w:tr2bl w:val="nil"/>
                  </w:tcBorders>
                  <w:vAlign w:val="center"/>
                </w:tcPr>
                <w:p w14:paraId="6AABF166">
                  <w:pPr>
                    <w:pStyle w:val="53"/>
                    <w:rPr>
                      <w:rFonts w:cs="Times New Roman"/>
                    </w:rPr>
                  </w:pPr>
                  <w:r>
                    <w:rPr>
                      <w:rFonts w:cs="Times New Roman"/>
                    </w:rPr>
                    <w:t>防渗技术要求</w:t>
                  </w:r>
                </w:p>
              </w:tc>
              <w:tc>
                <w:tcPr>
                  <w:tcW w:w="798" w:type="pct"/>
                  <w:tcBorders>
                    <w:tl2br w:val="nil"/>
                    <w:tr2bl w:val="nil"/>
                  </w:tcBorders>
                  <w:vAlign w:val="center"/>
                </w:tcPr>
                <w:p w14:paraId="6158D1FC">
                  <w:pPr>
                    <w:pStyle w:val="53"/>
                    <w:rPr>
                      <w:rFonts w:cs="Times New Roman"/>
                    </w:rPr>
                  </w:pPr>
                  <w:r>
                    <w:rPr>
                      <w:rFonts w:cs="Times New Roman"/>
                    </w:rPr>
                    <w:t>备注</w:t>
                  </w:r>
                </w:p>
              </w:tc>
            </w:tr>
            <w:tr w14:paraId="4A8735ED">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768" w:type="pct"/>
                  <w:tcBorders>
                    <w:tl2br w:val="nil"/>
                    <w:tr2bl w:val="nil"/>
                  </w:tcBorders>
                  <w:vAlign w:val="center"/>
                </w:tcPr>
                <w:p w14:paraId="7253ECEC">
                  <w:pPr>
                    <w:pStyle w:val="14"/>
                    <w:rPr>
                      <w:rFonts w:cs="Times New Roman"/>
                    </w:rPr>
                  </w:pPr>
                  <w:r>
                    <w:rPr>
                      <w:rFonts w:cs="Times New Roman"/>
                    </w:rPr>
                    <w:t>重点防渗</w:t>
                  </w:r>
                </w:p>
              </w:tc>
              <w:tc>
                <w:tcPr>
                  <w:tcW w:w="968" w:type="pct"/>
                  <w:tcBorders>
                    <w:tl2br w:val="nil"/>
                    <w:tr2bl w:val="nil"/>
                  </w:tcBorders>
                  <w:vAlign w:val="center"/>
                </w:tcPr>
                <w:p w14:paraId="18B51F56">
                  <w:pPr>
                    <w:pStyle w:val="14"/>
                    <w:rPr>
                      <w:rFonts w:cs="Times New Roman"/>
                    </w:rPr>
                  </w:pPr>
                  <w:r>
                    <w:rPr>
                      <w:rFonts w:cs="Times New Roman"/>
                      <w:lang w:bidi="ar"/>
                    </w:rPr>
                    <w:t>危废暂存间</w:t>
                  </w:r>
                </w:p>
              </w:tc>
              <w:tc>
                <w:tcPr>
                  <w:tcW w:w="2466" w:type="pct"/>
                  <w:tcBorders>
                    <w:tl2br w:val="nil"/>
                    <w:tr2bl w:val="nil"/>
                  </w:tcBorders>
                  <w:vAlign w:val="center"/>
                </w:tcPr>
                <w:p w14:paraId="777FD49F">
                  <w:pPr>
                    <w:pStyle w:val="14"/>
                    <w:rPr>
                      <w:rFonts w:cs="Times New Roman"/>
                    </w:rPr>
                  </w:pPr>
                  <w:r>
                    <w:rPr>
                      <w:rFonts w:cs="Times New Roman"/>
                      <w:lang w:bidi="ar"/>
                    </w:rPr>
                    <w:t>现有生产车间地面防渗</w:t>
                  </w:r>
                  <w:r>
                    <w:rPr>
                      <w:rFonts w:hint="eastAsia" w:cs="Times New Roman"/>
                      <w:lang w:bidi="ar"/>
                    </w:rPr>
                    <w:t>（防渗水泥硬化）</w:t>
                  </w:r>
                  <w:bookmarkStart w:id="88" w:name="OLE_LINK393"/>
                  <w:bookmarkStart w:id="89" w:name="OLE_LINK392"/>
                  <w:bookmarkStart w:id="90" w:name="OLE_LINK394"/>
                  <w:r>
                    <w:rPr>
                      <w:rFonts w:cs="Times New Roman"/>
                      <w:lang w:bidi="ar"/>
                    </w:rPr>
                    <w:t>+2mm厚HDPE人工防渗涂层，渗透系数K≤10</w:t>
                  </w:r>
                  <w:r>
                    <w:rPr>
                      <w:rFonts w:cs="Times New Roman"/>
                      <w:vertAlign w:val="superscript"/>
                      <w:lang w:bidi="ar"/>
                    </w:rPr>
                    <w:t>-10</w:t>
                  </w:r>
                  <w:r>
                    <w:rPr>
                      <w:rFonts w:cs="Times New Roman"/>
                      <w:lang w:bidi="ar"/>
                    </w:rPr>
                    <w:t>cm/s。</w:t>
                  </w:r>
                  <w:bookmarkEnd w:id="88"/>
                  <w:bookmarkEnd w:id="89"/>
                  <w:bookmarkEnd w:id="90"/>
                </w:p>
              </w:tc>
              <w:tc>
                <w:tcPr>
                  <w:tcW w:w="798" w:type="pct"/>
                  <w:tcBorders>
                    <w:tl2br w:val="nil"/>
                    <w:tr2bl w:val="nil"/>
                  </w:tcBorders>
                  <w:vAlign w:val="center"/>
                </w:tcPr>
                <w:p w14:paraId="7E0CC24E">
                  <w:pPr>
                    <w:pStyle w:val="14"/>
                    <w:rPr>
                      <w:rFonts w:cs="Times New Roman"/>
                      <w:lang w:bidi="ar"/>
                    </w:rPr>
                  </w:pPr>
                  <w:bookmarkStart w:id="91" w:name="OLE_LINK255"/>
                  <w:bookmarkStart w:id="92" w:name="OLE_LINK254"/>
                  <w:r>
                    <w:rPr>
                      <w:rFonts w:cs="Times New Roman"/>
                      <w:lang w:bidi="ar"/>
                    </w:rPr>
                    <w:t>新建</w:t>
                  </w:r>
                  <w:bookmarkEnd w:id="91"/>
                  <w:bookmarkEnd w:id="92"/>
                </w:p>
              </w:tc>
            </w:tr>
            <w:tr w14:paraId="16E03FEA">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1030" w:hRule="atLeast"/>
                <w:jc w:val="center"/>
              </w:trPr>
              <w:tc>
                <w:tcPr>
                  <w:tcW w:w="768" w:type="pct"/>
                  <w:tcBorders>
                    <w:tl2br w:val="nil"/>
                    <w:tr2bl w:val="nil"/>
                  </w:tcBorders>
                  <w:vAlign w:val="center"/>
                </w:tcPr>
                <w:p w14:paraId="402CAE39">
                  <w:pPr>
                    <w:pStyle w:val="14"/>
                    <w:rPr>
                      <w:rFonts w:cs="Times New Roman"/>
                    </w:rPr>
                  </w:pPr>
                  <w:r>
                    <w:rPr>
                      <w:rFonts w:cs="Times New Roman"/>
                    </w:rPr>
                    <w:t>一般防渗</w:t>
                  </w:r>
                </w:p>
              </w:tc>
              <w:tc>
                <w:tcPr>
                  <w:tcW w:w="968" w:type="pct"/>
                  <w:tcBorders>
                    <w:tl2br w:val="nil"/>
                    <w:tr2bl w:val="nil"/>
                  </w:tcBorders>
                  <w:vAlign w:val="center"/>
                </w:tcPr>
                <w:p w14:paraId="0D24947B">
                  <w:pPr>
                    <w:pStyle w:val="14"/>
                    <w:rPr>
                      <w:rFonts w:cs="Times New Roman"/>
                    </w:rPr>
                  </w:pPr>
                  <w:r>
                    <w:rPr>
                      <w:rFonts w:cs="Times New Roman"/>
                      <w:lang w:bidi="ar"/>
                    </w:rPr>
                    <w:t>生产车间其余区域</w:t>
                  </w:r>
                </w:p>
              </w:tc>
              <w:tc>
                <w:tcPr>
                  <w:tcW w:w="2466" w:type="pct"/>
                  <w:tcBorders>
                    <w:tl2br w:val="nil"/>
                    <w:tr2bl w:val="nil"/>
                  </w:tcBorders>
                  <w:vAlign w:val="center"/>
                </w:tcPr>
                <w:p w14:paraId="4F60E902">
                  <w:pPr>
                    <w:pStyle w:val="14"/>
                    <w:rPr>
                      <w:rFonts w:cs="Times New Roman"/>
                    </w:rPr>
                  </w:pPr>
                  <w:r>
                    <w:rPr>
                      <w:rFonts w:cs="Times New Roman"/>
                      <w:lang w:bidi="ar"/>
                    </w:rPr>
                    <w:t>依托现有生产车间地面防渗</w:t>
                  </w:r>
                  <w:r>
                    <w:rPr>
                      <w:rFonts w:hint="eastAsia" w:cs="Times New Roman"/>
                      <w:lang w:bidi="ar"/>
                    </w:rPr>
                    <w:t>（防渗水泥硬化）</w:t>
                  </w:r>
                  <w:r>
                    <w:rPr>
                      <w:rFonts w:cs="Times New Roman"/>
                      <w:lang w:bidi="ar"/>
                    </w:rPr>
                    <w:t>，确保防渗层达到等效黏土防渗层Mb≥1.5m、渗透系数K≤1.0×10</w:t>
                  </w:r>
                  <w:r>
                    <w:rPr>
                      <w:rFonts w:cs="Times New Roman"/>
                      <w:vertAlign w:val="superscript"/>
                      <w:lang w:bidi="ar"/>
                    </w:rPr>
                    <w:t>-7</w:t>
                  </w:r>
                  <w:r>
                    <w:rPr>
                      <w:rFonts w:cs="Times New Roman"/>
                      <w:lang w:bidi="ar"/>
                    </w:rPr>
                    <w:t>cm/s。</w:t>
                  </w:r>
                </w:p>
              </w:tc>
              <w:tc>
                <w:tcPr>
                  <w:tcW w:w="798" w:type="pct"/>
                  <w:tcBorders>
                    <w:tl2br w:val="nil"/>
                    <w:tr2bl w:val="nil"/>
                  </w:tcBorders>
                  <w:vAlign w:val="center"/>
                </w:tcPr>
                <w:p w14:paraId="53D7BFA7">
                  <w:pPr>
                    <w:pStyle w:val="14"/>
                    <w:rPr>
                      <w:rFonts w:cs="Times New Roman"/>
                      <w:lang w:bidi="ar"/>
                    </w:rPr>
                  </w:pPr>
                  <w:r>
                    <w:rPr>
                      <w:rFonts w:cs="Times New Roman"/>
                      <w:lang w:bidi="ar"/>
                    </w:rPr>
                    <w:t>已建</w:t>
                  </w:r>
                </w:p>
              </w:tc>
            </w:tr>
          </w:tbl>
          <w:p w14:paraId="3400AA1B">
            <w:pPr>
              <w:ind w:firstLine="482"/>
              <w:rPr>
                <w:rFonts w:cs="Times New Roman"/>
                <w:b/>
                <w:bCs/>
              </w:rPr>
            </w:pPr>
            <w:r>
              <w:rPr>
                <w:rFonts w:cs="Times New Roman"/>
                <w:b/>
                <w:bCs/>
              </w:rPr>
              <w:t>地面防渗工程应符合以下设计原则：</w:t>
            </w:r>
          </w:p>
          <w:p w14:paraId="188AAD32">
            <w:pPr>
              <w:numPr>
                <w:ilvl w:val="0"/>
                <w:numId w:val="4"/>
              </w:numPr>
              <w:ind w:firstLine="480"/>
              <w:rPr>
                <w:rFonts w:cs="Times New Roman"/>
              </w:rPr>
            </w:pPr>
            <w:r>
              <w:rPr>
                <w:rFonts w:cs="Times New Roman"/>
              </w:rPr>
              <w:t>采用国内先进的防渗材料、技术和实施手段，杜绝对区域内地下水、土壤的影响，确保不因项目运行而对区域地下水、土壤造成任何污染影响，确保现有地下水水体功能。</w:t>
            </w:r>
          </w:p>
          <w:p w14:paraId="1B231369">
            <w:pPr>
              <w:numPr>
                <w:ilvl w:val="0"/>
                <w:numId w:val="4"/>
              </w:numPr>
              <w:ind w:firstLine="480"/>
              <w:rPr>
                <w:rFonts w:cs="Times New Roman"/>
              </w:rPr>
            </w:pPr>
            <w:r>
              <w:rPr>
                <w:rFonts w:cs="Times New Roman"/>
              </w:rPr>
              <w:t>坚持分区管理和控制原则，根据场址所在地的工程水文地质条件和全厂可能发生泄漏的物料性质，参照相应标准要求有针对性地分区，并分别设计地面防渗层结构。</w:t>
            </w:r>
          </w:p>
          <w:p w14:paraId="2BAC581F">
            <w:pPr>
              <w:numPr>
                <w:ilvl w:val="0"/>
                <w:numId w:val="4"/>
              </w:numPr>
              <w:ind w:firstLine="480"/>
              <w:rPr>
                <w:rFonts w:cs="Times New Roman"/>
              </w:rPr>
            </w:pPr>
            <w:r>
              <w:rPr>
                <w:rFonts w:cs="Times New Roman"/>
              </w:rPr>
              <w:t>坚持“可视化”原则，在满足工程和防渗层结构标准要求的前提下，尽量在地表面实施防渗措施，便于泄漏物质的收集和及时发现破损的防渗层。</w:t>
            </w:r>
          </w:p>
          <w:p w14:paraId="0DBD60DA">
            <w:pPr>
              <w:numPr>
                <w:ilvl w:val="0"/>
                <w:numId w:val="4"/>
              </w:numPr>
              <w:ind w:firstLine="480"/>
              <w:rPr>
                <w:rFonts w:cs="Times New Roman"/>
              </w:rPr>
            </w:pPr>
            <w:r>
              <w:rPr>
                <w:rFonts w:cs="Times New Roman"/>
              </w:rPr>
              <w:t>防渗层上渗漏污染物和防渗层内渗漏污染物收集系统与全厂“三废”处理措施统筹考虑，统一处理。</w:t>
            </w:r>
          </w:p>
          <w:p w14:paraId="35393887">
            <w:pPr>
              <w:numPr>
                <w:ilvl w:val="0"/>
                <w:numId w:val="4"/>
              </w:numPr>
              <w:ind w:firstLine="480"/>
              <w:rPr>
                <w:rFonts w:cs="Times New Roman"/>
              </w:rPr>
            </w:pPr>
            <w:r>
              <w:rPr>
                <w:rFonts w:cs="Times New Roman"/>
              </w:rPr>
              <w:t>污水处理设施的管道衔接处必须进行防渗处理，且建设单位应加强对污水管网和污水处理设施的日常维护，定期检查是否存在泄漏，保证管道通畅，及时处理发生或潜在的问题。</w:t>
            </w:r>
          </w:p>
          <w:p w14:paraId="6F3A68C2">
            <w:pPr>
              <w:adjustRightInd w:val="0"/>
              <w:snapToGrid w:val="0"/>
              <w:ind w:firstLine="480"/>
              <w:rPr>
                <w:rFonts w:cs="Times New Roman"/>
                <w:bCs/>
              </w:rPr>
            </w:pPr>
            <w:r>
              <w:rPr>
                <w:rFonts w:hint="eastAsia" w:cs="Times New Roman"/>
                <w:bCs/>
              </w:rPr>
              <w:t>综上，本项目重点防渗区防渗措施拟在现有车间防渗基础上进行改建完善，在原有水泥硬化地面上方设置防渗层，涂刷</w:t>
            </w:r>
            <w:r>
              <w:rPr>
                <w:rFonts w:cs="Times New Roman"/>
                <w:bCs/>
                <w:lang w:bidi="ar"/>
              </w:rPr>
              <w:t>2mm厚HDPE人工防渗涂层，</w:t>
            </w:r>
            <w:r>
              <w:rPr>
                <w:rFonts w:hint="eastAsia" w:cs="Times New Roman"/>
                <w:bCs/>
                <w:lang w:bidi="ar"/>
              </w:rPr>
              <w:t>防渗层</w:t>
            </w:r>
            <w:r>
              <w:rPr>
                <w:rFonts w:cs="Times New Roman"/>
                <w:bCs/>
                <w:lang w:bidi="ar"/>
              </w:rPr>
              <w:t>渗透系数K≤10</w:t>
            </w:r>
            <w:r>
              <w:rPr>
                <w:rFonts w:cs="Times New Roman"/>
                <w:bCs/>
                <w:vertAlign w:val="superscript"/>
                <w:lang w:bidi="ar"/>
              </w:rPr>
              <w:t>-10</w:t>
            </w:r>
            <w:r>
              <w:rPr>
                <w:rFonts w:cs="Times New Roman"/>
                <w:bCs/>
                <w:lang w:bidi="ar"/>
              </w:rPr>
              <w:t>cm/s。</w:t>
            </w:r>
            <w:r>
              <w:rPr>
                <w:rFonts w:hint="eastAsia" w:cs="Times New Roman"/>
                <w:bCs/>
                <w:lang w:bidi="ar"/>
              </w:rPr>
              <w:t>一般防渗区依托原有防渗措施，采用防渗水泥硬化，并针对存在裂纹等区域进行修补，必要的涂刷人工防渗图层。</w:t>
            </w:r>
            <w:r>
              <w:rPr>
                <w:rFonts w:cs="Times New Roman"/>
                <w:bCs/>
              </w:rPr>
              <w:t>由污染途径及对应措施分析可知，</w:t>
            </w:r>
            <w:r>
              <w:rPr>
                <w:rFonts w:hint="eastAsia" w:cs="Times New Roman"/>
                <w:bCs/>
              </w:rPr>
              <w:t>在采取相应防渗措施后</w:t>
            </w:r>
            <w:r>
              <w:rPr>
                <w:rFonts w:cs="Times New Roman"/>
                <w:bCs/>
              </w:rPr>
              <w:t>项目对可能产生地下水影响的各项途径均能进行有效预防，在确保各项防渗措施得以落实，并加强管理的前提下，可有效阻隔固废的下渗途径，防止地下水环境受到污染。</w:t>
            </w:r>
          </w:p>
          <w:p w14:paraId="2ED1D2E3">
            <w:pPr>
              <w:adjustRightInd w:val="0"/>
              <w:snapToGrid w:val="0"/>
              <w:ind w:firstLine="482"/>
              <w:rPr>
                <w:rFonts w:cs="Times New Roman"/>
                <w:b/>
                <w:bCs/>
              </w:rPr>
            </w:pPr>
            <w:r>
              <w:rPr>
                <w:rFonts w:cs="Times New Roman"/>
                <w:b/>
                <w:bCs/>
              </w:rPr>
              <w:t>（4）土壤防治措施</w:t>
            </w:r>
          </w:p>
          <w:p w14:paraId="42942468">
            <w:pPr>
              <w:ind w:firstLine="480"/>
              <w:rPr>
                <w:rFonts w:cs="Times New Roman"/>
                <w:szCs w:val="32"/>
              </w:rPr>
            </w:pPr>
            <w:r>
              <w:rPr>
                <w:rFonts w:cs="Times New Roman"/>
                <w:szCs w:val="32"/>
              </w:rPr>
              <w:t>根据《环境影响评价技术导则 土壤环境（试行）》（HJ964-2018）附录A土壤环境影响评价项目类别可知，本项目属于“其他行业”中Ⅳ类项目，可不开展土壤环境影响评价。</w:t>
            </w:r>
          </w:p>
          <w:p w14:paraId="484590BC">
            <w:pPr>
              <w:ind w:firstLine="480"/>
              <w:rPr>
                <w:rFonts w:cs="Times New Roman"/>
                <w:szCs w:val="32"/>
              </w:rPr>
            </w:pPr>
            <w:r>
              <w:rPr>
                <w:rFonts w:cs="Times New Roman"/>
                <w:szCs w:val="32"/>
              </w:rPr>
              <w:t>项目土壤防治措施主要为根据项目所在地的地形特点优化地面布局，对地面进行硬化及分区防渗防止土壤环境污染，并且在运营期加强管理。</w:t>
            </w:r>
          </w:p>
          <w:p w14:paraId="2FCE45CE">
            <w:pPr>
              <w:ind w:firstLine="480"/>
              <w:rPr>
                <w:rFonts w:cs="Times New Roman"/>
                <w:szCs w:val="32"/>
              </w:rPr>
            </w:pPr>
            <w:r>
              <w:rPr>
                <w:rFonts w:cs="Times New Roman"/>
                <w:szCs w:val="32"/>
              </w:rPr>
              <w:t>通过对项目各区域采取有效防渗措施后，能有效防止渗漏造成土壤污染，不会对地下水、土壤以及地表水环境造成影响。</w:t>
            </w:r>
          </w:p>
          <w:p w14:paraId="1758AA95">
            <w:pPr>
              <w:pStyle w:val="3"/>
              <w:spacing w:before="163"/>
            </w:pPr>
            <w:r>
              <w:t>6、生态环境影响</w:t>
            </w:r>
          </w:p>
          <w:p w14:paraId="3F94D931">
            <w:pPr>
              <w:ind w:firstLine="480"/>
              <w:rPr>
                <w:rFonts w:cs="Times New Roman"/>
              </w:rPr>
            </w:pPr>
            <w:r>
              <w:rPr>
                <w:rFonts w:cs="Times New Roman"/>
                <w:kern w:val="0"/>
              </w:rPr>
              <w:t>本项目所在区域周围无生态敏感保护目标，周边植被以人工绿化植物为主。本项目建设地块</w:t>
            </w:r>
            <w:r>
              <w:rPr>
                <w:rFonts w:hint="eastAsia" w:cs="Times New Roman"/>
                <w:kern w:val="0"/>
              </w:rPr>
              <w:t>（</w:t>
            </w:r>
            <w:r>
              <w:rPr>
                <w:rFonts w:eastAsia="TimesNewRomanPSMT" w:cs="Times New Roman"/>
              </w:rPr>
              <w:t>I4-01-03</w:t>
            </w:r>
            <w:r>
              <w:rPr>
                <w:rFonts w:cs="Times New Roman"/>
              </w:rPr>
              <w:t>地块</w:t>
            </w:r>
            <w:r>
              <w:rPr>
                <w:rFonts w:hint="eastAsia" w:cs="Times New Roman"/>
                <w:kern w:val="0"/>
              </w:rPr>
              <w:t>）</w:t>
            </w:r>
            <w:r>
              <w:rPr>
                <w:rFonts w:cs="Times New Roman"/>
                <w:kern w:val="0"/>
              </w:rPr>
              <w:t>属工业用地，位于工业园区内，现状为已建成的厂区和厂房。项目建设完成后将设置绿化措施，基本不会对区域生态环境造成影响。</w:t>
            </w:r>
          </w:p>
          <w:p w14:paraId="4C5CF615">
            <w:pPr>
              <w:pStyle w:val="3"/>
              <w:spacing w:before="163"/>
            </w:pPr>
            <w:r>
              <w:t>7、环境风险分析</w:t>
            </w:r>
          </w:p>
          <w:p w14:paraId="25594FD5">
            <w:pPr>
              <w:ind w:firstLine="482"/>
              <w:rPr>
                <w:rFonts w:cs="Times New Roman"/>
                <w:b/>
              </w:rPr>
            </w:pPr>
            <w:r>
              <w:rPr>
                <w:rFonts w:cs="Times New Roman"/>
                <w:b/>
              </w:rPr>
              <w:t>（1）风险物质识别</w:t>
            </w:r>
          </w:p>
          <w:p w14:paraId="6E586DCD">
            <w:pPr>
              <w:ind w:firstLine="480"/>
              <w:rPr>
                <w:rFonts w:cs="Times New Roman"/>
              </w:rPr>
            </w:pPr>
            <w:r>
              <w:rPr>
                <w:rFonts w:cs="Times New Roman"/>
              </w:rPr>
              <w:t>依据《建设项目风险评价技术导则》（HJT169-2018）--附录C计算危险物质数量与临界量比值（Q）。</w:t>
            </w:r>
          </w:p>
          <w:p w14:paraId="51793FFE">
            <w:pPr>
              <w:ind w:firstLine="480"/>
              <w:rPr>
                <w:rFonts w:cs="Times New Roman"/>
              </w:rPr>
            </w:pPr>
            <w:r>
              <w:rPr>
                <w:rFonts w:cs="Times New Roman"/>
              </w:rPr>
              <w:t>计算所涉及的每种危险物质在厂界内的最大存在总量与其在附录B中对应临界量的比值Q。在不同厂区的同一物质，按其在厂界内的最大存在总量计算。对于长输管线项目，按照两个截断阀室之间的管段危险物质最大存在总量计算。</w:t>
            </w:r>
          </w:p>
          <w:p w14:paraId="3398CA1E">
            <w:pPr>
              <w:ind w:firstLine="480"/>
              <w:rPr>
                <w:rFonts w:cs="Times New Roman"/>
              </w:rPr>
            </w:pPr>
            <w:r>
              <w:rPr>
                <w:rFonts w:cs="Times New Roman"/>
              </w:rPr>
              <w:t>当只涉及一种危险物质时，计算该物质的总量与其临界量比值，即为Q；</w:t>
            </w:r>
          </w:p>
          <w:p w14:paraId="078EA862">
            <w:pPr>
              <w:ind w:firstLine="480"/>
              <w:rPr>
                <w:rFonts w:cs="Times New Roman"/>
              </w:rPr>
            </w:pPr>
            <w:r>
              <w:rPr>
                <w:rFonts w:cs="Times New Roman"/>
              </w:rPr>
              <w:t>当存在多种危险物质时，则按以下公式计算物质总量与其临界量比值（Q）；</w:t>
            </w:r>
          </w:p>
          <w:p w14:paraId="06DE7605">
            <w:pPr>
              <w:ind w:firstLine="480"/>
              <w:jc w:val="center"/>
              <w:rPr>
                <w:rFonts w:cs="Times New Roman"/>
                <w:vertAlign w:val="subscript"/>
              </w:rPr>
            </w:pPr>
            <w:r>
              <w:rPr>
                <w:rFonts w:cs="Times New Roman"/>
              </w:rPr>
              <w:t>Q=q</w:t>
            </w:r>
            <w:r>
              <w:rPr>
                <w:rFonts w:cs="Times New Roman"/>
                <w:vertAlign w:val="subscript"/>
              </w:rPr>
              <w:t>1</w:t>
            </w:r>
            <w:r>
              <w:rPr>
                <w:rFonts w:cs="Times New Roman"/>
              </w:rPr>
              <w:t>/Q</w:t>
            </w:r>
            <w:r>
              <w:rPr>
                <w:rFonts w:cs="Times New Roman"/>
                <w:vertAlign w:val="subscript"/>
              </w:rPr>
              <w:t>1</w:t>
            </w:r>
            <w:r>
              <w:rPr>
                <w:rFonts w:cs="Times New Roman"/>
              </w:rPr>
              <w:t>+q</w:t>
            </w:r>
            <w:r>
              <w:rPr>
                <w:rFonts w:cs="Times New Roman"/>
                <w:vertAlign w:val="subscript"/>
              </w:rPr>
              <w:t>2</w:t>
            </w:r>
            <w:r>
              <w:rPr>
                <w:rFonts w:cs="Times New Roman"/>
              </w:rPr>
              <w:t>/Q</w:t>
            </w:r>
            <w:r>
              <w:rPr>
                <w:rFonts w:cs="Times New Roman"/>
                <w:vertAlign w:val="subscript"/>
              </w:rPr>
              <w:t>2</w:t>
            </w:r>
            <w:r>
              <w:rPr>
                <w:rFonts w:cs="Times New Roman"/>
              </w:rPr>
              <w:t>+……+q</w:t>
            </w:r>
            <w:r>
              <w:rPr>
                <w:rFonts w:cs="Times New Roman"/>
                <w:vertAlign w:val="subscript"/>
              </w:rPr>
              <w:t>n</w:t>
            </w:r>
            <w:r>
              <w:rPr>
                <w:rFonts w:cs="Times New Roman"/>
              </w:rPr>
              <w:t>/Q</w:t>
            </w:r>
            <w:r>
              <w:rPr>
                <w:rFonts w:cs="Times New Roman"/>
                <w:vertAlign w:val="subscript"/>
              </w:rPr>
              <w:t>n</w:t>
            </w:r>
          </w:p>
          <w:p w14:paraId="1F625D0F">
            <w:pPr>
              <w:ind w:firstLine="480"/>
              <w:rPr>
                <w:rFonts w:cs="Times New Roman"/>
              </w:rPr>
            </w:pPr>
            <w:r>
              <w:rPr>
                <w:rFonts w:cs="Times New Roman"/>
              </w:rPr>
              <w:t>式中：q</w:t>
            </w:r>
            <w:r>
              <w:rPr>
                <w:rFonts w:cs="Times New Roman"/>
                <w:vertAlign w:val="subscript"/>
              </w:rPr>
              <w:t>1</w:t>
            </w:r>
            <w:r>
              <w:rPr>
                <w:rFonts w:cs="Times New Roman"/>
              </w:rPr>
              <w:t>，q</w:t>
            </w:r>
            <w:r>
              <w:rPr>
                <w:rFonts w:cs="Times New Roman"/>
                <w:vertAlign w:val="subscript"/>
              </w:rPr>
              <w:t>2</w:t>
            </w:r>
            <w:r>
              <w:rPr>
                <w:rFonts w:cs="Times New Roman"/>
              </w:rPr>
              <w:t>，……，q</w:t>
            </w:r>
            <w:r>
              <w:rPr>
                <w:rFonts w:cs="Times New Roman"/>
                <w:vertAlign w:val="subscript"/>
              </w:rPr>
              <w:t>n</w:t>
            </w:r>
            <w:r>
              <w:rPr>
                <w:rFonts w:cs="Times New Roman"/>
              </w:rPr>
              <w:t>——每种危险物质的最大存在总量，t；</w:t>
            </w:r>
          </w:p>
          <w:p w14:paraId="1B98C79E">
            <w:pPr>
              <w:ind w:firstLine="480"/>
              <w:rPr>
                <w:rFonts w:cs="Times New Roman"/>
              </w:rPr>
            </w:pPr>
            <w:r>
              <w:rPr>
                <w:rFonts w:cs="Times New Roman"/>
              </w:rPr>
              <w:t xml:space="preserve">      Q</w:t>
            </w:r>
            <w:r>
              <w:rPr>
                <w:rFonts w:cs="Times New Roman"/>
                <w:vertAlign w:val="subscript"/>
              </w:rPr>
              <w:t>1</w:t>
            </w:r>
            <w:r>
              <w:rPr>
                <w:rFonts w:cs="Times New Roman"/>
              </w:rPr>
              <w:t>，Q</w:t>
            </w:r>
            <w:r>
              <w:rPr>
                <w:rFonts w:cs="Times New Roman"/>
                <w:vertAlign w:val="subscript"/>
              </w:rPr>
              <w:t>2</w:t>
            </w:r>
            <w:r>
              <w:rPr>
                <w:rFonts w:cs="Times New Roman"/>
              </w:rPr>
              <w:t>，……，Q</w:t>
            </w:r>
            <w:r>
              <w:rPr>
                <w:rFonts w:cs="Times New Roman"/>
                <w:vertAlign w:val="subscript"/>
              </w:rPr>
              <w:t>n</w:t>
            </w:r>
            <w:r>
              <w:rPr>
                <w:rFonts w:cs="Times New Roman"/>
              </w:rPr>
              <w:t>——每种危险物质的临界量，t。</w:t>
            </w:r>
          </w:p>
          <w:p w14:paraId="4F2EB098">
            <w:pPr>
              <w:ind w:firstLine="480"/>
              <w:rPr>
                <w:rFonts w:cs="Times New Roman"/>
              </w:rPr>
            </w:pPr>
            <w:r>
              <w:rPr>
                <w:rFonts w:cs="Times New Roman"/>
              </w:rPr>
              <w:t xml:space="preserve">      当Q＜1时，该项目环境风险潜势为</w:t>
            </w:r>
            <w:r>
              <w:rPr>
                <w:rFonts w:cs="Times New Roman"/>
                <w:szCs w:val="21"/>
              </w:rPr>
              <w:t>Ⅰ。</w:t>
            </w:r>
          </w:p>
          <w:p w14:paraId="4D3999E6">
            <w:pPr>
              <w:ind w:firstLine="480"/>
              <w:rPr>
                <w:rFonts w:cs="Times New Roman"/>
              </w:rPr>
            </w:pPr>
            <w:r>
              <w:rPr>
                <w:rFonts w:cs="Times New Roman"/>
              </w:rPr>
              <w:t xml:space="preserve">      当Q≥1时，将Q值划分为：（1）1≤Q＜10；（2）10≤Q＜100；（3）Q≥100。</w:t>
            </w:r>
          </w:p>
          <w:p w14:paraId="35D1EEDD">
            <w:pPr>
              <w:ind w:firstLine="480"/>
              <w:rPr>
                <w:rFonts w:cs="Times New Roman"/>
              </w:rPr>
            </w:pPr>
            <w:r>
              <w:rPr>
                <w:rFonts w:cs="Times New Roman"/>
              </w:rPr>
              <w:t>依据《建设项目风险评价技术导则》（HJT169-2018）--附录B重点关注的危险物质及临界量，找出与本项目相关的危险物质的临界量。本项目涉及风险物质为</w:t>
            </w:r>
            <w:r>
              <w:rPr>
                <w:rFonts w:hint="eastAsia" w:cs="Times New Roman"/>
              </w:rPr>
              <w:t>设备内的导热油</w:t>
            </w:r>
            <w:r>
              <w:rPr>
                <w:rFonts w:cs="Times New Roman"/>
              </w:rPr>
              <w:t>。</w:t>
            </w:r>
          </w:p>
          <w:p w14:paraId="51C553C0">
            <w:pPr>
              <w:pStyle w:val="13"/>
              <w:rPr>
                <w:rFonts w:cs="Times New Roman"/>
              </w:rPr>
            </w:pPr>
            <w:bookmarkStart w:id="93" w:name="OLE_LINK210"/>
            <w:bookmarkStart w:id="94" w:name="OLE_LINK211"/>
            <w:r>
              <w:rPr>
                <w:rFonts w:cs="Times New Roman"/>
              </w:rPr>
              <w:t>表</w:t>
            </w:r>
            <w:r>
              <w:rPr>
                <w:rFonts w:cs="Times New Roman"/>
              </w:rPr>
              <w:fldChar w:fldCharType="begin"/>
            </w:r>
            <w:r>
              <w:rPr>
                <w:rFonts w:cs="Times New Roman"/>
              </w:rPr>
              <w:instrText xml:space="preserve"> SEQ seq \c </w:instrText>
            </w:r>
            <w:r>
              <w:rPr>
                <w:rFonts w:cs="Times New Roman"/>
              </w:rPr>
              <w:fldChar w:fldCharType="separate"/>
            </w:r>
            <w:r>
              <w:rPr>
                <w:rFonts w:cs="Times New Roman"/>
              </w:rPr>
              <w:t>4</w:t>
            </w:r>
            <w:r>
              <w:rPr>
                <w:rFonts w:cs="Times New Roman"/>
              </w:rPr>
              <w:fldChar w:fldCharType="end"/>
            </w:r>
            <w:r>
              <w:rPr>
                <w:rFonts w:cs="Times New Roman"/>
              </w:rPr>
              <w:noBreakHyphen/>
            </w:r>
            <w:r>
              <w:rPr>
                <w:rFonts w:cs="Times New Roman"/>
              </w:rPr>
              <w:fldChar w:fldCharType="begin"/>
            </w:r>
            <w:r>
              <w:rPr>
                <w:rFonts w:cs="Times New Roman"/>
              </w:rPr>
              <w:instrText xml:space="preserve"> SEQ 表 \* ARABIC \s 1 </w:instrText>
            </w:r>
            <w:r>
              <w:rPr>
                <w:rFonts w:cs="Times New Roman"/>
              </w:rPr>
              <w:fldChar w:fldCharType="separate"/>
            </w:r>
            <w:r>
              <w:rPr>
                <w:rFonts w:cs="Times New Roman"/>
              </w:rPr>
              <w:t>1</w:t>
            </w:r>
            <w:r>
              <w:rPr>
                <w:rFonts w:hint="eastAsia" w:cs="Times New Roman"/>
              </w:rPr>
              <w:t>2</w:t>
            </w:r>
            <w:r>
              <w:rPr>
                <w:rFonts w:cs="Times New Roman"/>
              </w:rPr>
              <w:fldChar w:fldCharType="end"/>
            </w:r>
            <w:r>
              <w:rPr>
                <w:rFonts w:cs="Times New Roman"/>
              </w:rPr>
              <w:t xml:space="preserve"> </w:t>
            </w:r>
            <w:bookmarkEnd w:id="93"/>
            <w:bookmarkEnd w:id="94"/>
            <w:r>
              <w:rPr>
                <w:rFonts w:cs="Times New Roman"/>
              </w:rPr>
              <w:t>突发环境事件风险物质及临界量</w:t>
            </w:r>
          </w:p>
          <w:tbl>
            <w:tblPr>
              <w:tblStyle w:val="3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162"/>
              <w:gridCol w:w="683"/>
              <w:gridCol w:w="849"/>
              <w:gridCol w:w="1813"/>
              <w:gridCol w:w="1358"/>
              <w:gridCol w:w="723"/>
              <w:gridCol w:w="724"/>
              <w:gridCol w:w="755"/>
              <w:gridCol w:w="855"/>
            </w:tblGrid>
            <w:tr w14:paraId="49872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80" w:hRule="atLeast"/>
              </w:trPr>
              <w:tc>
                <w:tcPr>
                  <w:tcW w:w="651" w:type="pct"/>
                  <w:vAlign w:val="center"/>
                </w:tcPr>
                <w:p w14:paraId="1A2AC0D2">
                  <w:pPr>
                    <w:pStyle w:val="53"/>
                    <w:rPr>
                      <w:rFonts w:cs="Times New Roman"/>
                    </w:rPr>
                  </w:pPr>
                  <w:r>
                    <w:rPr>
                      <w:rFonts w:cs="Times New Roman"/>
                    </w:rPr>
                    <w:t>材料名称</w:t>
                  </w:r>
                </w:p>
              </w:tc>
              <w:tc>
                <w:tcPr>
                  <w:tcW w:w="383" w:type="pct"/>
                  <w:vAlign w:val="center"/>
                </w:tcPr>
                <w:p w14:paraId="75340A7C">
                  <w:pPr>
                    <w:pStyle w:val="53"/>
                    <w:rPr>
                      <w:rFonts w:cs="Times New Roman"/>
                    </w:rPr>
                  </w:pPr>
                  <w:r>
                    <w:rPr>
                      <w:rFonts w:cs="Times New Roman"/>
                    </w:rPr>
                    <w:t>CAS号</w:t>
                  </w:r>
                </w:p>
              </w:tc>
              <w:tc>
                <w:tcPr>
                  <w:tcW w:w="476" w:type="pct"/>
                  <w:vAlign w:val="center"/>
                </w:tcPr>
                <w:p w14:paraId="68831AD9">
                  <w:pPr>
                    <w:pStyle w:val="53"/>
                    <w:rPr>
                      <w:rFonts w:cs="Times New Roman"/>
                    </w:rPr>
                  </w:pPr>
                  <w:r>
                    <w:rPr>
                      <w:rFonts w:cs="Times New Roman"/>
                    </w:rPr>
                    <w:t>包装</w:t>
                  </w:r>
                </w:p>
                <w:p w14:paraId="08A9F4F1">
                  <w:pPr>
                    <w:pStyle w:val="53"/>
                    <w:rPr>
                      <w:rFonts w:cs="Times New Roman"/>
                    </w:rPr>
                  </w:pPr>
                  <w:r>
                    <w:rPr>
                      <w:rFonts w:cs="Times New Roman"/>
                    </w:rPr>
                    <w:t>方式</w:t>
                  </w:r>
                </w:p>
              </w:tc>
              <w:tc>
                <w:tcPr>
                  <w:tcW w:w="1016" w:type="pct"/>
                  <w:vAlign w:val="center"/>
                </w:tcPr>
                <w:p w14:paraId="7B26698F">
                  <w:pPr>
                    <w:pStyle w:val="53"/>
                    <w:rPr>
                      <w:rFonts w:cs="Times New Roman"/>
                    </w:rPr>
                  </w:pPr>
                  <w:r>
                    <w:rPr>
                      <w:rFonts w:cs="Times New Roman"/>
                    </w:rPr>
                    <w:t>储存周期</w:t>
                  </w:r>
                </w:p>
              </w:tc>
              <w:tc>
                <w:tcPr>
                  <w:tcW w:w="761" w:type="pct"/>
                  <w:vAlign w:val="center"/>
                </w:tcPr>
                <w:p w14:paraId="0BAC9301">
                  <w:pPr>
                    <w:pStyle w:val="53"/>
                    <w:rPr>
                      <w:rFonts w:cs="Times New Roman"/>
                    </w:rPr>
                  </w:pPr>
                  <w:r>
                    <w:rPr>
                      <w:rFonts w:hint="eastAsia" w:cs="Times New Roman"/>
                    </w:rPr>
                    <w:t>设备内</w:t>
                  </w:r>
                  <w:r>
                    <w:rPr>
                      <w:rFonts w:cs="Times New Roman"/>
                    </w:rPr>
                    <w:t>最大</w:t>
                  </w:r>
                  <w:r>
                    <w:rPr>
                      <w:rFonts w:hint="eastAsia" w:cs="Times New Roman"/>
                    </w:rPr>
                    <w:t>储存量</w:t>
                  </w:r>
                  <w:r>
                    <w:rPr>
                      <w:rFonts w:cs="Times New Roman"/>
                    </w:rPr>
                    <w:t>（t/a）</w:t>
                  </w:r>
                </w:p>
              </w:tc>
              <w:tc>
                <w:tcPr>
                  <w:tcW w:w="405" w:type="pct"/>
                </w:tcPr>
                <w:p w14:paraId="7690512C">
                  <w:pPr>
                    <w:pStyle w:val="53"/>
                    <w:rPr>
                      <w:rFonts w:cs="Times New Roman"/>
                    </w:rPr>
                  </w:pPr>
                  <w:r>
                    <w:rPr>
                      <w:rFonts w:hint="eastAsia" w:cs="Times New Roman"/>
                    </w:rPr>
                    <w:t>最大在线量</w:t>
                  </w:r>
                  <w:r>
                    <w:rPr>
                      <w:rFonts w:cs="Times New Roman"/>
                    </w:rPr>
                    <w:t>（t/a）</w:t>
                  </w:r>
                </w:p>
              </w:tc>
              <w:tc>
                <w:tcPr>
                  <w:tcW w:w="406" w:type="pct"/>
                </w:tcPr>
                <w:p w14:paraId="1986ED96">
                  <w:pPr>
                    <w:pStyle w:val="53"/>
                    <w:rPr>
                      <w:rFonts w:cs="Times New Roman"/>
                    </w:rPr>
                  </w:pPr>
                  <w:r>
                    <w:rPr>
                      <w:rFonts w:hint="eastAsia" w:cs="Times New Roman"/>
                    </w:rPr>
                    <w:t>最大总存在量</w:t>
                  </w:r>
                  <w:r>
                    <w:rPr>
                      <w:rFonts w:cs="Times New Roman"/>
                    </w:rPr>
                    <w:t>（t）</w:t>
                  </w:r>
                </w:p>
              </w:tc>
              <w:tc>
                <w:tcPr>
                  <w:tcW w:w="423" w:type="pct"/>
                  <w:vAlign w:val="center"/>
                </w:tcPr>
                <w:p w14:paraId="68555CD8">
                  <w:pPr>
                    <w:pStyle w:val="53"/>
                    <w:rPr>
                      <w:rFonts w:cs="Times New Roman"/>
                    </w:rPr>
                  </w:pPr>
                  <w:r>
                    <w:rPr>
                      <w:rFonts w:cs="Times New Roman"/>
                    </w:rPr>
                    <w:t>临界量（t）</w:t>
                  </w:r>
                </w:p>
              </w:tc>
              <w:tc>
                <w:tcPr>
                  <w:tcW w:w="479" w:type="pct"/>
                  <w:vAlign w:val="center"/>
                </w:tcPr>
                <w:p w14:paraId="2DD7C401">
                  <w:pPr>
                    <w:pStyle w:val="53"/>
                    <w:rPr>
                      <w:rFonts w:cs="Times New Roman"/>
                    </w:rPr>
                  </w:pPr>
                  <w:r>
                    <w:rPr>
                      <w:rFonts w:cs="Times New Roman"/>
                    </w:rPr>
                    <w:t>Q值</w:t>
                  </w:r>
                </w:p>
              </w:tc>
            </w:tr>
            <w:tr w14:paraId="2E287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651" w:type="pct"/>
                  <w:vAlign w:val="center"/>
                </w:tcPr>
                <w:p w14:paraId="60BCD9A6">
                  <w:pPr>
                    <w:pStyle w:val="14"/>
                    <w:rPr>
                      <w:rFonts w:cs="Times New Roman"/>
                    </w:rPr>
                  </w:pPr>
                  <w:r>
                    <w:rPr>
                      <w:rFonts w:hint="eastAsia" w:cs="Times New Roman"/>
                    </w:rPr>
                    <w:t>导热</w:t>
                  </w:r>
                  <w:r>
                    <w:rPr>
                      <w:rFonts w:cs="Times New Roman"/>
                    </w:rPr>
                    <w:t>油</w:t>
                  </w:r>
                </w:p>
              </w:tc>
              <w:tc>
                <w:tcPr>
                  <w:tcW w:w="383" w:type="pct"/>
                  <w:vAlign w:val="center"/>
                </w:tcPr>
                <w:p w14:paraId="47F6AEEA">
                  <w:pPr>
                    <w:pStyle w:val="14"/>
                    <w:rPr>
                      <w:rFonts w:cs="Times New Roman"/>
                    </w:rPr>
                  </w:pPr>
                  <w:bookmarkStart w:id="95" w:name="OLE_LINK206"/>
                  <w:bookmarkStart w:id="96" w:name="OLE_LINK207"/>
                  <w:r>
                    <w:rPr>
                      <w:rFonts w:cs="Times New Roman"/>
                    </w:rPr>
                    <w:t>/</w:t>
                  </w:r>
                  <w:bookmarkEnd w:id="95"/>
                  <w:bookmarkEnd w:id="96"/>
                </w:p>
              </w:tc>
              <w:tc>
                <w:tcPr>
                  <w:tcW w:w="476" w:type="pct"/>
                  <w:vAlign w:val="center"/>
                </w:tcPr>
                <w:p w14:paraId="5DA11947">
                  <w:pPr>
                    <w:pStyle w:val="14"/>
                    <w:rPr>
                      <w:rFonts w:cs="Times New Roman"/>
                    </w:rPr>
                  </w:pPr>
                  <w:r>
                    <w:rPr>
                      <w:rFonts w:cs="Times New Roman"/>
                    </w:rPr>
                    <w:t>桶装</w:t>
                  </w:r>
                </w:p>
              </w:tc>
              <w:tc>
                <w:tcPr>
                  <w:tcW w:w="1016" w:type="pct"/>
                  <w:vAlign w:val="center"/>
                </w:tcPr>
                <w:p w14:paraId="0853A392">
                  <w:pPr>
                    <w:pStyle w:val="14"/>
                    <w:rPr>
                      <w:rFonts w:cs="Times New Roman"/>
                    </w:rPr>
                  </w:pPr>
                  <w:r>
                    <w:rPr>
                      <w:rFonts w:hint="eastAsia" w:cs="Times New Roman"/>
                    </w:rPr>
                    <w:t>需要时购买，不单独储存，最大量存于模温机设备内</w:t>
                  </w:r>
                </w:p>
              </w:tc>
              <w:tc>
                <w:tcPr>
                  <w:tcW w:w="761" w:type="pct"/>
                  <w:vAlign w:val="center"/>
                </w:tcPr>
                <w:p w14:paraId="0BB6C54D">
                  <w:pPr>
                    <w:pStyle w:val="14"/>
                    <w:rPr>
                      <w:rFonts w:cs="Times New Roman"/>
                    </w:rPr>
                  </w:pPr>
                  <w:r>
                    <w:rPr>
                      <w:rFonts w:hint="eastAsia" w:cs="Times New Roman"/>
                    </w:rPr>
                    <w:t>1.0</w:t>
                  </w:r>
                </w:p>
              </w:tc>
              <w:tc>
                <w:tcPr>
                  <w:tcW w:w="405" w:type="pct"/>
                </w:tcPr>
                <w:p w14:paraId="7DBBC35B">
                  <w:pPr>
                    <w:pStyle w:val="14"/>
                    <w:rPr>
                      <w:rFonts w:cs="Times New Roman"/>
                    </w:rPr>
                  </w:pPr>
                  <w:r>
                    <w:rPr>
                      <w:rFonts w:hint="eastAsia" w:cs="Times New Roman"/>
                    </w:rPr>
                    <w:t>1.0</w:t>
                  </w:r>
                </w:p>
              </w:tc>
              <w:tc>
                <w:tcPr>
                  <w:tcW w:w="406" w:type="pct"/>
                </w:tcPr>
                <w:p w14:paraId="27427697">
                  <w:pPr>
                    <w:pStyle w:val="14"/>
                    <w:rPr>
                      <w:rFonts w:cs="Times New Roman"/>
                    </w:rPr>
                  </w:pPr>
                  <w:r>
                    <w:rPr>
                      <w:rFonts w:hint="eastAsia" w:cs="Times New Roman"/>
                    </w:rPr>
                    <w:t>1.0</w:t>
                  </w:r>
                </w:p>
              </w:tc>
              <w:tc>
                <w:tcPr>
                  <w:tcW w:w="423" w:type="pct"/>
                  <w:noWrap/>
                  <w:vAlign w:val="center"/>
                </w:tcPr>
                <w:p w14:paraId="3BCC5480">
                  <w:pPr>
                    <w:pStyle w:val="14"/>
                    <w:rPr>
                      <w:rFonts w:cs="Times New Roman"/>
                    </w:rPr>
                  </w:pPr>
                  <w:r>
                    <w:rPr>
                      <w:rFonts w:cs="Times New Roman"/>
                    </w:rPr>
                    <w:t>2500</w:t>
                  </w:r>
                </w:p>
              </w:tc>
              <w:tc>
                <w:tcPr>
                  <w:tcW w:w="479" w:type="pct"/>
                  <w:vAlign w:val="center"/>
                </w:tcPr>
                <w:p w14:paraId="28D27D94">
                  <w:pPr>
                    <w:pStyle w:val="14"/>
                    <w:rPr>
                      <w:rFonts w:eastAsia="等线" w:cs="Times New Roman"/>
                    </w:rPr>
                  </w:pPr>
                  <w:r>
                    <w:rPr>
                      <w:rFonts w:eastAsia="等线" w:cs="Times New Roman"/>
                      <w:szCs w:val="21"/>
                    </w:rPr>
                    <w:t>0.000</w:t>
                  </w:r>
                  <w:r>
                    <w:rPr>
                      <w:rFonts w:hint="eastAsia" w:eastAsia="等线" w:cs="Times New Roman"/>
                      <w:szCs w:val="21"/>
                    </w:rPr>
                    <w:t>4</w:t>
                  </w:r>
                </w:p>
              </w:tc>
            </w:tr>
            <w:tr w14:paraId="6F4A2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4521" w:type="pct"/>
                  <w:gridSpan w:val="8"/>
                </w:tcPr>
                <w:p w14:paraId="607A7BB8">
                  <w:pPr>
                    <w:pStyle w:val="14"/>
                    <w:jc w:val="both"/>
                    <w:rPr>
                      <w:rFonts w:cs="Times New Roman"/>
                    </w:rPr>
                  </w:pPr>
                  <w:r>
                    <w:rPr>
                      <w:rFonts w:cs="Times New Roman"/>
                    </w:rPr>
                    <w:t>合计</w:t>
                  </w:r>
                </w:p>
              </w:tc>
              <w:tc>
                <w:tcPr>
                  <w:tcW w:w="479" w:type="pct"/>
                  <w:vAlign w:val="center"/>
                </w:tcPr>
                <w:p w14:paraId="55E9395A">
                  <w:pPr>
                    <w:pStyle w:val="14"/>
                    <w:rPr>
                      <w:rFonts w:eastAsia="等线" w:cs="Times New Roman"/>
                      <w:szCs w:val="21"/>
                      <w:lang w:bidi="ar"/>
                    </w:rPr>
                  </w:pPr>
                  <w:r>
                    <w:rPr>
                      <w:rFonts w:eastAsia="等线" w:cs="Times New Roman"/>
                      <w:szCs w:val="21"/>
                      <w:lang w:bidi="ar"/>
                    </w:rPr>
                    <w:t>0.0</w:t>
                  </w:r>
                  <w:r>
                    <w:rPr>
                      <w:rFonts w:hint="eastAsia" w:eastAsia="等线" w:cs="Times New Roman"/>
                      <w:szCs w:val="21"/>
                      <w:lang w:bidi="ar"/>
                    </w:rPr>
                    <w:t>004</w:t>
                  </w:r>
                </w:p>
              </w:tc>
            </w:tr>
          </w:tbl>
          <w:p w14:paraId="0AC848FB">
            <w:pPr>
              <w:ind w:firstLine="480"/>
              <w:rPr>
                <w:rFonts w:cs="Times New Roman"/>
              </w:rPr>
            </w:pPr>
            <w:r>
              <w:rPr>
                <w:rFonts w:cs="Times New Roman"/>
              </w:rPr>
              <w:t>从以上表格判定可以看出，本项目Q=0.0</w:t>
            </w:r>
            <w:r>
              <w:rPr>
                <w:rFonts w:hint="eastAsia" w:cs="Times New Roman"/>
              </w:rPr>
              <w:t>004</w:t>
            </w:r>
            <w:r>
              <w:rPr>
                <w:rFonts w:cs="Times New Roman"/>
              </w:rPr>
              <w:t>＜1，不构成重大危险源，环境风险潜势为Ⅰ。</w:t>
            </w:r>
          </w:p>
          <w:p w14:paraId="40A48E64">
            <w:pPr>
              <w:ind w:firstLine="482"/>
              <w:rPr>
                <w:rFonts w:cs="Times New Roman"/>
                <w:b/>
              </w:rPr>
            </w:pPr>
            <w:r>
              <w:rPr>
                <w:rFonts w:cs="Times New Roman"/>
                <w:b/>
              </w:rPr>
              <w:t>（2）环境风险识别</w:t>
            </w:r>
          </w:p>
          <w:p w14:paraId="03F75791">
            <w:pPr>
              <w:ind w:firstLine="480"/>
              <w:rPr>
                <w:rFonts w:cs="Times New Roman"/>
                <w:bCs/>
                <w:lang w:bidi="ar"/>
              </w:rPr>
            </w:pPr>
            <w:r>
              <w:rPr>
                <w:rFonts w:cs="Times New Roman"/>
                <w:bCs/>
                <w:lang w:bidi="ar"/>
              </w:rPr>
              <w:t>物质危险性识别：本项目运营过程中涉及</w:t>
            </w:r>
            <w:r>
              <w:rPr>
                <w:rFonts w:hint="eastAsia" w:cs="Times New Roman"/>
                <w:bCs/>
                <w:lang w:bidi="ar"/>
              </w:rPr>
              <w:t>导热油</w:t>
            </w:r>
            <w:r>
              <w:rPr>
                <w:rFonts w:cs="Times New Roman"/>
                <w:bCs/>
                <w:lang w:bidi="ar"/>
              </w:rPr>
              <w:t>油类物质，为易燃有毒物质</w:t>
            </w:r>
            <w:r>
              <w:rPr>
                <w:rFonts w:hint="eastAsia" w:cs="Times New Roman"/>
                <w:bCs/>
                <w:lang w:bidi="ar"/>
              </w:rPr>
              <w:t>，</w:t>
            </w:r>
            <w:r>
              <w:rPr>
                <w:rFonts w:cs="Times New Roman"/>
                <w:bCs/>
                <w:lang w:bidi="ar"/>
              </w:rPr>
              <w:t>一旦发生火灾和爆炸会产生颗粒物、CO和其他次生污染物，污染环境，并对人体健康造成影响。</w:t>
            </w:r>
            <w:r>
              <w:rPr>
                <w:rFonts w:hint="eastAsia" w:cs="Times New Roman"/>
                <w:bCs/>
                <w:lang w:bidi="ar"/>
              </w:rPr>
              <w:t>同时项目使用的木材具有可燃性，引燃温度20</w:t>
            </w:r>
            <w:r>
              <w:rPr>
                <w:rFonts w:cs="Times New Roman"/>
                <w:bCs/>
                <w:lang w:bidi="ar"/>
              </w:rPr>
              <w:t>0</w:t>
            </w:r>
            <w:r>
              <w:rPr>
                <w:rFonts w:hint="eastAsia" w:cs="Times New Roman"/>
                <w:bCs/>
                <w:lang w:bidi="ar"/>
              </w:rPr>
              <w:t>℃，引燃温度较低，遇热源可能引发火灾、爆炸事故，造成次生环境影响。</w:t>
            </w:r>
          </w:p>
          <w:p w14:paraId="42E702DC">
            <w:pPr>
              <w:ind w:firstLine="480"/>
              <w:rPr>
                <w:rFonts w:cs="Times New Roman"/>
                <w:bCs/>
                <w:lang w:bidi="ar"/>
              </w:rPr>
            </w:pPr>
            <w:r>
              <w:rPr>
                <w:rFonts w:cs="Times New Roman"/>
                <w:bCs/>
                <w:lang w:bidi="ar"/>
              </w:rPr>
              <w:t>生产系统危险性识别：项目生产过程不涉及≥300℃高温，故项目生产过程不属于危险工艺过程。</w:t>
            </w:r>
          </w:p>
          <w:p w14:paraId="336579B4">
            <w:pPr>
              <w:ind w:firstLine="480"/>
              <w:rPr>
                <w:rFonts w:cs="Times New Roman"/>
                <w:bCs/>
                <w:lang w:bidi="ar"/>
              </w:rPr>
            </w:pPr>
            <w:r>
              <w:rPr>
                <w:rFonts w:cs="Times New Roman"/>
                <w:bCs/>
                <w:lang w:bidi="ar"/>
              </w:rPr>
              <w:t>储存过程风险识别：油类物质若管理不善，可能由于原料包装材料损坏，或受外因诱导（如热源、火源、电击等）时，会引发储存物质泄漏、火灾、爆炸事故。</w:t>
            </w:r>
            <w:r>
              <w:rPr>
                <w:rFonts w:hint="eastAsia" w:cs="Times New Roman"/>
                <w:bCs/>
                <w:lang w:bidi="ar"/>
              </w:rPr>
              <w:t>本</w:t>
            </w:r>
            <w:r>
              <w:rPr>
                <w:rFonts w:cs="Times New Roman"/>
                <w:bCs/>
                <w:lang w:bidi="ar"/>
              </w:rPr>
              <w:t>环境风险类型及危害性分析：项目环境风险为液体原料和废液的泄漏，造成区域地表水体、地下水和土壤造成污染，以及火灾事故后产生的事故污水和有毒有害物质燃烧烟气。</w:t>
            </w:r>
          </w:p>
          <w:p w14:paraId="56FAC8AE">
            <w:pPr>
              <w:ind w:firstLine="482"/>
              <w:rPr>
                <w:rFonts w:cs="Times New Roman"/>
                <w:b/>
                <w:bCs/>
                <w:lang w:bidi="ar"/>
              </w:rPr>
            </w:pPr>
            <w:r>
              <w:rPr>
                <w:rFonts w:cs="Times New Roman"/>
                <w:b/>
                <w:bCs/>
                <w:lang w:bidi="ar"/>
              </w:rPr>
              <w:t>（3）环境风险分析</w:t>
            </w:r>
          </w:p>
          <w:p w14:paraId="6DF19054">
            <w:pPr>
              <w:ind w:firstLine="480"/>
              <w:rPr>
                <w:rFonts w:cs="Times New Roman"/>
              </w:rPr>
            </w:pPr>
            <w:r>
              <w:rPr>
                <w:rFonts w:cs="Times New Roman"/>
              </w:rPr>
              <w:t>根据类比调查，本项目发生可能性较大的事故有：油类物料泄漏、污染治理设施非正常运行以及火灾、爆炸事故。</w:t>
            </w:r>
          </w:p>
          <w:p w14:paraId="673ACD8A">
            <w:pPr>
              <w:ind w:firstLine="480"/>
              <w:rPr>
                <w:rFonts w:cs="Times New Roman"/>
              </w:rPr>
            </w:pPr>
            <w:r>
              <w:rPr>
                <w:rFonts w:hint="eastAsia" w:ascii="宋体" w:hAnsi="宋体" w:cs="宋体"/>
              </w:rPr>
              <w:t>①</w:t>
            </w:r>
            <w:r>
              <w:rPr>
                <w:rFonts w:cs="Times New Roman"/>
              </w:rPr>
              <w:t xml:space="preserve"> 油类物质泄漏</w:t>
            </w:r>
          </w:p>
          <w:p w14:paraId="55EC1E0B">
            <w:pPr>
              <w:ind w:firstLine="480"/>
              <w:rPr>
                <w:rFonts w:cs="Times New Roman"/>
              </w:rPr>
            </w:pPr>
            <w:r>
              <w:rPr>
                <w:rFonts w:cs="Times New Roman"/>
              </w:rPr>
              <w:t>项目使用</w:t>
            </w:r>
            <w:r>
              <w:rPr>
                <w:rFonts w:hint="eastAsia" w:cs="Times New Roman"/>
              </w:rPr>
              <w:t>导热油</w:t>
            </w:r>
            <w:r>
              <w:rPr>
                <w:rFonts w:cs="Times New Roman"/>
              </w:rPr>
              <w:t>油类物质。项目发生泄漏事故的原因主要有：储存不当导致泄漏；自然灾害造成的泄漏，如地震、洪水等非人为因素。油类物质泄漏可能造成较大的环境影响，泄漏物质进入环境，对河流、土壤、生物、地下水造成极为严重的污染，这种污染一般是范围较广、面积较大、后果较为严重，达到自然环境的完全恢复需要相当长的时间。本项目油类物质均采取桶装并防止在托盘上，发生泄露的概率很小。</w:t>
            </w:r>
          </w:p>
          <w:p w14:paraId="5E496FF3">
            <w:pPr>
              <w:ind w:firstLine="480"/>
              <w:rPr>
                <w:rFonts w:cs="Times New Roman"/>
              </w:rPr>
            </w:pPr>
            <w:r>
              <w:rPr>
                <w:rFonts w:hint="eastAsia" w:ascii="宋体" w:hAnsi="宋体" w:cs="宋体"/>
              </w:rPr>
              <w:t>②</w:t>
            </w:r>
            <w:r>
              <w:rPr>
                <w:rFonts w:cs="Times New Roman"/>
              </w:rPr>
              <w:t>污染治理设施非正常运行</w:t>
            </w:r>
          </w:p>
          <w:p w14:paraId="4258A2F5">
            <w:pPr>
              <w:ind w:firstLine="480"/>
              <w:rPr>
                <w:rFonts w:cs="Times New Roman"/>
              </w:rPr>
            </w:pPr>
            <w:r>
              <w:rPr>
                <w:rFonts w:cs="Times New Roman"/>
              </w:rPr>
              <w:t>污水预处理池出现破损或输送管道破损，导致废水未经处理直接进入地下水和地表水，从而对地表水及地下水造成影响，污染地下水和地表水。废气处理设施故障运行，造成废气未经处理直接排放进入大气，对周边大气环境造成影响。</w:t>
            </w:r>
          </w:p>
          <w:p w14:paraId="5D705723">
            <w:pPr>
              <w:ind w:firstLine="480"/>
              <w:rPr>
                <w:rFonts w:cs="Times New Roman"/>
              </w:rPr>
            </w:pPr>
            <w:r>
              <w:rPr>
                <w:rFonts w:hint="eastAsia" w:ascii="宋体" w:hAnsi="宋体" w:cs="宋体"/>
              </w:rPr>
              <w:t>③</w:t>
            </w:r>
            <w:r>
              <w:rPr>
                <w:rFonts w:cs="Times New Roman"/>
              </w:rPr>
              <w:t xml:space="preserve"> 火灾、爆炸事故影响分析</w:t>
            </w:r>
          </w:p>
          <w:p w14:paraId="39CBB427">
            <w:pPr>
              <w:ind w:firstLine="480"/>
              <w:rPr>
                <w:rFonts w:cs="Times New Roman"/>
              </w:rPr>
            </w:pPr>
            <w:r>
              <w:rPr>
                <w:rFonts w:cs="Times New Roman"/>
                <w:bCs/>
              </w:rPr>
              <w:t>油类物质属可燃液体，</w:t>
            </w:r>
            <w:r>
              <w:rPr>
                <w:rFonts w:hint="eastAsia" w:cs="Times New Roman"/>
                <w:bCs/>
              </w:rPr>
              <w:t>使用的木材为可燃材料，</w:t>
            </w:r>
            <w:r>
              <w:rPr>
                <w:rFonts w:cs="Times New Roman"/>
                <w:bCs/>
              </w:rPr>
              <w:t>火灾爆炸事故主要为可燃液体</w:t>
            </w:r>
            <w:r>
              <w:rPr>
                <w:rFonts w:hint="eastAsia" w:cs="Times New Roman"/>
                <w:bCs/>
              </w:rPr>
              <w:t>或可燃材料</w:t>
            </w:r>
            <w:r>
              <w:rPr>
                <w:rFonts w:cs="Times New Roman"/>
                <w:bCs/>
              </w:rPr>
              <w:t>遇火源等引发的火灾及燃爆事故。</w:t>
            </w:r>
            <w:r>
              <w:rPr>
                <w:rFonts w:cs="Times New Roman"/>
              </w:rPr>
              <w:t>火灾事故产生的浓烟会以起火点为中心在一定范围内降落大量烟尘，局部气温、气压、能见度等会产生明显的变化，对局部大气环境（包括下风向大气环境）造成较大的短期影响；火灾事故同时伴随着物料的泄漏，会影响周围大气地表水环境。火灾对周围环境的影响体现在火灾期间有毒烟气对周围环境的影响，这种影响一般是短暂的。燃烧时可能产生黑烟、一氧化碳、二氧化碳、烃类、氮氧化物等，其烟气对眼睛、呼吸道以及皮肤有一定的刺激性，过度接触可导致头痛、发寒、发烧、呕吐等症状。</w:t>
            </w:r>
          </w:p>
          <w:p w14:paraId="56CB1F39">
            <w:pPr>
              <w:ind w:firstLine="482"/>
              <w:rPr>
                <w:rFonts w:cs="Times New Roman"/>
                <w:b/>
                <w:bCs/>
                <w:lang w:bidi="ar"/>
              </w:rPr>
            </w:pPr>
            <w:r>
              <w:rPr>
                <w:rFonts w:cs="Times New Roman"/>
                <w:b/>
                <w:bCs/>
                <w:lang w:bidi="ar"/>
              </w:rPr>
              <w:t>（4）风险防范措施及应急要求</w:t>
            </w:r>
          </w:p>
          <w:p w14:paraId="4979AC7E">
            <w:pPr>
              <w:ind w:firstLine="480"/>
              <w:rPr>
                <w:rFonts w:cs="Times New Roman"/>
                <w:bCs/>
                <w:lang w:bidi="ar"/>
              </w:rPr>
            </w:pPr>
            <w:r>
              <w:rPr>
                <w:rFonts w:cs="Times New Roman"/>
                <w:bCs/>
                <w:lang w:bidi="ar"/>
              </w:rPr>
              <w:t>1）火灾事故防范措施</w:t>
            </w:r>
          </w:p>
          <w:p w14:paraId="5BDB2EFF">
            <w:pPr>
              <w:ind w:firstLine="480"/>
              <w:rPr>
                <w:rFonts w:cs="Times New Roman"/>
                <w:bCs/>
                <w:lang w:bidi="ar"/>
              </w:rPr>
            </w:pPr>
            <w:r>
              <w:rPr>
                <w:rFonts w:cs="Times New Roman"/>
                <w:bCs/>
                <w:lang w:bidi="ar"/>
              </w:rPr>
              <w:t>本项目环境风险防范措施重点在于防火上。除了有先进的防控设施外，还需加强管理和防备，做到以下防治措施：</w:t>
            </w:r>
          </w:p>
          <w:p w14:paraId="02A6C295">
            <w:pPr>
              <w:ind w:firstLine="480"/>
              <w:rPr>
                <w:rFonts w:cs="Times New Roman"/>
                <w:bCs/>
                <w:lang w:bidi="ar"/>
              </w:rPr>
            </w:pPr>
            <w:r>
              <w:rPr>
                <w:rFonts w:cs="Times New Roman"/>
                <w:bCs/>
                <w:lang w:bidi="ar"/>
              </w:rPr>
              <w:fldChar w:fldCharType="begin"/>
            </w:r>
            <w:r>
              <w:rPr>
                <w:rFonts w:cs="Times New Roman"/>
                <w:bCs/>
                <w:lang w:bidi="ar"/>
              </w:rPr>
              <w:instrText xml:space="preserve"> = 1 \* GB3 \* MERGEFORMAT </w:instrText>
            </w:r>
            <w:r>
              <w:rPr>
                <w:rFonts w:cs="Times New Roman"/>
                <w:bCs/>
                <w:lang w:bidi="ar"/>
              </w:rPr>
              <w:fldChar w:fldCharType="separate"/>
            </w:r>
            <w:r>
              <w:rPr>
                <w:rFonts w:hint="eastAsia" w:ascii="宋体" w:hAnsi="宋体" w:cs="宋体"/>
              </w:rPr>
              <w:t>①</w:t>
            </w:r>
            <w:r>
              <w:rPr>
                <w:rFonts w:cs="Times New Roman"/>
                <w:bCs/>
                <w:lang w:bidi="ar"/>
              </w:rPr>
              <w:fldChar w:fldCharType="end"/>
            </w:r>
            <w:r>
              <w:rPr>
                <w:rFonts w:cs="Times New Roman"/>
                <w:bCs/>
                <w:lang w:bidi="ar"/>
              </w:rPr>
              <w:t>设立专门的环境管理机构，制定日常管理措施、消防措施和应急预案。对工作人员进行火灾事态时的报警培训，项目方应成立环境风险事故应急救援领导小组和应急救援专业队伍。</w:t>
            </w:r>
          </w:p>
          <w:p w14:paraId="52838EB7">
            <w:pPr>
              <w:ind w:firstLine="480"/>
              <w:rPr>
                <w:rFonts w:cs="Times New Roman"/>
                <w:bCs/>
                <w:lang w:bidi="ar"/>
              </w:rPr>
            </w:pPr>
            <w:r>
              <w:rPr>
                <w:rFonts w:cs="Times New Roman"/>
                <w:bCs/>
                <w:lang w:bidi="ar"/>
              </w:rPr>
              <w:fldChar w:fldCharType="begin"/>
            </w:r>
            <w:r>
              <w:rPr>
                <w:rFonts w:cs="Times New Roman"/>
                <w:bCs/>
                <w:lang w:bidi="ar"/>
              </w:rPr>
              <w:instrText xml:space="preserve"> = 2 \* GB3 \* MERGEFORMAT </w:instrText>
            </w:r>
            <w:r>
              <w:rPr>
                <w:rFonts w:cs="Times New Roman"/>
                <w:bCs/>
                <w:lang w:bidi="ar"/>
              </w:rPr>
              <w:fldChar w:fldCharType="separate"/>
            </w:r>
            <w:r>
              <w:rPr>
                <w:rFonts w:hint="eastAsia" w:ascii="宋体" w:hAnsi="宋体" w:cs="宋体"/>
              </w:rPr>
              <w:t>②</w:t>
            </w:r>
            <w:r>
              <w:rPr>
                <w:rFonts w:cs="Times New Roman"/>
                <w:bCs/>
                <w:lang w:bidi="ar"/>
              </w:rPr>
              <w:fldChar w:fldCharType="end"/>
            </w:r>
            <w:r>
              <w:rPr>
                <w:rFonts w:cs="Times New Roman"/>
                <w:bCs/>
                <w:lang w:bidi="ar"/>
              </w:rPr>
              <w:t>加强厂区消防设施的日常管理，确保事故时消防设施能够正常使用，针对厂房等可能出现的火灾事故进行消防演练。</w:t>
            </w:r>
          </w:p>
          <w:p w14:paraId="1C06F25A">
            <w:pPr>
              <w:ind w:firstLine="480"/>
              <w:rPr>
                <w:rFonts w:cs="Times New Roman"/>
                <w:bCs/>
                <w:lang w:bidi="ar"/>
              </w:rPr>
            </w:pPr>
            <w:bookmarkStart w:id="97" w:name="OLE_LINK209"/>
            <w:r>
              <w:rPr>
                <w:rFonts w:cs="Times New Roman"/>
                <w:bCs/>
                <w:lang w:bidi="ar"/>
              </w:rPr>
              <w:fldChar w:fldCharType="begin"/>
            </w:r>
            <w:r>
              <w:rPr>
                <w:rFonts w:cs="Times New Roman"/>
                <w:bCs/>
                <w:lang w:bidi="ar"/>
              </w:rPr>
              <w:instrText xml:space="preserve"> = 3 \* GB3 \* MERGEFORMAT </w:instrText>
            </w:r>
            <w:r>
              <w:rPr>
                <w:rFonts w:cs="Times New Roman"/>
                <w:bCs/>
                <w:lang w:bidi="ar"/>
              </w:rPr>
              <w:fldChar w:fldCharType="separate"/>
            </w:r>
            <w:r>
              <w:rPr>
                <w:rFonts w:hint="eastAsia" w:ascii="宋体" w:hAnsi="宋体" w:cs="宋体"/>
              </w:rPr>
              <w:t>③</w:t>
            </w:r>
            <w:r>
              <w:rPr>
                <w:rFonts w:cs="Times New Roman"/>
                <w:bCs/>
                <w:lang w:bidi="ar"/>
              </w:rPr>
              <w:fldChar w:fldCharType="end"/>
            </w:r>
            <w:bookmarkEnd w:id="97"/>
            <w:r>
              <w:rPr>
                <w:rFonts w:cs="Times New Roman"/>
                <w:bCs/>
                <w:lang w:bidi="ar"/>
              </w:rPr>
              <w:t>严格明火管理，严禁吸烟、动火。消除电气火花。严格按照《中华人民共和国爆炸危险场所安全规程》和现行有关标准、规程及要求执行。</w:t>
            </w:r>
            <w:r>
              <w:rPr>
                <w:rFonts w:hint="eastAsia" w:cs="Times New Roman"/>
                <w:b/>
                <w:bCs/>
                <w:lang w:bidi="ar"/>
              </w:rPr>
              <w:t>严格禁止将高温物体、火源带入生产作业区域，设备检修需温度降至常温后进行。</w:t>
            </w:r>
          </w:p>
          <w:p w14:paraId="518C3871">
            <w:pPr>
              <w:ind w:firstLine="480"/>
              <w:rPr>
                <w:rFonts w:cs="Times New Roman"/>
                <w:bCs/>
                <w:lang w:bidi="ar"/>
              </w:rPr>
            </w:pPr>
            <w:r>
              <w:rPr>
                <w:rFonts w:cs="Times New Roman"/>
                <w:bCs/>
                <w:lang w:bidi="ar"/>
              </w:rPr>
              <w:fldChar w:fldCharType="begin"/>
            </w:r>
            <w:r>
              <w:rPr>
                <w:rFonts w:cs="Times New Roman"/>
                <w:bCs/>
                <w:lang w:bidi="ar"/>
              </w:rPr>
              <w:instrText xml:space="preserve"> = 4 \* GB3 \* MERGEFORMAT </w:instrText>
            </w:r>
            <w:r>
              <w:rPr>
                <w:rFonts w:cs="Times New Roman"/>
                <w:bCs/>
                <w:lang w:bidi="ar"/>
              </w:rPr>
              <w:fldChar w:fldCharType="separate"/>
            </w:r>
            <w:r>
              <w:rPr>
                <w:rFonts w:hint="eastAsia" w:ascii="宋体" w:hAnsi="宋体" w:cs="宋体"/>
                <w:bCs/>
                <w:lang w:bidi="ar"/>
              </w:rPr>
              <w:t>④</w:t>
            </w:r>
            <w:r>
              <w:rPr>
                <w:rFonts w:cs="Times New Roman"/>
                <w:bCs/>
                <w:lang w:bidi="ar"/>
              </w:rPr>
              <w:fldChar w:fldCharType="end"/>
            </w:r>
            <w:r>
              <w:rPr>
                <w:rFonts w:cs="Times New Roman"/>
                <w:bCs/>
                <w:lang w:bidi="ar"/>
              </w:rPr>
              <w:t>消防器材应当设置在明显和便于取用的地点，周围不准堆放物品和杂物。消防设施、器材，应当由专人管理，负责检查、维修、保养、更换和添置，保证完好有效，严禁圈占、埋压和挪用。配备消防器材和消防设施；标识明确，使用方便；在厂房配备二氧化碳灭火器熄灭小型火灾，并设置消防池。同时在电气设备火灾易发处配备干粉灭火器。</w:t>
            </w:r>
          </w:p>
          <w:p w14:paraId="0B5E2769">
            <w:pPr>
              <w:ind w:firstLine="480"/>
              <w:rPr>
                <w:rFonts w:cs="Times New Roman"/>
                <w:bCs/>
                <w:lang w:bidi="ar"/>
              </w:rPr>
            </w:pPr>
            <w:r>
              <w:rPr>
                <w:rFonts w:cs="Times New Roman"/>
                <w:bCs/>
                <w:lang w:bidi="ar"/>
              </w:rPr>
              <w:fldChar w:fldCharType="begin"/>
            </w:r>
            <w:r>
              <w:rPr>
                <w:rFonts w:cs="Times New Roman"/>
                <w:bCs/>
                <w:lang w:bidi="ar"/>
              </w:rPr>
              <w:instrText xml:space="preserve"> = 5 \* GB3 \* MERGEFORMAT </w:instrText>
            </w:r>
            <w:r>
              <w:rPr>
                <w:rFonts w:cs="Times New Roman"/>
                <w:bCs/>
                <w:lang w:bidi="ar"/>
              </w:rPr>
              <w:fldChar w:fldCharType="separate"/>
            </w:r>
            <w:r>
              <w:rPr>
                <w:rFonts w:hint="eastAsia" w:ascii="宋体" w:hAnsi="宋体" w:cs="宋体"/>
                <w:bCs/>
                <w:lang w:bidi="ar"/>
              </w:rPr>
              <w:t>⑤</w:t>
            </w:r>
            <w:r>
              <w:rPr>
                <w:rFonts w:cs="Times New Roman"/>
                <w:bCs/>
                <w:lang w:bidi="ar"/>
              </w:rPr>
              <w:fldChar w:fldCharType="end"/>
            </w:r>
            <w:r>
              <w:rPr>
                <w:rFonts w:cs="Times New Roman"/>
                <w:bCs/>
                <w:lang w:bidi="ar"/>
              </w:rPr>
              <w:t>项目内定期进行电路、电气检查，消除安全隐患。</w:t>
            </w:r>
          </w:p>
          <w:p w14:paraId="361AB140">
            <w:pPr>
              <w:ind w:firstLine="480"/>
              <w:rPr>
                <w:rFonts w:cs="Times New Roman"/>
                <w:bCs/>
                <w:lang w:bidi="ar"/>
              </w:rPr>
            </w:pPr>
            <w:r>
              <w:rPr>
                <w:rFonts w:cs="Times New Roman"/>
                <w:bCs/>
                <w:lang w:bidi="ar"/>
              </w:rPr>
              <w:fldChar w:fldCharType="begin"/>
            </w:r>
            <w:r>
              <w:rPr>
                <w:rFonts w:cs="Times New Roman"/>
                <w:bCs/>
                <w:lang w:bidi="ar"/>
              </w:rPr>
              <w:instrText xml:space="preserve"> = 6 \* GB3 \* MERGEFORMAT </w:instrText>
            </w:r>
            <w:r>
              <w:rPr>
                <w:rFonts w:cs="Times New Roman"/>
                <w:bCs/>
                <w:lang w:bidi="ar"/>
              </w:rPr>
              <w:fldChar w:fldCharType="separate"/>
            </w:r>
            <w:r>
              <w:rPr>
                <w:rFonts w:hint="eastAsia" w:ascii="宋体" w:hAnsi="宋体" w:cs="宋体"/>
                <w:bCs/>
                <w:lang w:bidi="ar"/>
              </w:rPr>
              <w:t>⑥</w:t>
            </w:r>
            <w:r>
              <w:rPr>
                <w:rFonts w:cs="Times New Roman"/>
                <w:bCs/>
                <w:lang w:bidi="ar"/>
              </w:rPr>
              <w:fldChar w:fldCharType="end"/>
            </w:r>
            <w:r>
              <w:rPr>
                <w:rFonts w:cs="Times New Roman"/>
                <w:bCs/>
                <w:lang w:bidi="ar"/>
              </w:rPr>
              <w:t>出现火灾时应及时将可燃物品搬离，远离火源。</w:t>
            </w:r>
          </w:p>
          <w:p w14:paraId="390EB061">
            <w:pPr>
              <w:ind w:firstLine="480"/>
              <w:rPr>
                <w:rFonts w:cs="Times New Roman"/>
                <w:bCs/>
                <w:lang w:bidi="ar"/>
              </w:rPr>
            </w:pPr>
            <w:r>
              <w:rPr>
                <w:rFonts w:cs="Times New Roman"/>
                <w:bCs/>
                <w:lang w:bidi="ar"/>
              </w:rPr>
              <w:fldChar w:fldCharType="begin"/>
            </w:r>
            <w:r>
              <w:rPr>
                <w:rFonts w:cs="Times New Roman"/>
                <w:bCs/>
                <w:lang w:bidi="ar"/>
              </w:rPr>
              <w:instrText xml:space="preserve"> = 7 \* GB3 \* MERGEFORMAT </w:instrText>
            </w:r>
            <w:r>
              <w:rPr>
                <w:rFonts w:cs="Times New Roman"/>
                <w:bCs/>
                <w:lang w:bidi="ar"/>
              </w:rPr>
              <w:fldChar w:fldCharType="separate"/>
            </w:r>
            <w:r>
              <w:rPr>
                <w:rFonts w:hint="eastAsia" w:ascii="宋体" w:hAnsi="宋体" w:cs="宋体"/>
                <w:bCs/>
                <w:lang w:bidi="ar"/>
              </w:rPr>
              <w:t>⑦</w:t>
            </w:r>
            <w:r>
              <w:rPr>
                <w:rFonts w:cs="Times New Roman"/>
                <w:bCs/>
                <w:lang w:bidi="ar"/>
              </w:rPr>
              <w:fldChar w:fldCharType="end"/>
            </w:r>
            <w:r>
              <w:rPr>
                <w:rFonts w:cs="Times New Roman"/>
                <w:bCs/>
                <w:lang w:bidi="ar"/>
              </w:rPr>
              <w:t>生产车间除尘系统管道定期进行清理和疏通，以防止木粉堵塞管道；</w:t>
            </w:r>
          </w:p>
          <w:p w14:paraId="039141B3">
            <w:pPr>
              <w:ind w:firstLine="480"/>
              <w:rPr>
                <w:rFonts w:cs="Times New Roman"/>
                <w:bCs/>
                <w:lang w:bidi="ar"/>
              </w:rPr>
            </w:pPr>
            <w:r>
              <w:rPr>
                <w:rFonts w:cs="Times New Roman"/>
                <w:bCs/>
                <w:lang w:bidi="ar"/>
              </w:rPr>
              <w:fldChar w:fldCharType="begin"/>
            </w:r>
            <w:r>
              <w:rPr>
                <w:rFonts w:cs="Times New Roman"/>
                <w:bCs/>
                <w:lang w:bidi="ar"/>
              </w:rPr>
              <w:instrText xml:space="preserve"> = 8 \* GB3 \* MERGEFORMAT </w:instrText>
            </w:r>
            <w:r>
              <w:rPr>
                <w:rFonts w:cs="Times New Roman"/>
                <w:bCs/>
                <w:lang w:bidi="ar"/>
              </w:rPr>
              <w:fldChar w:fldCharType="separate"/>
            </w:r>
            <w:r>
              <w:rPr>
                <w:rFonts w:hint="eastAsia" w:ascii="宋体" w:hAnsi="宋体" w:cs="宋体"/>
                <w:bCs/>
                <w:lang w:bidi="ar"/>
              </w:rPr>
              <w:t>⑧</w:t>
            </w:r>
            <w:r>
              <w:rPr>
                <w:rFonts w:cs="Times New Roman"/>
                <w:bCs/>
                <w:lang w:bidi="ar"/>
              </w:rPr>
              <w:fldChar w:fldCharType="end"/>
            </w:r>
            <w:r>
              <w:rPr>
                <w:rFonts w:cs="Times New Roman"/>
                <w:bCs/>
                <w:lang w:bidi="ar"/>
              </w:rPr>
              <w:t>生产车间安装抽排风系统，用于保持车间空气的流通，降低粉尘浓度；</w:t>
            </w:r>
          </w:p>
          <w:p w14:paraId="769215F0">
            <w:pPr>
              <w:ind w:firstLine="480"/>
              <w:rPr>
                <w:rFonts w:cs="Times New Roman"/>
                <w:bCs/>
                <w:lang w:bidi="ar"/>
              </w:rPr>
            </w:pPr>
            <w:r>
              <w:rPr>
                <w:rFonts w:cs="Times New Roman"/>
                <w:bCs/>
                <w:lang w:bidi="ar"/>
              </w:rPr>
              <w:fldChar w:fldCharType="begin"/>
            </w:r>
            <w:r>
              <w:rPr>
                <w:rFonts w:cs="Times New Roman"/>
                <w:bCs/>
                <w:lang w:bidi="ar"/>
              </w:rPr>
              <w:instrText xml:space="preserve"> = 9 \* GB3 \* MERGEFORMAT </w:instrText>
            </w:r>
            <w:r>
              <w:rPr>
                <w:rFonts w:cs="Times New Roman"/>
                <w:bCs/>
                <w:lang w:bidi="ar"/>
              </w:rPr>
              <w:fldChar w:fldCharType="separate"/>
            </w:r>
            <w:r>
              <w:rPr>
                <w:rFonts w:hint="eastAsia" w:ascii="宋体" w:hAnsi="宋体" w:cs="宋体"/>
                <w:bCs/>
                <w:lang w:bidi="ar"/>
              </w:rPr>
              <w:t>⑨</w:t>
            </w:r>
            <w:r>
              <w:rPr>
                <w:rFonts w:cs="Times New Roman"/>
                <w:bCs/>
                <w:lang w:bidi="ar"/>
              </w:rPr>
              <w:fldChar w:fldCharType="end"/>
            </w:r>
            <w:r>
              <w:rPr>
                <w:rFonts w:cs="Times New Roman"/>
                <w:bCs/>
                <w:lang w:bidi="ar"/>
              </w:rPr>
              <w:t>对可能产生粉尘爆炸危险的厂房，必须严格按照防爆技术等级进行设计；</w:t>
            </w:r>
          </w:p>
          <w:p w14:paraId="5D6094F1">
            <w:pPr>
              <w:ind w:firstLine="480"/>
              <w:rPr>
                <w:rFonts w:cs="Times New Roman"/>
                <w:lang w:bidi="ar"/>
              </w:rPr>
            </w:pPr>
            <w:r>
              <w:rPr>
                <w:rFonts w:cs="Times New Roman"/>
                <w:lang w:bidi="ar"/>
              </w:rPr>
              <w:fldChar w:fldCharType="begin"/>
            </w:r>
            <w:r>
              <w:rPr>
                <w:rFonts w:cs="Times New Roman"/>
                <w:lang w:bidi="ar"/>
              </w:rPr>
              <w:instrText xml:space="preserve"> = 10 \* GB3 \* MERGEFORMAT </w:instrText>
            </w:r>
            <w:r>
              <w:rPr>
                <w:rFonts w:cs="Times New Roman"/>
                <w:lang w:bidi="ar"/>
              </w:rPr>
              <w:fldChar w:fldCharType="separate"/>
            </w:r>
            <w:r>
              <w:rPr>
                <w:rFonts w:hint="eastAsia" w:ascii="宋体" w:hAnsi="宋体" w:cs="宋体"/>
                <w:lang w:bidi="ar"/>
              </w:rPr>
              <w:t>⑩</w:t>
            </w:r>
            <w:r>
              <w:rPr>
                <w:rFonts w:cs="Times New Roman"/>
                <w:lang w:bidi="ar"/>
              </w:rPr>
              <w:fldChar w:fldCharType="end"/>
            </w:r>
            <w:r>
              <w:rPr>
                <w:rFonts w:cs="Times New Roman"/>
                <w:lang w:bidi="ar"/>
              </w:rPr>
              <w:t>经常打扫车间地面和设备，防止粉尘飞扬和聚集；</w:t>
            </w:r>
            <w:r>
              <w:rPr>
                <w:rFonts w:hint="eastAsia" w:ascii="Cambria Math" w:hAnsi="Cambria Math" w:cs="Cambria Math"/>
                <w:lang w:bidi="ar"/>
              </w:rPr>
              <w:t>作业场所采用防静电工具清洁，加强对墙角等易堆积粉尘区域的清洁，禁止直接吹扫。</w:t>
            </w:r>
          </w:p>
          <w:p w14:paraId="5D3ECC06">
            <w:pPr>
              <w:ind w:firstLine="480"/>
              <w:rPr>
                <w:rFonts w:cs="Times New Roman"/>
                <w:lang w:bidi="ar"/>
              </w:rPr>
            </w:pPr>
            <w:r>
              <w:rPr>
                <w:rFonts w:hint="eastAsia" w:cs="Times New Roman"/>
                <w:lang w:bidi="ar"/>
              </w:rPr>
              <w:t>2）</w:t>
            </w:r>
            <w:r>
              <w:rPr>
                <w:rFonts w:cs="Times New Roman"/>
                <w:lang w:bidi="ar"/>
              </w:rPr>
              <w:t>事故废水和消防废水非正常排放应急处置措施：</w:t>
            </w:r>
          </w:p>
          <w:p w14:paraId="4D25E04A">
            <w:pPr>
              <w:ind w:firstLine="480"/>
              <w:rPr>
                <w:rFonts w:cs="Times New Roman"/>
                <w:lang w:bidi="ar"/>
              </w:rPr>
            </w:pPr>
            <w:r>
              <w:rPr>
                <w:rFonts w:cs="Times New Roman"/>
                <w:lang w:bidi="ar"/>
              </w:rPr>
              <w:t>设置三级防控体系，一级措施(设置围堰)，二级措施(备用收容设施)，三级防控措施(设置雨污水总排口切断阀门及雨水排口沙袋)。</w:t>
            </w:r>
          </w:p>
          <w:p w14:paraId="411A561E">
            <w:pPr>
              <w:ind w:firstLine="480"/>
              <w:rPr>
                <w:rFonts w:cs="Times New Roman"/>
                <w:lang w:bidi="ar"/>
              </w:rPr>
            </w:pPr>
            <w:r>
              <w:rPr>
                <w:rFonts w:hint="eastAsia" w:ascii="宋体" w:hAnsi="宋体" w:cs="宋体"/>
                <w:lang w:bidi="ar"/>
              </w:rPr>
              <w:t>①</w:t>
            </w:r>
            <w:r>
              <w:rPr>
                <w:rFonts w:cs="Times New Roman"/>
                <w:lang w:bidi="ar"/>
              </w:rPr>
              <w:t>一级措施：各主体装置（危废暂存间、</w:t>
            </w:r>
            <w:r>
              <w:rPr>
                <w:rFonts w:hint="eastAsia" w:cs="Times New Roman"/>
                <w:lang w:bidi="ar"/>
              </w:rPr>
              <w:t>车间门口</w:t>
            </w:r>
            <w:r>
              <w:rPr>
                <w:rFonts w:cs="Times New Roman"/>
                <w:lang w:bidi="ar"/>
              </w:rPr>
              <w:t>）设置防渗漏、防腐蚀、防淋溶、防流失措施，主体设施位于车间室内，雨水沟位于车间外，不会与雨水管接通。另外，公司应</w:t>
            </w:r>
            <w:bookmarkStart w:id="98" w:name="OLE_LINK20"/>
            <w:r>
              <w:rPr>
                <w:rFonts w:hint="eastAsia" w:cs="Times New Roman"/>
                <w:lang w:bidi="ar"/>
              </w:rPr>
              <w:t>配备</w:t>
            </w:r>
            <w:r>
              <w:rPr>
                <w:rFonts w:cs="Times New Roman"/>
                <w:lang w:bidi="ar"/>
              </w:rPr>
              <w:t>沙袋</w:t>
            </w:r>
            <w:r>
              <w:rPr>
                <w:rFonts w:hint="eastAsia" w:cs="Times New Roman"/>
                <w:lang w:bidi="ar"/>
              </w:rPr>
              <w:t>、封堵气囊、应急收集桶等应急物资</w:t>
            </w:r>
            <w:r>
              <w:rPr>
                <w:rFonts w:cs="Times New Roman"/>
                <w:lang w:bidi="ar"/>
              </w:rPr>
              <w:t>，以备应急时作为阻挡物封堵事故废水外流</w:t>
            </w:r>
            <w:r>
              <w:rPr>
                <w:rFonts w:hint="eastAsia" w:cs="Times New Roman"/>
                <w:lang w:bidi="ar"/>
              </w:rPr>
              <w:t>或者收集容器</w:t>
            </w:r>
            <w:bookmarkEnd w:id="98"/>
            <w:r>
              <w:rPr>
                <w:rFonts w:cs="Times New Roman"/>
                <w:lang w:bidi="ar"/>
              </w:rPr>
              <w:t>。</w:t>
            </w:r>
          </w:p>
          <w:p w14:paraId="2A669192">
            <w:pPr>
              <w:ind w:firstLine="480"/>
              <w:rPr>
                <w:rFonts w:cs="Times New Roman"/>
                <w:lang w:bidi="ar"/>
              </w:rPr>
            </w:pPr>
            <w:r>
              <w:rPr>
                <w:rFonts w:cs="Times New Roman"/>
                <w:lang w:bidi="ar"/>
              </w:rPr>
              <w:fldChar w:fldCharType="begin"/>
            </w:r>
            <w:r>
              <w:rPr>
                <w:rFonts w:cs="Times New Roman"/>
                <w:lang w:bidi="ar"/>
              </w:rPr>
              <w:instrText xml:space="preserve"> = 2 \* GB3 \* MERGEFORMAT </w:instrText>
            </w:r>
            <w:r>
              <w:rPr>
                <w:rFonts w:cs="Times New Roman"/>
                <w:lang w:bidi="ar"/>
              </w:rPr>
              <w:fldChar w:fldCharType="separate"/>
            </w:r>
            <w:r>
              <w:rPr>
                <w:rFonts w:hint="eastAsia" w:ascii="宋体" w:hAnsi="宋体" w:cs="宋体"/>
              </w:rPr>
              <w:t>②</w:t>
            </w:r>
            <w:r>
              <w:rPr>
                <w:rFonts w:cs="Times New Roman"/>
                <w:lang w:bidi="ar"/>
              </w:rPr>
              <w:fldChar w:fldCharType="end"/>
            </w:r>
            <w:r>
              <w:rPr>
                <w:rFonts w:cs="Times New Roman"/>
                <w:lang w:bidi="ar"/>
              </w:rPr>
              <w:t>二级措施：保证泄漏物排入备用收容设施，保证突发环境事件状态下通过泄漏物进入备用收容设施，</w:t>
            </w:r>
            <w:r>
              <w:rPr>
                <w:rFonts w:hint="eastAsia" w:cs="Times New Roman"/>
                <w:lang w:bidi="ar"/>
              </w:rPr>
              <w:t>避免</w:t>
            </w:r>
            <w:r>
              <w:rPr>
                <w:rFonts w:cs="Times New Roman"/>
                <w:lang w:bidi="ar"/>
              </w:rPr>
              <w:t>进入外环境。</w:t>
            </w:r>
            <w:r>
              <w:rPr>
                <w:rFonts w:hint="eastAsia" w:cs="Times New Roman"/>
                <w:lang w:bidi="ar"/>
              </w:rPr>
              <w:t>项目日</w:t>
            </w:r>
            <w:bookmarkStart w:id="99" w:name="OLE_LINK28"/>
            <w:bookmarkStart w:id="100" w:name="OLE_LINK29"/>
            <w:r>
              <w:rPr>
                <w:rFonts w:hint="eastAsia" w:cs="Times New Roman"/>
                <w:lang w:bidi="ar"/>
              </w:rPr>
              <w:t>常利用油水分离器（混事故状态下可将循环液全部泵回循环槽，腾空油水分离器）和立式预处理池冗余作为应急收容措施，泄漏物先集中收集至油水分离器和立式预处理池暂存，再委托资质单位清运处置。厂房内设置雨水管网紧急封堵气囊和沙袋，火灾爆炸</w:t>
            </w:r>
            <w:r>
              <w:rPr>
                <w:rFonts w:cs="Times New Roman"/>
                <w:lang w:bidi="ar"/>
              </w:rPr>
              <w:t>事件状态下</w:t>
            </w:r>
            <w:r>
              <w:rPr>
                <w:rFonts w:hint="eastAsia" w:cs="Times New Roman"/>
                <w:lang w:bidi="ar"/>
              </w:rPr>
              <w:t>采用充气封堵气囊投入雨水管网内，封堵雨水管网和污水总排口</w:t>
            </w:r>
            <w:bookmarkEnd w:id="99"/>
            <w:bookmarkEnd w:id="100"/>
            <w:r>
              <w:rPr>
                <w:rFonts w:hint="eastAsia" w:cs="Times New Roman"/>
                <w:lang w:bidi="ar"/>
              </w:rPr>
              <w:t>，采用沙袋封堵厂房周边雨水口，</w:t>
            </w:r>
            <w:r>
              <w:rPr>
                <w:rFonts w:cs="Times New Roman"/>
                <w:lang w:bidi="ar"/>
              </w:rPr>
              <w:t>消防废水进入</w:t>
            </w:r>
            <w:r>
              <w:rPr>
                <w:rFonts w:hint="eastAsia" w:cs="Times New Roman"/>
                <w:lang w:bidi="ar"/>
              </w:rPr>
              <w:t>租赁厂房所在厂区雨污水管网暂存。</w:t>
            </w:r>
            <w:r>
              <w:rPr>
                <w:rFonts w:cs="Times New Roman"/>
                <w:lang w:bidi="ar"/>
              </w:rPr>
              <w:t>消防废水主要含有悬浮物等污染物，</w:t>
            </w:r>
            <w:r>
              <w:rPr>
                <w:rFonts w:hint="eastAsia" w:cs="Times New Roman"/>
                <w:lang w:bidi="ar"/>
              </w:rPr>
              <w:t>后续经检测后</w:t>
            </w:r>
            <w:r>
              <w:rPr>
                <w:rFonts w:cs="Times New Roman"/>
                <w:lang w:bidi="ar"/>
              </w:rPr>
              <w:t>可通过污水处理厂合理处置后达标外排。</w:t>
            </w:r>
          </w:p>
          <w:p w14:paraId="3BEB4B42">
            <w:pPr>
              <w:ind w:firstLine="480"/>
              <w:rPr>
                <w:rFonts w:cs="Times New Roman"/>
                <w:lang w:bidi="ar"/>
              </w:rPr>
            </w:pPr>
            <w:r>
              <w:rPr>
                <w:rFonts w:cs="Times New Roman"/>
                <w:lang w:bidi="ar"/>
              </w:rPr>
              <w:fldChar w:fldCharType="begin"/>
            </w:r>
            <w:r>
              <w:rPr>
                <w:rFonts w:cs="Times New Roman"/>
                <w:lang w:bidi="ar"/>
              </w:rPr>
              <w:instrText xml:space="preserve"> = 3 \* GB3 \* MERGEFORMAT </w:instrText>
            </w:r>
            <w:r>
              <w:rPr>
                <w:rFonts w:cs="Times New Roman"/>
                <w:lang w:bidi="ar"/>
              </w:rPr>
              <w:fldChar w:fldCharType="separate"/>
            </w:r>
            <w:r>
              <w:rPr>
                <w:rFonts w:hint="eastAsia" w:ascii="宋体" w:hAnsi="宋体" w:cs="宋体"/>
              </w:rPr>
              <w:t>③</w:t>
            </w:r>
            <w:r>
              <w:rPr>
                <w:rFonts w:cs="Times New Roman"/>
                <w:lang w:bidi="ar"/>
              </w:rPr>
              <w:fldChar w:fldCharType="end"/>
            </w:r>
            <w:r>
              <w:rPr>
                <w:rFonts w:cs="Times New Roman"/>
                <w:lang w:bidi="ar"/>
              </w:rPr>
              <w:t>三级防控措施：厂界雨污水总排口</w:t>
            </w:r>
            <w:r>
              <w:rPr>
                <w:rFonts w:hint="eastAsia" w:cs="Times New Roman"/>
                <w:lang w:bidi="ar"/>
              </w:rPr>
              <w:t>设置封堵气囊封堵雨水、污水总排口</w:t>
            </w:r>
            <w:r>
              <w:rPr>
                <w:rFonts w:cs="Times New Roman"/>
                <w:lang w:bidi="ar"/>
              </w:rPr>
              <w:t>，确保消防废水不会流入雨水系统对外界水体造成不利影响。</w:t>
            </w:r>
            <w:r>
              <w:rPr>
                <w:rFonts w:hint="eastAsia" w:cs="Times New Roman"/>
                <w:lang w:bidi="ar"/>
              </w:rPr>
              <w:t>事故状态下立刻报告园区管委会，启动园区应急预案，协助园区开展应急处置工作，依托园区应急物资，快速相应。协助园区污水处理厂开展管网内废水监测工作，必要时联系罐车抽运管线内废水运输至园区污水处理厂事故池暂存。</w:t>
            </w:r>
          </w:p>
          <w:p w14:paraId="4CB2E5D0">
            <w:pPr>
              <w:ind w:firstLine="480"/>
              <w:rPr>
                <w:rFonts w:cs="Times New Roman"/>
                <w:bCs/>
                <w:lang w:bidi="ar"/>
              </w:rPr>
            </w:pPr>
            <w:r>
              <w:rPr>
                <w:rFonts w:cs="Times New Roman"/>
                <w:bCs/>
                <w:lang w:bidi="ar"/>
              </w:rPr>
              <w:t>3）泄漏事故风险防范</w:t>
            </w:r>
          </w:p>
          <w:p w14:paraId="0627374E">
            <w:pPr>
              <w:ind w:firstLine="480"/>
              <w:rPr>
                <w:rFonts w:cs="Times New Roman"/>
                <w:bCs/>
                <w:lang w:bidi="ar"/>
              </w:rPr>
            </w:pPr>
            <w:r>
              <w:rPr>
                <w:rFonts w:cs="Times New Roman"/>
                <w:bCs/>
                <w:lang w:bidi="ar"/>
              </w:rPr>
              <w:t>机油等油类物质存在泄漏风险。具体要求如下：</w:t>
            </w:r>
          </w:p>
          <w:p w14:paraId="29815D8A">
            <w:pPr>
              <w:ind w:firstLine="480"/>
              <w:rPr>
                <w:rFonts w:cs="Times New Roman"/>
                <w:bCs/>
                <w:lang w:bidi="ar"/>
              </w:rPr>
            </w:pPr>
            <w:r>
              <w:rPr>
                <w:rFonts w:hint="eastAsia" w:ascii="宋体" w:hAnsi="宋体" w:cs="宋体"/>
                <w:bCs/>
                <w:lang w:bidi="ar"/>
              </w:rPr>
              <w:t>①</w:t>
            </w:r>
            <w:r>
              <w:rPr>
                <w:rFonts w:cs="Times New Roman"/>
                <w:bCs/>
                <w:lang w:bidi="ar"/>
              </w:rPr>
              <w:t>液态危险废物（废</w:t>
            </w:r>
            <w:r>
              <w:rPr>
                <w:rFonts w:hint="eastAsia" w:cs="Times New Roman"/>
                <w:bCs/>
                <w:lang w:bidi="ar"/>
              </w:rPr>
              <w:t>导热油</w:t>
            </w:r>
            <w:r>
              <w:rPr>
                <w:rFonts w:cs="Times New Roman"/>
                <w:bCs/>
                <w:lang w:bidi="ar"/>
              </w:rPr>
              <w:t>）应专桶收集暂存于危废暂存间，收集桶堆放地面作防雨、防渗、防漏处理，并在周边设置导流槽，确保事故状态下废液不进入外环境。并委托相关资质单位处理，并建立、落实联单制度，严禁私自处理。</w:t>
            </w:r>
          </w:p>
          <w:p w14:paraId="62EE456E">
            <w:pPr>
              <w:ind w:firstLine="480"/>
              <w:rPr>
                <w:rFonts w:cs="Times New Roman"/>
                <w:bCs/>
                <w:lang w:bidi="ar"/>
              </w:rPr>
            </w:pPr>
            <w:r>
              <w:rPr>
                <w:rFonts w:hint="eastAsia" w:ascii="宋体" w:hAnsi="宋体" w:cs="宋体"/>
                <w:bCs/>
                <w:lang w:bidi="ar"/>
              </w:rPr>
              <w:t>②</w:t>
            </w:r>
            <w:r>
              <w:rPr>
                <w:rFonts w:cs="Times New Roman"/>
                <w:bCs/>
                <w:lang w:bidi="ar"/>
              </w:rPr>
              <w:t>危险废物妥善收集，做好危废暂存间防渗透处理，临时堆存时间不得过长，堆存量不得超过规定要求，以防造成渗漏等二次污染或安全事故。按照相关规范暂存危废，避免或减轻由安全事故引发的环境风险。</w:t>
            </w:r>
          </w:p>
          <w:p w14:paraId="69EA860B">
            <w:pPr>
              <w:ind w:firstLine="480"/>
              <w:rPr>
                <w:rFonts w:cs="Times New Roman"/>
                <w:bCs/>
                <w:lang w:bidi="ar"/>
              </w:rPr>
            </w:pPr>
            <w:r>
              <w:rPr>
                <w:rFonts w:hint="eastAsia" w:ascii="宋体" w:hAnsi="宋体" w:cs="宋体"/>
                <w:bCs/>
                <w:lang w:bidi="ar"/>
              </w:rPr>
              <w:t>③</w:t>
            </w:r>
            <w:r>
              <w:rPr>
                <w:rFonts w:cs="Times New Roman"/>
                <w:bCs/>
                <w:lang w:bidi="ar"/>
              </w:rPr>
              <w:t>在</w:t>
            </w:r>
            <w:r>
              <w:rPr>
                <w:rFonts w:hint="eastAsia" w:ascii="宋体" w:hAnsi="宋体" w:cs="宋体"/>
                <w:bCs/>
                <w:lang w:bidi="ar"/>
              </w:rPr>
              <w:t>废油</w:t>
            </w:r>
            <w:r>
              <w:rPr>
                <w:rFonts w:cs="Times New Roman"/>
                <w:bCs/>
                <w:lang w:bidi="ar"/>
              </w:rPr>
              <w:t>桶下发设置防泄漏托盘，在厂区集中放置，地面做好防渗措施，严禁烟火，注意通风。</w:t>
            </w:r>
          </w:p>
          <w:p w14:paraId="65254237">
            <w:pPr>
              <w:ind w:firstLine="480"/>
              <w:rPr>
                <w:rFonts w:cs="Times New Roman"/>
                <w:bCs/>
                <w:lang w:bidi="ar"/>
              </w:rPr>
            </w:pPr>
            <w:r>
              <w:rPr>
                <w:rFonts w:hint="eastAsia" w:ascii="宋体" w:hAnsi="宋体" w:cs="宋体"/>
                <w:bCs/>
                <w:lang w:bidi="ar"/>
              </w:rPr>
              <w:t>④</w:t>
            </w:r>
            <w:r>
              <w:rPr>
                <w:rFonts w:cs="Times New Roman"/>
                <w:bCs/>
                <w:lang w:bidi="ar"/>
              </w:rPr>
              <w:t>合理配置灭火设备，电器安装应能充分满足消防用电的要求，内部的输配电线路、灯具、火灾事故照明和疏散指示符合安全要求。</w:t>
            </w:r>
          </w:p>
          <w:p w14:paraId="616A193C">
            <w:pPr>
              <w:ind w:firstLine="480"/>
              <w:rPr>
                <w:rFonts w:cs="Times New Roman"/>
                <w:lang w:bidi="ar"/>
              </w:rPr>
            </w:pPr>
            <w:r>
              <w:rPr>
                <w:rFonts w:cs="Times New Roman"/>
                <w:lang w:bidi="ar"/>
              </w:rPr>
              <w:t>4）废气非正常排放</w:t>
            </w:r>
          </w:p>
          <w:p w14:paraId="3E570A28">
            <w:pPr>
              <w:ind w:firstLine="480"/>
              <w:rPr>
                <w:rFonts w:cs="Times New Roman"/>
                <w:bCs/>
                <w:lang w:bidi="ar"/>
              </w:rPr>
            </w:pPr>
            <w:r>
              <w:rPr>
                <w:rFonts w:cs="Times New Roman"/>
                <w:bCs/>
                <w:lang w:bidi="ar"/>
              </w:rPr>
              <w:t>如发现除尘装置和有机废气处理装置出现故障，立即停产，立即修复，事故情况下厂区不得生产。同时，还通过以下措施防止事故废气对区域环境造成不利影响。</w:t>
            </w:r>
          </w:p>
          <w:p w14:paraId="2C2D87EF">
            <w:pPr>
              <w:ind w:firstLine="480"/>
              <w:rPr>
                <w:rFonts w:cs="Times New Roman"/>
                <w:bCs/>
                <w:lang w:bidi="ar"/>
              </w:rPr>
            </w:pPr>
            <w:r>
              <w:rPr>
                <w:rFonts w:hint="eastAsia" w:ascii="宋体" w:hAnsi="宋体" w:cs="宋体"/>
                <w:bCs/>
                <w:lang w:bidi="ar"/>
              </w:rPr>
              <w:t>①</w:t>
            </w:r>
            <w:r>
              <w:rPr>
                <w:rFonts w:cs="Times New Roman"/>
                <w:bCs/>
                <w:lang w:bidi="ar"/>
              </w:rPr>
              <w:t>定期检测各生产区间设置的除尘和有机废气处理装置，发现装置未工作等情况立即停机检查维修。</w:t>
            </w:r>
          </w:p>
          <w:p w14:paraId="69C4A8C6">
            <w:pPr>
              <w:ind w:firstLine="480"/>
              <w:rPr>
                <w:rFonts w:cs="Times New Roman"/>
                <w:bCs/>
                <w:lang w:bidi="ar"/>
              </w:rPr>
            </w:pPr>
            <w:r>
              <w:rPr>
                <w:rFonts w:hint="eastAsia" w:ascii="宋体" w:hAnsi="宋体" w:cs="宋体"/>
                <w:bCs/>
                <w:lang w:bidi="ar"/>
              </w:rPr>
              <w:t>②</w:t>
            </w:r>
            <w:r>
              <w:rPr>
                <w:rFonts w:cs="Times New Roman"/>
                <w:bCs/>
                <w:lang w:bidi="ar"/>
              </w:rPr>
              <w:t>指派专人每周对厂房内粉尘处理状况以及相关环保装置进行检查，排除事故。</w:t>
            </w:r>
          </w:p>
          <w:p w14:paraId="388BA2AD">
            <w:pPr>
              <w:ind w:firstLine="480"/>
              <w:rPr>
                <w:rFonts w:cs="Times New Roman"/>
                <w:bCs/>
                <w:lang w:bidi="ar"/>
              </w:rPr>
            </w:pPr>
            <w:r>
              <w:rPr>
                <w:rFonts w:hint="eastAsia" w:ascii="宋体" w:hAnsi="宋体" w:cs="宋体"/>
                <w:bCs/>
                <w:lang w:bidi="ar"/>
              </w:rPr>
              <w:t>③</w:t>
            </w:r>
            <w:r>
              <w:rPr>
                <w:rFonts w:cs="Times New Roman"/>
                <w:bCs/>
                <w:lang w:bidi="ar"/>
              </w:rPr>
              <w:t>定期清除布袋除尘器的收尘灰，定期更换活性炭，避免影响处理效率。</w:t>
            </w:r>
          </w:p>
          <w:p w14:paraId="5FEC8C28">
            <w:pPr>
              <w:ind w:firstLine="480"/>
              <w:rPr>
                <w:rFonts w:cs="Times New Roman"/>
                <w:bCs/>
                <w:lang w:bidi="ar"/>
              </w:rPr>
            </w:pPr>
            <w:r>
              <w:rPr>
                <w:rFonts w:cs="Times New Roman"/>
                <w:bCs/>
                <w:lang w:bidi="ar"/>
              </w:rPr>
              <w:t>厂区内应</w:t>
            </w:r>
            <w:bookmarkStart w:id="101" w:name="OLE_LINK31"/>
            <w:r>
              <w:rPr>
                <w:rFonts w:cs="Times New Roman"/>
                <w:bCs/>
                <w:lang w:bidi="ar"/>
              </w:rPr>
              <w:t>加强设备的运行管理和维护保养</w:t>
            </w:r>
            <w:bookmarkEnd w:id="101"/>
            <w:r>
              <w:rPr>
                <w:rFonts w:cs="Times New Roman"/>
                <w:bCs/>
                <w:lang w:bidi="ar"/>
              </w:rPr>
              <w:t>、使各项环保设备设施保持良好运转，避免因设备故障而发生环境污染事件。</w:t>
            </w:r>
          </w:p>
          <w:p w14:paraId="10C9B50C">
            <w:pPr>
              <w:ind w:firstLine="482"/>
              <w:rPr>
                <w:rFonts w:cs="Times New Roman"/>
                <w:b/>
                <w:bCs/>
                <w:lang w:bidi="ar"/>
              </w:rPr>
            </w:pPr>
            <w:r>
              <w:rPr>
                <w:rFonts w:cs="Times New Roman"/>
                <w:b/>
                <w:bCs/>
                <w:lang w:bidi="ar"/>
              </w:rPr>
              <w:t>（5）环境风险分析结论</w:t>
            </w:r>
          </w:p>
          <w:p w14:paraId="25335106">
            <w:pPr>
              <w:ind w:firstLine="480"/>
              <w:rPr>
                <w:rFonts w:cs="Times New Roman"/>
                <w:bCs/>
                <w:lang w:bidi="ar"/>
              </w:rPr>
            </w:pPr>
            <w:r>
              <w:rPr>
                <w:rFonts w:cs="Times New Roman"/>
                <w:bCs/>
                <w:lang w:bidi="ar"/>
              </w:rPr>
              <w:t>综上分析，项目建成后，只要不断加强环境管理和生产安全，对每个环节特别是危险物品落实风险防范措施和应急措施，可避免环境风险事故的发生。本项目使用的风险物质其储存量较小，不构成重大危险源；风险分析表明，建设单位通过采取一系列风险防范措施，可有效降低危险化学品使用风险，能使项目风险水平降低至可接受程度。</w:t>
            </w:r>
          </w:p>
          <w:p w14:paraId="3CB8077B">
            <w:pPr>
              <w:pStyle w:val="3"/>
              <w:spacing w:before="163"/>
              <w:rPr>
                <w:lang w:bidi="ar"/>
              </w:rPr>
            </w:pPr>
            <w:r>
              <w:rPr>
                <w:lang w:bidi="ar"/>
              </w:rPr>
              <w:t>8、排污口规范化设置</w:t>
            </w:r>
          </w:p>
          <w:p w14:paraId="7B03CB47">
            <w:pPr>
              <w:adjustRightInd w:val="0"/>
              <w:snapToGrid w:val="0"/>
              <w:ind w:firstLine="480"/>
              <w:rPr>
                <w:rFonts w:cs="Times New Roman"/>
              </w:rPr>
            </w:pPr>
            <w:r>
              <w:rPr>
                <w:rFonts w:cs="Times New Roman"/>
              </w:rPr>
              <w:t>建设单位应按要求在各污染源车间外及固体废物暂存场等设置明显的环境保护图形标志牌，设置规范的监测口，服务于后续监测采样。</w:t>
            </w:r>
          </w:p>
          <w:p w14:paraId="5B9A5B93">
            <w:pPr>
              <w:adjustRightInd w:val="0"/>
              <w:snapToGrid w:val="0"/>
              <w:ind w:firstLine="480"/>
              <w:rPr>
                <w:rFonts w:cs="Times New Roman"/>
              </w:rPr>
            </w:pPr>
            <w:r>
              <w:rPr>
                <w:rFonts w:cs="Times New Roman"/>
              </w:rPr>
              <w:t>本项目排气筒应设置便于采样、监测的采样口，采样口的设置应符合《污染源监测技术规范》中采样位置（设置在距弯头、阀门、变径管下游方向不小于4倍直径，和距上述部件上游方向不小于2倍处）及采样口（采样孔内径不小于80mm，采样孔管长不应大于50mm）的要求。</w:t>
            </w:r>
          </w:p>
          <w:p w14:paraId="4BB80F1D">
            <w:pPr>
              <w:adjustRightInd w:val="0"/>
              <w:snapToGrid w:val="0"/>
              <w:ind w:firstLine="480"/>
              <w:rPr>
                <w:rFonts w:cs="Times New Roman"/>
              </w:rPr>
            </w:pPr>
            <w:r>
              <w:rPr>
                <w:rFonts w:cs="Times New Roman"/>
              </w:rPr>
              <w:t>本项目排污口设置牌可参照以下标识设置。</w:t>
            </w:r>
          </w:p>
          <w:p w14:paraId="6F2896E9">
            <w:pPr>
              <w:pStyle w:val="13"/>
              <w:rPr>
                <w:rFonts w:cs="Times New Roman"/>
              </w:rPr>
            </w:pPr>
            <w:r>
              <w:rPr>
                <w:rFonts w:cs="Times New Roman"/>
              </w:rPr>
              <w:t>表</w:t>
            </w:r>
            <w:r>
              <w:rPr>
                <w:rFonts w:cs="Times New Roman"/>
              </w:rPr>
              <w:fldChar w:fldCharType="begin"/>
            </w:r>
            <w:r>
              <w:rPr>
                <w:rFonts w:cs="Times New Roman"/>
              </w:rPr>
              <w:instrText xml:space="preserve"> SEQ seq \c </w:instrText>
            </w:r>
            <w:r>
              <w:rPr>
                <w:rFonts w:cs="Times New Roman"/>
              </w:rPr>
              <w:fldChar w:fldCharType="separate"/>
            </w:r>
            <w:r>
              <w:rPr>
                <w:rFonts w:cs="Times New Roman"/>
              </w:rPr>
              <w:t>4</w:t>
            </w:r>
            <w:r>
              <w:rPr>
                <w:rFonts w:cs="Times New Roman"/>
              </w:rPr>
              <w:fldChar w:fldCharType="end"/>
            </w:r>
            <w:r>
              <w:rPr>
                <w:rFonts w:cs="Times New Roman"/>
              </w:rPr>
              <w:noBreakHyphen/>
            </w:r>
            <w:r>
              <w:rPr>
                <w:rFonts w:cs="Times New Roman"/>
              </w:rPr>
              <w:fldChar w:fldCharType="begin"/>
            </w:r>
            <w:r>
              <w:rPr>
                <w:rFonts w:cs="Times New Roman"/>
              </w:rPr>
              <w:instrText xml:space="preserve"> SEQ 表 \* ARABIC \s 1 </w:instrText>
            </w:r>
            <w:r>
              <w:rPr>
                <w:rFonts w:cs="Times New Roman"/>
              </w:rPr>
              <w:fldChar w:fldCharType="separate"/>
            </w:r>
            <w:r>
              <w:rPr>
                <w:rFonts w:cs="Times New Roman"/>
              </w:rPr>
              <w:t>19</w:t>
            </w:r>
            <w:r>
              <w:rPr>
                <w:rFonts w:cs="Times New Roman"/>
              </w:rPr>
              <w:fldChar w:fldCharType="end"/>
            </w:r>
            <w:r>
              <w:rPr>
                <w:rFonts w:cs="Times New Roman"/>
              </w:rPr>
              <w:t xml:space="preserve"> 排放源图形标识</w:t>
            </w:r>
          </w:p>
          <w:tbl>
            <w:tblPr>
              <w:tblStyle w:val="33"/>
              <w:tblW w:w="5000" w:type="pct"/>
              <w:tblInd w:w="0" w:type="dxa"/>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Layout w:type="autofit"/>
              <w:tblCellMar>
                <w:top w:w="0" w:type="dxa"/>
                <w:left w:w="108" w:type="dxa"/>
                <w:bottom w:w="0" w:type="dxa"/>
                <w:right w:w="108" w:type="dxa"/>
              </w:tblCellMar>
            </w:tblPr>
            <w:tblGrid>
              <w:gridCol w:w="916"/>
              <w:gridCol w:w="1914"/>
              <w:gridCol w:w="2075"/>
              <w:gridCol w:w="2010"/>
              <w:gridCol w:w="2012"/>
            </w:tblGrid>
            <w:tr w14:paraId="7276249C">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c>
                <w:tcPr>
                  <w:tcW w:w="513" w:type="pct"/>
                  <w:tcBorders>
                    <w:tl2br w:val="nil"/>
                    <w:tr2bl w:val="nil"/>
                  </w:tcBorders>
                  <w:vAlign w:val="center"/>
                </w:tcPr>
                <w:p w14:paraId="03325E83">
                  <w:pPr>
                    <w:pStyle w:val="53"/>
                    <w:rPr>
                      <w:rFonts w:cs="Times New Roman"/>
                    </w:rPr>
                  </w:pPr>
                  <w:r>
                    <w:rPr>
                      <w:rFonts w:cs="Times New Roman"/>
                    </w:rPr>
                    <w:t>排放口</w:t>
                  </w:r>
                </w:p>
              </w:tc>
              <w:tc>
                <w:tcPr>
                  <w:tcW w:w="1072" w:type="pct"/>
                  <w:tcBorders>
                    <w:tl2br w:val="nil"/>
                    <w:tr2bl w:val="nil"/>
                  </w:tcBorders>
                  <w:vAlign w:val="center"/>
                </w:tcPr>
                <w:p w14:paraId="3E60706D">
                  <w:pPr>
                    <w:pStyle w:val="53"/>
                    <w:rPr>
                      <w:rFonts w:cs="Times New Roman"/>
                    </w:rPr>
                  </w:pPr>
                  <w:r>
                    <w:rPr>
                      <w:rFonts w:cs="Times New Roman"/>
                    </w:rPr>
                    <w:t>废水排口</w:t>
                  </w:r>
                </w:p>
              </w:tc>
              <w:tc>
                <w:tcPr>
                  <w:tcW w:w="1162" w:type="pct"/>
                  <w:tcBorders>
                    <w:tl2br w:val="nil"/>
                    <w:tr2bl w:val="nil"/>
                  </w:tcBorders>
                  <w:vAlign w:val="center"/>
                </w:tcPr>
                <w:p w14:paraId="14C5DF38">
                  <w:pPr>
                    <w:pStyle w:val="53"/>
                    <w:rPr>
                      <w:rFonts w:cs="Times New Roman"/>
                    </w:rPr>
                  </w:pPr>
                  <w:r>
                    <w:rPr>
                      <w:rFonts w:cs="Times New Roman"/>
                    </w:rPr>
                    <w:t>废气排口</w:t>
                  </w:r>
                </w:p>
              </w:tc>
              <w:tc>
                <w:tcPr>
                  <w:tcW w:w="1126" w:type="pct"/>
                  <w:tcBorders>
                    <w:tl2br w:val="nil"/>
                    <w:tr2bl w:val="nil"/>
                  </w:tcBorders>
                  <w:vAlign w:val="center"/>
                </w:tcPr>
                <w:p w14:paraId="061114C1">
                  <w:pPr>
                    <w:pStyle w:val="53"/>
                    <w:rPr>
                      <w:rFonts w:cs="Times New Roman"/>
                    </w:rPr>
                  </w:pPr>
                  <w:r>
                    <w:rPr>
                      <w:rFonts w:cs="Times New Roman"/>
                    </w:rPr>
                    <w:t>噪声源</w:t>
                  </w:r>
                </w:p>
              </w:tc>
              <w:tc>
                <w:tcPr>
                  <w:tcW w:w="1127" w:type="pct"/>
                  <w:tcBorders>
                    <w:tl2br w:val="nil"/>
                    <w:tr2bl w:val="nil"/>
                  </w:tcBorders>
                  <w:vAlign w:val="center"/>
                </w:tcPr>
                <w:p w14:paraId="5855E66F">
                  <w:pPr>
                    <w:pStyle w:val="53"/>
                    <w:rPr>
                      <w:rFonts w:cs="Times New Roman"/>
                    </w:rPr>
                  </w:pPr>
                  <w:r>
                    <w:rPr>
                      <w:rFonts w:cs="Times New Roman"/>
                    </w:rPr>
                    <w:t>一般固废排放源</w:t>
                  </w:r>
                </w:p>
              </w:tc>
            </w:tr>
            <w:tr w14:paraId="3FABF43D">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c>
                <w:tcPr>
                  <w:tcW w:w="513" w:type="pct"/>
                  <w:tcBorders>
                    <w:tl2br w:val="nil"/>
                    <w:tr2bl w:val="nil"/>
                  </w:tcBorders>
                  <w:vAlign w:val="center"/>
                </w:tcPr>
                <w:p w14:paraId="39677147">
                  <w:pPr>
                    <w:pStyle w:val="14"/>
                    <w:rPr>
                      <w:rFonts w:cs="Times New Roman"/>
                    </w:rPr>
                  </w:pPr>
                  <w:r>
                    <w:rPr>
                      <w:rFonts w:cs="Times New Roman"/>
                    </w:rPr>
                    <w:t>图形符号</w:t>
                  </w:r>
                </w:p>
              </w:tc>
              <w:tc>
                <w:tcPr>
                  <w:tcW w:w="1072" w:type="pct"/>
                  <w:tcBorders>
                    <w:tl2br w:val="nil"/>
                    <w:tr2bl w:val="nil"/>
                  </w:tcBorders>
                  <w:vAlign w:val="center"/>
                </w:tcPr>
                <w:p w14:paraId="50718D54">
                  <w:pPr>
                    <w:pStyle w:val="14"/>
                    <w:rPr>
                      <w:rFonts w:cs="Times New Roman"/>
                    </w:rPr>
                  </w:pPr>
                  <w:r>
                    <w:rPr>
                      <w:rFonts w:cs="Times New Roman"/>
                    </w:rPr>
                    <w:drawing>
                      <wp:inline distT="0" distB="0" distL="0" distR="0">
                        <wp:extent cx="990600" cy="1000125"/>
                        <wp:effectExtent l="0" t="0" r="0" b="952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a:xfrm>
                                  <a:off x="0" y="0"/>
                                  <a:ext cx="990600" cy="1000125"/>
                                </a:xfrm>
                                <a:prstGeom prst="rect">
                                  <a:avLst/>
                                </a:prstGeom>
                                <a:noFill/>
                                <a:ln>
                                  <a:noFill/>
                                </a:ln>
                              </pic:spPr>
                            </pic:pic>
                          </a:graphicData>
                        </a:graphic>
                      </wp:inline>
                    </w:drawing>
                  </w:r>
                </w:p>
              </w:tc>
              <w:tc>
                <w:tcPr>
                  <w:tcW w:w="1162" w:type="pct"/>
                  <w:tcBorders>
                    <w:tl2br w:val="nil"/>
                    <w:tr2bl w:val="nil"/>
                  </w:tcBorders>
                  <w:vAlign w:val="center"/>
                </w:tcPr>
                <w:p w14:paraId="2F47B5DE">
                  <w:pPr>
                    <w:pStyle w:val="14"/>
                    <w:rPr>
                      <w:rFonts w:cs="Times New Roman"/>
                    </w:rPr>
                  </w:pPr>
                  <w:r>
                    <w:rPr>
                      <w:rFonts w:cs="Times New Roman"/>
                    </w:rPr>
                    <w:drawing>
                      <wp:inline distT="0" distB="0" distL="0" distR="0">
                        <wp:extent cx="1076325" cy="981075"/>
                        <wp:effectExtent l="0" t="0" r="9525" b="952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a:xfrm>
                                  <a:off x="0" y="0"/>
                                  <a:ext cx="1076325" cy="981075"/>
                                </a:xfrm>
                                <a:prstGeom prst="rect">
                                  <a:avLst/>
                                </a:prstGeom>
                                <a:noFill/>
                                <a:ln>
                                  <a:noFill/>
                                </a:ln>
                              </pic:spPr>
                            </pic:pic>
                          </a:graphicData>
                        </a:graphic>
                      </wp:inline>
                    </w:drawing>
                  </w:r>
                </w:p>
              </w:tc>
              <w:tc>
                <w:tcPr>
                  <w:tcW w:w="1126" w:type="pct"/>
                  <w:tcBorders>
                    <w:tl2br w:val="nil"/>
                    <w:tr2bl w:val="nil"/>
                  </w:tcBorders>
                  <w:vAlign w:val="center"/>
                </w:tcPr>
                <w:p w14:paraId="6D18E421">
                  <w:pPr>
                    <w:pStyle w:val="14"/>
                    <w:rPr>
                      <w:rFonts w:cs="Times New Roman"/>
                    </w:rPr>
                  </w:pPr>
                  <w:r>
                    <w:rPr>
                      <w:rFonts w:cs="Times New Roman"/>
                    </w:rPr>
                    <w:drawing>
                      <wp:inline distT="0" distB="0" distL="0" distR="0">
                        <wp:extent cx="971550" cy="97155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a:xfrm>
                                  <a:off x="0" y="0"/>
                                  <a:ext cx="971550" cy="971550"/>
                                </a:xfrm>
                                <a:prstGeom prst="rect">
                                  <a:avLst/>
                                </a:prstGeom>
                                <a:noFill/>
                                <a:ln>
                                  <a:noFill/>
                                </a:ln>
                              </pic:spPr>
                            </pic:pic>
                          </a:graphicData>
                        </a:graphic>
                      </wp:inline>
                    </w:drawing>
                  </w:r>
                </w:p>
              </w:tc>
              <w:tc>
                <w:tcPr>
                  <w:tcW w:w="1127" w:type="pct"/>
                  <w:tcBorders>
                    <w:tl2br w:val="nil"/>
                    <w:tr2bl w:val="nil"/>
                  </w:tcBorders>
                  <w:vAlign w:val="center"/>
                </w:tcPr>
                <w:p w14:paraId="6EF4C810">
                  <w:pPr>
                    <w:pStyle w:val="14"/>
                    <w:rPr>
                      <w:rFonts w:cs="Times New Roman"/>
                    </w:rPr>
                  </w:pPr>
                  <w:r>
                    <w:rPr>
                      <w:rFonts w:cs="Times New Roman"/>
                    </w:rPr>
                    <w:drawing>
                      <wp:inline distT="0" distB="0" distL="0" distR="0">
                        <wp:extent cx="1047750" cy="100965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a:xfrm>
                                  <a:off x="0" y="0"/>
                                  <a:ext cx="1047750" cy="1009650"/>
                                </a:xfrm>
                                <a:prstGeom prst="rect">
                                  <a:avLst/>
                                </a:prstGeom>
                                <a:noFill/>
                                <a:ln>
                                  <a:noFill/>
                                </a:ln>
                              </pic:spPr>
                            </pic:pic>
                          </a:graphicData>
                        </a:graphic>
                      </wp:inline>
                    </w:drawing>
                  </w:r>
                </w:p>
              </w:tc>
            </w:tr>
            <w:tr w14:paraId="3C8345D1">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c>
                <w:tcPr>
                  <w:tcW w:w="513" w:type="pct"/>
                  <w:tcBorders>
                    <w:tl2br w:val="nil"/>
                    <w:tr2bl w:val="nil"/>
                  </w:tcBorders>
                  <w:vAlign w:val="center"/>
                </w:tcPr>
                <w:p w14:paraId="42C5ADB0">
                  <w:pPr>
                    <w:pStyle w:val="14"/>
                    <w:rPr>
                      <w:rFonts w:cs="Times New Roman"/>
                    </w:rPr>
                  </w:pPr>
                  <w:r>
                    <w:rPr>
                      <w:rFonts w:cs="Times New Roman"/>
                    </w:rPr>
                    <w:t>图形颜色</w:t>
                  </w:r>
                </w:p>
              </w:tc>
              <w:tc>
                <w:tcPr>
                  <w:tcW w:w="4487" w:type="pct"/>
                  <w:gridSpan w:val="4"/>
                  <w:tcBorders>
                    <w:tl2br w:val="nil"/>
                    <w:tr2bl w:val="nil"/>
                  </w:tcBorders>
                  <w:vAlign w:val="center"/>
                </w:tcPr>
                <w:p w14:paraId="34A5177F">
                  <w:pPr>
                    <w:pStyle w:val="14"/>
                    <w:rPr>
                      <w:rFonts w:cs="Times New Roman"/>
                    </w:rPr>
                  </w:pPr>
                  <w:r>
                    <w:rPr>
                      <w:rFonts w:cs="Times New Roman"/>
                    </w:rPr>
                    <w:t>白色</w:t>
                  </w:r>
                </w:p>
              </w:tc>
            </w:tr>
            <w:tr w14:paraId="0B9BB46A">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c>
                <w:tcPr>
                  <w:tcW w:w="513" w:type="pct"/>
                  <w:tcBorders>
                    <w:tl2br w:val="nil"/>
                    <w:tr2bl w:val="nil"/>
                  </w:tcBorders>
                  <w:vAlign w:val="center"/>
                </w:tcPr>
                <w:p w14:paraId="131A453C">
                  <w:pPr>
                    <w:pStyle w:val="14"/>
                    <w:rPr>
                      <w:rFonts w:cs="Times New Roman"/>
                    </w:rPr>
                  </w:pPr>
                  <w:r>
                    <w:rPr>
                      <w:rFonts w:cs="Times New Roman"/>
                    </w:rPr>
                    <w:t>背景颜色</w:t>
                  </w:r>
                </w:p>
              </w:tc>
              <w:tc>
                <w:tcPr>
                  <w:tcW w:w="4487" w:type="pct"/>
                  <w:gridSpan w:val="4"/>
                  <w:tcBorders>
                    <w:tl2br w:val="nil"/>
                    <w:tr2bl w:val="nil"/>
                  </w:tcBorders>
                  <w:vAlign w:val="center"/>
                </w:tcPr>
                <w:p w14:paraId="71DECE42">
                  <w:pPr>
                    <w:pStyle w:val="14"/>
                    <w:rPr>
                      <w:rFonts w:cs="Times New Roman"/>
                    </w:rPr>
                  </w:pPr>
                  <w:r>
                    <w:rPr>
                      <w:rFonts w:cs="Times New Roman"/>
                    </w:rPr>
                    <w:t>绿色</w:t>
                  </w:r>
                </w:p>
              </w:tc>
            </w:tr>
          </w:tbl>
          <w:p w14:paraId="6F64F27D">
            <w:pPr>
              <w:adjustRightInd w:val="0"/>
              <w:snapToGrid w:val="0"/>
              <w:ind w:firstLine="480"/>
              <w:rPr>
                <w:rFonts w:cs="Times New Roman"/>
              </w:rPr>
            </w:pPr>
            <w:r>
              <w:rPr>
                <w:rFonts w:cs="Times New Roman"/>
              </w:rPr>
              <w:t>本项目危险废物标识牌应参照《危险废物识别标志设置技术规范》（HJ1276-2022）设置，见下表。</w:t>
            </w:r>
          </w:p>
          <w:p w14:paraId="0EB79728">
            <w:pPr>
              <w:pStyle w:val="13"/>
              <w:rPr>
                <w:rFonts w:cs="Times New Roman"/>
                <w:bCs/>
                <w:szCs w:val="21"/>
              </w:rPr>
            </w:pPr>
            <w:bookmarkStart w:id="102" w:name="OLE_LINK214"/>
            <w:bookmarkStart w:id="103" w:name="OLE_LINK215"/>
            <w:r>
              <w:rPr>
                <w:rFonts w:cs="Times New Roman"/>
              </w:rPr>
              <w:t>表</w:t>
            </w:r>
            <w:r>
              <w:rPr>
                <w:rFonts w:cs="Times New Roman"/>
              </w:rPr>
              <w:fldChar w:fldCharType="begin"/>
            </w:r>
            <w:r>
              <w:rPr>
                <w:rFonts w:cs="Times New Roman"/>
              </w:rPr>
              <w:instrText xml:space="preserve"> SEQ seq \c </w:instrText>
            </w:r>
            <w:r>
              <w:rPr>
                <w:rFonts w:cs="Times New Roman"/>
              </w:rPr>
              <w:fldChar w:fldCharType="separate"/>
            </w:r>
            <w:r>
              <w:rPr>
                <w:rFonts w:cs="Times New Roman"/>
              </w:rPr>
              <w:t>4</w:t>
            </w:r>
            <w:r>
              <w:rPr>
                <w:rFonts w:cs="Times New Roman"/>
              </w:rPr>
              <w:fldChar w:fldCharType="end"/>
            </w:r>
            <w:r>
              <w:rPr>
                <w:rFonts w:cs="Times New Roman"/>
              </w:rPr>
              <w:noBreakHyphen/>
            </w:r>
            <w:r>
              <w:rPr>
                <w:rFonts w:cs="Times New Roman"/>
              </w:rPr>
              <w:fldChar w:fldCharType="begin"/>
            </w:r>
            <w:r>
              <w:rPr>
                <w:rFonts w:cs="Times New Roman"/>
              </w:rPr>
              <w:instrText xml:space="preserve"> SEQ 表 \* ARABIC \s 1 </w:instrText>
            </w:r>
            <w:r>
              <w:rPr>
                <w:rFonts w:cs="Times New Roman"/>
              </w:rPr>
              <w:fldChar w:fldCharType="separate"/>
            </w:r>
            <w:r>
              <w:rPr>
                <w:rFonts w:cs="Times New Roman"/>
              </w:rPr>
              <w:t>20</w:t>
            </w:r>
            <w:r>
              <w:rPr>
                <w:rFonts w:cs="Times New Roman"/>
              </w:rPr>
              <w:fldChar w:fldCharType="end"/>
            </w:r>
            <w:r>
              <w:rPr>
                <w:rFonts w:cs="Times New Roman"/>
              </w:rPr>
              <w:t xml:space="preserve"> </w:t>
            </w:r>
            <w:bookmarkEnd w:id="102"/>
            <w:bookmarkEnd w:id="103"/>
            <w:r>
              <w:rPr>
                <w:rFonts w:cs="Times New Roman"/>
              </w:rPr>
              <w:t>危废暂存间</w:t>
            </w:r>
            <w:r>
              <w:rPr>
                <w:rFonts w:cs="Times New Roman"/>
                <w:bCs/>
                <w:szCs w:val="21"/>
              </w:rPr>
              <w:t>标识</w:t>
            </w:r>
          </w:p>
          <w:tbl>
            <w:tblPr>
              <w:tblStyle w:val="33"/>
              <w:tblW w:w="5000" w:type="pct"/>
              <w:tblInd w:w="0" w:type="dxa"/>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Layout w:type="autofit"/>
              <w:tblCellMar>
                <w:top w:w="0" w:type="dxa"/>
                <w:left w:w="108" w:type="dxa"/>
                <w:bottom w:w="0" w:type="dxa"/>
                <w:right w:w="108" w:type="dxa"/>
              </w:tblCellMar>
            </w:tblPr>
            <w:tblGrid>
              <w:gridCol w:w="3091"/>
              <w:gridCol w:w="4781"/>
              <w:gridCol w:w="1055"/>
            </w:tblGrid>
            <w:tr w14:paraId="495AF123">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c>
                <w:tcPr>
                  <w:tcW w:w="1731" w:type="pct"/>
                  <w:tcBorders>
                    <w:tl2br w:val="nil"/>
                    <w:tr2bl w:val="nil"/>
                  </w:tcBorders>
                  <w:vAlign w:val="center"/>
                </w:tcPr>
                <w:p w14:paraId="342E82D1">
                  <w:pPr>
                    <w:pStyle w:val="53"/>
                    <w:rPr>
                      <w:rFonts w:cs="Times New Roman"/>
                    </w:rPr>
                  </w:pPr>
                  <w:r>
                    <w:rPr>
                      <w:rFonts w:cs="Times New Roman"/>
                    </w:rPr>
                    <w:t>标牌</w:t>
                  </w:r>
                </w:p>
              </w:tc>
              <w:tc>
                <w:tcPr>
                  <w:tcW w:w="2678" w:type="pct"/>
                  <w:tcBorders>
                    <w:tl2br w:val="nil"/>
                    <w:tr2bl w:val="nil"/>
                  </w:tcBorders>
                  <w:vAlign w:val="center"/>
                </w:tcPr>
                <w:p w14:paraId="775D68FC">
                  <w:pPr>
                    <w:pStyle w:val="53"/>
                    <w:rPr>
                      <w:rFonts w:cs="Times New Roman"/>
                    </w:rPr>
                  </w:pPr>
                  <w:r>
                    <w:rPr>
                      <w:rFonts w:cs="Times New Roman"/>
                    </w:rPr>
                    <w:t>说明</w:t>
                  </w:r>
                </w:p>
              </w:tc>
              <w:tc>
                <w:tcPr>
                  <w:tcW w:w="591" w:type="pct"/>
                  <w:tcBorders>
                    <w:tl2br w:val="nil"/>
                    <w:tr2bl w:val="nil"/>
                  </w:tcBorders>
                  <w:vAlign w:val="center"/>
                </w:tcPr>
                <w:p w14:paraId="55917C50">
                  <w:pPr>
                    <w:pStyle w:val="53"/>
                    <w:rPr>
                      <w:rFonts w:cs="Times New Roman"/>
                    </w:rPr>
                  </w:pPr>
                  <w:r>
                    <w:rPr>
                      <w:rFonts w:cs="Times New Roman"/>
                    </w:rPr>
                    <w:t>备注</w:t>
                  </w:r>
                </w:p>
              </w:tc>
            </w:tr>
            <w:tr w14:paraId="21095116">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c>
                <w:tcPr>
                  <w:tcW w:w="1731" w:type="pct"/>
                  <w:tcBorders>
                    <w:tl2br w:val="nil"/>
                    <w:tr2bl w:val="nil"/>
                  </w:tcBorders>
                  <w:vAlign w:val="center"/>
                </w:tcPr>
                <w:p w14:paraId="40E1B105">
                  <w:pPr>
                    <w:pStyle w:val="14"/>
                    <w:rPr>
                      <w:rFonts w:cs="Times New Roman"/>
                    </w:rPr>
                  </w:pPr>
                  <w:r>
                    <w:rPr>
                      <w:rFonts w:cs="Times New Roman"/>
                    </w:rPr>
                    <w:drawing>
                      <wp:inline distT="0" distB="0" distL="0" distR="0">
                        <wp:extent cx="1619250" cy="102870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a:xfrm>
                                  <a:off x="0" y="0"/>
                                  <a:ext cx="1619250" cy="1028700"/>
                                </a:xfrm>
                                <a:prstGeom prst="rect">
                                  <a:avLst/>
                                </a:prstGeom>
                                <a:noFill/>
                                <a:ln>
                                  <a:noFill/>
                                </a:ln>
                              </pic:spPr>
                            </pic:pic>
                          </a:graphicData>
                        </a:graphic>
                      </wp:inline>
                    </w:drawing>
                  </w:r>
                </w:p>
              </w:tc>
              <w:tc>
                <w:tcPr>
                  <w:tcW w:w="2678" w:type="pct"/>
                  <w:tcBorders>
                    <w:tl2br w:val="nil"/>
                    <w:tr2bl w:val="nil"/>
                  </w:tcBorders>
                  <w:vAlign w:val="center"/>
                </w:tcPr>
                <w:p w14:paraId="2D50D679">
                  <w:pPr>
                    <w:pStyle w:val="14"/>
                    <w:rPr>
                      <w:rFonts w:cs="Times New Roman"/>
                    </w:rPr>
                  </w:pPr>
                  <w:r>
                    <w:rPr>
                      <w:rFonts w:cs="Times New Roman"/>
                    </w:rPr>
                    <w:t>危险废物贮存、利用、处置设施标志应包含三角形警告性图形标志和文字性辅助标志，其中三角形警告性图形标志应符合GB 15562.2中的要求（如下）。</w:t>
                  </w:r>
                </w:p>
                <w:p w14:paraId="1140A8A4">
                  <w:pPr>
                    <w:pStyle w:val="14"/>
                    <w:rPr>
                      <w:rFonts w:cs="Times New Roman"/>
                    </w:rPr>
                  </w:pPr>
                  <w:r>
                    <w:rPr>
                      <w:rFonts w:cs="Times New Roman"/>
                    </w:rPr>
                    <w:t>危险废物警告标志规格为等边三角形，边长40cm，背景为黄色，图形为黑色，适用于危险废物贮存设施为房屋的，建有围墙或防护栅栏，且高度高于100cm时；部分危险废物利用、处置场所。</w:t>
                  </w:r>
                </w:p>
              </w:tc>
              <w:tc>
                <w:tcPr>
                  <w:tcW w:w="591" w:type="pct"/>
                  <w:tcBorders>
                    <w:tl2br w:val="nil"/>
                    <w:tr2bl w:val="nil"/>
                  </w:tcBorders>
                  <w:vAlign w:val="center"/>
                </w:tcPr>
                <w:p w14:paraId="78925665">
                  <w:pPr>
                    <w:pStyle w:val="14"/>
                    <w:rPr>
                      <w:rFonts w:cs="Times New Roman"/>
                    </w:rPr>
                  </w:pPr>
                  <w:r>
                    <w:rPr>
                      <w:rFonts w:cs="Times New Roman"/>
                    </w:rPr>
                    <w:t>危险废物贮存设施标志</w:t>
                  </w:r>
                </w:p>
              </w:tc>
            </w:tr>
            <w:tr w14:paraId="4374D306">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c>
                <w:tcPr>
                  <w:tcW w:w="1731" w:type="pct"/>
                  <w:tcBorders>
                    <w:tl2br w:val="nil"/>
                    <w:tr2bl w:val="nil"/>
                  </w:tcBorders>
                  <w:vAlign w:val="center"/>
                </w:tcPr>
                <w:p w14:paraId="7D787E26">
                  <w:pPr>
                    <w:pStyle w:val="14"/>
                    <w:rPr>
                      <w:rFonts w:cs="Times New Roman"/>
                    </w:rPr>
                  </w:pPr>
                  <w:r>
                    <w:rPr>
                      <w:rFonts w:cs="Times New Roman"/>
                    </w:rPr>
                    <w:drawing>
                      <wp:inline distT="0" distB="0" distL="0" distR="0">
                        <wp:extent cx="1619250" cy="1609725"/>
                        <wp:effectExtent l="0" t="0" r="0" b="952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a:xfrm>
                                  <a:off x="0" y="0"/>
                                  <a:ext cx="1619250" cy="1609725"/>
                                </a:xfrm>
                                <a:prstGeom prst="rect">
                                  <a:avLst/>
                                </a:prstGeom>
                                <a:noFill/>
                                <a:ln>
                                  <a:noFill/>
                                </a:ln>
                              </pic:spPr>
                            </pic:pic>
                          </a:graphicData>
                        </a:graphic>
                      </wp:inline>
                    </w:drawing>
                  </w:r>
                </w:p>
              </w:tc>
              <w:tc>
                <w:tcPr>
                  <w:tcW w:w="2678" w:type="pct"/>
                  <w:tcBorders>
                    <w:tl2br w:val="nil"/>
                    <w:tr2bl w:val="nil"/>
                  </w:tcBorders>
                  <w:vAlign w:val="center"/>
                </w:tcPr>
                <w:p w14:paraId="128C6ABF">
                  <w:pPr>
                    <w:pStyle w:val="14"/>
                    <w:rPr>
                      <w:rFonts w:cs="Times New Roman"/>
                    </w:rPr>
                  </w:pPr>
                  <w:r>
                    <w:rPr>
                      <w:rFonts w:cs="Times New Roman"/>
                    </w:rPr>
                    <w:t>危险废物标签背景色应采用醒目的橘黄色，RGB颜色值为（255，150，0）。</w:t>
                  </w:r>
                </w:p>
                <w:p w14:paraId="2FE7ED71">
                  <w:pPr>
                    <w:pStyle w:val="14"/>
                    <w:rPr>
                      <w:rFonts w:cs="Times New Roman"/>
                    </w:rPr>
                  </w:pPr>
                  <w:r>
                    <w:rPr>
                      <w:rFonts w:cs="Times New Roman"/>
                    </w:rPr>
                    <w:t>标签边框和字体颜色为黑色，RGB颜色值为（0，0，0）。</w:t>
                  </w:r>
                </w:p>
                <w:p w14:paraId="6F8CC989">
                  <w:pPr>
                    <w:pStyle w:val="14"/>
                    <w:rPr>
                      <w:rFonts w:cs="Times New Roman"/>
                    </w:rPr>
                  </w:pPr>
                  <w:r>
                    <w:rPr>
                      <w:rFonts w:cs="Times New Roman"/>
                    </w:rPr>
                    <w:t>危险废物标签字体宜采用黑体字，其中“危险废物”字样应加粗放大。</w:t>
                  </w:r>
                </w:p>
              </w:tc>
              <w:tc>
                <w:tcPr>
                  <w:tcW w:w="591" w:type="pct"/>
                  <w:tcBorders>
                    <w:tl2br w:val="nil"/>
                    <w:tr2bl w:val="nil"/>
                  </w:tcBorders>
                  <w:vAlign w:val="center"/>
                </w:tcPr>
                <w:p w14:paraId="071C8389">
                  <w:pPr>
                    <w:pStyle w:val="14"/>
                    <w:rPr>
                      <w:rFonts w:cs="Times New Roman"/>
                    </w:rPr>
                  </w:pPr>
                  <w:r>
                    <w:rPr>
                      <w:rFonts w:cs="Times New Roman"/>
                    </w:rPr>
                    <w:t>粘贴于危险废物储存容器上的危险废物标</w:t>
                  </w:r>
                </w:p>
                <w:p w14:paraId="6BEECE7F">
                  <w:pPr>
                    <w:pStyle w:val="14"/>
                    <w:rPr>
                      <w:rFonts w:cs="Times New Roman"/>
                    </w:rPr>
                  </w:pPr>
                  <w:r>
                    <w:rPr>
                      <w:rFonts w:cs="Times New Roman"/>
                    </w:rPr>
                    <w:t>签</w:t>
                  </w:r>
                </w:p>
              </w:tc>
            </w:tr>
          </w:tbl>
          <w:p w14:paraId="73D074CD">
            <w:pPr>
              <w:ind w:firstLine="0" w:firstLineChars="0"/>
              <w:rPr>
                <w:rFonts w:cs="Times New Roman"/>
                <w:b/>
                <w:bCs/>
                <w:kern w:val="0"/>
                <w:szCs w:val="20"/>
              </w:rPr>
            </w:pPr>
            <w:r>
              <w:rPr>
                <w:lang w:bidi="ar"/>
              </w:rPr>
              <w:t>9、</w:t>
            </w:r>
            <w:r>
              <w:rPr>
                <w:rFonts w:hint="eastAsia" w:cs="Times New Roman"/>
                <w:b/>
                <w:kern w:val="0"/>
                <w:szCs w:val="20"/>
              </w:rPr>
              <w:t>改扩建项目</w:t>
            </w:r>
            <w:r>
              <w:rPr>
                <w:rFonts w:cs="Times New Roman"/>
                <w:b/>
                <w:kern w:val="0"/>
                <w:szCs w:val="20"/>
              </w:rPr>
              <w:t>“</w:t>
            </w:r>
            <w:r>
              <w:rPr>
                <w:rFonts w:hint="eastAsia" w:cs="Times New Roman"/>
                <w:b/>
                <w:kern w:val="0"/>
                <w:szCs w:val="20"/>
              </w:rPr>
              <w:t>三本账</w:t>
            </w:r>
            <w:r>
              <w:rPr>
                <w:rFonts w:cs="Times New Roman"/>
                <w:b/>
                <w:kern w:val="0"/>
                <w:szCs w:val="20"/>
              </w:rPr>
              <w:t>”</w:t>
            </w:r>
            <w:r>
              <w:rPr>
                <w:rFonts w:hint="eastAsia" w:cs="Times New Roman"/>
                <w:b/>
                <w:kern w:val="0"/>
                <w:szCs w:val="20"/>
              </w:rPr>
              <w:t>分析</w:t>
            </w:r>
          </w:p>
          <w:p w14:paraId="1F1DE4B2">
            <w:pPr>
              <w:wordWrap w:val="0"/>
              <w:topLinePunct/>
              <w:adjustRightInd w:val="0"/>
              <w:snapToGrid w:val="0"/>
              <w:ind w:firstLine="480"/>
              <w:jc w:val="left"/>
              <w:rPr>
                <w:rFonts w:cs="Times New Roman"/>
                <w:szCs w:val="24"/>
              </w:rPr>
            </w:pPr>
            <w:r>
              <w:rPr>
                <w:rFonts w:hint="eastAsia" w:cs="Times New Roman"/>
                <w:szCs w:val="24"/>
              </w:rPr>
              <w:t>本项目在</w:t>
            </w:r>
            <w:r>
              <w:rPr>
                <w:rFonts w:hint="eastAsia" w:cs="Times New Roman"/>
              </w:rPr>
              <w:t>原厂房二</w:t>
            </w:r>
            <w:r>
              <w:rPr>
                <w:rFonts w:cs="Times New Roman"/>
              </w:rPr>
              <w:t>号车间内</w:t>
            </w:r>
            <w:r>
              <w:rPr>
                <w:rFonts w:hint="eastAsia" w:cs="Times New Roman"/>
              </w:rPr>
              <w:t>购买设备进行扩建生产线</w:t>
            </w:r>
            <w:r>
              <w:rPr>
                <w:rFonts w:hint="eastAsia" w:cs="Times New Roman"/>
                <w:szCs w:val="24"/>
              </w:rPr>
              <w:t>。改扩建</w:t>
            </w:r>
            <w:r>
              <w:rPr>
                <w:rFonts w:cs="Times New Roman"/>
                <w:szCs w:val="24"/>
              </w:rPr>
              <w:t>“</w:t>
            </w:r>
            <w:r>
              <w:rPr>
                <w:rFonts w:hint="eastAsia" w:cs="Times New Roman"/>
                <w:szCs w:val="24"/>
              </w:rPr>
              <w:t>三本帐</w:t>
            </w:r>
            <w:r>
              <w:rPr>
                <w:rFonts w:cs="Times New Roman"/>
                <w:szCs w:val="24"/>
              </w:rPr>
              <w:t>”</w:t>
            </w:r>
            <w:r>
              <w:rPr>
                <w:rFonts w:hint="eastAsia" w:cs="Times New Roman"/>
                <w:szCs w:val="24"/>
              </w:rPr>
              <w:t>算法：改扩建前排放量－</w:t>
            </w:r>
            <w:r>
              <w:rPr>
                <w:rFonts w:cs="Times New Roman"/>
                <w:szCs w:val="24"/>
              </w:rPr>
              <w:t>“</w:t>
            </w:r>
            <w:r>
              <w:rPr>
                <w:rFonts w:hint="eastAsia" w:cs="Times New Roman"/>
                <w:szCs w:val="24"/>
              </w:rPr>
              <w:t>以新带老</w:t>
            </w:r>
            <w:r>
              <w:rPr>
                <w:rFonts w:cs="Times New Roman"/>
                <w:szCs w:val="24"/>
              </w:rPr>
              <w:t>”</w:t>
            </w:r>
            <w:r>
              <w:rPr>
                <w:rFonts w:hint="eastAsia" w:cs="Times New Roman"/>
                <w:szCs w:val="24"/>
              </w:rPr>
              <w:t>消减量</w:t>
            </w:r>
            <w:r>
              <w:rPr>
                <w:rFonts w:cs="Times New Roman"/>
                <w:szCs w:val="24"/>
              </w:rPr>
              <w:t>+</w:t>
            </w:r>
            <w:r>
              <w:rPr>
                <w:rFonts w:hint="eastAsia" w:cs="Times New Roman"/>
                <w:szCs w:val="24"/>
              </w:rPr>
              <w:t>改扩建部分排放量</w:t>
            </w:r>
            <w:r>
              <w:rPr>
                <w:rFonts w:cs="Times New Roman"/>
                <w:szCs w:val="24"/>
              </w:rPr>
              <w:t>=</w:t>
            </w:r>
            <w:r>
              <w:rPr>
                <w:rFonts w:hint="eastAsia" w:cs="Times New Roman"/>
                <w:szCs w:val="24"/>
              </w:rPr>
              <w:t>改扩建完成后总排放量。</w:t>
            </w:r>
          </w:p>
          <w:p w14:paraId="58DB3CD5">
            <w:pPr>
              <w:ind w:firstLine="424" w:firstLineChars="177"/>
              <w:rPr>
                <w:rFonts w:cs="Times New Roman"/>
                <w:szCs w:val="24"/>
              </w:rPr>
            </w:pPr>
            <w:r>
              <w:rPr>
                <w:rFonts w:hint="eastAsia" w:cs="Times New Roman"/>
                <w:szCs w:val="24"/>
              </w:rPr>
              <w:t>本项目扩建前后污染情况变化见下表：</w:t>
            </w:r>
          </w:p>
          <w:p w14:paraId="6DB98BBF">
            <w:pPr>
              <w:ind w:firstLine="373" w:firstLineChars="177"/>
              <w:jc w:val="center"/>
              <w:rPr>
                <w:rFonts w:cs="Times New Roman"/>
                <w:b/>
                <w:sz w:val="21"/>
                <w:szCs w:val="21"/>
              </w:rPr>
            </w:pPr>
            <w:r>
              <w:rPr>
                <w:rFonts w:hint="eastAsia" w:cs="Times New Roman"/>
                <w:b/>
                <w:sz w:val="21"/>
                <w:szCs w:val="21"/>
              </w:rPr>
              <w:t>表</w:t>
            </w:r>
            <w:r>
              <w:rPr>
                <w:rFonts w:cs="Times New Roman"/>
                <w:b/>
                <w:sz w:val="21"/>
                <w:szCs w:val="21"/>
              </w:rPr>
              <w:t>4-24</w:t>
            </w:r>
            <w:r>
              <w:rPr>
                <w:rFonts w:hint="eastAsia" w:cs="Times New Roman"/>
                <w:b/>
                <w:sz w:val="21"/>
                <w:szCs w:val="21"/>
              </w:rPr>
              <w:t xml:space="preserve">  项目主要污染物改建前后</w:t>
            </w:r>
            <w:r>
              <w:rPr>
                <w:rFonts w:cs="Times New Roman"/>
                <w:b/>
                <w:sz w:val="21"/>
                <w:szCs w:val="21"/>
              </w:rPr>
              <w:t>“</w:t>
            </w:r>
            <w:r>
              <w:rPr>
                <w:rFonts w:hint="eastAsia" w:cs="Times New Roman"/>
                <w:b/>
                <w:sz w:val="21"/>
                <w:szCs w:val="21"/>
              </w:rPr>
              <w:t>三本账</w:t>
            </w:r>
            <w:r>
              <w:rPr>
                <w:rFonts w:cs="Times New Roman"/>
                <w:b/>
                <w:sz w:val="21"/>
                <w:szCs w:val="21"/>
              </w:rPr>
              <w:t>”</w:t>
            </w:r>
            <w:r>
              <w:rPr>
                <w:rFonts w:hint="eastAsia" w:cs="Times New Roman"/>
                <w:b/>
                <w:sz w:val="21"/>
                <w:szCs w:val="21"/>
              </w:rPr>
              <w:t>一览表单位：</w:t>
            </w:r>
            <w:r>
              <w:rPr>
                <w:rFonts w:cs="Times New Roman"/>
                <w:b/>
                <w:sz w:val="21"/>
                <w:szCs w:val="21"/>
              </w:rPr>
              <w:t>t/a</w:t>
            </w:r>
          </w:p>
          <w:tbl>
            <w:tblPr>
              <w:tblStyle w:val="33"/>
              <w:tblW w:w="494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5"/>
              <w:gridCol w:w="939"/>
              <w:gridCol w:w="922"/>
              <w:gridCol w:w="1102"/>
              <w:gridCol w:w="1337"/>
              <w:gridCol w:w="943"/>
              <w:gridCol w:w="1337"/>
              <w:gridCol w:w="1554"/>
            </w:tblGrid>
            <w:tr w14:paraId="25658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jc w:val="center"/>
              </w:trPr>
              <w:tc>
                <w:tcPr>
                  <w:tcW w:w="394" w:type="pct"/>
                  <w:tcBorders>
                    <w:top w:val="single" w:color="auto" w:sz="4" w:space="0"/>
                    <w:left w:val="single" w:color="auto" w:sz="4" w:space="0"/>
                    <w:bottom w:val="single" w:color="auto" w:sz="4" w:space="0"/>
                    <w:right w:val="single" w:color="auto" w:sz="4" w:space="0"/>
                  </w:tcBorders>
                  <w:vAlign w:val="center"/>
                </w:tcPr>
                <w:p w14:paraId="02330C76">
                  <w:pPr>
                    <w:spacing w:line="240" w:lineRule="auto"/>
                    <w:ind w:firstLine="0" w:firstLineChars="0"/>
                    <w:jc w:val="center"/>
                    <w:rPr>
                      <w:rFonts w:cs="Times New Roman"/>
                      <w:sz w:val="21"/>
                      <w:szCs w:val="21"/>
                    </w:rPr>
                  </w:pPr>
                  <w:r>
                    <w:rPr>
                      <w:rFonts w:hint="eastAsia" w:cs="Times New Roman"/>
                      <w:sz w:val="21"/>
                      <w:szCs w:val="21"/>
                    </w:rPr>
                    <w:t>污染源</w:t>
                  </w:r>
                </w:p>
              </w:tc>
              <w:tc>
                <w:tcPr>
                  <w:tcW w:w="1053" w:type="pct"/>
                  <w:gridSpan w:val="2"/>
                  <w:tcBorders>
                    <w:top w:val="single" w:color="auto" w:sz="4" w:space="0"/>
                    <w:left w:val="single" w:color="auto" w:sz="4" w:space="0"/>
                    <w:bottom w:val="single" w:color="auto" w:sz="4" w:space="0"/>
                    <w:right w:val="single" w:color="auto" w:sz="4" w:space="0"/>
                  </w:tcBorders>
                  <w:vAlign w:val="center"/>
                </w:tcPr>
                <w:p w14:paraId="7B71B7E5">
                  <w:pPr>
                    <w:spacing w:line="240" w:lineRule="auto"/>
                    <w:ind w:firstLine="0" w:firstLineChars="0"/>
                    <w:jc w:val="center"/>
                    <w:rPr>
                      <w:rFonts w:cs="Times New Roman"/>
                      <w:sz w:val="21"/>
                      <w:szCs w:val="21"/>
                    </w:rPr>
                  </w:pPr>
                  <w:r>
                    <w:rPr>
                      <w:rFonts w:hint="eastAsia" w:cs="Times New Roman"/>
                      <w:sz w:val="21"/>
                      <w:szCs w:val="21"/>
                    </w:rPr>
                    <w:t>污染物</w:t>
                  </w:r>
                </w:p>
              </w:tc>
              <w:tc>
                <w:tcPr>
                  <w:tcW w:w="624" w:type="pct"/>
                  <w:tcBorders>
                    <w:top w:val="single" w:color="auto" w:sz="4" w:space="0"/>
                    <w:left w:val="single" w:color="auto" w:sz="4" w:space="0"/>
                    <w:bottom w:val="single" w:color="auto" w:sz="4" w:space="0"/>
                    <w:right w:val="single" w:color="auto" w:sz="4" w:space="0"/>
                  </w:tcBorders>
                  <w:vAlign w:val="center"/>
                </w:tcPr>
                <w:p w14:paraId="54A8D2C4">
                  <w:pPr>
                    <w:spacing w:line="240" w:lineRule="auto"/>
                    <w:ind w:firstLine="0" w:firstLineChars="0"/>
                    <w:jc w:val="center"/>
                    <w:rPr>
                      <w:rFonts w:cs="Times New Roman"/>
                      <w:sz w:val="21"/>
                      <w:szCs w:val="21"/>
                    </w:rPr>
                  </w:pPr>
                  <w:r>
                    <w:rPr>
                      <w:rFonts w:hint="eastAsia" w:cs="Times New Roman"/>
                      <w:sz w:val="21"/>
                      <w:szCs w:val="21"/>
                    </w:rPr>
                    <w:t>扩建前排放量</w:t>
                  </w:r>
                </w:p>
              </w:tc>
              <w:tc>
                <w:tcPr>
                  <w:tcW w:w="757" w:type="pct"/>
                  <w:tcBorders>
                    <w:top w:val="single" w:color="auto" w:sz="4" w:space="0"/>
                    <w:left w:val="single" w:color="auto" w:sz="4" w:space="0"/>
                    <w:bottom w:val="single" w:color="auto" w:sz="4" w:space="0"/>
                    <w:right w:val="single" w:color="auto" w:sz="4" w:space="0"/>
                  </w:tcBorders>
                  <w:vAlign w:val="center"/>
                </w:tcPr>
                <w:p w14:paraId="6BAA7C72">
                  <w:pPr>
                    <w:spacing w:line="240" w:lineRule="auto"/>
                    <w:ind w:firstLine="0" w:firstLineChars="0"/>
                    <w:jc w:val="center"/>
                    <w:rPr>
                      <w:rFonts w:cs="Times New Roman"/>
                      <w:sz w:val="21"/>
                      <w:szCs w:val="21"/>
                    </w:rPr>
                  </w:pPr>
                  <w:r>
                    <w:rPr>
                      <w:rFonts w:hint="eastAsia" w:cs="Times New Roman"/>
                      <w:sz w:val="21"/>
                      <w:szCs w:val="21"/>
                    </w:rPr>
                    <w:t>扩建部分排放量</w:t>
                  </w:r>
                </w:p>
              </w:tc>
              <w:tc>
                <w:tcPr>
                  <w:tcW w:w="534" w:type="pct"/>
                  <w:tcBorders>
                    <w:top w:val="single" w:color="auto" w:sz="4" w:space="0"/>
                    <w:left w:val="single" w:color="auto" w:sz="4" w:space="0"/>
                    <w:bottom w:val="single" w:color="auto" w:sz="4" w:space="0"/>
                    <w:right w:val="single" w:color="auto" w:sz="4" w:space="0"/>
                  </w:tcBorders>
                  <w:vAlign w:val="center"/>
                </w:tcPr>
                <w:p w14:paraId="06751A0D">
                  <w:pPr>
                    <w:spacing w:line="240" w:lineRule="auto"/>
                    <w:ind w:firstLine="0" w:firstLineChars="0"/>
                    <w:jc w:val="center"/>
                    <w:rPr>
                      <w:rFonts w:cs="Times New Roman"/>
                      <w:sz w:val="21"/>
                      <w:szCs w:val="21"/>
                    </w:rPr>
                  </w:pPr>
                  <w:r>
                    <w:rPr>
                      <w:rFonts w:cs="Times New Roman"/>
                      <w:sz w:val="21"/>
                      <w:szCs w:val="21"/>
                    </w:rPr>
                    <w:t>“</w:t>
                  </w:r>
                  <w:r>
                    <w:rPr>
                      <w:rFonts w:hint="eastAsia" w:cs="Times New Roman"/>
                      <w:sz w:val="21"/>
                      <w:szCs w:val="21"/>
                    </w:rPr>
                    <w:t>以新带老</w:t>
                  </w:r>
                  <w:r>
                    <w:rPr>
                      <w:rFonts w:cs="Times New Roman"/>
                      <w:sz w:val="21"/>
                      <w:szCs w:val="21"/>
                    </w:rPr>
                    <w:t>”</w:t>
                  </w:r>
                  <w:r>
                    <w:rPr>
                      <w:rFonts w:hint="eastAsia" w:cs="Times New Roman"/>
                      <w:sz w:val="21"/>
                      <w:szCs w:val="21"/>
                    </w:rPr>
                    <w:t>消减量</w:t>
                  </w:r>
                </w:p>
              </w:tc>
              <w:tc>
                <w:tcPr>
                  <w:tcW w:w="757" w:type="pct"/>
                  <w:tcBorders>
                    <w:top w:val="single" w:color="auto" w:sz="4" w:space="0"/>
                    <w:left w:val="single" w:color="auto" w:sz="4" w:space="0"/>
                    <w:bottom w:val="single" w:color="auto" w:sz="4" w:space="0"/>
                    <w:right w:val="single" w:color="auto" w:sz="4" w:space="0"/>
                  </w:tcBorders>
                  <w:vAlign w:val="center"/>
                </w:tcPr>
                <w:p w14:paraId="55752948">
                  <w:pPr>
                    <w:spacing w:line="240" w:lineRule="auto"/>
                    <w:ind w:firstLine="0" w:firstLineChars="0"/>
                    <w:jc w:val="center"/>
                    <w:rPr>
                      <w:rFonts w:cs="Times New Roman"/>
                      <w:sz w:val="21"/>
                      <w:szCs w:val="21"/>
                    </w:rPr>
                  </w:pPr>
                  <w:r>
                    <w:rPr>
                      <w:rFonts w:hint="eastAsia" w:cs="Times New Roman"/>
                      <w:sz w:val="21"/>
                      <w:szCs w:val="21"/>
                    </w:rPr>
                    <w:t>扩建后总排放量</w:t>
                  </w:r>
                </w:p>
              </w:tc>
              <w:tc>
                <w:tcPr>
                  <w:tcW w:w="880" w:type="pct"/>
                  <w:tcBorders>
                    <w:top w:val="single" w:color="auto" w:sz="4" w:space="0"/>
                    <w:left w:val="single" w:color="auto" w:sz="4" w:space="0"/>
                    <w:bottom w:val="single" w:color="auto" w:sz="4" w:space="0"/>
                    <w:right w:val="single" w:color="auto" w:sz="4" w:space="0"/>
                  </w:tcBorders>
                  <w:vAlign w:val="center"/>
                </w:tcPr>
                <w:p w14:paraId="0ABD90B7">
                  <w:pPr>
                    <w:spacing w:line="240" w:lineRule="auto"/>
                    <w:ind w:firstLine="0" w:firstLineChars="0"/>
                    <w:jc w:val="center"/>
                    <w:rPr>
                      <w:rFonts w:cs="Times New Roman"/>
                      <w:sz w:val="21"/>
                      <w:szCs w:val="21"/>
                    </w:rPr>
                  </w:pPr>
                  <w:r>
                    <w:rPr>
                      <w:rFonts w:hint="eastAsia" w:cs="Times New Roman"/>
                      <w:sz w:val="21"/>
                      <w:szCs w:val="21"/>
                    </w:rPr>
                    <w:t>增减量变化</w:t>
                  </w:r>
                </w:p>
              </w:tc>
            </w:tr>
            <w:tr w14:paraId="4CA5E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4" w:type="pct"/>
                  <w:vMerge w:val="restart"/>
                  <w:tcBorders>
                    <w:top w:val="single" w:color="auto" w:sz="4" w:space="0"/>
                    <w:left w:val="single" w:color="auto" w:sz="4" w:space="0"/>
                    <w:bottom w:val="single" w:color="auto" w:sz="4" w:space="0"/>
                    <w:right w:val="single" w:color="auto" w:sz="4" w:space="0"/>
                  </w:tcBorders>
                  <w:vAlign w:val="center"/>
                </w:tcPr>
                <w:p w14:paraId="425EFAD4">
                  <w:pPr>
                    <w:spacing w:line="240" w:lineRule="auto"/>
                    <w:ind w:firstLine="0" w:firstLineChars="0"/>
                    <w:jc w:val="center"/>
                    <w:rPr>
                      <w:rFonts w:cs="Times New Roman"/>
                      <w:sz w:val="21"/>
                      <w:szCs w:val="21"/>
                    </w:rPr>
                  </w:pPr>
                  <w:r>
                    <w:rPr>
                      <w:rFonts w:hint="eastAsia" w:cs="Times New Roman"/>
                      <w:sz w:val="21"/>
                      <w:szCs w:val="21"/>
                    </w:rPr>
                    <w:t>废水</w:t>
                  </w:r>
                </w:p>
              </w:tc>
              <w:tc>
                <w:tcPr>
                  <w:tcW w:w="1053" w:type="pct"/>
                  <w:gridSpan w:val="2"/>
                  <w:tcBorders>
                    <w:top w:val="single" w:color="auto" w:sz="4" w:space="0"/>
                    <w:left w:val="single" w:color="auto" w:sz="4" w:space="0"/>
                    <w:bottom w:val="single" w:color="auto" w:sz="4" w:space="0"/>
                    <w:right w:val="single" w:color="auto" w:sz="4" w:space="0"/>
                  </w:tcBorders>
                  <w:vAlign w:val="center"/>
                </w:tcPr>
                <w:p w14:paraId="50C96577">
                  <w:pPr>
                    <w:spacing w:line="240" w:lineRule="auto"/>
                    <w:ind w:firstLine="0" w:firstLineChars="0"/>
                    <w:jc w:val="center"/>
                    <w:rPr>
                      <w:rFonts w:cs="Times New Roman"/>
                      <w:sz w:val="21"/>
                      <w:szCs w:val="21"/>
                    </w:rPr>
                  </w:pPr>
                  <w:r>
                    <w:rPr>
                      <w:rFonts w:hint="eastAsia" w:cs="Times New Roman"/>
                      <w:sz w:val="21"/>
                      <w:szCs w:val="21"/>
                    </w:rPr>
                    <w:t>废水量</w:t>
                  </w:r>
                  <w:r>
                    <w:rPr>
                      <w:rFonts w:cs="Times New Roman"/>
                      <w:sz w:val="21"/>
                      <w:szCs w:val="21"/>
                    </w:rPr>
                    <w:t>m</w:t>
                  </w:r>
                  <w:r>
                    <w:rPr>
                      <w:rFonts w:cs="Times New Roman"/>
                      <w:sz w:val="21"/>
                      <w:szCs w:val="21"/>
                      <w:vertAlign w:val="superscript"/>
                    </w:rPr>
                    <w:t>3</w:t>
                  </w:r>
                  <w:r>
                    <w:rPr>
                      <w:rFonts w:cs="Times New Roman"/>
                      <w:sz w:val="21"/>
                      <w:szCs w:val="21"/>
                    </w:rPr>
                    <w:t>/d</w:t>
                  </w:r>
                </w:p>
              </w:tc>
              <w:tc>
                <w:tcPr>
                  <w:tcW w:w="624" w:type="pct"/>
                  <w:tcBorders>
                    <w:top w:val="single" w:color="auto" w:sz="4" w:space="0"/>
                    <w:left w:val="single" w:color="auto" w:sz="4" w:space="0"/>
                    <w:bottom w:val="single" w:color="auto" w:sz="4" w:space="0"/>
                    <w:right w:val="single" w:color="auto" w:sz="4" w:space="0"/>
                  </w:tcBorders>
                  <w:vAlign w:val="center"/>
                </w:tcPr>
                <w:p w14:paraId="594666E3">
                  <w:pPr>
                    <w:spacing w:line="240" w:lineRule="auto"/>
                    <w:ind w:firstLine="0" w:firstLineChars="0"/>
                    <w:jc w:val="center"/>
                    <w:rPr>
                      <w:rFonts w:cs="Times New Roman"/>
                      <w:sz w:val="21"/>
                      <w:szCs w:val="21"/>
                    </w:rPr>
                  </w:pPr>
                  <w:r>
                    <w:rPr>
                      <w:rFonts w:hint="eastAsia" w:cs="Times New Roman"/>
                      <w:sz w:val="21"/>
                      <w:szCs w:val="21"/>
                    </w:rPr>
                    <w:t>1080</w:t>
                  </w:r>
                  <w:r>
                    <w:rPr>
                      <w:rFonts w:cs="Times New Roman"/>
                      <w:sz w:val="21"/>
                      <w:szCs w:val="21"/>
                    </w:rPr>
                    <w:t>m</w:t>
                  </w:r>
                  <w:r>
                    <w:rPr>
                      <w:rFonts w:cs="Times New Roman"/>
                      <w:sz w:val="21"/>
                      <w:szCs w:val="21"/>
                      <w:vertAlign w:val="superscript"/>
                    </w:rPr>
                    <w:t>3</w:t>
                  </w:r>
                  <w:r>
                    <w:rPr>
                      <w:rFonts w:cs="Times New Roman"/>
                      <w:sz w:val="21"/>
                      <w:szCs w:val="21"/>
                    </w:rPr>
                    <w:t>/d</w:t>
                  </w:r>
                </w:p>
              </w:tc>
              <w:tc>
                <w:tcPr>
                  <w:tcW w:w="757" w:type="pct"/>
                  <w:tcBorders>
                    <w:top w:val="single" w:color="auto" w:sz="4" w:space="0"/>
                    <w:left w:val="single" w:color="auto" w:sz="4" w:space="0"/>
                    <w:bottom w:val="single" w:color="auto" w:sz="4" w:space="0"/>
                    <w:right w:val="single" w:color="auto" w:sz="4" w:space="0"/>
                  </w:tcBorders>
                  <w:vAlign w:val="center"/>
                </w:tcPr>
                <w:p w14:paraId="7CE5F870">
                  <w:pPr>
                    <w:spacing w:line="240" w:lineRule="auto"/>
                    <w:ind w:firstLine="0" w:firstLineChars="0"/>
                    <w:jc w:val="center"/>
                    <w:rPr>
                      <w:rFonts w:cs="Times New Roman"/>
                      <w:sz w:val="21"/>
                      <w:szCs w:val="21"/>
                    </w:rPr>
                  </w:pPr>
                  <w:r>
                    <w:rPr>
                      <w:rFonts w:cs="Times New Roman"/>
                      <w:sz w:val="21"/>
                      <w:szCs w:val="21"/>
                    </w:rPr>
                    <w:t>0</w:t>
                  </w:r>
                </w:p>
              </w:tc>
              <w:tc>
                <w:tcPr>
                  <w:tcW w:w="534" w:type="pct"/>
                  <w:tcBorders>
                    <w:top w:val="single" w:color="auto" w:sz="4" w:space="0"/>
                    <w:left w:val="single" w:color="auto" w:sz="4" w:space="0"/>
                    <w:bottom w:val="single" w:color="auto" w:sz="4" w:space="0"/>
                    <w:right w:val="single" w:color="auto" w:sz="4" w:space="0"/>
                  </w:tcBorders>
                  <w:vAlign w:val="center"/>
                </w:tcPr>
                <w:p w14:paraId="1D78E90F">
                  <w:pPr>
                    <w:spacing w:line="240" w:lineRule="auto"/>
                    <w:ind w:firstLine="0" w:firstLineChars="0"/>
                    <w:jc w:val="center"/>
                    <w:rPr>
                      <w:rFonts w:cs="Times New Roman"/>
                      <w:sz w:val="21"/>
                      <w:szCs w:val="21"/>
                    </w:rPr>
                  </w:pPr>
                  <w:r>
                    <w:rPr>
                      <w:rFonts w:cs="Times New Roman"/>
                      <w:sz w:val="21"/>
                      <w:szCs w:val="21"/>
                    </w:rPr>
                    <w:t>0</w:t>
                  </w:r>
                </w:p>
              </w:tc>
              <w:tc>
                <w:tcPr>
                  <w:tcW w:w="757" w:type="pct"/>
                  <w:tcBorders>
                    <w:top w:val="single" w:color="auto" w:sz="4" w:space="0"/>
                    <w:left w:val="single" w:color="auto" w:sz="4" w:space="0"/>
                    <w:bottom w:val="single" w:color="auto" w:sz="4" w:space="0"/>
                    <w:right w:val="single" w:color="auto" w:sz="4" w:space="0"/>
                  </w:tcBorders>
                  <w:vAlign w:val="center"/>
                </w:tcPr>
                <w:p w14:paraId="4291AE67">
                  <w:pPr>
                    <w:spacing w:line="240" w:lineRule="auto"/>
                    <w:ind w:firstLine="0" w:firstLineChars="0"/>
                    <w:jc w:val="center"/>
                    <w:rPr>
                      <w:rFonts w:cs="Times New Roman"/>
                      <w:sz w:val="21"/>
                      <w:szCs w:val="21"/>
                    </w:rPr>
                  </w:pPr>
                  <w:r>
                    <w:rPr>
                      <w:rFonts w:hint="eastAsia" w:cs="Times New Roman"/>
                      <w:sz w:val="21"/>
                      <w:szCs w:val="21"/>
                    </w:rPr>
                    <w:t>1080</w:t>
                  </w:r>
                  <w:r>
                    <w:rPr>
                      <w:rFonts w:cs="Times New Roman"/>
                      <w:sz w:val="21"/>
                      <w:szCs w:val="21"/>
                    </w:rPr>
                    <w:t>m</w:t>
                  </w:r>
                  <w:r>
                    <w:rPr>
                      <w:rFonts w:cs="Times New Roman"/>
                      <w:sz w:val="21"/>
                      <w:szCs w:val="21"/>
                      <w:vertAlign w:val="superscript"/>
                    </w:rPr>
                    <w:t>3</w:t>
                  </w:r>
                  <w:r>
                    <w:rPr>
                      <w:rFonts w:cs="Times New Roman"/>
                      <w:sz w:val="21"/>
                      <w:szCs w:val="21"/>
                    </w:rPr>
                    <w:t>/d</w:t>
                  </w:r>
                </w:p>
              </w:tc>
              <w:tc>
                <w:tcPr>
                  <w:tcW w:w="880" w:type="pct"/>
                  <w:tcBorders>
                    <w:top w:val="single" w:color="auto" w:sz="4" w:space="0"/>
                    <w:left w:val="single" w:color="auto" w:sz="4" w:space="0"/>
                    <w:bottom w:val="single" w:color="auto" w:sz="4" w:space="0"/>
                    <w:right w:val="single" w:color="auto" w:sz="4" w:space="0"/>
                  </w:tcBorders>
                  <w:vAlign w:val="center"/>
                </w:tcPr>
                <w:p w14:paraId="69DC89F8">
                  <w:pPr>
                    <w:spacing w:line="240" w:lineRule="auto"/>
                    <w:ind w:firstLine="0" w:firstLineChars="0"/>
                    <w:jc w:val="center"/>
                    <w:rPr>
                      <w:rFonts w:cs="Times New Roman"/>
                      <w:sz w:val="21"/>
                      <w:szCs w:val="21"/>
                    </w:rPr>
                  </w:pPr>
                  <w:r>
                    <w:rPr>
                      <w:rFonts w:cs="Times New Roman"/>
                      <w:sz w:val="21"/>
                      <w:szCs w:val="21"/>
                    </w:rPr>
                    <w:t>0</w:t>
                  </w:r>
                </w:p>
              </w:tc>
            </w:tr>
            <w:tr w14:paraId="57436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4" w:type="pct"/>
                  <w:vMerge w:val="continue"/>
                  <w:tcBorders>
                    <w:top w:val="single" w:color="auto" w:sz="4" w:space="0"/>
                    <w:left w:val="single" w:color="auto" w:sz="4" w:space="0"/>
                    <w:bottom w:val="single" w:color="auto" w:sz="4" w:space="0"/>
                    <w:right w:val="single" w:color="auto" w:sz="4" w:space="0"/>
                  </w:tcBorders>
                  <w:vAlign w:val="center"/>
                </w:tcPr>
                <w:p w14:paraId="137B5810">
                  <w:pPr>
                    <w:widowControl/>
                    <w:spacing w:line="240" w:lineRule="auto"/>
                    <w:ind w:firstLine="0" w:firstLineChars="0"/>
                    <w:jc w:val="left"/>
                    <w:rPr>
                      <w:rFonts w:cs="Times New Roman"/>
                      <w:sz w:val="21"/>
                      <w:szCs w:val="21"/>
                    </w:rPr>
                  </w:pPr>
                </w:p>
              </w:tc>
              <w:tc>
                <w:tcPr>
                  <w:tcW w:w="1053" w:type="pct"/>
                  <w:gridSpan w:val="2"/>
                  <w:tcBorders>
                    <w:top w:val="single" w:color="auto" w:sz="4" w:space="0"/>
                    <w:left w:val="single" w:color="auto" w:sz="4" w:space="0"/>
                    <w:bottom w:val="single" w:color="auto" w:sz="4" w:space="0"/>
                    <w:right w:val="single" w:color="auto" w:sz="4" w:space="0"/>
                  </w:tcBorders>
                  <w:vAlign w:val="center"/>
                </w:tcPr>
                <w:p w14:paraId="7DEE14E2">
                  <w:pPr>
                    <w:widowControl/>
                    <w:spacing w:line="240" w:lineRule="auto"/>
                    <w:ind w:firstLine="0" w:firstLineChars="0"/>
                    <w:jc w:val="center"/>
                    <w:textAlignment w:val="center"/>
                    <w:rPr>
                      <w:rFonts w:cs="Times New Roman"/>
                      <w:sz w:val="21"/>
                      <w:szCs w:val="21"/>
                    </w:rPr>
                  </w:pPr>
                  <w:r>
                    <w:rPr>
                      <w:rFonts w:cs="Times New Roman"/>
                      <w:kern w:val="0"/>
                      <w:sz w:val="21"/>
                      <w:szCs w:val="21"/>
                      <w:lang w:bidi="ar"/>
                    </w:rPr>
                    <w:t>COD</w:t>
                  </w:r>
                </w:p>
              </w:tc>
              <w:tc>
                <w:tcPr>
                  <w:tcW w:w="624" w:type="pct"/>
                  <w:tcBorders>
                    <w:top w:val="single" w:color="auto" w:sz="4" w:space="0"/>
                    <w:left w:val="single" w:color="auto" w:sz="4" w:space="0"/>
                    <w:bottom w:val="single" w:color="auto" w:sz="4" w:space="0"/>
                    <w:right w:val="single" w:color="auto" w:sz="4" w:space="0"/>
                  </w:tcBorders>
                  <w:vAlign w:val="bottom"/>
                </w:tcPr>
                <w:p w14:paraId="31A40F59">
                  <w:pPr>
                    <w:spacing w:line="240" w:lineRule="auto"/>
                    <w:ind w:firstLine="0" w:firstLineChars="0"/>
                    <w:jc w:val="center"/>
                    <w:rPr>
                      <w:rFonts w:cs="Times New Roman"/>
                      <w:sz w:val="21"/>
                      <w:szCs w:val="21"/>
                    </w:rPr>
                  </w:pPr>
                  <w:r>
                    <w:rPr>
                      <w:rFonts w:hint="eastAsia" w:cs="Times New Roman"/>
                      <w:sz w:val="21"/>
                      <w:szCs w:val="21"/>
                    </w:rPr>
                    <w:t>0.54</w:t>
                  </w:r>
                  <w:r>
                    <w:rPr>
                      <w:sz w:val="21"/>
                      <w:szCs w:val="21"/>
                    </w:rPr>
                    <w:t>t/a</w:t>
                  </w:r>
                </w:p>
              </w:tc>
              <w:tc>
                <w:tcPr>
                  <w:tcW w:w="757" w:type="pct"/>
                  <w:tcBorders>
                    <w:top w:val="single" w:color="auto" w:sz="4" w:space="0"/>
                    <w:left w:val="single" w:color="auto" w:sz="4" w:space="0"/>
                    <w:bottom w:val="single" w:color="auto" w:sz="4" w:space="0"/>
                    <w:right w:val="single" w:color="auto" w:sz="4" w:space="0"/>
                  </w:tcBorders>
                  <w:vAlign w:val="center"/>
                </w:tcPr>
                <w:p w14:paraId="7DED9CE0">
                  <w:pPr>
                    <w:spacing w:line="240" w:lineRule="auto"/>
                    <w:ind w:firstLine="0" w:firstLineChars="0"/>
                    <w:jc w:val="center"/>
                    <w:rPr>
                      <w:rFonts w:cs="Times New Roman"/>
                      <w:sz w:val="21"/>
                      <w:szCs w:val="21"/>
                    </w:rPr>
                  </w:pPr>
                  <w:r>
                    <w:rPr>
                      <w:rFonts w:cs="Times New Roman"/>
                      <w:sz w:val="21"/>
                      <w:szCs w:val="21"/>
                    </w:rPr>
                    <w:t>0</w:t>
                  </w:r>
                </w:p>
              </w:tc>
              <w:tc>
                <w:tcPr>
                  <w:tcW w:w="534" w:type="pct"/>
                  <w:tcBorders>
                    <w:top w:val="single" w:color="auto" w:sz="4" w:space="0"/>
                    <w:left w:val="single" w:color="auto" w:sz="4" w:space="0"/>
                    <w:bottom w:val="single" w:color="auto" w:sz="4" w:space="0"/>
                    <w:right w:val="single" w:color="auto" w:sz="4" w:space="0"/>
                  </w:tcBorders>
                  <w:vAlign w:val="center"/>
                </w:tcPr>
                <w:p w14:paraId="1FA82B86">
                  <w:pPr>
                    <w:spacing w:line="240" w:lineRule="auto"/>
                    <w:ind w:firstLine="0" w:firstLineChars="0"/>
                    <w:jc w:val="center"/>
                    <w:rPr>
                      <w:rFonts w:cs="Times New Roman"/>
                      <w:sz w:val="21"/>
                      <w:szCs w:val="21"/>
                    </w:rPr>
                  </w:pPr>
                  <w:r>
                    <w:rPr>
                      <w:rFonts w:cs="Times New Roman"/>
                      <w:sz w:val="21"/>
                      <w:szCs w:val="21"/>
                    </w:rPr>
                    <w:t>0</w:t>
                  </w:r>
                </w:p>
              </w:tc>
              <w:tc>
                <w:tcPr>
                  <w:tcW w:w="757" w:type="pct"/>
                  <w:tcBorders>
                    <w:top w:val="single" w:color="auto" w:sz="4" w:space="0"/>
                    <w:left w:val="single" w:color="auto" w:sz="4" w:space="0"/>
                    <w:bottom w:val="single" w:color="auto" w:sz="4" w:space="0"/>
                    <w:right w:val="single" w:color="auto" w:sz="4" w:space="0"/>
                  </w:tcBorders>
                  <w:vAlign w:val="bottom"/>
                </w:tcPr>
                <w:p w14:paraId="119A67C2">
                  <w:pPr>
                    <w:spacing w:line="240" w:lineRule="auto"/>
                    <w:ind w:firstLine="0" w:firstLineChars="0"/>
                    <w:jc w:val="center"/>
                    <w:rPr>
                      <w:rFonts w:cs="Times New Roman"/>
                      <w:sz w:val="21"/>
                      <w:szCs w:val="21"/>
                    </w:rPr>
                  </w:pPr>
                  <w:r>
                    <w:rPr>
                      <w:rFonts w:hint="eastAsia" w:cs="Times New Roman"/>
                      <w:sz w:val="21"/>
                      <w:szCs w:val="21"/>
                    </w:rPr>
                    <w:t>0.54</w:t>
                  </w:r>
                  <w:r>
                    <w:rPr>
                      <w:sz w:val="21"/>
                      <w:szCs w:val="21"/>
                    </w:rPr>
                    <w:t>t/a</w:t>
                  </w:r>
                </w:p>
              </w:tc>
              <w:tc>
                <w:tcPr>
                  <w:tcW w:w="880" w:type="pct"/>
                  <w:tcBorders>
                    <w:top w:val="single" w:color="auto" w:sz="4" w:space="0"/>
                    <w:left w:val="single" w:color="auto" w:sz="4" w:space="0"/>
                    <w:bottom w:val="single" w:color="auto" w:sz="4" w:space="0"/>
                    <w:right w:val="single" w:color="auto" w:sz="4" w:space="0"/>
                  </w:tcBorders>
                  <w:vAlign w:val="center"/>
                </w:tcPr>
                <w:p w14:paraId="6B8B3A2B">
                  <w:pPr>
                    <w:spacing w:line="240" w:lineRule="auto"/>
                    <w:ind w:firstLine="0" w:firstLineChars="0"/>
                    <w:jc w:val="center"/>
                    <w:rPr>
                      <w:rFonts w:cs="Times New Roman"/>
                      <w:sz w:val="21"/>
                      <w:szCs w:val="21"/>
                    </w:rPr>
                  </w:pPr>
                  <w:r>
                    <w:rPr>
                      <w:rFonts w:cs="Times New Roman"/>
                      <w:sz w:val="21"/>
                      <w:szCs w:val="21"/>
                    </w:rPr>
                    <w:t>0</w:t>
                  </w:r>
                </w:p>
              </w:tc>
            </w:tr>
            <w:tr w14:paraId="014D0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4" w:type="pct"/>
                  <w:vMerge w:val="continue"/>
                  <w:tcBorders>
                    <w:top w:val="single" w:color="auto" w:sz="4" w:space="0"/>
                    <w:left w:val="single" w:color="auto" w:sz="4" w:space="0"/>
                    <w:bottom w:val="single" w:color="auto" w:sz="4" w:space="0"/>
                    <w:right w:val="single" w:color="auto" w:sz="4" w:space="0"/>
                  </w:tcBorders>
                  <w:vAlign w:val="center"/>
                </w:tcPr>
                <w:p w14:paraId="4F230114">
                  <w:pPr>
                    <w:widowControl/>
                    <w:spacing w:line="240" w:lineRule="auto"/>
                    <w:ind w:firstLine="0" w:firstLineChars="0"/>
                    <w:jc w:val="left"/>
                    <w:rPr>
                      <w:rFonts w:cs="Times New Roman"/>
                      <w:sz w:val="21"/>
                      <w:szCs w:val="21"/>
                    </w:rPr>
                  </w:pPr>
                </w:p>
              </w:tc>
              <w:tc>
                <w:tcPr>
                  <w:tcW w:w="1053" w:type="pct"/>
                  <w:gridSpan w:val="2"/>
                  <w:tcBorders>
                    <w:top w:val="single" w:color="auto" w:sz="4" w:space="0"/>
                    <w:left w:val="single" w:color="auto" w:sz="4" w:space="0"/>
                    <w:bottom w:val="single" w:color="auto" w:sz="4" w:space="0"/>
                    <w:right w:val="single" w:color="auto" w:sz="4" w:space="0"/>
                  </w:tcBorders>
                  <w:vAlign w:val="center"/>
                </w:tcPr>
                <w:p w14:paraId="0CED392E">
                  <w:pPr>
                    <w:spacing w:line="240" w:lineRule="auto"/>
                    <w:ind w:firstLine="0" w:firstLineChars="0"/>
                    <w:jc w:val="center"/>
                    <w:rPr>
                      <w:rFonts w:cs="Times New Roman"/>
                      <w:bCs/>
                      <w:sz w:val="21"/>
                      <w:szCs w:val="21"/>
                    </w:rPr>
                  </w:pPr>
                  <w:r>
                    <w:rPr>
                      <w:rFonts w:cs="Times New Roman"/>
                      <w:bCs/>
                      <w:sz w:val="21"/>
                      <w:szCs w:val="21"/>
                    </w:rPr>
                    <w:t>BOD</w:t>
                  </w:r>
                  <w:r>
                    <w:rPr>
                      <w:rFonts w:cs="Times New Roman"/>
                      <w:bCs/>
                      <w:sz w:val="21"/>
                      <w:szCs w:val="21"/>
                      <w:vertAlign w:val="subscript"/>
                    </w:rPr>
                    <w:t>5</w:t>
                  </w:r>
                </w:p>
              </w:tc>
              <w:tc>
                <w:tcPr>
                  <w:tcW w:w="624" w:type="pct"/>
                  <w:tcBorders>
                    <w:top w:val="single" w:color="auto" w:sz="4" w:space="0"/>
                    <w:left w:val="single" w:color="auto" w:sz="4" w:space="0"/>
                    <w:bottom w:val="single" w:color="auto" w:sz="4" w:space="0"/>
                    <w:right w:val="single" w:color="auto" w:sz="4" w:space="0"/>
                  </w:tcBorders>
                  <w:vAlign w:val="bottom"/>
                </w:tcPr>
                <w:p w14:paraId="03B7562F">
                  <w:pPr>
                    <w:spacing w:line="240" w:lineRule="auto"/>
                    <w:ind w:firstLine="0" w:firstLineChars="0"/>
                    <w:jc w:val="center"/>
                    <w:rPr>
                      <w:rFonts w:cs="Times New Roman"/>
                      <w:sz w:val="21"/>
                      <w:szCs w:val="21"/>
                    </w:rPr>
                  </w:pPr>
                  <w:r>
                    <w:rPr>
                      <w:rFonts w:hint="eastAsia" w:cs="Times New Roman"/>
                      <w:sz w:val="21"/>
                      <w:szCs w:val="21"/>
                    </w:rPr>
                    <w:t>0.324</w:t>
                  </w:r>
                  <w:r>
                    <w:rPr>
                      <w:sz w:val="21"/>
                      <w:szCs w:val="21"/>
                    </w:rPr>
                    <w:t>t/a</w:t>
                  </w:r>
                </w:p>
              </w:tc>
              <w:tc>
                <w:tcPr>
                  <w:tcW w:w="757" w:type="pct"/>
                  <w:tcBorders>
                    <w:top w:val="single" w:color="auto" w:sz="4" w:space="0"/>
                    <w:left w:val="single" w:color="auto" w:sz="4" w:space="0"/>
                    <w:bottom w:val="single" w:color="auto" w:sz="4" w:space="0"/>
                    <w:right w:val="single" w:color="auto" w:sz="4" w:space="0"/>
                  </w:tcBorders>
                  <w:vAlign w:val="center"/>
                </w:tcPr>
                <w:p w14:paraId="2B71EC98">
                  <w:pPr>
                    <w:spacing w:line="240" w:lineRule="auto"/>
                    <w:ind w:firstLine="0" w:firstLineChars="0"/>
                    <w:jc w:val="center"/>
                    <w:rPr>
                      <w:rFonts w:cs="Times New Roman"/>
                      <w:sz w:val="21"/>
                      <w:szCs w:val="21"/>
                    </w:rPr>
                  </w:pPr>
                  <w:r>
                    <w:rPr>
                      <w:rFonts w:cs="Times New Roman"/>
                      <w:sz w:val="21"/>
                      <w:szCs w:val="21"/>
                    </w:rPr>
                    <w:t>0</w:t>
                  </w:r>
                </w:p>
              </w:tc>
              <w:tc>
                <w:tcPr>
                  <w:tcW w:w="534" w:type="pct"/>
                  <w:tcBorders>
                    <w:top w:val="single" w:color="auto" w:sz="4" w:space="0"/>
                    <w:left w:val="single" w:color="auto" w:sz="4" w:space="0"/>
                    <w:bottom w:val="single" w:color="auto" w:sz="4" w:space="0"/>
                    <w:right w:val="single" w:color="auto" w:sz="4" w:space="0"/>
                  </w:tcBorders>
                  <w:vAlign w:val="center"/>
                </w:tcPr>
                <w:p w14:paraId="4C8E3A71">
                  <w:pPr>
                    <w:spacing w:line="240" w:lineRule="auto"/>
                    <w:ind w:firstLine="0" w:firstLineChars="0"/>
                    <w:jc w:val="center"/>
                    <w:rPr>
                      <w:rFonts w:cs="Times New Roman"/>
                      <w:sz w:val="21"/>
                      <w:szCs w:val="21"/>
                    </w:rPr>
                  </w:pPr>
                  <w:r>
                    <w:rPr>
                      <w:rFonts w:cs="Times New Roman"/>
                      <w:sz w:val="21"/>
                      <w:szCs w:val="21"/>
                    </w:rPr>
                    <w:t>0</w:t>
                  </w:r>
                </w:p>
              </w:tc>
              <w:tc>
                <w:tcPr>
                  <w:tcW w:w="757" w:type="pct"/>
                  <w:tcBorders>
                    <w:top w:val="single" w:color="auto" w:sz="4" w:space="0"/>
                    <w:left w:val="single" w:color="auto" w:sz="4" w:space="0"/>
                    <w:bottom w:val="single" w:color="auto" w:sz="4" w:space="0"/>
                    <w:right w:val="single" w:color="auto" w:sz="4" w:space="0"/>
                  </w:tcBorders>
                  <w:vAlign w:val="bottom"/>
                </w:tcPr>
                <w:p w14:paraId="0764D5E0">
                  <w:pPr>
                    <w:spacing w:line="240" w:lineRule="auto"/>
                    <w:ind w:firstLine="0" w:firstLineChars="0"/>
                    <w:jc w:val="center"/>
                    <w:rPr>
                      <w:rFonts w:cs="Times New Roman"/>
                      <w:sz w:val="21"/>
                      <w:szCs w:val="21"/>
                    </w:rPr>
                  </w:pPr>
                  <w:r>
                    <w:rPr>
                      <w:rFonts w:hint="eastAsia" w:cs="Times New Roman"/>
                      <w:sz w:val="21"/>
                      <w:szCs w:val="21"/>
                    </w:rPr>
                    <w:t>0.324</w:t>
                  </w:r>
                  <w:r>
                    <w:rPr>
                      <w:sz w:val="21"/>
                      <w:szCs w:val="21"/>
                    </w:rPr>
                    <w:t>t/a</w:t>
                  </w:r>
                </w:p>
              </w:tc>
              <w:tc>
                <w:tcPr>
                  <w:tcW w:w="880" w:type="pct"/>
                  <w:tcBorders>
                    <w:top w:val="single" w:color="auto" w:sz="4" w:space="0"/>
                    <w:left w:val="single" w:color="auto" w:sz="4" w:space="0"/>
                    <w:bottom w:val="single" w:color="auto" w:sz="4" w:space="0"/>
                    <w:right w:val="single" w:color="auto" w:sz="4" w:space="0"/>
                  </w:tcBorders>
                  <w:vAlign w:val="center"/>
                </w:tcPr>
                <w:p w14:paraId="426D972A">
                  <w:pPr>
                    <w:spacing w:line="240" w:lineRule="auto"/>
                    <w:ind w:firstLine="0" w:firstLineChars="0"/>
                    <w:jc w:val="center"/>
                    <w:rPr>
                      <w:rFonts w:cs="Times New Roman"/>
                      <w:sz w:val="21"/>
                      <w:szCs w:val="21"/>
                    </w:rPr>
                  </w:pPr>
                  <w:r>
                    <w:rPr>
                      <w:rFonts w:cs="Times New Roman"/>
                      <w:sz w:val="21"/>
                      <w:szCs w:val="21"/>
                    </w:rPr>
                    <w:t>0</w:t>
                  </w:r>
                </w:p>
              </w:tc>
            </w:tr>
            <w:tr w14:paraId="0D188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4" w:type="pct"/>
                  <w:vMerge w:val="continue"/>
                  <w:tcBorders>
                    <w:top w:val="single" w:color="auto" w:sz="4" w:space="0"/>
                    <w:left w:val="single" w:color="auto" w:sz="4" w:space="0"/>
                    <w:bottom w:val="single" w:color="auto" w:sz="4" w:space="0"/>
                    <w:right w:val="single" w:color="auto" w:sz="4" w:space="0"/>
                  </w:tcBorders>
                  <w:vAlign w:val="center"/>
                </w:tcPr>
                <w:p w14:paraId="031AA479">
                  <w:pPr>
                    <w:widowControl/>
                    <w:spacing w:line="240" w:lineRule="auto"/>
                    <w:ind w:firstLine="0" w:firstLineChars="0"/>
                    <w:jc w:val="left"/>
                    <w:rPr>
                      <w:rFonts w:cs="Times New Roman"/>
                      <w:sz w:val="21"/>
                      <w:szCs w:val="21"/>
                    </w:rPr>
                  </w:pPr>
                </w:p>
              </w:tc>
              <w:tc>
                <w:tcPr>
                  <w:tcW w:w="1053" w:type="pct"/>
                  <w:gridSpan w:val="2"/>
                  <w:tcBorders>
                    <w:top w:val="single" w:color="auto" w:sz="4" w:space="0"/>
                    <w:left w:val="single" w:color="auto" w:sz="4" w:space="0"/>
                    <w:bottom w:val="single" w:color="auto" w:sz="4" w:space="0"/>
                    <w:right w:val="single" w:color="auto" w:sz="4" w:space="0"/>
                  </w:tcBorders>
                  <w:vAlign w:val="center"/>
                </w:tcPr>
                <w:p w14:paraId="3024611E">
                  <w:pPr>
                    <w:spacing w:line="240" w:lineRule="auto"/>
                    <w:ind w:firstLine="0" w:firstLineChars="0"/>
                    <w:jc w:val="center"/>
                    <w:rPr>
                      <w:rFonts w:cs="Times New Roman"/>
                      <w:bCs/>
                      <w:sz w:val="21"/>
                      <w:szCs w:val="21"/>
                    </w:rPr>
                  </w:pPr>
                  <w:r>
                    <w:rPr>
                      <w:rFonts w:cs="Times New Roman"/>
                      <w:bCs/>
                      <w:kern w:val="0"/>
                      <w:sz w:val="21"/>
                      <w:szCs w:val="21"/>
                    </w:rPr>
                    <w:t>TP</w:t>
                  </w:r>
                </w:p>
              </w:tc>
              <w:tc>
                <w:tcPr>
                  <w:tcW w:w="624" w:type="pct"/>
                  <w:tcBorders>
                    <w:top w:val="single" w:color="auto" w:sz="4" w:space="0"/>
                    <w:left w:val="single" w:color="auto" w:sz="4" w:space="0"/>
                    <w:bottom w:val="single" w:color="auto" w:sz="4" w:space="0"/>
                    <w:right w:val="single" w:color="auto" w:sz="4" w:space="0"/>
                  </w:tcBorders>
                  <w:vAlign w:val="bottom"/>
                </w:tcPr>
                <w:p w14:paraId="7EAE92D9">
                  <w:pPr>
                    <w:spacing w:line="240" w:lineRule="auto"/>
                    <w:ind w:firstLine="0" w:firstLineChars="0"/>
                    <w:jc w:val="center"/>
                    <w:rPr>
                      <w:rFonts w:cs="Times New Roman"/>
                      <w:sz w:val="21"/>
                      <w:szCs w:val="21"/>
                    </w:rPr>
                  </w:pPr>
                  <w:r>
                    <w:rPr>
                      <w:rFonts w:hint="eastAsia" w:cs="Times New Roman"/>
                      <w:sz w:val="21"/>
                      <w:szCs w:val="21"/>
                    </w:rPr>
                    <w:t>0.009</w:t>
                  </w:r>
                  <w:r>
                    <w:rPr>
                      <w:sz w:val="21"/>
                      <w:szCs w:val="21"/>
                    </w:rPr>
                    <w:t>t/a</w:t>
                  </w:r>
                </w:p>
              </w:tc>
              <w:tc>
                <w:tcPr>
                  <w:tcW w:w="757" w:type="pct"/>
                  <w:tcBorders>
                    <w:top w:val="single" w:color="auto" w:sz="4" w:space="0"/>
                    <w:left w:val="single" w:color="auto" w:sz="4" w:space="0"/>
                    <w:bottom w:val="single" w:color="auto" w:sz="4" w:space="0"/>
                    <w:right w:val="single" w:color="auto" w:sz="4" w:space="0"/>
                  </w:tcBorders>
                  <w:vAlign w:val="center"/>
                </w:tcPr>
                <w:p w14:paraId="0A448350">
                  <w:pPr>
                    <w:spacing w:line="240" w:lineRule="auto"/>
                    <w:ind w:firstLine="0" w:firstLineChars="0"/>
                    <w:jc w:val="center"/>
                    <w:rPr>
                      <w:rFonts w:cs="Times New Roman"/>
                      <w:sz w:val="21"/>
                      <w:szCs w:val="21"/>
                    </w:rPr>
                  </w:pPr>
                  <w:r>
                    <w:rPr>
                      <w:rFonts w:cs="Times New Roman"/>
                      <w:sz w:val="21"/>
                      <w:szCs w:val="21"/>
                    </w:rPr>
                    <w:t>0</w:t>
                  </w:r>
                </w:p>
              </w:tc>
              <w:tc>
                <w:tcPr>
                  <w:tcW w:w="534" w:type="pct"/>
                  <w:tcBorders>
                    <w:top w:val="single" w:color="auto" w:sz="4" w:space="0"/>
                    <w:left w:val="single" w:color="auto" w:sz="4" w:space="0"/>
                    <w:bottom w:val="single" w:color="auto" w:sz="4" w:space="0"/>
                    <w:right w:val="single" w:color="auto" w:sz="4" w:space="0"/>
                  </w:tcBorders>
                  <w:vAlign w:val="center"/>
                </w:tcPr>
                <w:p w14:paraId="016E424C">
                  <w:pPr>
                    <w:spacing w:line="240" w:lineRule="auto"/>
                    <w:ind w:firstLine="0" w:firstLineChars="0"/>
                    <w:jc w:val="center"/>
                    <w:rPr>
                      <w:rFonts w:cs="Times New Roman"/>
                      <w:sz w:val="21"/>
                      <w:szCs w:val="21"/>
                    </w:rPr>
                  </w:pPr>
                  <w:r>
                    <w:rPr>
                      <w:rFonts w:cs="Times New Roman"/>
                      <w:sz w:val="21"/>
                      <w:szCs w:val="21"/>
                    </w:rPr>
                    <w:t>0</w:t>
                  </w:r>
                </w:p>
              </w:tc>
              <w:tc>
                <w:tcPr>
                  <w:tcW w:w="757" w:type="pct"/>
                  <w:tcBorders>
                    <w:top w:val="single" w:color="auto" w:sz="4" w:space="0"/>
                    <w:left w:val="single" w:color="auto" w:sz="4" w:space="0"/>
                    <w:bottom w:val="single" w:color="auto" w:sz="4" w:space="0"/>
                    <w:right w:val="single" w:color="auto" w:sz="4" w:space="0"/>
                  </w:tcBorders>
                  <w:vAlign w:val="bottom"/>
                </w:tcPr>
                <w:p w14:paraId="7DF213DB">
                  <w:pPr>
                    <w:spacing w:line="240" w:lineRule="auto"/>
                    <w:ind w:firstLine="0" w:firstLineChars="0"/>
                    <w:jc w:val="center"/>
                    <w:rPr>
                      <w:rFonts w:cs="Times New Roman"/>
                      <w:sz w:val="21"/>
                      <w:szCs w:val="21"/>
                    </w:rPr>
                  </w:pPr>
                  <w:r>
                    <w:rPr>
                      <w:rFonts w:hint="eastAsia" w:cs="Times New Roman"/>
                      <w:sz w:val="21"/>
                      <w:szCs w:val="21"/>
                    </w:rPr>
                    <w:t>0.009</w:t>
                  </w:r>
                  <w:r>
                    <w:rPr>
                      <w:sz w:val="21"/>
                      <w:szCs w:val="21"/>
                    </w:rPr>
                    <w:t>t/a</w:t>
                  </w:r>
                </w:p>
              </w:tc>
              <w:tc>
                <w:tcPr>
                  <w:tcW w:w="880" w:type="pct"/>
                  <w:tcBorders>
                    <w:top w:val="single" w:color="auto" w:sz="4" w:space="0"/>
                    <w:left w:val="single" w:color="auto" w:sz="4" w:space="0"/>
                    <w:bottom w:val="single" w:color="auto" w:sz="4" w:space="0"/>
                    <w:right w:val="single" w:color="auto" w:sz="4" w:space="0"/>
                  </w:tcBorders>
                  <w:vAlign w:val="center"/>
                </w:tcPr>
                <w:p w14:paraId="4AF0A5E1">
                  <w:pPr>
                    <w:spacing w:line="240" w:lineRule="auto"/>
                    <w:ind w:firstLine="0" w:firstLineChars="0"/>
                    <w:jc w:val="center"/>
                    <w:rPr>
                      <w:rFonts w:cs="Times New Roman"/>
                      <w:sz w:val="21"/>
                      <w:szCs w:val="21"/>
                    </w:rPr>
                  </w:pPr>
                  <w:r>
                    <w:rPr>
                      <w:rFonts w:cs="Times New Roman"/>
                      <w:sz w:val="21"/>
                      <w:szCs w:val="21"/>
                    </w:rPr>
                    <w:t>0</w:t>
                  </w:r>
                </w:p>
              </w:tc>
            </w:tr>
            <w:tr w14:paraId="07C17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4" w:type="pct"/>
                  <w:vMerge w:val="continue"/>
                  <w:tcBorders>
                    <w:top w:val="single" w:color="auto" w:sz="4" w:space="0"/>
                    <w:left w:val="single" w:color="auto" w:sz="4" w:space="0"/>
                    <w:bottom w:val="single" w:color="auto" w:sz="4" w:space="0"/>
                    <w:right w:val="single" w:color="auto" w:sz="4" w:space="0"/>
                  </w:tcBorders>
                  <w:vAlign w:val="center"/>
                </w:tcPr>
                <w:p w14:paraId="0227E47E">
                  <w:pPr>
                    <w:widowControl/>
                    <w:spacing w:line="240" w:lineRule="auto"/>
                    <w:ind w:firstLine="0" w:firstLineChars="0"/>
                    <w:jc w:val="left"/>
                    <w:rPr>
                      <w:rFonts w:cs="Times New Roman"/>
                      <w:sz w:val="21"/>
                      <w:szCs w:val="21"/>
                    </w:rPr>
                  </w:pPr>
                </w:p>
              </w:tc>
              <w:tc>
                <w:tcPr>
                  <w:tcW w:w="1053" w:type="pct"/>
                  <w:gridSpan w:val="2"/>
                  <w:tcBorders>
                    <w:top w:val="single" w:color="auto" w:sz="4" w:space="0"/>
                    <w:left w:val="single" w:color="auto" w:sz="4" w:space="0"/>
                    <w:bottom w:val="single" w:color="auto" w:sz="4" w:space="0"/>
                    <w:right w:val="single" w:color="auto" w:sz="4" w:space="0"/>
                  </w:tcBorders>
                  <w:vAlign w:val="center"/>
                </w:tcPr>
                <w:p w14:paraId="4F75595D">
                  <w:pPr>
                    <w:spacing w:line="240" w:lineRule="auto"/>
                    <w:ind w:firstLine="0" w:firstLineChars="0"/>
                    <w:jc w:val="center"/>
                    <w:rPr>
                      <w:rFonts w:cs="Times New Roman"/>
                      <w:bCs/>
                      <w:sz w:val="21"/>
                      <w:szCs w:val="21"/>
                    </w:rPr>
                  </w:pPr>
                  <w:r>
                    <w:rPr>
                      <w:rFonts w:cs="Times New Roman"/>
                      <w:bCs/>
                      <w:sz w:val="21"/>
                      <w:szCs w:val="21"/>
                    </w:rPr>
                    <w:t>NH</w:t>
                  </w:r>
                  <w:r>
                    <w:rPr>
                      <w:rFonts w:cs="Times New Roman"/>
                      <w:bCs/>
                      <w:sz w:val="21"/>
                      <w:szCs w:val="21"/>
                      <w:vertAlign w:val="subscript"/>
                    </w:rPr>
                    <w:t>3</w:t>
                  </w:r>
                  <w:r>
                    <w:rPr>
                      <w:rFonts w:cs="Times New Roman"/>
                      <w:bCs/>
                      <w:sz w:val="21"/>
                      <w:szCs w:val="21"/>
                    </w:rPr>
                    <w:t>-N</w:t>
                  </w:r>
                </w:p>
              </w:tc>
              <w:tc>
                <w:tcPr>
                  <w:tcW w:w="624" w:type="pct"/>
                  <w:tcBorders>
                    <w:top w:val="single" w:color="auto" w:sz="4" w:space="0"/>
                    <w:left w:val="single" w:color="auto" w:sz="4" w:space="0"/>
                    <w:bottom w:val="single" w:color="auto" w:sz="4" w:space="0"/>
                    <w:right w:val="single" w:color="auto" w:sz="4" w:space="0"/>
                  </w:tcBorders>
                  <w:vAlign w:val="bottom"/>
                </w:tcPr>
                <w:p w14:paraId="63F22957">
                  <w:pPr>
                    <w:spacing w:line="240" w:lineRule="auto"/>
                    <w:ind w:firstLine="0" w:firstLineChars="0"/>
                    <w:jc w:val="center"/>
                    <w:rPr>
                      <w:rFonts w:cs="Times New Roman"/>
                      <w:sz w:val="21"/>
                      <w:szCs w:val="21"/>
                    </w:rPr>
                  </w:pPr>
                  <w:r>
                    <w:rPr>
                      <w:rFonts w:hint="eastAsia" w:cs="Times New Roman"/>
                      <w:sz w:val="21"/>
                      <w:szCs w:val="21"/>
                    </w:rPr>
                    <w:t>0.049</w:t>
                  </w:r>
                  <w:r>
                    <w:rPr>
                      <w:sz w:val="21"/>
                      <w:szCs w:val="21"/>
                    </w:rPr>
                    <w:t>t/a</w:t>
                  </w:r>
                </w:p>
              </w:tc>
              <w:tc>
                <w:tcPr>
                  <w:tcW w:w="757" w:type="pct"/>
                  <w:tcBorders>
                    <w:top w:val="single" w:color="auto" w:sz="4" w:space="0"/>
                    <w:left w:val="single" w:color="auto" w:sz="4" w:space="0"/>
                    <w:bottom w:val="single" w:color="auto" w:sz="4" w:space="0"/>
                    <w:right w:val="single" w:color="auto" w:sz="4" w:space="0"/>
                  </w:tcBorders>
                  <w:vAlign w:val="center"/>
                </w:tcPr>
                <w:p w14:paraId="5C28D64E">
                  <w:pPr>
                    <w:spacing w:line="240" w:lineRule="auto"/>
                    <w:ind w:firstLine="0" w:firstLineChars="0"/>
                    <w:jc w:val="center"/>
                    <w:rPr>
                      <w:rFonts w:cs="Times New Roman"/>
                      <w:sz w:val="21"/>
                      <w:szCs w:val="21"/>
                    </w:rPr>
                  </w:pPr>
                  <w:r>
                    <w:rPr>
                      <w:rFonts w:cs="Times New Roman"/>
                      <w:sz w:val="21"/>
                      <w:szCs w:val="21"/>
                    </w:rPr>
                    <w:t>0</w:t>
                  </w:r>
                </w:p>
              </w:tc>
              <w:tc>
                <w:tcPr>
                  <w:tcW w:w="534" w:type="pct"/>
                  <w:tcBorders>
                    <w:top w:val="single" w:color="auto" w:sz="4" w:space="0"/>
                    <w:left w:val="single" w:color="auto" w:sz="4" w:space="0"/>
                    <w:bottom w:val="single" w:color="auto" w:sz="4" w:space="0"/>
                    <w:right w:val="single" w:color="auto" w:sz="4" w:space="0"/>
                  </w:tcBorders>
                  <w:vAlign w:val="center"/>
                </w:tcPr>
                <w:p w14:paraId="25B2572A">
                  <w:pPr>
                    <w:spacing w:line="240" w:lineRule="auto"/>
                    <w:ind w:firstLine="0" w:firstLineChars="0"/>
                    <w:jc w:val="center"/>
                    <w:rPr>
                      <w:rFonts w:cs="Times New Roman"/>
                      <w:sz w:val="21"/>
                      <w:szCs w:val="21"/>
                    </w:rPr>
                  </w:pPr>
                  <w:r>
                    <w:rPr>
                      <w:rFonts w:cs="Times New Roman"/>
                      <w:sz w:val="21"/>
                      <w:szCs w:val="21"/>
                    </w:rPr>
                    <w:t>0</w:t>
                  </w:r>
                </w:p>
              </w:tc>
              <w:tc>
                <w:tcPr>
                  <w:tcW w:w="757" w:type="pct"/>
                  <w:tcBorders>
                    <w:top w:val="single" w:color="auto" w:sz="4" w:space="0"/>
                    <w:left w:val="single" w:color="auto" w:sz="4" w:space="0"/>
                    <w:bottom w:val="single" w:color="auto" w:sz="4" w:space="0"/>
                    <w:right w:val="single" w:color="auto" w:sz="4" w:space="0"/>
                  </w:tcBorders>
                  <w:vAlign w:val="bottom"/>
                </w:tcPr>
                <w:p w14:paraId="45C69E27">
                  <w:pPr>
                    <w:spacing w:line="240" w:lineRule="auto"/>
                    <w:ind w:firstLine="0" w:firstLineChars="0"/>
                    <w:jc w:val="center"/>
                    <w:rPr>
                      <w:rFonts w:cs="Times New Roman"/>
                      <w:sz w:val="21"/>
                      <w:szCs w:val="21"/>
                    </w:rPr>
                  </w:pPr>
                  <w:r>
                    <w:rPr>
                      <w:rFonts w:hint="eastAsia" w:cs="Times New Roman"/>
                      <w:sz w:val="21"/>
                      <w:szCs w:val="21"/>
                    </w:rPr>
                    <w:t>0.049</w:t>
                  </w:r>
                  <w:r>
                    <w:rPr>
                      <w:sz w:val="21"/>
                      <w:szCs w:val="21"/>
                    </w:rPr>
                    <w:t>t/a</w:t>
                  </w:r>
                </w:p>
              </w:tc>
              <w:tc>
                <w:tcPr>
                  <w:tcW w:w="880" w:type="pct"/>
                  <w:tcBorders>
                    <w:top w:val="single" w:color="auto" w:sz="4" w:space="0"/>
                    <w:left w:val="single" w:color="auto" w:sz="4" w:space="0"/>
                    <w:bottom w:val="single" w:color="auto" w:sz="4" w:space="0"/>
                    <w:right w:val="single" w:color="auto" w:sz="4" w:space="0"/>
                  </w:tcBorders>
                  <w:vAlign w:val="center"/>
                </w:tcPr>
                <w:p w14:paraId="6FAE2B56">
                  <w:pPr>
                    <w:spacing w:line="240" w:lineRule="auto"/>
                    <w:ind w:firstLine="0" w:firstLineChars="0"/>
                    <w:jc w:val="center"/>
                    <w:rPr>
                      <w:rFonts w:cs="Times New Roman"/>
                      <w:sz w:val="21"/>
                      <w:szCs w:val="21"/>
                    </w:rPr>
                  </w:pPr>
                  <w:r>
                    <w:rPr>
                      <w:rFonts w:cs="Times New Roman"/>
                      <w:sz w:val="21"/>
                      <w:szCs w:val="21"/>
                    </w:rPr>
                    <w:t>0</w:t>
                  </w:r>
                </w:p>
              </w:tc>
            </w:tr>
            <w:tr w14:paraId="1CC4B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394" w:type="pct"/>
                  <w:vMerge w:val="restart"/>
                  <w:tcBorders>
                    <w:top w:val="single" w:color="auto" w:sz="4" w:space="0"/>
                    <w:left w:val="single" w:color="auto" w:sz="4" w:space="0"/>
                    <w:right w:val="single" w:color="auto" w:sz="4" w:space="0"/>
                  </w:tcBorders>
                  <w:vAlign w:val="center"/>
                </w:tcPr>
                <w:p w14:paraId="3BE417F4">
                  <w:pPr>
                    <w:widowControl/>
                    <w:spacing w:line="240" w:lineRule="auto"/>
                    <w:ind w:firstLine="0" w:firstLineChars="0"/>
                    <w:jc w:val="center"/>
                    <w:rPr>
                      <w:rFonts w:cs="Times New Roman"/>
                      <w:sz w:val="21"/>
                      <w:szCs w:val="21"/>
                    </w:rPr>
                  </w:pPr>
                  <w:r>
                    <w:rPr>
                      <w:rFonts w:hint="eastAsia" w:cs="Times New Roman"/>
                      <w:sz w:val="21"/>
                      <w:szCs w:val="21"/>
                    </w:rPr>
                    <w:t>废气</w:t>
                  </w:r>
                </w:p>
              </w:tc>
              <w:tc>
                <w:tcPr>
                  <w:tcW w:w="532" w:type="pct"/>
                  <w:vMerge w:val="restart"/>
                  <w:tcBorders>
                    <w:top w:val="single" w:color="auto" w:sz="4" w:space="0"/>
                    <w:left w:val="single" w:color="auto" w:sz="4" w:space="0"/>
                    <w:right w:val="single" w:color="auto" w:sz="4" w:space="0"/>
                  </w:tcBorders>
                  <w:vAlign w:val="center"/>
                </w:tcPr>
                <w:p w14:paraId="3877C388">
                  <w:pPr>
                    <w:widowControl/>
                    <w:spacing w:line="240" w:lineRule="auto"/>
                    <w:ind w:firstLine="0" w:firstLineChars="0"/>
                    <w:jc w:val="center"/>
                    <w:rPr>
                      <w:rFonts w:cs="Times New Roman"/>
                      <w:snapToGrid w:val="0"/>
                      <w:kern w:val="0"/>
                      <w:sz w:val="21"/>
                      <w:szCs w:val="21"/>
                    </w:rPr>
                  </w:pPr>
                  <w:r>
                    <w:rPr>
                      <w:rFonts w:hint="eastAsia" w:cs="Times New Roman"/>
                      <w:snapToGrid w:val="0"/>
                      <w:kern w:val="0"/>
                      <w:sz w:val="21"/>
                      <w:szCs w:val="21"/>
                    </w:rPr>
                    <w:t>原项目一车间</w:t>
                  </w:r>
                </w:p>
              </w:tc>
              <w:tc>
                <w:tcPr>
                  <w:tcW w:w="522" w:type="pct"/>
                  <w:tcBorders>
                    <w:top w:val="single" w:color="auto" w:sz="4" w:space="0"/>
                    <w:left w:val="single" w:color="auto" w:sz="4" w:space="0"/>
                    <w:bottom w:val="single" w:color="auto" w:sz="4" w:space="0"/>
                    <w:right w:val="single" w:color="auto" w:sz="4" w:space="0"/>
                  </w:tcBorders>
                  <w:vAlign w:val="center"/>
                </w:tcPr>
                <w:p w14:paraId="549D7924">
                  <w:pPr>
                    <w:widowControl/>
                    <w:spacing w:line="240" w:lineRule="auto"/>
                    <w:ind w:firstLine="0" w:firstLineChars="0"/>
                    <w:jc w:val="center"/>
                    <w:rPr>
                      <w:rFonts w:cs="Times New Roman"/>
                      <w:snapToGrid w:val="0"/>
                      <w:kern w:val="0"/>
                      <w:sz w:val="21"/>
                      <w:szCs w:val="21"/>
                    </w:rPr>
                  </w:pPr>
                  <w:r>
                    <w:rPr>
                      <w:rFonts w:hint="eastAsia" w:cs="Times New Roman"/>
                      <w:snapToGrid w:val="0"/>
                      <w:kern w:val="0"/>
                      <w:sz w:val="21"/>
                      <w:szCs w:val="21"/>
                    </w:rPr>
                    <w:t>木工粉尘</w:t>
                  </w:r>
                </w:p>
              </w:tc>
              <w:tc>
                <w:tcPr>
                  <w:tcW w:w="624" w:type="pct"/>
                  <w:tcBorders>
                    <w:top w:val="single" w:color="auto" w:sz="4" w:space="0"/>
                    <w:left w:val="single" w:color="auto" w:sz="4" w:space="0"/>
                    <w:bottom w:val="single" w:color="auto" w:sz="4" w:space="0"/>
                    <w:right w:val="single" w:color="auto" w:sz="4" w:space="0"/>
                  </w:tcBorders>
                  <w:vAlign w:val="center"/>
                </w:tcPr>
                <w:p w14:paraId="659514B7">
                  <w:pPr>
                    <w:spacing w:line="240" w:lineRule="auto"/>
                    <w:ind w:firstLine="0" w:firstLineChars="0"/>
                    <w:jc w:val="center"/>
                    <w:rPr>
                      <w:rFonts w:cs="Times New Roman"/>
                      <w:sz w:val="21"/>
                      <w:szCs w:val="21"/>
                    </w:rPr>
                  </w:pPr>
                  <w:r>
                    <w:rPr>
                      <w:rFonts w:hint="eastAsia"/>
                      <w:sz w:val="21"/>
                      <w:szCs w:val="21"/>
                    </w:rPr>
                    <w:t>0.0243</w:t>
                  </w:r>
                  <w:r>
                    <w:rPr>
                      <w:sz w:val="21"/>
                      <w:szCs w:val="21"/>
                    </w:rPr>
                    <w:t>t/a</w:t>
                  </w:r>
                </w:p>
              </w:tc>
              <w:tc>
                <w:tcPr>
                  <w:tcW w:w="757" w:type="pct"/>
                  <w:tcBorders>
                    <w:top w:val="single" w:color="auto" w:sz="4" w:space="0"/>
                    <w:left w:val="single" w:color="auto" w:sz="4" w:space="0"/>
                    <w:bottom w:val="single" w:color="auto" w:sz="4" w:space="0"/>
                    <w:right w:val="single" w:color="auto" w:sz="4" w:space="0"/>
                  </w:tcBorders>
                  <w:vAlign w:val="center"/>
                </w:tcPr>
                <w:p w14:paraId="2348A84B">
                  <w:pPr>
                    <w:autoSpaceDE w:val="0"/>
                    <w:autoSpaceDN w:val="0"/>
                    <w:spacing w:line="240" w:lineRule="auto"/>
                    <w:ind w:firstLine="0" w:firstLineChars="0"/>
                    <w:jc w:val="center"/>
                    <w:rPr>
                      <w:rFonts w:cs="Times New Roman"/>
                      <w:sz w:val="21"/>
                      <w:szCs w:val="21"/>
                    </w:rPr>
                  </w:pPr>
                  <w:r>
                    <w:rPr>
                      <w:rFonts w:hint="eastAsia" w:cs="Times New Roman"/>
                      <w:sz w:val="21"/>
                      <w:szCs w:val="21"/>
                    </w:rPr>
                    <w:t>0</w:t>
                  </w:r>
                </w:p>
              </w:tc>
              <w:tc>
                <w:tcPr>
                  <w:tcW w:w="534" w:type="pct"/>
                  <w:tcBorders>
                    <w:top w:val="single" w:color="auto" w:sz="4" w:space="0"/>
                    <w:left w:val="single" w:color="auto" w:sz="4" w:space="0"/>
                    <w:bottom w:val="single" w:color="auto" w:sz="4" w:space="0"/>
                    <w:right w:val="single" w:color="auto" w:sz="4" w:space="0"/>
                  </w:tcBorders>
                </w:tcPr>
                <w:p w14:paraId="356D09BB">
                  <w:pPr>
                    <w:autoSpaceDE w:val="0"/>
                    <w:autoSpaceDN w:val="0"/>
                    <w:spacing w:line="240" w:lineRule="auto"/>
                    <w:ind w:firstLine="0" w:firstLineChars="0"/>
                    <w:jc w:val="center"/>
                    <w:rPr>
                      <w:rFonts w:cs="Times New Roman"/>
                      <w:sz w:val="21"/>
                      <w:szCs w:val="21"/>
                    </w:rPr>
                  </w:pPr>
                  <w:r>
                    <w:rPr>
                      <w:rFonts w:hint="eastAsia" w:cs="Times New Roman"/>
                      <w:sz w:val="21"/>
                      <w:szCs w:val="21"/>
                    </w:rPr>
                    <w:t>0</w:t>
                  </w:r>
                </w:p>
              </w:tc>
              <w:tc>
                <w:tcPr>
                  <w:tcW w:w="757" w:type="pct"/>
                  <w:tcBorders>
                    <w:top w:val="single" w:color="auto" w:sz="4" w:space="0"/>
                    <w:left w:val="single" w:color="auto" w:sz="4" w:space="0"/>
                    <w:bottom w:val="single" w:color="auto" w:sz="4" w:space="0"/>
                    <w:right w:val="single" w:color="auto" w:sz="4" w:space="0"/>
                  </w:tcBorders>
                  <w:vAlign w:val="center"/>
                </w:tcPr>
                <w:p w14:paraId="331B2586">
                  <w:pPr>
                    <w:spacing w:line="240" w:lineRule="auto"/>
                    <w:ind w:firstLine="0" w:firstLineChars="0"/>
                    <w:jc w:val="center"/>
                    <w:rPr>
                      <w:rFonts w:cs="Times New Roman"/>
                      <w:sz w:val="21"/>
                      <w:szCs w:val="21"/>
                    </w:rPr>
                  </w:pPr>
                  <w:r>
                    <w:rPr>
                      <w:rFonts w:hint="eastAsia"/>
                      <w:sz w:val="21"/>
                      <w:szCs w:val="21"/>
                    </w:rPr>
                    <w:t>0.0243</w:t>
                  </w:r>
                  <w:r>
                    <w:rPr>
                      <w:sz w:val="21"/>
                      <w:szCs w:val="21"/>
                    </w:rPr>
                    <w:t>t/a</w:t>
                  </w:r>
                </w:p>
              </w:tc>
              <w:tc>
                <w:tcPr>
                  <w:tcW w:w="880" w:type="pct"/>
                  <w:tcBorders>
                    <w:top w:val="single" w:color="auto" w:sz="4" w:space="0"/>
                    <w:left w:val="single" w:color="auto" w:sz="4" w:space="0"/>
                    <w:bottom w:val="single" w:color="auto" w:sz="4" w:space="0"/>
                    <w:right w:val="single" w:color="auto" w:sz="4" w:space="0"/>
                  </w:tcBorders>
                </w:tcPr>
                <w:p w14:paraId="337B504F">
                  <w:pPr>
                    <w:autoSpaceDE w:val="0"/>
                    <w:autoSpaceDN w:val="0"/>
                    <w:spacing w:line="240" w:lineRule="auto"/>
                    <w:ind w:firstLine="0" w:firstLineChars="0"/>
                    <w:jc w:val="center"/>
                    <w:rPr>
                      <w:rFonts w:cs="Times New Roman"/>
                      <w:sz w:val="21"/>
                      <w:szCs w:val="21"/>
                    </w:rPr>
                  </w:pPr>
                  <w:r>
                    <w:rPr>
                      <w:rFonts w:hint="eastAsia" w:cs="Times New Roman"/>
                      <w:sz w:val="21"/>
                      <w:szCs w:val="21"/>
                    </w:rPr>
                    <w:t>0</w:t>
                  </w:r>
                </w:p>
              </w:tc>
            </w:tr>
            <w:tr w14:paraId="7E41A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4" w:type="pct"/>
                  <w:vMerge w:val="continue"/>
                  <w:tcBorders>
                    <w:left w:val="single" w:color="auto" w:sz="4" w:space="0"/>
                    <w:right w:val="single" w:color="auto" w:sz="4" w:space="0"/>
                  </w:tcBorders>
                  <w:vAlign w:val="center"/>
                </w:tcPr>
                <w:p w14:paraId="429CC57F">
                  <w:pPr>
                    <w:widowControl/>
                    <w:spacing w:beforeAutospacing="1" w:afterAutospacing="1" w:line="240" w:lineRule="auto"/>
                    <w:ind w:firstLine="0" w:firstLineChars="0"/>
                    <w:jc w:val="left"/>
                    <w:rPr>
                      <w:rFonts w:cs="Times New Roman"/>
                      <w:sz w:val="21"/>
                      <w:szCs w:val="21"/>
                    </w:rPr>
                  </w:pPr>
                </w:p>
              </w:tc>
              <w:tc>
                <w:tcPr>
                  <w:tcW w:w="532" w:type="pct"/>
                  <w:vMerge w:val="continue"/>
                  <w:tcBorders>
                    <w:left w:val="single" w:color="auto" w:sz="4" w:space="0"/>
                    <w:bottom w:val="single" w:color="auto" w:sz="4" w:space="0"/>
                    <w:right w:val="single" w:color="auto" w:sz="4" w:space="0"/>
                  </w:tcBorders>
                  <w:vAlign w:val="center"/>
                </w:tcPr>
                <w:p w14:paraId="1351680A">
                  <w:pPr>
                    <w:widowControl/>
                    <w:spacing w:line="240" w:lineRule="auto"/>
                    <w:ind w:firstLine="0" w:firstLineChars="0"/>
                    <w:jc w:val="center"/>
                    <w:rPr>
                      <w:rFonts w:cs="Times New Roman"/>
                      <w:snapToGrid w:val="0"/>
                      <w:kern w:val="0"/>
                      <w:sz w:val="21"/>
                      <w:szCs w:val="21"/>
                    </w:rPr>
                  </w:pPr>
                </w:p>
              </w:tc>
              <w:tc>
                <w:tcPr>
                  <w:tcW w:w="522" w:type="pct"/>
                  <w:tcBorders>
                    <w:top w:val="single" w:color="auto" w:sz="4" w:space="0"/>
                    <w:left w:val="single" w:color="auto" w:sz="4" w:space="0"/>
                    <w:bottom w:val="single" w:color="auto" w:sz="4" w:space="0"/>
                    <w:right w:val="single" w:color="auto" w:sz="4" w:space="0"/>
                  </w:tcBorders>
                  <w:vAlign w:val="center"/>
                </w:tcPr>
                <w:p w14:paraId="0561AC6B">
                  <w:pPr>
                    <w:widowControl/>
                    <w:spacing w:line="240" w:lineRule="auto"/>
                    <w:ind w:firstLine="0" w:firstLineChars="0"/>
                    <w:jc w:val="center"/>
                    <w:rPr>
                      <w:rFonts w:cs="Times New Roman"/>
                      <w:snapToGrid w:val="0"/>
                      <w:kern w:val="0"/>
                      <w:sz w:val="21"/>
                      <w:szCs w:val="21"/>
                    </w:rPr>
                  </w:pPr>
                  <w:r>
                    <w:rPr>
                      <w:rFonts w:hint="eastAsia" w:cs="Times New Roman"/>
                      <w:snapToGrid w:val="0"/>
                      <w:kern w:val="0"/>
                      <w:sz w:val="21"/>
                      <w:szCs w:val="21"/>
                    </w:rPr>
                    <w:t>热熔胶有机废气</w:t>
                  </w:r>
                </w:p>
              </w:tc>
              <w:tc>
                <w:tcPr>
                  <w:tcW w:w="624" w:type="pct"/>
                  <w:tcBorders>
                    <w:top w:val="single" w:color="auto" w:sz="4" w:space="0"/>
                    <w:left w:val="single" w:color="auto" w:sz="4" w:space="0"/>
                    <w:bottom w:val="single" w:color="auto" w:sz="4" w:space="0"/>
                    <w:right w:val="single" w:color="auto" w:sz="4" w:space="0"/>
                  </w:tcBorders>
                  <w:vAlign w:val="center"/>
                </w:tcPr>
                <w:p w14:paraId="35110560">
                  <w:pPr>
                    <w:spacing w:line="240" w:lineRule="auto"/>
                    <w:ind w:firstLine="0" w:firstLineChars="0"/>
                    <w:jc w:val="center"/>
                    <w:rPr>
                      <w:rFonts w:cs="Times New Roman"/>
                      <w:sz w:val="21"/>
                      <w:szCs w:val="21"/>
                    </w:rPr>
                  </w:pPr>
                  <w:r>
                    <w:rPr>
                      <w:bCs/>
                      <w:sz w:val="21"/>
                      <w:szCs w:val="21"/>
                    </w:rPr>
                    <w:t>0.00</w:t>
                  </w:r>
                  <w:r>
                    <w:rPr>
                      <w:rFonts w:hint="eastAsia"/>
                      <w:bCs/>
                      <w:sz w:val="21"/>
                      <w:szCs w:val="21"/>
                    </w:rPr>
                    <w:t>3</w:t>
                  </w:r>
                  <w:r>
                    <w:rPr>
                      <w:bCs/>
                      <w:sz w:val="21"/>
                      <w:szCs w:val="21"/>
                    </w:rPr>
                    <w:t>t/a</w:t>
                  </w:r>
                </w:p>
              </w:tc>
              <w:tc>
                <w:tcPr>
                  <w:tcW w:w="757" w:type="pct"/>
                  <w:tcBorders>
                    <w:top w:val="single" w:color="auto" w:sz="4" w:space="0"/>
                    <w:left w:val="single" w:color="auto" w:sz="4" w:space="0"/>
                    <w:bottom w:val="single" w:color="auto" w:sz="4" w:space="0"/>
                    <w:right w:val="single" w:color="auto" w:sz="4" w:space="0"/>
                  </w:tcBorders>
                  <w:vAlign w:val="center"/>
                </w:tcPr>
                <w:p w14:paraId="69080120">
                  <w:pPr>
                    <w:autoSpaceDE w:val="0"/>
                    <w:autoSpaceDN w:val="0"/>
                    <w:spacing w:line="240" w:lineRule="auto"/>
                    <w:ind w:firstLine="0" w:firstLineChars="0"/>
                    <w:jc w:val="center"/>
                    <w:rPr>
                      <w:rFonts w:cs="Times New Roman"/>
                      <w:sz w:val="21"/>
                      <w:szCs w:val="21"/>
                    </w:rPr>
                  </w:pPr>
                  <w:r>
                    <w:rPr>
                      <w:rFonts w:hint="eastAsia" w:cs="Times New Roman"/>
                      <w:sz w:val="21"/>
                      <w:szCs w:val="21"/>
                    </w:rPr>
                    <w:t>0</w:t>
                  </w:r>
                </w:p>
              </w:tc>
              <w:tc>
                <w:tcPr>
                  <w:tcW w:w="534" w:type="pct"/>
                  <w:tcBorders>
                    <w:top w:val="single" w:color="auto" w:sz="4" w:space="0"/>
                    <w:left w:val="single" w:color="auto" w:sz="4" w:space="0"/>
                    <w:bottom w:val="single" w:color="auto" w:sz="4" w:space="0"/>
                    <w:right w:val="single" w:color="auto" w:sz="4" w:space="0"/>
                  </w:tcBorders>
                </w:tcPr>
                <w:p w14:paraId="73200CE0">
                  <w:pPr>
                    <w:autoSpaceDE w:val="0"/>
                    <w:autoSpaceDN w:val="0"/>
                    <w:spacing w:line="240" w:lineRule="auto"/>
                    <w:ind w:firstLine="0" w:firstLineChars="0"/>
                    <w:jc w:val="center"/>
                    <w:rPr>
                      <w:rFonts w:cs="Times New Roman"/>
                      <w:sz w:val="21"/>
                      <w:szCs w:val="21"/>
                    </w:rPr>
                  </w:pPr>
                  <w:r>
                    <w:rPr>
                      <w:rFonts w:hint="eastAsia" w:cs="Times New Roman"/>
                      <w:sz w:val="21"/>
                      <w:szCs w:val="21"/>
                    </w:rPr>
                    <w:t>0</w:t>
                  </w:r>
                </w:p>
              </w:tc>
              <w:tc>
                <w:tcPr>
                  <w:tcW w:w="757" w:type="pct"/>
                  <w:tcBorders>
                    <w:top w:val="single" w:color="auto" w:sz="4" w:space="0"/>
                    <w:left w:val="single" w:color="auto" w:sz="4" w:space="0"/>
                    <w:bottom w:val="single" w:color="auto" w:sz="4" w:space="0"/>
                    <w:right w:val="single" w:color="auto" w:sz="4" w:space="0"/>
                  </w:tcBorders>
                  <w:vAlign w:val="center"/>
                </w:tcPr>
                <w:p w14:paraId="2F9AEEED">
                  <w:pPr>
                    <w:spacing w:line="240" w:lineRule="auto"/>
                    <w:ind w:firstLine="0" w:firstLineChars="0"/>
                    <w:jc w:val="center"/>
                    <w:rPr>
                      <w:rFonts w:cs="Times New Roman"/>
                      <w:sz w:val="21"/>
                      <w:szCs w:val="21"/>
                    </w:rPr>
                  </w:pPr>
                  <w:r>
                    <w:rPr>
                      <w:bCs/>
                      <w:sz w:val="21"/>
                      <w:szCs w:val="21"/>
                    </w:rPr>
                    <w:t>0.00</w:t>
                  </w:r>
                  <w:r>
                    <w:rPr>
                      <w:rFonts w:hint="eastAsia"/>
                      <w:bCs/>
                      <w:sz w:val="21"/>
                      <w:szCs w:val="21"/>
                    </w:rPr>
                    <w:t>3</w:t>
                  </w:r>
                  <w:r>
                    <w:rPr>
                      <w:bCs/>
                      <w:sz w:val="21"/>
                      <w:szCs w:val="21"/>
                    </w:rPr>
                    <w:t>t/a</w:t>
                  </w:r>
                </w:p>
              </w:tc>
              <w:tc>
                <w:tcPr>
                  <w:tcW w:w="880" w:type="pct"/>
                  <w:tcBorders>
                    <w:top w:val="single" w:color="auto" w:sz="4" w:space="0"/>
                    <w:left w:val="single" w:color="auto" w:sz="4" w:space="0"/>
                    <w:bottom w:val="single" w:color="auto" w:sz="4" w:space="0"/>
                    <w:right w:val="single" w:color="auto" w:sz="4" w:space="0"/>
                  </w:tcBorders>
                </w:tcPr>
                <w:p w14:paraId="65CCD62F">
                  <w:pPr>
                    <w:autoSpaceDE w:val="0"/>
                    <w:autoSpaceDN w:val="0"/>
                    <w:spacing w:line="240" w:lineRule="auto"/>
                    <w:ind w:firstLine="0" w:firstLineChars="0"/>
                    <w:jc w:val="center"/>
                    <w:rPr>
                      <w:rFonts w:cs="Times New Roman"/>
                      <w:sz w:val="21"/>
                      <w:szCs w:val="21"/>
                    </w:rPr>
                  </w:pPr>
                  <w:r>
                    <w:rPr>
                      <w:rFonts w:hint="eastAsia" w:cs="Times New Roman"/>
                      <w:sz w:val="21"/>
                      <w:szCs w:val="21"/>
                    </w:rPr>
                    <w:t>0</w:t>
                  </w:r>
                </w:p>
              </w:tc>
            </w:tr>
            <w:tr w14:paraId="54672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4" w:type="pct"/>
                  <w:vMerge w:val="continue"/>
                  <w:tcBorders>
                    <w:left w:val="single" w:color="auto" w:sz="4" w:space="0"/>
                    <w:right w:val="single" w:color="auto" w:sz="4" w:space="0"/>
                  </w:tcBorders>
                  <w:vAlign w:val="center"/>
                </w:tcPr>
                <w:p w14:paraId="386F8D08">
                  <w:pPr>
                    <w:widowControl/>
                    <w:spacing w:beforeAutospacing="1" w:afterAutospacing="1" w:line="240" w:lineRule="auto"/>
                    <w:ind w:firstLine="0" w:firstLineChars="0"/>
                    <w:jc w:val="left"/>
                    <w:rPr>
                      <w:rFonts w:cs="Times New Roman"/>
                      <w:sz w:val="21"/>
                      <w:szCs w:val="21"/>
                    </w:rPr>
                  </w:pPr>
                </w:p>
              </w:tc>
              <w:tc>
                <w:tcPr>
                  <w:tcW w:w="532" w:type="pct"/>
                  <w:vMerge w:val="restart"/>
                  <w:tcBorders>
                    <w:top w:val="single" w:color="auto" w:sz="4" w:space="0"/>
                    <w:left w:val="single" w:color="auto" w:sz="4" w:space="0"/>
                    <w:right w:val="single" w:color="auto" w:sz="4" w:space="0"/>
                  </w:tcBorders>
                </w:tcPr>
                <w:p w14:paraId="2A824572">
                  <w:pPr>
                    <w:pStyle w:val="86"/>
                    <w:rPr>
                      <w:rFonts w:hint="eastAsia" w:cs="Times New Roman"/>
                      <w:snapToGrid w:val="0"/>
                      <w:kern w:val="21"/>
                      <w:sz w:val="21"/>
                      <w:szCs w:val="21"/>
                      <w:lang w:eastAsia="zh-CN"/>
                    </w:rPr>
                  </w:pPr>
                  <w:r>
                    <w:rPr>
                      <w:rFonts w:hint="eastAsia" w:cs="Times New Roman"/>
                      <w:snapToGrid w:val="0"/>
                      <w:kern w:val="21"/>
                      <w:sz w:val="21"/>
                      <w:szCs w:val="21"/>
                      <w:lang w:eastAsia="zh-CN"/>
                    </w:rPr>
                    <w:t>二车间天然气</w:t>
                  </w:r>
                </w:p>
              </w:tc>
              <w:tc>
                <w:tcPr>
                  <w:tcW w:w="522" w:type="pct"/>
                  <w:tcBorders>
                    <w:top w:val="single" w:color="auto" w:sz="4" w:space="0"/>
                    <w:left w:val="single" w:color="auto" w:sz="4" w:space="0"/>
                    <w:bottom w:val="single" w:color="auto" w:sz="4" w:space="0"/>
                    <w:right w:val="single" w:color="auto" w:sz="4" w:space="0"/>
                  </w:tcBorders>
                </w:tcPr>
                <w:p w14:paraId="62AF0293">
                  <w:pPr>
                    <w:pStyle w:val="86"/>
                    <w:rPr>
                      <w:rFonts w:hint="eastAsia"/>
                      <w:spacing w:val="7"/>
                      <w:sz w:val="21"/>
                      <w:szCs w:val="21"/>
                      <w:lang w:eastAsia="zh-CN"/>
                    </w:rPr>
                  </w:pPr>
                  <w:r>
                    <w:rPr>
                      <w:rFonts w:hint="eastAsia"/>
                      <w:spacing w:val="7"/>
                      <w:sz w:val="21"/>
                      <w:szCs w:val="21"/>
                      <w:lang w:eastAsia="zh-CN"/>
                    </w:rPr>
                    <w:t>颗粒物</w:t>
                  </w:r>
                </w:p>
              </w:tc>
              <w:tc>
                <w:tcPr>
                  <w:tcW w:w="624" w:type="pct"/>
                  <w:tcBorders>
                    <w:top w:val="single" w:color="auto" w:sz="4" w:space="0"/>
                    <w:left w:val="single" w:color="auto" w:sz="4" w:space="0"/>
                    <w:bottom w:val="single" w:color="auto" w:sz="4" w:space="0"/>
                    <w:right w:val="single" w:color="auto" w:sz="4" w:space="0"/>
                  </w:tcBorders>
                  <w:vAlign w:val="center"/>
                </w:tcPr>
                <w:p w14:paraId="6F02AB46">
                  <w:pPr>
                    <w:spacing w:line="240" w:lineRule="auto"/>
                    <w:ind w:firstLine="0" w:firstLineChars="0"/>
                    <w:jc w:val="center"/>
                    <w:rPr>
                      <w:rFonts w:cs="Times New Roman"/>
                      <w:sz w:val="21"/>
                      <w:szCs w:val="21"/>
                    </w:rPr>
                  </w:pPr>
                  <w:r>
                    <w:rPr>
                      <w:rFonts w:cs="Times New Roman"/>
                      <w:sz w:val="21"/>
                      <w:szCs w:val="21"/>
                    </w:rPr>
                    <w:t>0</w:t>
                  </w:r>
                </w:p>
              </w:tc>
              <w:tc>
                <w:tcPr>
                  <w:tcW w:w="757" w:type="pct"/>
                  <w:tcBorders>
                    <w:top w:val="single" w:color="auto" w:sz="4" w:space="0"/>
                    <w:left w:val="single" w:color="auto" w:sz="4" w:space="0"/>
                    <w:bottom w:val="single" w:color="auto" w:sz="4" w:space="0"/>
                    <w:right w:val="single" w:color="auto" w:sz="4" w:space="0"/>
                  </w:tcBorders>
                </w:tcPr>
                <w:p w14:paraId="54718F85">
                  <w:pPr>
                    <w:pStyle w:val="86"/>
                    <w:rPr>
                      <w:rFonts w:hint="eastAsia" w:cs="Times New Roman"/>
                      <w:sz w:val="21"/>
                      <w:szCs w:val="21"/>
                      <w:lang w:eastAsia="zh-CN"/>
                    </w:rPr>
                  </w:pPr>
                  <w:r>
                    <w:rPr>
                      <w:rFonts w:hint="eastAsia"/>
                      <w:spacing w:val="7"/>
                      <w:sz w:val="21"/>
                      <w:szCs w:val="21"/>
                      <w:lang w:eastAsia="zh-CN"/>
                    </w:rPr>
                    <w:t>0.936kg/a</w:t>
                  </w:r>
                </w:p>
              </w:tc>
              <w:tc>
                <w:tcPr>
                  <w:tcW w:w="534" w:type="pct"/>
                  <w:tcBorders>
                    <w:top w:val="single" w:color="auto" w:sz="4" w:space="0"/>
                    <w:left w:val="single" w:color="auto" w:sz="4" w:space="0"/>
                    <w:bottom w:val="single" w:color="auto" w:sz="4" w:space="0"/>
                    <w:right w:val="single" w:color="auto" w:sz="4" w:space="0"/>
                  </w:tcBorders>
                  <w:vAlign w:val="center"/>
                </w:tcPr>
                <w:p w14:paraId="239BBB28">
                  <w:pPr>
                    <w:spacing w:line="240" w:lineRule="auto"/>
                    <w:ind w:firstLine="0" w:firstLineChars="0"/>
                    <w:jc w:val="center"/>
                    <w:rPr>
                      <w:rFonts w:cs="Times New Roman"/>
                      <w:sz w:val="21"/>
                      <w:szCs w:val="21"/>
                    </w:rPr>
                  </w:pPr>
                  <w:r>
                    <w:rPr>
                      <w:rFonts w:cs="Times New Roman"/>
                      <w:sz w:val="21"/>
                      <w:szCs w:val="21"/>
                    </w:rPr>
                    <w:t>0</w:t>
                  </w:r>
                </w:p>
              </w:tc>
              <w:tc>
                <w:tcPr>
                  <w:tcW w:w="757" w:type="pct"/>
                  <w:tcBorders>
                    <w:top w:val="single" w:color="auto" w:sz="4" w:space="0"/>
                    <w:left w:val="single" w:color="auto" w:sz="4" w:space="0"/>
                    <w:bottom w:val="single" w:color="auto" w:sz="4" w:space="0"/>
                    <w:right w:val="single" w:color="auto" w:sz="4" w:space="0"/>
                  </w:tcBorders>
                </w:tcPr>
                <w:p w14:paraId="2867BF34">
                  <w:pPr>
                    <w:pStyle w:val="86"/>
                    <w:rPr>
                      <w:rFonts w:hint="eastAsia" w:cs="Times New Roman"/>
                      <w:sz w:val="21"/>
                      <w:szCs w:val="21"/>
                      <w:lang w:eastAsia="zh-CN"/>
                    </w:rPr>
                  </w:pPr>
                  <w:r>
                    <w:rPr>
                      <w:rFonts w:hint="eastAsia"/>
                      <w:spacing w:val="7"/>
                      <w:sz w:val="21"/>
                      <w:szCs w:val="21"/>
                      <w:lang w:eastAsia="zh-CN"/>
                    </w:rPr>
                    <w:t>0.936kg/a</w:t>
                  </w:r>
                </w:p>
              </w:tc>
              <w:tc>
                <w:tcPr>
                  <w:tcW w:w="880" w:type="pct"/>
                  <w:tcBorders>
                    <w:top w:val="single" w:color="auto" w:sz="4" w:space="0"/>
                    <w:left w:val="single" w:color="auto" w:sz="4" w:space="0"/>
                    <w:bottom w:val="single" w:color="auto" w:sz="4" w:space="0"/>
                    <w:right w:val="single" w:color="auto" w:sz="4" w:space="0"/>
                  </w:tcBorders>
                </w:tcPr>
                <w:p w14:paraId="2F1F0748">
                  <w:pPr>
                    <w:pStyle w:val="86"/>
                    <w:rPr>
                      <w:rFonts w:hint="eastAsia" w:cs="Times New Roman"/>
                      <w:sz w:val="21"/>
                      <w:szCs w:val="21"/>
                      <w:lang w:eastAsia="zh-CN"/>
                    </w:rPr>
                  </w:pPr>
                  <w:r>
                    <w:rPr>
                      <w:rFonts w:hint="eastAsia"/>
                      <w:spacing w:val="7"/>
                      <w:sz w:val="21"/>
                      <w:szCs w:val="21"/>
                      <w:lang w:eastAsia="zh-CN"/>
                    </w:rPr>
                    <w:t>+0.936kg/a</w:t>
                  </w:r>
                </w:p>
              </w:tc>
            </w:tr>
            <w:tr w14:paraId="7D87E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4" w:type="pct"/>
                  <w:vMerge w:val="continue"/>
                  <w:tcBorders>
                    <w:left w:val="single" w:color="auto" w:sz="4" w:space="0"/>
                    <w:right w:val="single" w:color="auto" w:sz="4" w:space="0"/>
                  </w:tcBorders>
                  <w:vAlign w:val="center"/>
                </w:tcPr>
                <w:p w14:paraId="13C5325B">
                  <w:pPr>
                    <w:widowControl/>
                    <w:spacing w:beforeAutospacing="1" w:afterAutospacing="1" w:line="240" w:lineRule="auto"/>
                    <w:ind w:firstLine="0" w:firstLineChars="0"/>
                    <w:jc w:val="left"/>
                    <w:rPr>
                      <w:rFonts w:cs="Times New Roman"/>
                      <w:sz w:val="21"/>
                      <w:szCs w:val="21"/>
                    </w:rPr>
                  </w:pPr>
                </w:p>
              </w:tc>
              <w:tc>
                <w:tcPr>
                  <w:tcW w:w="532" w:type="pct"/>
                  <w:vMerge w:val="continue"/>
                  <w:tcBorders>
                    <w:left w:val="single" w:color="auto" w:sz="4" w:space="0"/>
                    <w:right w:val="single" w:color="auto" w:sz="4" w:space="0"/>
                  </w:tcBorders>
                </w:tcPr>
                <w:p w14:paraId="0F29990A">
                  <w:pPr>
                    <w:pStyle w:val="86"/>
                    <w:rPr>
                      <w:rFonts w:hint="eastAsia" w:cs="Times New Roman"/>
                      <w:snapToGrid w:val="0"/>
                      <w:kern w:val="21"/>
                      <w:sz w:val="21"/>
                      <w:szCs w:val="21"/>
                      <w:lang w:eastAsia="zh-CN"/>
                    </w:rPr>
                  </w:pPr>
                </w:p>
              </w:tc>
              <w:tc>
                <w:tcPr>
                  <w:tcW w:w="522" w:type="pct"/>
                  <w:tcBorders>
                    <w:top w:val="single" w:color="auto" w:sz="4" w:space="0"/>
                    <w:left w:val="single" w:color="auto" w:sz="4" w:space="0"/>
                    <w:bottom w:val="single" w:color="auto" w:sz="4" w:space="0"/>
                    <w:right w:val="single" w:color="auto" w:sz="4" w:space="0"/>
                  </w:tcBorders>
                </w:tcPr>
                <w:p w14:paraId="49E0CF27">
                  <w:pPr>
                    <w:pStyle w:val="86"/>
                    <w:rPr>
                      <w:rFonts w:hint="eastAsia"/>
                      <w:spacing w:val="7"/>
                      <w:sz w:val="21"/>
                      <w:szCs w:val="21"/>
                      <w:lang w:eastAsia="zh-CN"/>
                    </w:rPr>
                  </w:pPr>
                  <w:r>
                    <w:rPr>
                      <w:rFonts w:hint="eastAsia"/>
                      <w:spacing w:val="7"/>
                      <w:sz w:val="21"/>
                      <w:szCs w:val="21"/>
                      <w:lang w:eastAsia="zh-CN"/>
                    </w:rPr>
                    <w:t>SO</w:t>
                  </w:r>
                  <w:r>
                    <w:rPr>
                      <w:rFonts w:hint="eastAsia"/>
                      <w:spacing w:val="7"/>
                      <w:sz w:val="21"/>
                      <w:szCs w:val="21"/>
                      <w:vertAlign w:val="subscript"/>
                      <w:lang w:eastAsia="zh-CN"/>
                    </w:rPr>
                    <w:t>2</w:t>
                  </w:r>
                </w:p>
              </w:tc>
              <w:tc>
                <w:tcPr>
                  <w:tcW w:w="624" w:type="pct"/>
                  <w:tcBorders>
                    <w:top w:val="single" w:color="auto" w:sz="4" w:space="0"/>
                    <w:left w:val="single" w:color="auto" w:sz="4" w:space="0"/>
                    <w:bottom w:val="single" w:color="auto" w:sz="4" w:space="0"/>
                    <w:right w:val="single" w:color="auto" w:sz="4" w:space="0"/>
                  </w:tcBorders>
                  <w:vAlign w:val="center"/>
                </w:tcPr>
                <w:p w14:paraId="5077DFB0">
                  <w:pPr>
                    <w:spacing w:line="240" w:lineRule="auto"/>
                    <w:ind w:firstLine="0" w:firstLineChars="0"/>
                    <w:jc w:val="center"/>
                    <w:rPr>
                      <w:rFonts w:cs="Times New Roman"/>
                      <w:sz w:val="21"/>
                      <w:szCs w:val="21"/>
                    </w:rPr>
                  </w:pPr>
                  <w:r>
                    <w:rPr>
                      <w:rFonts w:cs="Times New Roman"/>
                      <w:sz w:val="21"/>
                      <w:szCs w:val="21"/>
                    </w:rPr>
                    <w:t>0</w:t>
                  </w:r>
                </w:p>
              </w:tc>
              <w:tc>
                <w:tcPr>
                  <w:tcW w:w="757" w:type="pct"/>
                  <w:tcBorders>
                    <w:top w:val="single" w:color="auto" w:sz="4" w:space="0"/>
                    <w:left w:val="single" w:color="auto" w:sz="4" w:space="0"/>
                    <w:bottom w:val="single" w:color="auto" w:sz="4" w:space="0"/>
                    <w:right w:val="single" w:color="auto" w:sz="4" w:space="0"/>
                  </w:tcBorders>
                </w:tcPr>
                <w:p w14:paraId="21CD3895">
                  <w:pPr>
                    <w:pStyle w:val="86"/>
                    <w:rPr>
                      <w:rFonts w:hint="eastAsia" w:cs="Times New Roman"/>
                      <w:sz w:val="21"/>
                      <w:szCs w:val="21"/>
                      <w:lang w:eastAsia="zh-CN"/>
                    </w:rPr>
                  </w:pPr>
                  <w:r>
                    <w:rPr>
                      <w:rFonts w:hint="eastAsia"/>
                      <w:spacing w:val="7"/>
                      <w:sz w:val="21"/>
                      <w:szCs w:val="21"/>
                      <w:lang w:eastAsia="zh-CN"/>
                    </w:rPr>
                    <w:t>6.24kg/a</w:t>
                  </w:r>
                </w:p>
              </w:tc>
              <w:tc>
                <w:tcPr>
                  <w:tcW w:w="534" w:type="pct"/>
                  <w:tcBorders>
                    <w:top w:val="single" w:color="auto" w:sz="4" w:space="0"/>
                    <w:left w:val="single" w:color="auto" w:sz="4" w:space="0"/>
                    <w:bottom w:val="single" w:color="auto" w:sz="4" w:space="0"/>
                    <w:right w:val="single" w:color="auto" w:sz="4" w:space="0"/>
                  </w:tcBorders>
                  <w:vAlign w:val="center"/>
                </w:tcPr>
                <w:p w14:paraId="59007735">
                  <w:pPr>
                    <w:spacing w:line="240" w:lineRule="auto"/>
                    <w:ind w:firstLine="0" w:firstLineChars="0"/>
                    <w:jc w:val="center"/>
                    <w:rPr>
                      <w:rFonts w:cs="Times New Roman"/>
                      <w:sz w:val="21"/>
                      <w:szCs w:val="21"/>
                    </w:rPr>
                  </w:pPr>
                  <w:r>
                    <w:rPr>
                      <w:rFonts w:cs="Times New Roman"/>
                      <w:sz w:val="21"/>
                      <w:szCs w:val="21"/>
                    </w:rPr>
                    <w:t>0</w:t>
                  </w:r>
                </w:p>
              </w:tc>
              <w:tc>
                <w:tcPr>
                  <w:tcW w:w="757" w:type="pct"/>
                  <w:tcBorders>
                    <w:top w:val="single" w:color="auto" w:sz="4" w:space="0"/>
                    <w:left w:val="single" w:color="auto" w:sz="4" w:space="0"/>
                    <w:bottom w:val="single" w:color="auto" w:sz="4" w:space="0"/>
                    <w:right w:val="single" w:color="auto" w:sz="4" w:space="0"/>
                  </w:tcBorders>
                </w:tcPr>
                <w:p w14:paraId="01EA063F">
                  <w:pPr>
                    <w:pStyle w:val="86"/>
                    <w:rPr>
                      <w:rFonts w:hint="eastAsia" w:cs="Times New Roman"/>
                      <w:sz w:val="21"/>
                      <w:szCs w:val="21"/>
                      <w:lang w:eastAsia="zh-CN"/>
                    </w:rPr>
                  </w:pPr>
                  <w:r>
                    <w:rPr>
                      <w:rFonts w:hint="eastAsia"/>
                      <w:spacing w:val="7"/>
                      <w:sz w:val="21"/>
                      <w:szCs w:val="21"/>
                      <w:lang w:eastAsia="zh-CN"/>
                    </w:rPr>
                    <w:t>6.24kg/a</w:t>
                  </w:r>
                </w:p>
              </w:tc>
              <w:tc>
                <w:tcPr>
                  <w:tcW w:w="880" w:type="pct"/>
                  <w:tcBorders>
                    <w:top w:val="single" w:color="auto" w:sz="4" w:space="0"/>
                    <w:left w:val="single" w:color="auto" w:sz="4" w:space="0"/>
                    <w:bottom w:val="single" w:color="auto" w:sz="4" w:space="0"/>
                    <w:right w:val="single" w:color="auto" w:sz="4" w:space="0"/>
                  </w:tcBorders>
                </w:tcPr>
                <w:p w14:paraId="09FE5823">
                  <w:pPr>
                    <w:pStyle w:val="86"/>
                    <w:rPr>
                      <w:rFonts w:hint="eastAsia" w:cs="Times New Roman"/>
                      <w:sz w:val="21"/>
                      <w:szCs w:val="21"/>
                      <w:lang w:eastAsia="zh-CN"/>
                    </w:rPr>
                  </w:pPr>
                  <w:r>
                    <w:rPr>
                      <w:rFonts w:hint="eastAsia"/>
                      <w:spacing w:val="7"/>
                      <w:sz w:val="21"/>
                      <w:szCs w:val="21"/>
                      <w:lang w:eastAsia="zh-CN"/>
                    </w:rPr>
                    <w:t>+6.24kg/a</w:t>
                  </w:r>
                </w:p>
              </w:tc>
            </w:tr>
            <w:tr w14:paraId="04B1B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4" w:type="pct"/>
                  <w:vMerge w:val="continue"/>
                  <w:tcBorders>
                    <w:left w:val="single" w:color="auto" w:sz="4" w:space="0"/>
                    <w:right w:val="single" w:color="auto" w:sz="4" w:space="0"/>
                  </w:tcBorders>
                  <w:vAlign w:val="center"/>
                </w:tcPr>
                <w:p w14:paraId="60E2D177">
                  <w:pPr>
                    <w:widowControl/>
                    <w:spacing w:beforeAutospacing="1" w:afterAutospacing="1" w:line="240" w:lineRule="auto"/>
                    <w:ind w:firstLine="0" w:firstLineChars="0"/>
                    <w:jc w:val="left"/>
                    <w:rPr>
                      <w:rFonts w:cs="Times New Roman"/>
                      <w:sz w:val="21"/>
                      <w:szCs w:val="21"/>
                    </w:rPr>
                  </w:pPr>
                </w:p>
              </w:tc>
              <w:tc>
                <w:tcPr>
                  <w:tcW w:w="532" w:type="pct"/>
                  <w:vMerge w:val="continue"/>
                  <w:tcBorders>
                    <w:left w:val="single" w:color="auto" w:sz="4" w:space="0"/>
                    <w:bottom w:val="single" w:color="auto" w:sz="4" w:space="0"/>
                    <w:right w:val="single" w:color="auto" w:sz="4" w:space="0"/>
                  </w:tcBorders>
                </w:tcPr>
                <w:p w14:paraId="788ABB63">
                  <w:pPr>
                    <w:pStyle w:val="86"/>
                    <w:rPr>
                      <w:rFonts w:hint="eastAsia" w:cs="Times New Roman"/>
                      <w:snapToGrid w:val="0"/>
                      <w:kern w:val="21"/>
                      <w:sz w:val="21"/>
                      <w:szCs w:val="21"/>
                      <w:lang w:eastAsia="zh-CN"/>
                    </w:rPr>
                  </w:pPr>
                </w:p>
              </w:tc>
              <w:tc>
                <w:tcPr>
                  <w:tcW w:w="522" w:type="pct"/>
                  <w:tcBorders>
                    <w:top w:val="single" w:color="auto" w:sz="4" w:space="0"/>
                    <w:left w:val="single" w:color="auto" w:sz="4" w:space="0"/>
                    <w:bottom w:val="single" w:color="auto" w:sz="4" w:space="0"/>
                    <w:right w:val="single" w:color="auto" w:sz="4" w:space="0"/>
                  </w:tcBorders>
                </w:tcPr>
                <w:p w14:paraId="7D43BA26">
                  <w:pPr>
                    <w:pStyle w:val="86"/>
                    <w:rPr>
                      <w:rFonts w:hint="eastAsia"/>
                      <w:spacing w:val="7"/>
                      <w:sz w:val="21"/>
                      <w:szCs w:val="21"/>
                      <w:lang w:eastAsia="zh-CN"/>
                    </w:rPr>
                  </w:pPr>
                  <w:r>
                    <w:rPr>
                      <w:rFonts w:hint="eastAsia"/>
                      <w:spacing w:val="7"/>
                      <w:sz w:val="21"/>
                      <w:szCs w:val="21"/>
                      <w:lang w:eastAsia="zh-CN"/>
                    </w:rPr>
                    <w:t>NOx</w:t>
                  </w:r>
                </w:p>
              </w:tc>
              <w:tc>
                <w:tcPr>
                  <w:tcW w:w="624" w:type="pct"/>
                  <w:tcBorders>
                    <w:top w:val="single" w:color="auto" w:sz="4" w:space="0"/>
                    <w:left w:val="single" w:color="auto" w:sz="4" w:space="0"/>
                    <w:bottom w:val="single" w:color="auto" w:sz="4" w:space="0"/>
                    <w:right w:val="single" w:color="auto" w:sz="4" w:space="0"/>
                  </w:tcBorders>
                  <w:vAlign w:val="center"/>
                </w:tcPr>
                <w:p w14:paraId="2A49474E">
                  <w:pPr>
                    <w:spacing w:line="240" w:lineRule="auto"/>
                    <w:ind w:firstLine="0" w:firstLineChars="0"/>
                    <w:jc w:val="center"/>
                    <w:rPr>
                      <w:rFonts w:cs="Times New Roman"/>
                      <w:sz w:val="21"/>
                      <w:szCs w:val="21"/>
                    </w:rPr>
                  </w:pPr>
                  <w:r>
                    <w:rPr>
                      <w:rFonts w:cs="Times New Roman"/>
                      <w:sz w:val="21"/>
                      <w:szCs w:val="21"/>
                    </w:rPr>
                    <w:t>0</w:t>
                  </w:r>
                </w:p>
              </w:tc>
              <w:tc>
                <w:tcPr>
                  <w:tcW w:w="757" w:type="pct"/>
                  <w:tcBorders>
                    <w:top w:val="single" w:color="auto" w:sz="4" w:space="0"/>
                    <w:left w:val="single" w:color="auto" w:sz="4" w:space="0"/>
                    <w:bottom w:val="single" w:color="auto" w:sz="4" w:space="0"/>
                    <w:right w:val="single" w:color="auto" w:sz="4" w:space="0"/>
                  </w:tcBorders>
                </w:tcPr>
                <w:p w14:paraId="58414CC8">
                  <w:pPr>
                    <w:pStyle w:val="86"/>
                    <w:rPr>
                      <w:rFonts w:hint="eastAsia" w:cs="Times New Roman"/>
                      <w:sz w:val="21"/>
                      <w:szCs w:val="21"/>
                      <w:lang w:eastAsia="zh-CN"/>
                    </w:rPr>
                  </w:pPr>
                  <w:r>
                    <w:rPr>
                      <w:rFonts w:hint="eastAsia"/>
                      <w:spacing w:val="7"/>
                      <w:sz w:val="21"/>
                      <w:szCs w:val="21"/>
                      <w:lang w:eastAsia="zh-CN"/>
                    </w:rPr>
                    <w:t>21.75kg/a</w:t>
                  </w:r>
                </w:p>
              </w:tc>
              <w:tc>
                <w:tcPr>
                  <w:tcW w:w="534" w:type="pct"/>
                  <w:tcBorders>
                    <w:top w:val="single" w:color="auto" w:sz="4" w:space="0"/>
                    <w:left w:val="single" w:color="auto" w:sz="4" w:space="0"/>
                    <w:bottom w:val="single" w:color="auto" w:sz="4" w:space="0"/>
                    <w:right w:val="single" w:color="auto" w:sz="4" w:space="0"/>
                  </w:tcBorders>
                </w:tcPr>
                <w:p w14:paraId="5C2B7F81">
                  <w:pPr>
                    <w:autoSpaceDE w:val="0"/>
                    <w:autoSpaceDN w:val="0"/>
                    <w:spacing w:line="240" w:lineRule="auto"/>
                    <w:ind w:firstLine="0" w:firstLineChars="0"/>
                    <w:jc w:val="center"/>
                    <w:rPr>
                      <w:rFonts w:cs="Times New Roman"/>
                      <w:sz w:val="21"/>
                      <w:szCs w:val="21"/>
                    </w:rPr>
                  </w:pPr>
                  <w:r>
                    <w:rPr>
                      <w:rFonts w:hint="eastAsia" w:cs="Times New Roman"/>
                      <w:sz w:val="21"/>
                      <w:szCs w:val="21"/>
                    </w:rPr>
                    <w:t>0</w:t>
                  </w:r>
                </w:p>
              </w:tc>
              <w:tc>
                <w:tcPr>
                  <w:tcW w:w="757" w:type="pct"/>
                  <w:tcBorders>
                    <w:top w:val="single" w:color="auto" w:sz="4" w:space="0"/>
                    <w:left w:val="single" w:color="auto" w:sz="4" w:space="0"/>
                    <w:bottom w:val="single" w:color="auto" w:sz="4" w:space="0"/>
                    <w:right w:val="single" w:color="auto" w:sz="4" w:space="0"/>
                  </w:tcBorders>
                </w:tcPr>
                <w:p w14:paraId="0BC75275">
                  <w:pPr>
                    <w:pStyle w:val="86"/>
                    <w:rPr>
                      <w:rFonts w:hint="eastAsia" w:cs="Times New Roman"/>
                      <w:sz w:val="21"/>
                      <w:szCs w:val="21"/>
                      <w:lang w:eastAsia="zh-CN"/>
                    </w:rPr>
                  </w:pPr>
                  <w:r>
                    <w:rPr>
                      <w:rFonts w:hint="eastAsia"/>
                      <w:spacing w:val="7"/>
                      <w:sz w:val="21"/>
                      <w:szCs w:val="21"/>
                      <w:lang w:eastAsia="zh-CN"/>
                    </w:rPr>
                    <w:t>21.75kg/a</w:t>
                  </w:r>
                </w:p>
              </w:tc>
              <w:tc>
                <w:tcPr>
                  <w:tcW w:w="880" w:type="pct"/>
                  <w:tcBorders>
                    <w:top w:val="single" w:color="auto" w:sz="4" w:space="0"/>
                    <w:left w:val="single" w:color="auto" w:sz="4" w:space="0"/>
                    <w:bottom w:val="single" w:color="auto" w:sz="4" w:space="0"/>
                    <w:right w:val="single" w:color="auto" w:sz="4" w:space="0"/>
                  </w:tcBorders>
                </w:tcPr>
                <w:p w14:paraId="78B2F6C4">
                  <w:pPr>
                    <w:pStyle w:val="86"/>
                    <w:rPr>
                      <w:rFonts w:hint="eastAsia" w:cs="Times New Roman"/>
                      <w:sz w:val="21"/>
                      <w:szCs w:val="21"/>
                      <w:lang w:eastAsia="zh-CN"/>
                    </w:rPr>
                  </w:pPr>
                  <w:r>
                    <w:rPr>
                      <w:rFonts w:hint="eastAsia"/>
                      <w:spacing w:val="7"/>
                      <w:sz w:val="21"/>
                      <w:szCs w:val="21"/>
                      <w:lang w:eastAsia="zh-CN"/>
                    </w:rPr>
                    <w:t>+21.75kg/a</w:t>
                  </w:r>
                </w:p>
              </w:tc>
            </w:tr>
            <w:tr w14:paraId="3B00E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4" w:type="pct"/>
                  <w:vMerge w:val="continue"/>
                  <w:tcBorders>
                    <w:left w:val="single" w:color="auto" w:sz="4" w:space="0"/>
                    <w:right w:val="single" w:color="auto" w:sz="4" w:space="0"/>
                  </w:tcBorders>
                  <w:vAlign w:val="center"/>
                </w:tcPr>
                <w:p w14:paraId="313D9638">
                  <w:pPr>
                    <w:widowControl/>
                    <w:spacing w:beforeAutospacing="1" w:afterAutospacing="1" w:line="240" w:lineRule="auto"/>
                    <w:ind w:firstLine="0" w:firstLineChars="0"/>
                    <w:jc w:val="left"/>
                    <w:rPr>
                      <w:rFonts w:cs="Times New Roman"/>
                      <w:sz w:val="21"/>
                      <w:szCs w:val="21"/>
                    </w:rPr>
                  </w:pPr>
                </w:p>
              </w:tc>
              <w:tc>
                <w:tcPr>
                  <w:tcW w:w="532" w:type="pct"/>
                  <w:vMerge w:val="restart"/>
                  <w:tcBorders>
                    <w:left w:val="single" w:color="auto" w:sz="4" w:space="0"/>
                    <w:right w:val="single" w:color="auto" w:sz="4" w:space="0"/>
                  </w:tcBorders>
                </w:tcPr>
                <w:p w14:paraId="22B8B837">
                  <w:pPr>
                    <w:pStyle w:val="86"/>
                    <w:rPr>
                      <w:rFonts w:hint="eastAsia" w:cs="Times New Roman"/>
                      <w:snapToGrid w:val="0"/>
                      <w:kern w:val="21"/>
                      <w:sz w:val="21"/>
                      <w:szCs w:val="21"/>
                      <w:lang w:eastAsia="zh-CN"/>
                    </w:rPr>
                  </w:pPr>
                  <w:r>
                    <w:rPr>
                      <w:rFonts w:hint="eastAsia" w:cs="Times New Roman"/>
                      <w:snapToGrid w:val="0"/>
                      <w:kern w:val="21"/>
                      <w:sz w:val="21"/>
                      <w:szCs w:val="21"/>
                      <w:lang w:eastAsia="zh-CN"/>
                    </w:rPr>
                    <w:t>二车间压贴机废气</w:t>
                  </w:r>
                </w:p>
              </w:tc>
              <w:tc>
                <w:tcPr>
                  <w:tcW w:w="522" w:type="pct"/>
                  <w:tcBorders>
                    <w:top w:val="single" w:color="auto" w:sz="4" w:space="0"/>
                    <w:left w:val="single" w:color="auto" w:sz="4" w:space="0"/>
                    <w:bottom w:val="single" w:color="auto" w:sz="4" w:space="0"/>
                    <w:right w:val="single" w:color="auto" w:sz="4" w:space="0"/>
                  </w:tcBorders>
                </w:tcPr>
                <w:p w14:paraId="237FCF9A">
                  <w:pPr>
                    <w:pStyle w:val="86"/>
                    <w:rPr>
                      <w:rFonts w:hint="eastAsia"/>
                      <w:spacing w:val="7"/>
                      <w:sz w:val="21"/>
                      <w:szCs w:val="21"/>
                      <w:lang w:eastAsia="zh-CN"/>
                    </w:rPr>
                  </w:pPr>
                  <w:r>
                    <w:rPr>
                      <w:rFonts w:hint="eastAsia" w:ascii="Times New Roman" w:hAnsi="Times New Roman" w:cs="Times New Roman"/>
                      <w:bCs/>
                      <w:sz w:val="21"/>
                      <w:szCs w:val="21"/>
                      <w:lang w:eastAsia="zh-CN"/>
                    </w:rPr>
                    <w:t>甲醛</w:t>
                  </w:r>
                </w:p>
              </w:tc>
              <w:tc>
                <w:tcPr>
                  <w:tcW w:w="624" w:type="pct"/>
                  <w:tcBorders>
                    <w:top w:val="single" w:color="auto" w:sz="4" w:space="0"/>
                    <w:left w:val="single" w:color="auto" w:sz="4" w:space="0"/>
                    <w:bottom w:val="single" w:color="auto" w:sz="4" w:space="0"/>
                    <w:right w:val="single" w:color="auto" w:sz="4" w:space="0"/>
                  </w:tcBorders>
                  <w:vAlign w:val="center"/>
                </w:tcPr>
                <w:p w14:paraId="794C1491">
                  <w:pPr>
                    <w:spacing w:line="240" w:lineRule="auto"/>
                    <w:ind w:firstLine="0" w:firstLineChars="0"/>
                    <w:jc w:val="center"/>
                    <w:rPr>
                      <w:rFonts w:cs="Times New Roman"/>
                      <w:sz w:val="21"/>
                      <w:szCs w:val="21"/>
                    </w:rPr>
                  </w:pPr>
                  <w:r>
                    <w:rPr>
                      <w:rFonts w:hint="eastAsia" w:cs="Times New Roman"/>
                      <w:sz w:val="21"/>
                      <w:szCs w:val="21"/>
                    </w:rPr>
                    <w:t>0</w:t>
                  </w:r>
                </w:p>
              </w:tc>
              <w:tc>
                <w:tcPr>
                  <w:tcW w:w="757" w:type="pct"/>
                  <w:tcBorders>
                    <w:top w:val="single" w:color="auto" w:sz="4" w:space="0"/>
                    <w:left w:val="single" w:color="auto" w:sz="4" w:space="0"/>
                    <w:bottom w:val="single" w:color="auto" w:sz="4" w:space="0"/>
                    <w:right w:val="single" w:color="auto" w:sz="4" w:space="0"/>
                  </w:tcBorders>
                </w:tcPr>
                <w:p w14:paraId="76BE05C5">
                  <w:pPr>
                    <w:pStyle w:val="86"/>
                    <w:rPr>
                      <w:rFonts w:hint="eastAsia"/>
                      <w:spacing w:val="7"/>
                      <w:sz w:val="21"/>
                      <w:szCs w:val="21"/>
                      <w:lang w:eastAsia="zh-CN"/>
                    </w:rPr>
                  </w:pPr>
                  <w:r>
                    <w:rPr>
                      <w:rFonts w:hint="eastAsia"/>
                      <w:spacing w:val="7"/>
                      <w:sz w:val="21"/>
                      <w:szCs w:val="21"/>
                      <w:lang w:eastAsia="zh-CN"/>
                    </w:rPr>
                    <w:t>0.2176kg/a</w:t>
                  </w:r>
                </w:p>
              </w:tc>
              <w:tc>
                <w:tcPr>
                  <w:tcW w:w="534" w:type="pct"/>
                  <w:tcBorders>
                    <w:top w:val="single" w:color="auto" w:sz="4" w:space="0"/>
                    <w:left w:val="single" w:color="auto" w:sz="4" w:space="0"/>
                    <w:bottom w:val="single" w:color="auto" w:sz="4" w:space="0"/>
                    <w:right w:val="single" w:color="auto" w:sz="4" w:space="0"/>
                  </w:tcBorders>
                </w:tcPr>
                <w:p w14:paraId="72F04396">
                  <w:pPr>
                    <w:autoSpaceDE w:val="0"/>
                    <w:autoSpaceDN w:val="0"/>
                    <w:spacing w:line="240" w:lineRule="auto"/>
                    <w:ind w:firstLine="0" w:firstLineChars="0"/>
                    <w:jc w:val="center"/>
                    <w:rPr>
                      <w:rFonts w:cs="Times New Roman"/>
                      <w:sz w:val="21"/>
                      <w:szCs w:val="21"/>
                    </w:rPr>
                  </w:pPr>
                  <w:r>
                    <w:rPr>
                      <w:rFonts w:hint="eastAsia" w:cs="Times New Roman"/>
                      <w:sz w:val="21"/>
                      <w:szCs w:val="21"/>
                    </w:rPr>
                    <w:t>0</w:t>
                  </w:r>
                </w:p>
              </w:tc>
              <w:tc>
                <w:tcPr>
                  <w:tcW w:w="757" w:type="pct"/>
                  <w:tcBorders>
                    <w:top w:val="single" w:color="auto" w:sz="4" w:space="0"/>
                    <w:left w:val="single" w:color="auto" w:sz="4" w:space="0"/>
                    <w:bottom w:val="single" w:color="auto" w:sz="4" w:space="0"/>
                    <w:right w:val="single" w:color="auto" w:sz="4" w:space="0"/>
                  </w:tcBorders>
                </w:tcPr>
                <w:p w14:paraId="065DB66D">
                  <w:pPr>
                    <w:pStyle w:val="86"/>
                    <w:rPr>
                      <w:rFonts w:hint="eastAsia"/>
                      <w:spacing w:val="7"/>
                      <w:sz w:val="21"/>
                      <w:szCs w:val="21"/>
                      <w:lang w:eastAsia="zh-CN"/>
                    </w:rPr>
                  </w:pPr>
                  <w:r>
                    <w:rPr>
                      <w:rFonts w:hint="eastAsia"/>
                      <w:spacing w:val="7"/>
                      <w:sz w:val="21"/>
                      <w:szCs w:val="21"/>
                      <w:lang w:eastAsia="zh-CN"/>
                    </w:rPr>
                    <w:t>0.2176kg/a</w:t>
                  </w:r>
                </w:p>
              </w:tc>
              <w:tc>
                <w:tcPr>
                  <w:tcW w:w="880" w:type="pct"/>
                  <w:tcBorders>
                    <w:top w:val="single" w:color="auto" w:sz="4" w:space="0"/>
                    <w:left w:val="single" w:color="auto" w:sz="4" w:space="0"/>
                    <w:bottom w:val="single" w:color="auto" w:sz="4" w:space="0"/>
                    <w:right w:val="single" w:color="auto" w:sz="4" w:space="0"/>
                  </w:tcBorders>
                </w:tcPr>
                <w:p w14:paraId="542C1A7C">
                  <w:pPr>
                    <w:pStyle w:val="86"/>
                    <w:rPr>
                      <w:rFonts w:hint="eastAsia"/>
                      <w:spacing w:val="7"/>
                      <w:sz w:val="21"/>
                      <w:szCs w:val="21"/>
                      <w:lang w:eastAsia="zh-CN"/>
                    </w:rPr>
                  </w:pPr>
                  <w:r>
                    <w:rPr>
                      <w:rFonts w:hint="eastAsia"/>
                      <w:spacing w:val="7"/>
                      <w:sz w:val="21"/>
                      <w:szCs w:val="21"/>
                      <w:lang w:eastAsia="zh-CN"/>
                    </w:rPr>
                    <w:t>+0.2176kg/a</w:t>
                  </w:r>
                </w:p>
              </w:tc>
            </w:tr>
            <w:tr w14:paraId="443A7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4" w:type="pct"/>
                  <w:vMerge w:val="continue"/>
                  <w:tcBorders>
                    <w:left w:val="single" w:color="auto" w:sz="4" w:space="0"/>
                    <w:bottom w:val="single" w:color="auto" w:sz="4" w:space="0"/>
                    <w:right w:val="single" w:color="auto" w:sz="4" w:space="0"/>
                  </w:tcBorders>
                  <w:vAlign w:val="center"/>
                </w:tcPr>
                <w:p w14:paraId="2D4FC429">
                  <w:pPr>
                    <w:widowControl/>
                    <w:spacing w:beforeAutospacing="1" w:afterAutospacing="1" w:line="240" w:lineRule="auto"/>
                    <w:ind w:firstLine="0" w:firstLineChars="0"/>
                    <w:jc w:val="left"/>
                    <w:rPr>
                      <w:rFonts w:cs="Times New Roman"/>
                      <w:sz w:val="21"/>
                      <w:szCs w:val="21"/>
                    </w:rPr>
                  </w:pPr>
                </w:p>
              </w:tc>
              <w:tc>
                <w:tcPr>
                  <w:tcW w:w="532" w:type="pct"/>
                  <w:vMerge w:val="continue"/>
                  <w:tcBorders>
                    <w:left w:val="single" w:color="auto" w:sz="4" w:space="0"/>
                    <w:bottom w:val="single" w:color="auto" w:sz="4" w:space="0"/>
                    <w:right w:val="single" w:color="auto" w:sz="4" w:space="0"/>
                  </w:tcBorders>
                </w:tcPr>
                <w:p w14:paraId="682534E8">
                  <w:pPr>
                    <w:pStyle w:val="86"/>
                    <w:rPr>
                      <w:rFonts w:hint="eastAsia" w:cs="Times New Roman"/>
                      <w:snapToGrid w:val="0"/>
                      <w:kern w:val="21"/>
                      <w:sz w:val="21"/>
                      <w:szCs w:val="21"/>
                      <w:lang w:eastAsia="zh-CN"/>
                    </w:rPr>
                  </w:pPr>
                </w:p>
              </w:tc>
              <w:tc>
                <w:tcPr>
                  <w:tcW w:w="522" w:type="pct"/>
                  <w:tcBorders>
                    <w:top w:val="single" w:color="auto" w:sz="4" w:space="0"/>
                    <w:left w:val="single" w:color="auto" w:sz="4" w:space="0"/>
                    <w:bottom w:val="single" w:color="auto" w:sz="4" w:space="0"/>
                    <w:right w:val="single" w:color="auto" w:sz="4" w:space="0"/>
                  </w:tcBorders>
                </w:tcPr>
                <w:p w14:paraId="766B8437">
                  <w:pPr>
                    <w:pStyle w:val="86"/>
                    <w:rPr>
                      <w:rFonts w:hint="eastAsia"/>
                      <w:spacing w:val="7"/>
                      <w:sz w:val="21"/>
                      <w:szCs w:val="21"/>
                      <w:lang w:eastAsia="zh-CN"/>
                    </w:rPr>
                  </w:pPr>
                  <w:r>
                    <w:rPr>
                      <w:bCs/>
                      <w:sz w:val="21"/>
                      <w:szCs w:val="21"/>
                      <w:lang w:eastAsia="zh-CN"/>
                    </w:rPr>
                    <w:t>VOCs</w:t>
                  </w:r>
                </w:p>
              </w:tc>
              <w:tc>
                <w:tcPr>
                  <w:tcW w:w="624" w:type="pct"/>
                  <w:tcBorders>
                    <w:top w:val="single" w:color="auto" w:sz="4" w:space="0"/>
                    <w:left w:val="single" w:color="auto" w:sz="4" w:space="0"/>
                    <w:bottom w:val="single" w:color="auto" w:sz="4" w:space="0"/>
                    <w:right w:val="single" w:color="auto" w:sz="4" w:space="0"/>
                  </w:tcBorders>
                  <w:vAlign w:val="center"/>
                </w:tcPr>
                <w:p w14:paraId="15BC2D51">
                  <w:pPr>
                    <w:spacing w:line="240" w:lineRule="auto"/>
                    <w:ind w:firstLine="0" w:firstLineChars="0"/>
                    <w:jc w:val="center"/>
                    <w:rPr>
                      <w:rFonts w:cs="Times New Roman"/>
                      <w:sz w:val="21"/>
                      <w:szCs w:val="21"/>
                    </w:rPr>
                  </w:pPr>
                  <w:r>
                    <w:rPr>
                      <w:rFonts w:hint="eastAsia" w:cs="Times New Roman"/>
                      <w:sz w:val="21"/>
                      <w:szCs w:val="21"/>
                    </w:rPr>
                    <w:t>0</w:t>
                  </w:r>
                </w:p>
              </w:tc>
              <w:tc>
                <w:tcPr>
                  <w:tcW w:w="757" w:type="pct"/>
                  <w:tcBorders>
                    <w:top w:val="single" w:color="auto" w:sz="4" w:space="0"/>
                    <w:left w:val="single" w:color="auto" w:sz="4" w:space="0"/>
                    <w:bottom w:val="single" w:color="auto" w:sz="4" w:space="0"/>
                    <w:right w:val="single" w:color="auto" w:sz="4" w:space="0"/>
                  </w:tcBorders>
                </w:tcPr>
                <w:p w14:paraId="6F232F4D">
                  <w:pPr>
                    <w:pStyle w:val="86"/>
                    <w:rPr>
                      <w:rFonts w:hint="eastAsia"/>
                      <w:spacing w:val="7"/>
                      <w:sz w:val="21"/>
                      <w:szCs w:val="21"/>
                      <w:lang w:eastAsia="zh-CN"/>
                    </w:rPr>
                  </w:pPr>
                  <w:r>
                    <w:rPr>
                      <w:rFonts w:hint="eastAsia"/>
                      <w:bCs/>
                      <w:sz w:val="21"/>
                      <w:szCs w:val="21"/>
                      <w:lang w:eastAsia="zh-CN"/>
                    </w:rPr>
                    <w:t>0.055t</w:t>
                  </w:r>
                  <w:r>
                    <w:rPr>
                      <w:rFonts w:hint="eastAsia"/>
                      <w:spacing w:val="7"/>
                      <w:sz w:val="21"/>
                      <w:szCs w:val="21"/>
                      <w:lang w:eastAsia="zh-CN"/>
                    </w:rPr>
                    <w:t>/a</w:t>
                  </w:r>
                </w:p>
              </w:tc>
              <w:tc>
                <w:tcPr>
                  <w:tcW w:w="534" w:type="pct"/>
                  <w:tcBorders>
                    <w:top w:val="single" w:color="auto" w:sz="4" w:space="0"/>
                    <w:left w:val="single" w:color="auto" w:sz="4" w:space="0"/>
                    <w:bottom w:val="single" w:color="auto" w:sz="4" w:space="0"/>
                    <w:right w:val="single" w:color="auto" w:sz="4" w:space="0"/>
                  </w:tcBorders>
                  <w:vAlign w:val="center"/>
                </w:tcPr>
                <w:p w14:paraId="33DA83A0">
                  <w:pPr>
                    <w:autoSpaceDE w:val="0"/>
                    <w:autoSpaceDN w:val="0"/>
                    <w:spacing w:line="240" w:lineRule="auto"/>
                    <w:ind w:firstLine="0" w:firstLineChars="0"/>
                    <w:jc w:val="center"/>
                    <w:rPr>
                      <w:rFonts w:cs="Times New Roman"/>
                      <w:sz w:val="21"/>
                      <w:szCs w:val="21"/>
                    </w:rPr>
                  </w:pPr>
                  <w:r>
                    <w:rPr>
                      <w:rFonts w:hint="eastAsia" w:cs="Times New Roman"/>
                      <w:sz w:val="21"/>
                      <w:szCs w:val="21"/>
                    </w:rPr>
                    <w:t>0</w:t>
                  </w:r>
                </w:p>
              </w:tc>
              <w:tc>
                <w:tcPr>
                  <w:tcW w:w="757" w:type="pct"/>
                  <w:tcBorders>
                    <w:top w:val="single" w:color="auto" w:sz="4" w:space="0"/>
                    <w:left w:val="single" w:color="auto" w:sz="4" w:space="0"/>
                    <w:bottom w:val="single" w:color="auto" w:sz="4" w:space="0"/>
                    <w:right w:val="single" w:color="auto" w:sz="4" w:space="0"/>
                  </w:tcBorders>
                </w:tcPr>
                <w:p w14:paraId="60F86545">
                  <w:pPr>
                    <w:pStyle w:val="86"/>
                    <w:rPr>
                      <w:rFonts w:hint="eastAsia"/>
                      <w:spacing w:val="7"/>
                      <w:sz w:val="21"/>
                      <w:szCs w:val="21"/>
                      <w:lang w:eastAsia="zh-CN"/>
                    </w:rPr>
                  </w:pPr>
                  <w:r>
                    <w:rPr>
                      <w:rFonts w:hint="eastAsia"/>
                      <w:bCs/>
                      <w:sz w:val="21"/>
                      <w:szCs w:val="21"/>
                      <w:lang w:eastAsia="zh-CN"/>
                    </w:rPr>
                    <w:t>0.055t</w:t>
                  </w:r>
                  <w:r>
                    <w:rPr>
                      <w:rFonts w:hint="eastAsia"/>
                      <w:spacing w:val="7"/>
                      <w:sz w:val="21"/>
                      <w:szCs w:val="21"/>
                      <w:lang w:eastAsia="zh-CN"/>
                    </w:rPr>
                    <w:t xml:space="preserve"> /a</w:t>
                  </w:r>
                </w:p>
              </w:tc>
              <w:tc>
                <w:tcPr>
                  <w:tcW w:w="880" w:type="pct"/>
                  <w:tcBorders>
                    <w:top w:val="single" w:color="auto" w:sz="4" w:space="0"/>
                    <w:left w:val="single" w:color="auto" w:sz="4" w:space="0"/>
                    <w:bottom w:val="single" w:color="auto" w:sz="4" w:space="0"/>
                    <w:right w:val="single" w:color="auto" w:sz="4" w:space="0"/>
                  </w:tcBorders>
                </w:tcPr>
                <w:p w14:paraId="3451E13B">
                  <w:pPr>
                    <w:pStyle w:val="86"/>
                    <w:rPr>
                      <w:rFonts w:hint="eastAsia"/>
                      <w:spacing w:val="7"/>
                      <w:sz w:val="21"/>
                      <w:szCs w:val="21"/>
                      <w:lang w:eastAsia="zh-CN"/>
                    </w:rPr>
                  </w:pPr>
                  <w:r>
                    <w:rPr>
                      <w:rFonts w:hint="eastAsia"/>
                      <w:bCs/>
                      <w:sz w:val="21"/>
                      <w:szCs w:val="21"/>
                      <w:lang w:eastAsia="zh-CN"/>
                    </w:rPr>
                    <w:t>+0.055t</w:t>
                  </w:r>
                  <w:r>
                    <w:rPr>
                      <w:rFonts w:hint="eastAsia"/>
                      <w:spacing w:val="7"/>
                      <w:sz w:val="21"/>
                      <w:szCs w:val="21"/>
                      <w:lang w:eastAsia="zh-CN"/>
                    </w:rPr>
                    <w:t>/a</w:t>
                  </w:r>
                </w:p>
              </w:tc>
            </w:tr>
            <w:tr w14:paraId="63C58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4" w:type="pct"/>
                  <w:vMerge w:val="restart"/>
                  <w:tcBorders>
                    <w:top w:val="single" w:color="auto" w:sz="4" w:space="0"/>
                    <w:left w:val="single" w:color="auto" w:sz="4" w:space="0"/>
                    <w:bottom w:val="single" w:color="auto" w:sz="4" w:space="0"/>
                    <w:right w:val="single" w:color="auto" w:sz="4" w:space="0"/>
                  </w:tcBorders>
                  <w:vAlign w:val="center"/>
                </w:tcPr>
                <w:p w14:paraId="11857B04">
                  <w:pPr>
                    <w:spacing w:line="240" w:lineRule="auto"/>
                    <w:ind w:firstLine="0" w:firstLineChars="0"/>
                    <w:jc w:val="center"/>
                    <w:rPr>
                      <w:rFonts w:cs="Times New Roman"/>
                      <w:sz w:val="21"/>
                      <w:szCs w:val="21"/>
                    </w:rPr>
                  </w:pPr>
                  <w:r>
                    <w:rPr>
                      <w:rFonts w:hint="eastAsia" w:cs="Times New Roman"/>
                      <w:sz w:val="21"/>
                      <w:szCs w:val="21"/>
                    </w:rPr>
                    <w:t>固废</w:t>
                  </w:r>
                </w:p>
              </w:tc>
              <w:tc>
                <w:tcPr>
                  <w:tcW w:w="1053" w:type="pct"/>
                  <w:gridSpan w:val="2"/>
                  <w:tcBorders>
                    <w:top w:val="single" w:color="auto" w:sz="4" w:space="0"/>
                    <w:left w:val="single" w:color="auto" w:sz="4" w:space="0"/>
                    <w:bottom w:val="single" w:color="auto" w:sz="4" w:space="0"/>
                    <w:right w:val="single" w:color="auto" w:sz="4" w:space="0"/>
                  </w:tcBorders>
                  <w:vAlign w:val="center"/>
                </w:tcPr>
                <w:p w14:paraId="48CD134E">
                  <w:pPr>
                    <w:tabs>
                      <w:tab w:val="left" w:pos="5250"/>
                    </w:tabs>
                    <w:spacing w:line="240" w:lineRule="auto"/>
                    <w:ind w:firstLine="0" w:firstLineChars="0"/>
                    <w:jc w:val="center"/>
                    <w:rPr>
                      <w:rFonts w:cs="Times New Roman"/>
                      <w:snapToGrid w:val="0"/>
                      <w:kern w:val="21"/>
                      <w:sz w:val="21"/>
                      <w:szCs w:val="21"/>
                    </w:rPr>
                  </w:pPr>
                  <w:r>
                    <w:rPr>
                      <w:rFonts w:cs="Times New Roman"/>
                      <w:sz w:val="21"/>
                      <w:szCs w:val="21"/>
                    </w:rPr>
                    <w:t>生活垃圾</w:t>
                  </w:r>
                </w:p>
              </w:tc>
              <w:tc>
                <w:tcPr>
                  <w:tcW w:w="624" w:type="pct"/>
                  <w:tcBorders>
                    <w:top w:val="single" w:color="auto" w:sz="4" w:space="0"/>
                    <w:left w:val="single" w:color="auto" w:sz="4" w:space="0"/>
                    <w:bottom w:val="single" w:color="auto" w:sz="4" w:space="0"/>
                    <w:right w:val="single" w:color="auto" w:sz="4" w:space="0"/>
                  </w:tcBorders>
                  <w:vAlign w:val="center"/>
                </w:tcPr>
                <w:p w14:paraId="7E6A82C8">
                  <w:pPr>
                    <w:spacing w:line="240" w:lineRule="auto"/>
                    <w:ind w:firstLine="0" w:firstLineChars="0"/>
                    <w:jc w:val="center"/>
                    <w:rPr>
                      <w:rFonts w:cs="Times New Roman"/>
                      <w:sz w:val="21"/>
                      <w:szCs w:val="21"/>
                    </w:rPr>
                  </w:pPr>
                  <w:r>
                    <w:rPr>
                      <w:rFonts w:hint="eastAsia" w:cs="Times New Roman"/>
                      <w:sz w:val="21"/>
                      <w:szCs w:val="21"/>
                    </w:rPr>
                    <w:t>6</w:t>
                  </w:r>
                  <w:r>
                    <w:rPr>
                      <w:rFonts w:cs="Times New Roman"/>
                      <w:sz w:val="21"/>
                      <w:szCs w:val="21"/>
                    </w:rPr>
                    <w:t>t/a</w:t>
                  </w:r>
                </w:p>
              </w:tc>
              <w:tc>
                <w:tcPr>
                  <w:tcW w:w="757" w:type="pct"/>
                  <w:tcBorders>
                    <w:top w:val="single" w:color="auto" w:sz="4" w:space="0"/>
                    <w:left w:val="single" w:color="auto" w:sz="4" w:space="0"/>
                    <w:bottom w:val="single" w:color="auto" w:sz="4" w:space="0"/>
                    <w:right w:val="single" w:color="auto" w:sz="4" w:space="0"/>
                  </w:tcBorders>
                  <w:vAlign w:val="center"/>
                </w:tcPr>
                <w:p w14:paraId="57281EA0">
                  <w:pPr>
                    <w:spacing w:line="240" w:lineRule="auto"/>
                    <w:ind w:firstLine="0" w:firstLineChars="0"/>
                    <w:jc w:val="center"/>
                    <w:rPr>
                      <w:rFonts w:cs="Times New Roman"/>
                      <w:sz w:val="21"/>
                      <w:szCs w:val="21"/>
                    </w:rPr>
                  </w:pPr>
                  <w:r>
                    <w:rPr>
                      <w:rFonts w:hint="eastAsia" w:cs="Times New Roman"/>
                      <w:sz w:val="21"/>
                      <w:szCs w:val="21"/>
                    </w:rPr>
                    <w:t>0</w:t>
                  </w:r>
                </w:p>
              </w:tc>
              <w:tc>
                <w:tcPr>
                  <w:tcW w:w="534" w:type="pct"/>
                  <w:tcBorders>
                    <w:top w:val="single" w:color="auto" w:sz="4" w:space="0"/>
                    <w:left w:val="single" w:color="auto" w:sz="4" w:space="0"/>
                    <w:bottom w:val="single" w:color="auto" w:sz="4" w:space="0"/>
                    <w:right w:val="single" w:color="auto" w:sz="4" w:space="0"/>
                  </w:tcBorders>
                  <w:vAlign w:val="center"/>
                </w:tcPr>
                <w:p w14:paraId="392BD696">
                  <w:pPr>
                    <w:autoSpaceDE w:val="0"/>
                    <w:autoSpaceDN w:val="0"/>
                    <w:spacing w:line="240" w:lineRule="auto"/>
                    <w:ind w:firstLine="0" w:firstLineChars="0"/>
                    <w:jc w:val="center"/>
                    <w:rPr>
                      <w:rFonts w:cs="Times New Roman"/>
                      <w:sz w:val="21"/>
                      <w:szCs w:val="21"/>
                    </w:rPr>
                  </w:pPr>
                  <w:r>
                    <w:rPr>
                      <w:rFonts w:cs="Times New Roman"/>
                      <w:sz w:val="21"/>
                      <w:szCs w:val="21"/>
                    </w:rPr>
                    <w:t>0</w:t>
                  </w:r>
                </w:p>
              </w:tc>
              <w:tc>
                <w:tcPr>
                  <w:tcW w:w="757" w:type="pct"/>
                  <w:tcBorders>
                    <w:top w:val="single" w:color="auto" w:sz="4" w:space="0"/>
                    <w:left w:val="single" w:color="auto" w:sz="4" w:space="0"/>
                    <w:bottom w:val="single" w:color="auto" w:sz="4" w:space="0"/>
                    <w:right w:val="single" w:color="auto" w:sz="4" w:space="0"/>
                  </w:tcBorders>
                  <w:vAlign w:val="center"/>
                </w:tcPr>
                <w:p w14:paraId="61D41900">
                  <w:pPr>
                    <w:spacing w:line="240" w:lineRule="auto"/>
                    <w:ind w:firstLine="0" w:firstLineChars="0"/>
                    <w:jc w:val="center"/>
                    <w:rPr>
                      <w:rFonts w:cs="Times New Roman"/>
                      <w:sz w:val="21"/>
                      <w:szCs w:val="21"/>
                    </w:rPr>
                  </w:pPr>
                  <w:r>
                    <w:rPr>
                      <w:rFonts w:hint="eastAsia" w:cs="Times New Roman"/>
                      <w:sz w:val="21"/>
                      <w:szCs w:val="21"/>
                    </w:rPr>
                    <w:t>6</w:t>
                  </w:r>
                  <w:r>
                    <w:rPr>
                      <w:rFonts w:cs="Times New Roman"/>
                      <w:sz w:val="21"/>
                      <w:szCs w:val="21"/>
                    </w:rPr>
                    <w:t>t/a</w:t>
                  </w:r>
                </w:p>
              </w:tc>
              <w:tc>
                <w:tcPr>
                  <w:tcW w:w="880" w:type="pct"/>
                  <w:tcBorders>
                    <w:top w:val="single" w:color="auto" w:sz="4" w:space="0"/>
                    <w:left w:val="single" w:color="auto" w:sz="4" w:space="0"/>
                    <w:bottom w:val="single" w:color="auto" w:sz="4" w:space="0"/>
                    <w:right w:val="single" w:color="auto" w:sz="4" w:space="0"/>
                  </w:tcBorders>
                  <w:vAlign w:val="center"/>
                </w:tcPr>
                <w:p w14:paraId="20CFED0B">
                  <w:pPr>
                    <w:spacing w:line="240" w:lineRule="auto"/>
                    <w:ind w:firstLine="0" w:firstLineChars="0"/>
                    <w:jc w:val="center"/>
                    <w:rPr>
                      <w:rFonts w:cs="Times New Roman"/>
                      <w:sz w:val="21"/>
                      <w:szCs w:val="21"/>
                    </w:rPr>
                  </w:pPr>
                  <w:r>
                    <w:rPr>
                      <w:rFonts w:hint="eastAsia" w:cs="Times New Roman"/>
                      <w:sz w:val="21"/>
                      <w:szCs w:val="21"/>
                    </w:rPr>
                    <w:t>0</w:t>
                  </w:r>
                </w:p>
              </w:tc>
            </w:tr>
            <w:tr w14:paraId="10577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4" w:type="pct"/>
                  <w:vMerge w:val="continue"/>
                  <w:tcBorders>
                    <w:top w:val="single" w:color="auto" w:sz="4" w:space="0"/>
                    <w:left w:val="single" w:color="auto" w:sz="4" w:space="0"/>
                    <w:bottom w:val="single" w:color="auto" w:sz="4" w:space="0"/>
                    <w:right w:val="single" w:color="auto" w:sz="4" w:space="0"/>
                  </w:tcBorders>
                  <w:vAlign w:val="center"/>
                </w:tcPr>
                <w:p w14:paraId="2B3AE14F">
                  <w:pPr>
                    <w:widowControl/>
                    <w:spacing w:beforeAutospacing="1" w:afterAutospacing="1" w:line="240" w:lineRule="auto"/>
                    <w:ind w:firstLine="0" w:firstLineChars="0"/>
                    <w:jc w:val="left"/>
                    <w:rPr>
                      <w:rFonts w:cs="Times New Roman"/>
                      <w:sz w:val="21"/>
                      <w:szCs w:val="21"/>
                    </w:rPr>
                  </w:pPr>
                </w:p>
              </w:tc>
              <w:tc>
                <w:tcPr>
                  <w:tcW w:w="1053" w:type="pct"/>
                  <w:gridSpan w:val="2"/>
                  <w:tcBorders>
                    <w:top w:val="single" w:color="auto" w:sz="4" w:space="0"/>
                    <w:left w:val="single" w:color="auto" w:sz="4" w:space="0"/>
                    <w:bottom w:val="single" w:color="auto" w:sz="4" w:space="0"/>
                    <w:right w:val="single" w:color="auto" w:sz="4" w:space="0"/>
                  </w:tcBorders>
                  <w:vAlign w:val="center"/>
                </w:tcPr>
                <w:p w14:paraId="0CE258F0">
                  <w:pPr>
                    <w:tabs>
                      <w:tab w:val="left" w:pos="5250"/>
                    </w:tabs>
                    <w:spacing w:line="240" w:lineRule="auto"/>
                    <w:ind w:firstLine="0" w:firstLineChars="0"/>
                    <w:jc w:val="center"/>
                    <w:rPr>
                      <w:rFonts w:cs="Times New Roman"/>
                      <w:snapToGrid w:val="0"/>
                      <w:kern w:val="21"/>
                      <w:sz w:val="21"/>
                      <w:szCs w:val="21"/>
                    </w:rPr>
                  </w:pPr>
                  <w:r>
                    <w:rPr>
                      <w:rFonts w:cs="Times New Roman"/>
                      <w:sz w:val="21"/>
                      <w:szCs w:val="21"/>
                    </w:rPr>
                    <w:t>纸箱废包装材料</w:t>
                  </w:r>
                </w:p>
              </w:tc>
              <w:tc>
                <w:tcPr>
                  <w:tcW w:w="624" w:type="pct"/>
                  <w:tcBorders>
                    <w:top w:val="single" w:color="auto" w:sz="4" w:space="0"/>
                    <w:left w:val="single" w:color="auto" w:sz="4" w:space="0"/>
                    <w:bottom w:val="single" w:color="auto" w:sz="4" w:space="0"/>
                    <w:right w:val="single" w:color="auto" w:sz="4" w:space="0"/>
                  </w:tcBorders>
                  <w:vAlign w:val="center"/>
                </w:tcPr>
                <w:p w14:paraId="627A9C5E">
                  <w:pPr>
                    <w:spacing w:line="240" w:lineRule="auto"/>
                    <w:ind w:firstLine="0" w:firstLineChars="0"/>
                    <w:jc w:val="center"/>
                    <w:rPr>
                      <w:rFonts w:cs="Times New Roman"/>
                      <w:sz w:val="21"/>
                      <w:szCs w:val="21"/>
                    </w:rPr>
                  </w:pPr>
                  <w:r>
                    <w:rPr>
                      <w:rFonts w:cs="Times New Roman"/>
                      <w:sz w:val="21"/>
                      <w:szCs w:val="21"/>
                    </w:rPr>
                    <w:t>1t/a</w:t>
                  </w:r>
                </w:p>
              </w:tc>
              <w:tc>
                <w:tcPr>
                  <w:tcW w:w="757" w:type="pct"/>
                  <w:tcBorders>
                    <w:top w:val="single" w:color="auto" w:sz="4" w:space="0"/>
                    <w:left w:val="single" w:color="auto" w:sz="4" w:space="0"/>
                    <w:bottom w:val="single" w:color="auto" w:sz="4" w:space="0"/>
                    <w:right w:val="single" w:color="auto" w:sz="4" w:space="0"/>
                  </w:tcBorders>
                  <w:vAlign w:val="center"/>
                </w:tcPr>
                <w:p w14:paraId="14CDB04C">
                  <w:pPr>
                    <w:spacing w:line="240" w:lineRule="auto"/>
                    <w:ind w:firstLine="0" w:firstLineChars="0"/>
                    <w:jc w:val="center"/>
                    <w:rPr>
                      <w:rFonts w:cs="Times New Roman"/>
                      <w:sz w:val="21"/>
                      <w:szCs w:val="21"/>
                    </w:rPr>
                  </w:pPr>
                  <w:r>
                    <w:rPr>
                      <w:rFonts w:hint="eastAsia" w:cs="Times New Roman"/>
                      <w:sz w:val="21"/>
                      <w:szCs w:val="21"/>
                    </w:rPr>
                    <w:t>0</w:t>
                  </w:r>
                </w:p>
              </w:tc>
              <w:tc>
                <w:tcPr>
                  <w:tcW w:w="534" w:type="pct"/>
                  <w:tcBorders>
                    <w:top w:val="single" w:color="auto" w:sz="4" w:space="0"/>
                    <w:left w:val="single" w:color="auto" w:sz="4" w:space="0"/>
                    <w:bottom w:val="single" w:color="auto" w:sz="4" w:space="0"/>
                    <w:right w:val="single" w:color="auto" w:sz="4" w:space="0"/>
                  </w:tcBorders>
                  <w:vAlign w:val="center"/>
                </w:tcPr>
                <w:p w14:paraId="31F10789">
                  <w:pPr>
                    <w:autoSpaceDE w:val="0"/>
                    <w:autoSpaceDN w:val="0"/>
                    <w:spacing w:line="240" w:lineRule="auto"/>
                    <w:ind w:firstLine="0" w:firstLineChars="0"/>
                    <w:jc w:val="center"/>
                    <w:rPr>
                      <w:rFonts w:cs="Times New Roman"/>
                      <w:sz w:val="21"/>
                      <w:szCs w:val="21"/>
                    </w:rPr>
                  </w:pPr>
                  <w:r>
                    <w:rPr>
                      <w:rFonts w:cs="Times New Roman"/>
                      <w:sz w:val="21"/>
                      <w:szCs w:val="21"/>
                    </w:rPr>
                    <w:t>0</w:t>
                  </w:r>
                </w:p>
              </w:tc>
              <w:tc>
                <w:tcPr>
                  <w:tcW w:w="757" w:type="pct"/>
                  <w:tcBorders>
                    <w:top w:val="single" w:color="auto" w:sz="4" w:space="0"/>
                    <w:left w:val="single" w:color="auto" w:sz="4" w:space="0"/>
                    <w:bottom w:val="single" w:color="auto" w:sz="4" w:space="0"/>
                    <w:right w:val="single" w:color="auto" w:sz="4" w:space="0"/>
                  </w:tcBorders>
                  <w:vAlign w:val="center"/>
                </w:tcPr>
                <w:p w14:paraId="06BAE7E4">
                  <w:pPr>
                    <w:spacing w:line="240" w:lineRule="auto"/>
                    <w:ind w:firstLine="0" w:firstLineChars="0"/>
                    <w:jc w:val="center"/>
                    <w:rPr>
                      <w:rFonts w:cs="Times New Roman"/>
                      <w:sz w:val="21"/>
                      <w:szCs w:val="21"/>
                    </w:rPr>
                  </w:pPr>
                  <w:r>
                    <w:rPr>
                      <w:rFonts w:cs="Times New Roman"/>
                      <w:sz w:val="21"/>
                      <w:szCs w:val="21"/>
                    </w:rPr>
                    <w:t>1t/a</w:t>
                  </w:r>
                </w:p>
              </w:tc>
              <w:tc>
                <w:tcPr>
                  <w:tcW w:w="880" w:type="pct"/>
                  <w:tcBorders>
                    <w:top w:val="single" w:color="auto" w:sz="4" w:space="0"/>
                    <w:left w:val="single" w:color="auto" w:sz="4" w:space="0"/>
                    <w:bottom w:val="single" w:color="auto" w:sz="4" w:space="0"/>
                    <w:right w:val="single" w:color="auto" w:sz="4" w:space="0"/>
                  </w:tcBorders>
                  <w:vAlign w:val="center"/>
                </w:tcPr>
                <w:p w14:paraId="4B5ED67E">
                  <w:pPr>
                    <w:spacing w:line="240" w:lineRule="auto"/>
                    <w:ind w:firstLine="0" w:firstLineChars="0"/>
                    <w:jc w:val="center"/>
                    <w:rPr>
                      <w:rFonts w:cs="Times New Roman"/>
                      <w:sz w:val="21"/>
                      <w:szCs w:val="21"/>
                    </w:rPr>
                  </w:pPr>
                  <w:r>
                    <w:rPr>
                      <w:rFonts w:hint="eastAsia" w:cs="Times New Roman"/>
                      <w:sz w:val="21"/>
                      <w:szCs w:val="21"/>
                    </w:rPr>
                    <w:t>0</w:t>
                  </w:r>
                </w:p>
              </w:tc>
            </w:tr>
            <w:tr w14:paraId="6F7C2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4" w:type="pct"/>
                  <w:vMerge w:val="continue"/>
                  <w:tcBorders>
                    <w:top w:val="single" w:color="auto" w:sz="4" w:space="0"/>
                    <w:left w:val="single" w:color="auto" w:sz="4" w:space="0"/>
                    <w:bottom w:val="single" w:color="auto" w:sz="4" w:space="0"/>
                    <w:right w:val="single" w:color="auto" w:sz="4" w:space="0"/>
                  </w:tcBorders>
                  <w:vAlign w:val="center"/>
                </w:tcPr>
                <w:p w14:paraId="0579FDE0">
                  <w:pPr>
                    <w:widowControl/>
                    <w:spacing w:beforeAutospacing="1" w:afterAutospacing="1" w:line="240" w:lineRule="auto"/>
                    <w:ind w:firstLine="0" w:firstLineChars="0"/>
                    <w:jc w:val="left"/>
                    <w:rPr>
                      <w:rFonts w:cs="Times New Roman"/>
                      <w:sz w:val="21"/>
                      <w:szCs w:val="21"/>
                    </w:rPr>
                  </w:pPr>
                </w:p>
              </w:tc>
              <w:tc>
                <w:tcPr>
                  <w:tcW w:w="1053" w:type="pct"/>
                  <w:gridSpan w:val="2"/>
                  <w:tcBorders>
                    <w:top w:val="single" w:color="auto" w:sz="4" w:space="0"/>
                    <w:left w:val="single" w:color="auto" w:sz="4" w:space="0"/>
                    <w:bottom w:val="single" w:color="auto" w:sz="4" w:space="0"/>
                    <w:right w:val="single" w:color="auto" w:sz="4" w:space="0"/>
                  </w:tcBorders>
                  <w:vAlign w:val="center"/>
                </w:tcPr>
                <w:p w14:paraId="340D3DD0">
                  <w:pPr>
                    <w:pStyle w:val="14"/>
                    <w:rPr>
                      <w:rFonts w:cs="Times New Roman"/>
                      <w:snapToGrid w:val="0"/>
                      <w:kern w:val="21"/>
                      <w:szCs w:val="21"/>
                    </w:rPr>
                  </w:pPr>
                  <w:r>
                    <w:rPr>
                      <w:rFonts w:hint="eastAsia" w:cs="Times New Roman"/>
                      <w:bCs/>
                    </w:rPr>
                    <w:t>废边角料</w:t>
                  </w:r>
                </w:p>
              </w:tc>
              <w:tc>
                <w:tcPr>
                  <w:tcW w:w="624" w:type="pct"/>
                  <w:tcBorders>
                    <w:top w:val="single" w:color="auto" w:sz="4" w:space="0"/>
                    <w:left w:val="single" w:color="auto" w:sz="4" w:space="0"/>
                    <w:bottom w:val="single" w:color="auto" w:sz="4" w:space="0"/>
                    <w:right w:val="single" w:color="auto" w:sz="4" w:space="0"/>
                  </w:tcBorders>
                  <w:vAlign w:val="center"/>
                </w:tcPr>
                <w:p w14:paraId="7B091A51">
                  <w:pPr>
                    <w:spacing w:line="240" w:lineRule="auto"/>
                    <w:ind w:firstLine="0" w:firstLineChars="0"/>
                    <w:jc w:val="center"/>
                    <w:rPr>
                      <w:rFonts w:cs="Times New Roman"/>
                      <w:sz w:val="21"/>
                      <w:szCs w:val="21"/>
                    </w:rPr>
                  </w:pPr>
                  <w:r>
                    <w:rPr>
                      <w:rFonts w:hint="eastAsia" w:cs="Times New Roman"/>
                      <w:sz w:val="21"/>
                      <w:szCs w:val="21"/>
                    </w:rPr>
                    <w:t>0</w:t>
                  </w:r>
                </w:p>
              </w:tc>
              <w:tc>
                <w:tcPr>
                  <w:tcW w:w="757" w:type="pct"/>
                  <w:tcBorders>
                    <w:top w:val="single" w:color="auto" w:sz="4" w:space="0"/>
                    <w:left w:val="single" w:color="auto" w:sz="4" w:space="0"/>
                    <w:bottom w:val="single" w:color="auto" w:sz="4" w:space="0"/>
                    <w:right w:val="single" w:color="auto" w:sz="4" w:space="0"/>
                  </w:tcBorders>
                  <w:vAlign w:val="center"/>
                </w:tcPr>
                <w:p w14:paraId="274399C0">
                  <w:pPr>
                    <w:pStyle w:val="14"/>
                    <w:rPr>
                      <w:rFonts w:cs="Times New Roman"/>
                      <w:szCs w:val="21"/>
                    </w:rPr>
                  </w:pPr>
                  <w:r>
                    <w:rPr>
                      <w:rFonts w:hint="eastAsia" w:cs="Times New Roman"/>
                    </w:rPr>
                    <w:t>0.5</w:t>
                  </w:r>
                  <w:r>
                    <w:rPr>
                      <w:rFonts w:hint="eastAsia" w:cs="Times New Roman"/>
                      <w:szCs w:val="21"/>
                    </w:rPr>
                    <w:t>t/a</w:t>
                  </w:r>
                </w:p>
              </w:tc>
              <w:tc>
                <w:tcPr>
                  <w:tcW w:w="534" w:type="pct"/>
                  <w:tcBorders>
                    <w:top w:val="single" w:color="auto" w:sz="4" w:space="0"/>
                    <w:left w:val="single" w:color="auto" w:sz="4" w:space="0"/>
                    <w:bottom w:val="single" w:color="auto" w:sz="4" w:space="0"/>
                    <w:right w:val="single" w:color="auto" w:sz="4" w:space="0"/>
                  </w:tcBorders>
                  <w:vAlign w:val="center"/>
                </w:tcPr>
                <w:p w14:paraId="676E2C32">
                  <w:pPr>
                    <w:spacing w:line="240" w:lineRule="auto"/>
                    <w:ind w:firstLine="0" w:firstLineChars="0"/>
                    <w:jc w:val="center"/>
                    <w:rPr>
                      <w:rFonts w:cs="Times New Roman"/>
                      <w:sz w:val="21"/>
                      <w:szCs w:val="21"/>
                    </w:rPr>
                  </w:pPr>
                  <w:r>
                    <w:rPr>
                      <w:rFonts w:cs="Times New Roman"/>
                      <w:sz w:val="21"/>
                      <w:szCs w:val="21"/>
                    </w:rPr>
                    <w:t>0</w:t>
                  </w:r>
                </w:p>
              </w:tc>
              <w:tc>
                <w:tcPr>
                  <w:tcW w:w="757" w:type="pct"/>
                  <w:tcBorders>
                    <w:top w:val="single" w:color="auto" w:sz="4" w:space="0"/>
                    <w:left w:val="single" w:color="auto" w:sz="4" w:space="0"/>
                    <w:bottom w:val="single" w:color="auto" w:sz="4" w:space="0"/>
                    <w:right w:val="single" w:color="auto" w:sz="4" w:space="0"/>
                  </w:tcBorders>
                  <w:vAlign w:val="center"/>
                </w:tcPr>
                <w:p w14:paraId="08A26504">
                  <w:pPr>
                    <w:pStyle w:val="14"/>
                    <w:rPr>
                      <w:rFonts w:cs="Times New Roman"/>
                      <w:szCs w:val="21"/>
                    </w:rPr>
                  </w:pPr>
                  <w:r>
                    <w:rPr>
                      <w:rFonts w:hint="eastAsia" w:cs="Times New Roman"/>
                    </w:rPr>
                    <w:t>0.5</w:t>
                  </w:r>
                  <w:r>
                    <w:rPr>
                      <w:rFonts w:hint="eastAsia" w:cs="Times New Roman"/>
                      <w:szCs w:val="21"/>
                    </w:rPr>
                    <w:t>t/a</w:t>
                  </w:r>
                </w:p>
              </w:tc>
              <w:tc>
                <w:tcPr>
                  <w:tcW w:w="880" w:type="pct"/>
                  <w:tcBorders>
                    <w:top w:val="single" w:color="auto" w:sz="4" w:space="0"/>
                    <w:left w:val="single" w:color="auto" w:sz="4" w:space="0"/>
                    <w:bottom w:val="single" w:color="auto" w:sz="4" w:space="0"/>
                    <w:right w:val="single" w:color="auto" w:sz="4" w:space="0"/>
                  </w:tcBorders>
                  <w:vAlign w:val="center"/>
                </w:tcPr>
                <w:p w14:paraId="5909FEAD">
                  <w:pPr>
                    <w:pStyle w:val="14"/>
                    <w:rPr>
                      <w:rFonts w:cs="Times New Roman"/>
                      <w:szCs w:val="21"/>
                    </w:rPr>
                  </w:pPr>
                  <w:r>
                    <w:rPr>
                      <w:rFonts w:hint="eastAsia" w:cs="Times New Roman"/>
                    </w:rPr>
                    <w:t>+0.5</w:t>
                  </w:r>
                  <w:r>
                    <w:rPr>
                      <w:rFonts w:hint="eastAsia" w:cs="Times New Roman"/>
                      <w:szCs w:val="21"/>
                    </w:rPr>
                    <w:t>t/a</w:t>
                  </w:r>
                </w:p>
              </w:tc>
            </w:tr>
            <w:tr w14:paraId="5F6B0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4" w:type="pct"/>
                  <w:vMerge w:val="continue"/>
                  <w:tcBorders>
                    <w:top w:val="single" w:color="auto" w:sz="4" w:space="0"/>
                    <w:left w:val="single" w:color="auto" w:sz="4" w:space="0"/>
                    <w:bottom w:val="single" w:color="auto" w:sz="4" w:space="0"/>
                    <w:right w:val="single" w:color="auto" w:sz="4" w:space="0"/>
                  </w:tcBorders>
                  <w:vAlign w:val="center"/>
                </w:tcPr>
                <w:p w14:paraId="0877C5A7">
                  <w:pPr>
                    <w:widowControl/>
                    <w:spacing w:beforeAutospacing="1" w:afterAutospacing="1" w:line="240" w:lineRule="auto"/>
                    <w:ind w:firstLine="0" w:firstLineChars="0"/>
                    <w:jc w:val="left"/>
                    <w:rPr>
                      <w:rFonts w:cs="Times New Roman"/>
                      <w:sz w:val="21"/>
                      <w:szCs w:val="21"/>
                    </w:rPr>
                  </w:pPr>
                </w:p>
              </w:tc>
              <w:tc>
                <w:tcPr>
                  <w:tcW w:w="1053" w:type="pct"/>
                  <w:gridSpan w:val="2"/>
                  <w:tcBorders>
                    <w:top w:val="single" w:color="auto" w:sz="4" w:space="0"/>
                    <w:left w:val="single" w:color="auto" w:sz="4" w:space="0"/>
                    <w:bottom w:val="single" w:color="auto" w:sz="4" w:space="0"/>
                    <w:right w:val="single" w:color="auto" w:sz="4" w:space="0"/>
                  </w:tcBorders>
                  <w:vAlign w:val="center"/>
                </w:tcPr>
                <w:p w14:paraId="75E64359">
                  <w:pPr>
                    <w:pStyle w:val="14"/>
                    <w:rPr>
                      <w:rFonts w:cs="Times New Roman"/>
                      <w:snapToGrid w:val="0"/>
                      <w:kern w:val="21"/>
                      <w:szCs w:val="21"/>
                    </w:rPr>
                  </w:pPr>
                  <w:r>
                    <w:rPr>
                      <w:rFonts w:cs="Times New Roman"/>
                      <w:kern w:val="21"/>
                    </w:rPr>
                    <w:t>废活性炭</w:t>
                  </w:r>
                </w:p>
              </w:tc>
              <w:tc>
                <w:tcPr>
                  <w:tcW w:w="624" w:type="pct"/>
                  <w:tcBorders>
                    <w:top w:val="single" w:color="auto" w:sz="4" w:space="0"/>
                    <w:left w:val="single" w:color="auto" w:sz="4" w:space="0"/>
                    <w:bottom w:val="single" w:color="auto" w:sz="4" w:space="0"/>
                    <w:right w:val="single" w:color="auto" w:sz="4" w:space="0"/>
                  </w:tcBorders>
                  <w:vAlign w:val="center"/>
                </w:tcPr>
                <w:p w14:paraId="1DB2A991">
                  <w:pPr>
                    <w:spacing w:line="240" w:lineRule="auto"/>
                    <w:ind w:firstLine="0" w:firstLineChars="0"/>
                    <w:jc w:val="center"/>
                    <w:rPr>
                      <w:rFonts w:cs="Times New Roman"/>
                      <w:sz w:val="21"/>
                      <w:szCs w:val="21"/>
                    </w:rPr>
                  </w:pPr>
                  <w:r>
                    <w:rPr>
                      <w:rFonts w:hint="eastAsia" w:cs="Times New Roman"/>
                      <w:sz w:val="21"/>
                      <w:szCs w:val="21"/>
                    </w:rPr>
                    <w:t>0</w:t>
                  </w:r>
                </w:p>
              </w:tc>
              <w:tc>
                <w:tcPr>
                  <w:tcW w:w="757" w:type="pct"/>
                  <w:tcBorders>
                    <w:top w:val="single" w:color="auto" w:sz="4" w:space="0"/>
                    <w:left w:val="single" w:color="auto" w:sz="4" w:space="0"/>
                    <w:bottom w:val="single" w:color="auto" w:sz="4" w:space="0"/>
                    <w:right w:val="single" w:color="auto" w:sz="4" w:space="0"/>
                  </w:tcBorders>
                  <w:vAlign w:val="center"/>
                </w:tcPr>
                <w:p w14:paraId="6A1FD971">
                  <w:pPr>
                    <w:pStyle w:val="14"/>
                    <w:rPr>
                      <w:rFonts w:cs="Times New Roman"/>
                      <w:szCs w:val="21"/>
                    </w:rPr>
                  </w:pPr>
                  <w:r>
                    <w:rPr>
                      <w:rFonts w:hint="eastAsia" w:cs="Times New Roman"/>
                    </w:rPr>
                    <w:t>1.045</w:t>
                  </w:r>
                  <w:r>
                    <w:rPr>
                      <w:rFonts w:hint="eastAsia" w:cs="Times New Roman"/>
                      <w:szCs w:val="21"/>
                    </w:rPr>
                    <w:t>t/a</w:t>
                  </w:r>
                </w:p>
              </w:tc>
              <w:tc>
                <w:tcPr>
                  <w:tcW w:w="534" w:type="pct"/>
                  <w:tcBorders>
                    <w:top w:val="single" w:color="auto" w:sz="4" w:space="0"/>
                    <w:left w:val="single" w:color="auto" w:sz="4" w:space="0"/>
                    <w:bottom w:val="single" w:color="auto" w:sz="4" w:space="0"/>
                    <w:right w:val="single" w:color="auto" w:sz="4" w:space="0"/>
                  </w:tcBorders>
                  <w:vAlign w:val="center"/>
                </w:tcPr>
                <w:p w14:paraId="62E5C5FA">
                  <w:pPr>
                    <w:spacing w:line="240" w:lineRule="auto"/>
                    <w:ind w:firstLine="0" w:firstLineChars="0"/>
                    <w:jc w:val="center"/>
                    <w:rPr>
                      <w:rFonts w:cs="Times New Roman"/>
                      <w:sz w:val="21"/>
                      <w:szCs w:val="21"/>
                    </w:rPr>
                  </w:pPr>
                  <w:r>
                    <w:rPr>
                      <w:rFonts w:hint="eastAsia" w:cs="Times New Roman"/>
                      <w:sz w:val="21"/>
                      <w:szCs w:val="21"/>
                    </w:rPr>
                    <w:t>0</w:t>
                  </w:r>
                </w:p>
              </w:tc>
              <w:tc>
                <w:tcPr>
                  <w:tcW w:w="757" w:type="pct"/>
                  <w:tcBorders>
                    <w:top w:val="single" w:color="auto" w:sz="4" w:space="0"/>
                    <w:left w:val="single" w:color="auto" w:sz="4" w:space="0"/>
                    <w:bottom w:val="single" w:color="auto" w:sz="4" w:space="0"/>
                    <w:right w:val="single" w:color="auto" w:sz="4" w:space="0"/>
                  </w:tcBorders>
                  <w:vAlign w:val="center"/>
                </w:tcPr>
                <w:p w14:paraId="23E8E050">
                  <w:pPr>
                    <w:pStyle w:val="14"/>
                    <w:rPr>
                      <w:rFonts w:cs="Times New Roman"/>
                      <w:szCs w:val="21"/>
                      <w:lang w:val="en"/>
                    </w:rPr>
                  </w:pPr>
                  <w:r>
                    <w:rPr>
                      <w:rFonts w:hint="eastAsia" w:cs="Times New Roman"/>
                    </w:rPr>
                    <w:t>1.045</w:t>
                  </w:r>
                  <w:r>
                    <w:rPr>
                      <w:rFonts w:hint="eastAsia" w:cs="Times New Roman"/>
                      <w:szCs w:val="21"/>
                    </w:rPr>
                    <w:t>t/a</w:t>
                  </w:r>
                </w:p>
              </w:tc>
              <w:tc>
                <w:tcPr>
                  <w:tcW w:w="880" w:type="pct"/>
                  <w:tcBorders>
                    <w:top w:val="single" w:color="auto" w:sz="4" w:space="0"/>
                    <w:left w:val="single" w:color="auto" w:sz="4" w:space="0"/>
                    <w:bottom w:val="single" w:color="auto" w:sz="4" w:space="0"/>
                    <w:right w:val="single" w:color="auto" w:sz="4" w:space="0"/>
                  </w:tcBorders>
                  <w:vAlign w:val="center"/>
                </w:tcPr>
                <w:p w14:paraId="37F22465">
                  <w:pPr>
                    <w:pStyle w:val="14"/>
                    <w:rPr>
                      <w:rFonts w:cs="Times New Roman"/>
                      <w:szCs w:val="21"/>
                      <w:lang w:val="en"/>
                    </w:rPr>
                  </w:pPr>
                  <w:r>
                    <w:rPr>
                      <w:rFonts w:hint="eastAsia" w:cs="Times New Roman"/>
                    </w:rPr>
                    <w:t>+1.045</w:t>
                  </w:r>
                  <w:r>
                    <w:rPr>
                      <w:rFonts w:hint="eastAsia" w:cs="Times New Roman"/>
                      <w:szCs w:val="21"/>
                    </w:rPr>
                    <w:t>t/a</w:t>
                  </w:r>
                </w:p>
              </w:tc>
            </w:tr>
            <w:tr w14:paraId="2F170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4" w:type="pct"/>
                  <w:vMerge w:val="continue"/>
                  <w:tcBorders>
                    <w:top w:val="single" w:color="auto" w:sz="4" w:space="0"/>
                    <w:left w:val="single" w:color="auto" w:sz="4" w:space="0"/>
                    <w:bottom w:val="single" w:color="auto" w:sz="4" w:space="0"/>
                    <w:right w:val="single" w:color="auto" w:sz="4" w:space="0"/>
                  </w:tcBorders>
                  <w:vAlign w:val="center"/>
                </w:tcPr>
                <w:p w14:paraId="28F30841">
                  <w:pPr>
                    <w:widowControl/>
                    <w:spacing w:beforeAutospacing="1" w:afterAutospacing="1" w:line="240" w:lineRule="auto"/>
                    <w:ind w:firstLine="0" w:firstLineChars="0"/>
                    <w:jc w:val="left"/>
                    <w:rPr>
                      <w:rFonts w:cs="Times New Roman"/>
                      <w:sz w:val="21"/>
                      <w:szCs w:val="21"/>
                    </w:rPr>
                  </w:pPr>
                </w:p>
              </w:tc>
              <w:tc>
                <w:tcPr>
                  <w:tcW w:w="1053" w:type="pct"/>
                  <w:gridSpan w:val="2"/>
                  <w:tcBorders>
                    <w:top w:val="single" w:color="auto" w:sz="4" w:space="0"/>
                    <w:left w:val="single" w:color="auto" w:sz="4" w:space="0"/>
                    <w:bottom w:val="single" w:color="auto" w:sz="4" w:space="0"/>
                    <w:right w:val="single" w:color="auto" w:sz="4" w:space="0"/>
                  </w:tcBorders>
                  <w:vAlign w:val="center"/>
                </w:tcPr>
                <w:p w14:paraId="0E906408">
                  <w:pPr>
                    <w:pStyle w:val="14"/>
                    <w:rPr>
                      <w:rFonts w:cs="Times New Roman"/>
                      <w:szCs w:val="21"/>
                      <w:lang w:bidi="ar"/>
                    </w:rPr>
                  </w:pPr>
                  <w:r>
                    <w:t>废</w:t>
                  </w:r>
                  <w:r>
                    <w:rPr>
                      <w:rFonts w:hint="eastAsia"/>
                    </w:rPr>
                    <w:t>介质</w:t>
                  </w:r>
                  <w:r>
                    <w:t>油</w:t>
                  </w:r>
                </w:p>
              </w:tc>
              <w:tc>
                <w:tcPr>
                  <w:tcW w:w="624" w:type="pct"/>
                  <w:tcBorders>
                    <w:top w:val="single" w:color="auto" w:sz="4" w:space="0"/>
                    <w:left w:val="single" w:color="auto" w:sz="4" w:space="0"/>
                    <w:bottom w:val="single" w:color="auto" w:sz="4" w:space="0"/>
                    <w:right w:val="single" w:color="auto" w:sz="4" w:space="0"/>
                  </w:tcBorders>
                  <w:vAlign w:val="center"/>
                </w:tcPr>
                <w:p w14:paraId="545A4625">
                  <w:pPr>
                    <w:wordWrap w:val="0"/>
                    <w:autoSpaceDE w:val="0"/>
                    <w:autoSpaceDN w:val="0"/>
                    <w:adjustRightInd w:val="0"/>
                    <w:spacing w:line="240" w:lineRule="auto"/>
                    <w:ind w:firstLine="0" w:firstLineChars="0"/>
                    <w:jc w:val="center"/>
                    <w:rPr>
                      <w:rFonts w:cs="Times New Roman"/>
                      <w:sz w:val="21"/>
                      <w:szCs w:val="21"/>
                    </w:rPr>
                  </w:pPr>
                  <w:r>
                    <w:rPr>
                      <w:rFonts w:cs="Times New Roman"/>
                      <w:sz w:val="21"/>
                      <w:szCs w:val="21"/>
                    </w:rPr>
                    <w:t>0</w:t>
                  </w:r>
                </w:p>
              </w:tc>
              <w:tc>
                <w:tcPr>
                  <w:tcW w:w="757" w:type="pct"/>
                  <w:tcBorders>
                    <w:top w:val="single" w:color="auto" w:sz="4" w:space="0"/>
                    <w:left w:val="single" w:color="auto" w:sz="4" w:space="0"/>
                    <w:bottom w:val="single" w:color="auto" w:sz="4" w:space="0"/>
                    <w:right w:val="single" w:color="auto" w:sz="4" w:space="0"/>
                  </w:tcBorders>
                  <w:vAlign w:val="center"/>
                </w:tcPr>
                <w:p w14:paraId="2641DEF9">
                  <w:pPr>
                    <w:pStyle w:val="14"/>
                    <w:rPr>
                      <w:rFonts w:cs="Times New Roman"/>
                      <w:szCs w:val="21"/>
                    </w:rPr>
                  </w:pPr>
                  <w:r>
                    <w:rPr>
                      <w:rFonts w:hint="eastAsia" w:cs="Times New Roman"/>
                    </w:rPr>
                    <w:t>0.2</w:t>
                  </w:r>
                  <w:r>
                    <w:rPr>
                      <w:rFonts w:hint="eastAsia" w:cs="Times New Roman"/>
                      <w:szCs w:val="21"/>
                    </w:rPr>
                    <w:t>t/a</w:t>
                  </w:r>
                </w:p>
              </w:tc>
              <w:tc>
                <w:tcPr>
                  <w:tcW w:w="534" w:type="pct"/>
                  <w:tcBorders>
                    <w:top w:val="single" w:color="auto" w:sz="4" w:space="0"/>
                    <w:left w:val="single" w:color="auto" w:sz="4" w:space="0"/>
                    <w:bottom w:val="single" w:color="auto" w:sz="4" w:space="0"/>
                    <w:right w:val="single" w:color="auto" w:sz="4" w:space="0"/>
                  </w:tcBorders>
                  <w:vAlign w:val="center"/>
                </w:tcPr>
                <w:p w14:paraId="4813AEA7">
                  <w:pPr>
                    <w:wordWrap w:val="0"/>
                    <w:autoSpaceDE w:val="0"/>
                    <w:autoSpaceDN w:val="0"/>
                    <w:adjustRightInd w:val="0"/>
                    <w:spacing w:line="240" w:lineRule="auto"/>
                    <w:ind w:firstLine="0" w:firstLineChars="0"/>
                    <w:jc w:val="center"/>
                    <w:rPr>
                      <w:rFonts w:cs="Times New Roman"/>
                      <w:sz w:val="21"/>
                      <w:szCs w:val="21"/>
                    </w:rPr>
                  </w:pPr>
                  <w:r>
                    <w:rPr>
                      <w:rFonts w:cs="Times New Roman"/>
                      <w:sz w:val="21"/>
                      <w:szCs w:val="21"/>
                    </w:rPr>
                    <w:t>0</w:t>
                  </w:r>
                </w:p>
              </w:tc>
              <w:tc>
                <w:tcPr>
                  <w:tcW w:w="757" w:type="pct"/>
                  <w:tcBorders>
                    <w:top w:val="single" w:color="auto" w:sz="4" w:space="0"/>
                    <w:left w:val="single" w:color="auto" w:sz="4" w:space="0"/>
                    <w:bottom w:val="single" w:color="auto" w:sz="4" w:space="0"/>
                    <w:right w:val="single" w:color="auto" w:sz="4" w:space="0"/>
                  </w:tcBorders>
                  <w:vAlign w:val="center"/>
                </w:tcPr>
                <w:p w14:paraId="36201F59">
                  <w:pPr>
                    <w:pStyle w:val="14"/>
                    <w:rPr>
                      <w:rFonts w:cs="Times New Roman"/>
                      <w:szCs w:val="21"/>
                    </w:rPr>
                  </w:pPr>
                  <w:r>
                    <w:rPr>
                      <w:rFonts w:hint="eastAsia" w:cs="Times New Roman"/>
                    </w:rPr>
                    <w:t>0.2</w:t>
                  </w:r>
                  <w:r>
                    <w:rPr>
                      <w:rFonts w:hint="eastAsia" w:cs="Times New Roman"/>
                      <w:szCs w:val="21"/>
                    </w:rPr>
                    <w:t>t/a</w:t>
                  </w:r>
                </w:p>
              </w:tc>
              <w:tc>
                <w:tcPr>
                  <w:tcW w:w="880" w:type="pct"/>
                  <w:tcBorders>
                    <w:top w:val="single" w:color="auto" w:sz="4" w:space="0"/>
                    <w:left w:val="single" w:color="auto" w:sz="4" w:space="0"/>
                    <w:bottom w:val="single" w:color="auto" w:sz="4" w:space="0"/>
                    <w:right w:val="single" w:color="auto" w:sz="4" w:space="0"/>
                  </w:tcBorders>
                  <w:vAlign w:val="center"/>
                </w:tcPr>
                <w:p w14:paraId="095F7BA4">
                  <w:pPr>
                    <w:pStyle w:val="14"/>
                    <w:rPr>
                      <w:rFonts w:cs="Times New Roman"/>
                      <w:szCs w:val="21"/>
                    </w:rPr>
                  </w:pPr>
                  <w:r>
                    <w:rPr>
                      <w:rFonts w:hint="eastAsia" w:cs="Times New Roman"/>
                    </w:rPr>
                    <w:t>+0.2</w:t>
                  </w:r>
                  <w:r>
                    <w:rPr>
                      <w:rFonts w:hint="eastAsia" w:cs="Times New Roman"/>
                      <w:szCs w:val="21"/>
                    </w:rPr>
                    <w:t>t/a</w:t>
                  </w:r>
                </w:p>
              </w:tc>
            </w:tr>
          </w:tbl>
          <w:p w14:paraId="20B63411">
            <w:pPr>
              <w:topLinePunct/>
              <w:adjustRightInd w:val="0"/>
              <w:snapToGrid w:val="0"/>
              <w:ind w:firstLine="480"/>
              <w:jc w:val="left"/>
              <w:rPr>
                <w:lang w:bidi="ar"/>
              </w:rPr>
            </w:pPr>
            <w:r>
              <w:rPr>
                <w:rFonts w:hint="eastAsia" w:cs="Times New Roman"/>
                <w:szCs w:val="24"/>
              </w:rPr>
              <w:t>本次扩建项目仅对二车间增加设备，不增加员工数量，新增模温机和压贴机，因此增加天然气废气和压贴有机废气</w:t>
            </w:r>
            <w:r>
              <w:rPr>
                <w:rFonts w:hint="eastAsia" w:cs="Times New Roman"/>
                <w:kern w:val="0"/>
                <w:szCs w:val="24"/>
              </w:rPr>
              <w:t>。</w:t>
            </w:r>
          </w:p>
          <w:p w14:paraId="08F84260">
            <w:pPr>
              <w:pStyle w:val="3"/>
              <w:spacing w:before="0" w:beforeLines="0"/>
              <w:rPr>
                <w:lang w:bidi="ar"/>
              </w:rPr>
            </w:pPr>
            <w:r>
              <w:rPr>
                <w:rFonts w:hint="eastAsia"/>
                <w:lang w:bidi="ar"/>
              </w:rPr>
              <w:t>10、</w:t>
            </w:r>
            <w:r>
              <w:rPr>
                <w:lang w:bidi="ar"/>
              </w:rPr>
              <w:t>环保投资估算</w:t>
            </w:r>
          </w:p>
          <w:p w14:paraId="37171A51">
            <w:pPr>
              <w:adjustRightInd w:val="0"/>
              <w:snapToGrid w:val="0"/>
              <w:ind w:firstLine="440"/>
              <w:rPr>
                <w:rFonts w:cs="Times New Roman"/>
                <w:b/>
                <w:bCs/>
                <w:szCs w:val="21"/>
              </w:rPr>
            </w:pPr>
            <w:r>
              <w:rPr>
                <w:rFonts w:cs="Times New Roman"/>
                <w:bCs/>
                <w:spacing w:val="-10"/>
              </w:rPr>
              <w:t>本项目总投资</w:t>
            </w:r>
            <w:r>
              <w:rPr>
                <w:rFonts w:hint="eastAsia" w:cs="Times New Roman"/>
                <w:bCs/>
                <w:spacing w:val="-10"/>
              </w:rPr>
              <w:t>1</w:t>
            </w:r>
            <w:r>
              <w:rPr>
                <w:rFonts w:cs="Times New Roman"/>
                <w:bCs/>
                <w:spacing w:val="-10"/>
              </w:rPr>
              <w:t>000万元，</w:t>
            </w:r>
            <w:r>
              <w:rPr>
                <w:rFonts w:cs="Times New Roman"/>
                <w:bCs/>
              </w:rPr>
              <w:t>环保投资</w:t>
            </w:r>
            <w:r>
              <w:rPr>
                <w:rFonts w:hint="eastAsia" w:cs="Times New Roman"/>
                <w:bCs/>
              </w:rPr>
              <w:t>40.8</w:t>
            </w:r>
            <w:r>
              <w:rPr>
                <w:rFonts w:cs="Times New Roman"/>
                <w:bCs/>
              </w:rPr>
              <w:t>万元，占总投资的</w:t>
            </w:r>
            <w:r>
              <w:rPr>
                <w:rFonts w:hint="eastAsia" w:cs="Times New Roman"/>
                <w:bCs/>
              </w:rPr>
              <w:t>4.08</w:t>
            </w:r>
            <w:r>
              <w:rPr>
                <w:rFonts w:cs="Times New Roman"/>
                <w:bCs/>
              </w:rPr>
              <w:t>%。</w:t>
            </w:r>
            <w:r>
              <w:rPr>
                <w:rFonts w:cs="Times New Roman"/>
                <w:kern w:val="0"/>
              </w:rPr>
              <w:t>环保治理措施及投资一览表见下表所示。</w:t>
            </w:r>
          </w:p>
          <w:p w14:paraId="0C596D2C">
            <w:pPr>
              <w:pStyle w:val="13"/>
              <w:rPr>
                <w:rFonts w:cs="Times New Roman"/>
                <w:sz w:val="24"/>
              </w:rPr>
            </w:pPr>
            <w:r>
              <w:rPr>
                <w:rFonts w:cs="Times New Roman"/>
              </w:rPr>
              <w:t>表</w:t>
            </w:r>
            <w:r>
              <w:rPr>
                <w:rFonts w:cs="Times New Roman"/>
              </w:rPr>
              <w:fldChar w:fldCharType="begin"/>
            </w:r>
            <w:r>
              <w:rPr>
                <w:rFonts w:cs="Times New Roman"/>
              </w:rPr>
              <w:instrText xml:space="preserve"> SEQ seq \c </w:instrText>
            </w:r>
            <w:r>
              <w:rPr>
                <w:rFonts w:cs="Times New Roman"/>
              </w:rPr>
              <w:fldChar w:fldCharType="separate"/>
            </w:r>
            <w:r>
              <w:rPr>
                <w:rFonts w:cs="Times New Roman"/>
              </w:rPr>
              <w:t>4</w:t>
            </w:r>
            <w:r>
              <w:rPr>
                <w:rFonts w:cs="Times New Roman"/>
              </w:rPr>
              <w:fldChar w:fldCharType="end"/>
            </w:r>
            <w:r>
              <w:rPr>
                <w:rFonts w:cs="Times New Roman"/>
              </w:rPr>
              <w:noBreakHyphen/>
            </w:r>
            <w:r>
              <w:rPr>
                <w:rFonts w:cs="Times New Roman"/>
              </w:rPr>
              <w:fldChar w:fldCharType="begin"/>
            </w:r>
            <w:r>
              <w:rPr>
                <w:rFonts w:cs="Times New Roman"/>
              </w:rPr>
              <w:instrText xml:space="preserve"> SEQ 表 \* ARABIC \s 1 </w:instrText>
            </w:r>
            <w:r>
              <w:rPr>
                <w:rFonts w:cs="Times New Roman"/>
              </w:rPr>
              <w:fldChar w:fldCharType="separate"/>
            </w:r>
            <w:r>
              <w:rPr>
                <w:rFonts w:cs="Times New Roman"/>
              </w:rPr>
              <w:t>21</w:t>
            </w:r>
            <w:r>
              <w:rPr>
                <w:rFonts w:cs="Times New Roman"/>
              </w:rPr>
              <w:fldChar w:fldCharType="end"/>
            </w:r>
            <w:r>
              <w:rPr>
                <w:rFonts w:cs="Times New Roman"/>
                <w:szCs w:val="21"/>
              </w:rPr>
              <w:t>项目环保投资一览表</w:t>
            </w:r>
          </w:p>
          <w:tbl>
            <w:tblPr>
              <w:tblStyle w:val="33"/>
              <w:tblW w:w="4998" w:type="pct"/>
              <w:tblInd w:w="0" w:type="dxa"/>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Layout w:type="autofit"/>
              <w:tblCellMar>
                <w:top w:w="0" w:type="dxa"/>
                <w:left w:w="0" w:type="dxa"/>
                <w:bottom w:w="0" w:type="dxa"/>
                <w:right w:w="0" w:type="dxa"/>
              </w:tblCellMar>
            </w:tblPr>
            <w:tblGrid>
              <w:gridCol w:w="917"/>
              <w:gridCol w:w="948"/>
              <w:gridCol w:w="1203"/>
              <w:gridCol w:w="4166"/>
              <w:gridCol w:w="810"/>
              <w:gridCol w:w="879"/>
            </w:tblGrid>
            <w:tr w14:paraId="352BCA2E">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14" w:type="pct"/>
                  <w:tcBorders>
                    <w:tl2br w:val="nil"/>
                    <w:tr2bl w:val="nil"/>
                  </w:tcBorders>
                  <w:vAlign w:val="center"/>
                </w:tcPr>
                <w:p w14:paraId="5DBDD8FF">
                  <w:pPr>
                    <w:pStyle w:val="53"/>
                    <w:rPr>
                      <w:rFonts w:cs="Times New Roman"/>
                    </w:rPr>
                  </w:pPr>
                  <w:r>
                    <w:rPr>
                      <w:rFonts w:cs="Times New Roman"/>
                    </w:rPr>
                    <w:t>类别</w:t>
                  </w:r>
                </w:p>
              </w:tc>
              <w:tc>
                <w:tcPr>
                  <w:tcW w:w="531" w:type="pct"/>
                  <w:tcBorders>
                    <w:tl2br w:val="nil"/>
                    <w:tr2bl w:val="nil"/>
                  </w:tcBorders>
                  <w:vAlign w:val="center"/>
                </w:tcPr>
                <w:p w14:paraId="573A8853">
                  <w:pPr>
                    <w:pStyle w:val="53"/>
                    <w:rPr>
                      <w:rFonts w:cs="Times New Roman"/>
                    </w:rPr>
                  </w:pPr>
                  <w:r>
                    <w:rPr>
                      <w:rFonts w:cs="Times New Roman"/>
                    </w:rPr>
                    <w:t>项目</w:t>
                  </w:r>
                </w:p>
              </w:tc>
              <w:tc>
                <w:tcPr>
                  <w:tcW w:w="674" w:type="pct"/>
                  <w:tcBorders>
                    <w:tl2br w:val="nil"/>
                    <w:tr2bl w:val="nil"/>
                  </w:tcBorders>
                  <w:vAlign w:val="center"/>
                </w:tcPr>
                <w:p w14:paraId="7B8CC23F">
                  <w:pPr>
                    <w:pStyle w:val="53"/>
                    <w:rPr>
                      <w:rFonts w:cs="Times New Roman"/>
                    </w:rPr>
                  </w:pPr>
                  <w:r>
                    <w:rPr>
                      <w:rFonts w:cs="Times New Roman"/>
                    </w:rPr>
                    <w:t>污染物</w:t>
                  </w:r>
                </w:p>
              </w:tc>
              <w:tc>
                <w:tcPr>
                  <w:tcW w:w="2333" w:type="pct"/>
                  <w:tcBorders>
                    <w:tl2br w:val="nil"/>
                    <w:tr2bl w:val="nil"/>
                  </w:tcBorders>
                  <w:vAlign w:val="center"/>
                </w:tcPr>
                <w:p w14:paraId="6204F2E1">
                  <w:pPr>
                    <w:pStyle w:val="53"/>
                    <w:rPr>
                      <w:rFonts w:cs="Times New Roman"/>
                    </w:rPr>
                  </w:pPr>
                  <w:r>
                    <w:rPr>
                      <w:rFonts w:cs="Times New Roman"/>
                    </w:rPr>
                    <w:t>设施概况</w:t>
                  </w:r>
                </w:p>
              </w:tc>
              <w:tc>
                <w:tcPr>
                  <w:tcW w:w="454" w:type="pct"/>
                  <w:tcBorders>
                    <w:tl2br w:val="nil"/>
                    <w:tr2bl w:val="nil"/>
                  </w:tcBorders>
                  <w:vAlign w:val="center"/>
                </w:tcPr>
                <w:p w14:paraId="72E695A6">
                  <w:pPr>
                    <w:pStyle w:val="53"/>
                    <w:rPr>
                      <w:rFonts w:cs="Times New Roman"/>
                    </w:rPr>
                  </w:pPr>
                  <w:r>
                    <w:rPr>
                      <w:rFonts w:cs="Times New Roman"/>
                    </w:rPr>
                    <w:t>环保投资（万元）</w:t>
                  </w:r>
                </w:p>
              </w:tc>
              <w:tc>
                <w:tcPr>
                  <w:tcW w:w="492" w:type="pct"/>
                  <w:tcBorders>
                    <w:tl2br w:val="nil"/>
                    <w:tr2bl w:val="nil"/>
                  </w:tcBorders>
                  <w:vAlign w:val="center"/>
                </w:tcPr>
                <w:p w14:paraId="1308016F">
                  <w:pPr>
                    <w:pStyle w:val="53"/>
                    <w:rPr>
                      <w:rFonts w:cs="Times New Roman"/>
                      <w:bCs/>
                    </w:rPr>
                  </w:pPr>
                  <w:r>
                    <w:rPr>
                      <w:rFonts w:cs="Times New Roman"/>
                    </w:rPr>
                    <w:t>备注</w:t>
                  </w:r>
                </w:p>
              </w:tc>
            </w:tr>
            <w:tr w14:paraId="6FEEB2BF">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14" w:type="pct"/>
                  <w:vMerge w:val="restart"/>
                  <w:tcBorders>
                    <w:tl2br w:val="nil"/>
                    <w:tr2bl w:val="nil"/>
                  </w:tcBorders>
                  <w:vAlign w:val="center"/>
                </w:tcPr>
                <w:p w14:paraId="6BF80BCB">
                  <w:pPr>
                    <w:pStyle w:val="14"/>
                    <w:rPr>
                      <w:rFonts w:cs="Times New Roman"/>
                      <w:bCs/>
                    </w:rPr>
                  </w:pPr>
                  <w:bookmarkStart w:id="104" w:name="_Hlk211248095"/>
                  <w:r>
                    <w:rPr>
                      <w:rFonts w:cs="Times New Roman"/>
                      <w:bCs/>
                    </w:rPr>
                    <w:t>施工期</w:t>
                  </w:r>
                </w:p>
              </w:tc>
              <w:tc>
                <w:tcPr>
                  <w:tcW w:w="531" w:type="pct"/>
                  <w:tcBorders>
                    <w:tl2br w:val="nil"/>
                    <w:tr2bl w:val="nil"/>
                  </w:tcBorders>
                  <w:vAlign w:val="center"/>
                </w:tcPr>
                <w:p w14:paraId="25E956B8">
                  <w:pPr>
                    <w:pStyle w:val="14"/>
                    <w:rPr>
                      <w:rFonts w:cs="Times New Roman"/>
                      <w:bCs/>
                    </w:rPr>
                  </w:pPr>
                  <w:r>
                    <w:rPr>
                      <w:rFonts w:cs="Times New Roman"/>
                      <w:bCs/>
                    </w:rPr>
                    <w:t>废气治理</w:t>
                  </w:r>
                </w:p>
              </w:tc>
              <w:tc>
                <w:tcPr>
                  <w:tcW w:w="674" w:type="pct"/>
                  <w:tcBorders>
                    <w:tl2br w:val="nil"/>
                    <w:tr2bl w:val="nil"/>
                  </w:tcBorders>
                  <w:vAlign w:val="center"/>
                </w:tcPr>
                <w:p w14:paraId="03B0A0F2">
                  <w:pPr>
                    <w:pStyle w:val="14"/>
                    <w:rPr>
                      <w:rFonts w:cs="Times New Roman"/>
                    </w:rPr>
                  </w:pPr>
                  <w:r>
                    <w:rPr>
                      <w:rFonts w:cs="Times New Roman"/>
                    </w:rPr>
                    <w:t>扬尘</w:t>
                  </w:r>
                </w:p>
              </w:tc>
              <w:tc>
                <w:tcPr>
                  <w:tcW w:w="2333" w:type="pct"/>
                  <w:tcBorders>
                    <w:tl2br w:val="nil"/>
                    <w:tr2bl w:val="nil"/>
                  </w:tcBorders>
                  <w:vAlign w:val="center"/>
                </w:tcPr>
                <w:p w14:paraId="2A1B1E0F">
                  <w:pPr>
                    <w:pStyle w:val="14"/>
                    <w:rPr>
                      <w:rFonts w:cs="Times New Roman"/>
                    </w:rPr>
                  </w:pPr>
                  <w:r>
                    <w:rPr>
                      <w:rFonts w:cs="Times New Roman"/>
                    </w:rPr>
                    <w:t>厂区抑尘通过洒水除尘；</w:t>
                  </w:r>
                </w:p>
              </w:tc>
              <w:tc>
                <w:tcPr>
                  <w:tcW w:w="454" w:type="pct"/>
                  <w:tcBorders>
                    <w:tl2br w:val="nil"/>
                    <w:tr2bl w:val="nil"/>
                  </w:tcBorders>
                  <w:vAlign w:val="center"/>
                </w:tcPr>
                <w:p w14:paraId="6D5CFD7D">
                  <w:pPr>
                    <w:pStyle w:val="14"/>
                    <w:rPr>
                      <w:rFonts w:cs="Times New Roman"/>
                      <w:bCs/>
                    </w:rPr>
                  </w:pPr>
                  <w:r>
                    <w:rPr>
                      <w:rFonts w:hint="eastAsia" w:cs="Times New Roman"/>
                      <w:bCs/>
                    </w:rPr>
                    <w:t>0.1</w:t>
                  </w:r>
                </w:p>
              </w:tc>
              <w:tc>
                <w:tcPr>
                  <w:tcW w:w="492" w:type="pct"/>
                  <w:tcBorders>
                    <w:tl2br w:val="nil"/>
                    <w:tr2bl w:val="nil"/>
                  </w:tcBorders>
                  <w:vAlign w:val="center"/>
                </w:tcPr>
                <w:p w14:paraId="23758EA9">
                  <w:pPr>
                    <w:pStyle w:val="14"/>
                    <w:rPr>
                      <w:rFonts w:cs="Times New Roman"/>
                      <w:bCs/>
                    </w:rPr>
                  </w:pPr>
                  <w:r>
                    <w:rPr>
                      <w:rFonts w:hint="eastAsia" w:cs="Times New Roman"/>
                      <w:bCs/>
                    </w:rPr>
                    <w:t>已建</w:t>
                  </w:r>
                </w:p>
              </w:tc>
            </w:tr>
            <w:tr w14:paraId="6E6009F2">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14" w:type="pct"/>
                  <w:vMerge w:val="continue"/>
                  <w:tcBorders>
                    <w:tl2br w:val="nil"/>
                    <w:tr2bl w:val="nil"/>
                  </w:tcBorders>
                  <w:vAlign w:val="center"/>
                </w:tcPr>
                <w:p w14:paraId="334C42EC">
                  <w:pPr>
                    <w:pStyle w:val="14"/>
                    <w:rPr>
                      <w:rFonts w:cs="Times New Roman"/>
                      <w:bCs/>
                    </w:rPr>
                  </w:pPr>
                </w:p>
              </w:tc>
              <w:tc>
                <w:tcPr>
                  <w:tcW w:w="531" w:type="pct"/>
                  <w:tcBorders>
                    <w:tl2br w:val="nil"/>
                    <w:tr2bl w:val="nil"/>
                  </w:tcBorders>
                  <w:vAlign w:val="center"/>
                </w:tcPr>
                <w:p w14:paraId="0FB02331">
                  <w:pPr>
                    <w:pStyle w:val="14"/>
                    <w:rPr>
                      <w:rFonts w:cs="Times New Roman"/>
                      <w:bCs/>
                    </w:rPr>
                  </w:pPr>
                  <w:r>
                    <w:rPr>
                      <w:rFonts w:cs="Times New Roman"/>
                      <w:bCs/>
                    </w:rPr>
                    <w:t>废水治理</w:t>
                  </w:r>
                </w:p>
              </w:tc>
              <w:tc>
                <w:tcPr>
                  <w:tcW w:w="674" w:type="pct"/>
                  <w:tcBorders>
                    <w:tl2br w:val="nil"/>
                    <w:tr2bl w:val="nil"/>
                  </w:tcBorders>
                  <w:vAlign w:val="center"/>
                </w:tcPr>
                <w:p w14:paraId="7342BEE7">
                  <w:pPr>
                    <w:pStyle w:val="14"/>
                    <w:rPr>
                      <w:rFonts w:cs="Times New Roman"/>
                    </w:rPr>
                  </w:pPr>
                  <w:r>
                    <w:rPr>
                      <w:rFonts w:cs="Times New Roman"/>
                    </w:rPr>
                    <w:t>生活污水</w:t>
                  </w:r>
                </w:p>
              </w:tc>
              <w:tc>
                <w:tcPr>
                  <w:tcW w:w="2333" w:type="pct"/>
                  <w:tcBorders>
                    <w:tl2br w:val="nil"/>
                    <w:tr2bl w:val="nil"/>
                  </w:tcBorders>
                  <w:vAlign w:val="center"/>
                </w:tcPr>
                <w:p w14:paraId="62A29548">
                  <w:pPr>
                    <w:pStyle w:val="14"/>
                    <w:rPr>
                      <w:rFonts w:cs="Times New Roman"/>
                    </w:rPr>
                  </w:pPr>
                  <w:r>
                    <w:rPr>
                      <w:rFonts w:hint="eastAsia" w:cs="Times New Roman"/>
                    </w:rPr>
                    <w:t>预处理池处理</w:t>
                  </w:r>
                  <w:r>
                    <w:rPr>
                      <w:rFonts w:cs="Times New Roman"/>
                    </w:rPr>
                    <w:t>后进入</w:t>
                  </w:r>
                  <w:r>
                    <w:rPr>
                      <w:rFonts w:hint="eastAsia" w:cs="Times New Roman"/>
                    </w:rPr>
                    <w:t>市政</w:t>
                  </w:r>
                  <w:r>
                    <w:rPr>
                      <w:rFonts w:cs="Times New Roman"/>
                    </w:rPr>
                    <w:t>污水管网</w:t>
                  </w:r>
                </w:p>
              </w:tc>
              <w:tc>
                <w:tcPr>
                  <w:tcW w:w="454" w:type="pct"/>
                  <w:tcBorders>
                    <w:tl2br w:val="nil"/>
                    <w:tr2bl w:val="nil"/>
                  </w:tcBorders>
                  <w:vAlign w:val="center"/>
                </w:tcPr>
                <w:p w14:paraId="1245E49E">
                  <w:pPr>
                    <w:pStyle w:val="14"/>
                    <w:rPr>
                      <w:rFonts w:cs="Times New Roman"/>
                      <w:bCs/>
                    </w:rPr>
                  </w:pPr>
                  <w:r>
                    <w:rPr>
                      <w:rFonts w:hint="eastAsia" w:cs="Times New Roman"/>
                      <w:bCs/>
                    </w:rPr>
                    <w:t>/</w:t>
                  </w:r>
                </w:p>
              </w:tc>
              <w:tc>
                <w:tcPr>
                  <w:tcW w:w="492" w:type="pct"/>
                  <w:tcBorders>
                    <w:tl2br w:val="nil"/>
                    <w:tr2bl w:val="nil"/>
                  </w:tcBorders>
                  <w:vAlign w:val="center"/>
                </w:tcPr>
                <w:p w14:paraId="1E6045BC">
                  <w:pPr>
                    <w:pStyle w:val="14"/>
                    <w:rPr>
                      <w:rFonts w:cs="Times New Roman"/>
                      <w:bCs/>
                    </w:rPr>
                  </w:pPr>
                  <w:r>
                    <w:rPr>
                      <w:rFonts w:hint="eastAsia" w:cs="Times New Roman"/>
                      <w:bCs/>
                    </w:rPr>
                    <w:t>利旧</w:t>
                  </w:r>
                </w:p>
              </w:tc>
            </w:tr>
            <w:tr w14:paraId="39D9E6F3">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14" w:type="pct"/>
                  <w:vMerge w:val="continue"/>
                  <w:tcBorders>
                    <w:tl2br w:val="nil"/>
                    <w:tr2bl w:val="nil"/>
                  </w:tcBorders>
                  <w:vAlign w:val="center"/>
                </w:tcPr>
                <w:p w14:paraId="756A8225">
                  <w:pPr>
                    <w:pStyle w:val="14"/>
                    <w:rPr>
                      <w:rFonts w:cs="Times New Roman"/>
                      <w:bCs/>
                    </w:rPr>
                  </w:pPr>
                </w:p>
              </w:tc>
              <w:tc>
                <w:tcPr>
                  <w:tcW w:w="531" w:type="pct"/>
                  <w:tcBorders>
                    <w:tl2br w:val="nil"/>
                    <w:tr2bl w:val="nil"/>
                  </w:tcBorders>
                  <w:vAlign w:val="center"/>
                </w:tcPr>
                <w:p w14:paraId="120FC1C0">
                  <w:pPr>
                    <w:pStyle w:val="14"/>
                    <w:rPr>
                      <w:rFonts w:cs="Times New Roman"/>
                      <w:bCs/>
                    </w:rPr>
                  </w:pPr>
                  <w:r>
                    <w:rPr>
                      <w:rFonts w:cs="Times New Roman"/>
                      <w:bCs/>
                    </w:rPr>
                    <w:t>噪声治理</w:t>
                  </w:r>
                </w:p>
              </w:tc>
              <w:tc>
                <w:tcPr>
                  <w:tcW w:w="674" w:type="pct"/>
                  <w:tcBorders>
                    <w:tl2br w:val="nil"/>
                    <w:tr2bl w:val="nil"/>
                  </w:tcBorders>
                  <w:vAlign w:val="center"/>
                </w:tcPr>
                <w:p w14:paraId="0188A36B">
                  <w:pPr>
                    <w:pStyle w:val="14"/>
                    <w:rPr>
                      <w:rFonts w:cs="Times New Roman"/>
                    </w:rPr>
                  </w:pPr>
                  <w:r>
                    <w:rPr>
                      <w:rFonts w:cs="Times New Roman"/>
                    </w:rPr>
                    <w:t>噪声</w:t>
                  </w:r>
                </w:p>
              </w:tc>
              <w:tc>
                <w:tcPr>
                  <w:tcW w:w="2333" w:type="pct"/>
                  <w:tcBorders>
                    <w:tl2br w:val="nil"/>
                    <w:tr2bl w:val="nil"/>
                  </w:tcBorders>
                  <w:vAlign w:val="center"/>
                </w:tcPr>
                <w:p w14:paraId="71F1E9FA">
                  <w:pPr>
                    <w:pStyle w:val="14"/>
                    <w:rPr>
                      <w:rFonts w:cs="Times New Roman"/>
                    </w:rPr>
                  </w:pPr>
                  <w:r>
                    <w:rPr>
                      <w:rFonts w:cs="Times New Roman"/>
                    </w:rPr>
                    <w:t>施工期加强管理，合理布局，禁止夜间施工</w:t>
                  </w:r>
                </w:p>
              </w:tc>
              <w:tc>
                <w:tcPr>
                  <w:tcW w:w="454" w:type="pct"/>
                  <w:tcBorders>
                    <w:tl2br w:val="nil"/>
                    <w:tr2bl w:val="nil"/>
                  </w:tcBorders>
                  <w:vAlign w:val="center"/>
                </w:tcPr>
                <w:p w14:paraId="68AA1F2B">
                  <w:pPr>
                    <w:pStyle w:val="14"/>
                    <w:rPr>
                      <w:rFonts w:cs="Times New Roman"/>
                      <w:bCs/>
                    </w:rPr>
                  </w:pPr>
                  <w:r>
                    <w:rPr>
                      <w:rFonts w:hint="eastAsia" w:cs="Times New Roman"/>
                      <w:bCs/>
                    </w:rPr>
                    <w:t>0.1</w:t>
                  </w:r>
                </w:p>
              </w:tc>
              <w:tc>
                <w:tcPr>
                  <w:tcW w:w="492" w:type="pct"/>
                  <w:tcBorders>
                    <w:tl2br w:val="nil"/>
                    <w:tr2bl w:val="nil"/>
                  </w:tcBorders>
                  <w:vAlign w:val="center"/>
                </w:tcPr>
                <w:p w14:paraId="617AAA08">
                  <w:pPr>
                    <w:pStyle w:val="14"/>
                    <w:rPr>
                      <w:rFonts w:cs="Times New Roman"/>
                      <w:bCs/>
                    </w:rPr>
                  </w:pPr>
                  <w:r>
                    <w:rPr>
                      <w:rFonts w:hint="eastAsia" w:cs="Times New Roman"/>
                      <w:bCs/>
                    </w:rPr>
                    <w:t>已建</w:t>
                  </w:r>
                </w:p>
              </w:tc>
            </w:tr>
            <w:tr w14:paraId="7AE5221B">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346" w:hRule="atLeast"/>
              </w:trPr>
              <w:tc>
                <w:tcPr>
                  <w:tcW w:w="514" w:type="pct"/>
                  <w:vMerge w:val="continue"/>
                  <w:tcBorders>
                    <w:tl2br w:val="nil"/>
                    <w:tr2bl w:val="nil"/>
                  </w:tcBorders>
                  <w:vAlign w:val="center"/>
                </w:tcPr>
                <w:p w14:paraId="777DBD49">
                  <w:pPr>
                    <w:pStyle w:val="14"/>
                    <w:rPr>
                      <w:rFonts w:cs="Times New Roman"/>
                      <w:bCs/>
                    </w:rPr>
                  </w:pPr>
                </w:p>
              </w:tc>
              <w:tc>
                <w:tcPr>
                  <w:tcW w:w="531" w:type="pct"/>
                  <w:vMerge w:val="restart"/>
                  <w:tcBorders>
                    <w:tl2br w:val="nil"/>
                    <w:tr2bl w:val="nil"/>
                  </w:tcBorders>
                  <w:vAlign w:val="center"/>
                </w:tcPr>
                <w:p w14:paraId="2DD37E86">
                  <w:pPr>
                    <w:pStyle w:val="14"/>
                    <w:rPr>
                      <w:rFonts w:cs="Times New Roman"/>
                      <w:bCs/>
                    </w:rPr>
                  </w:pPr>
                  <w:r>
                    <w:rPr>
                      <w:rFonts w:cs="Times New Roman"/>
                      <w:bCs/>
                    </w:rPr>
                    <w:t>固废治理</w:t>
                  </w:r>
                </w:p>
              </w:tc>
              <w:tc>
                <w:tcPr>
                  <w:tcW w:w="674" w:type="pct"/>
                  <w:tcBorders>
                    <w:tl2br w:val="nil"/>
                    <w:tr2bl w:val="nil"/>
                  </w:tcBorders>
                  <w:vAlign w:val="center"/>
                </w:tcPr>
                <w:p w14:paraId="25A9AED3">
                  <w:pPr>
                    <w:pStyle w:val="14"/>
                    <w:rPr>
                      <w:rFonts w:cs="Times New Roman"/>
                    </w:rPr>
                  </w:pPr>
                  <w:r>
                    <w:rPr>
                      <w:rFonts w:cs="Times New Roman"/>
                    </w:rPr>
                    <w:t>生活垃圾</w:t>
                  </w:r>
                </w:p>
              </w:tc>
              <w:tc>
                <w:tcPr>
                  <w:tcW w:w="2333" w:type="pct"/>
                  <w:tcBorders>
                    <w:tl2br w:val="nil"/>
                    <w:tr2bl w:val="nil"/>
                  </w:tcBorders>
                  <w:vAlign w:val="center"/>
                </w:tcPr>
                <w:p w14:paraId="79A4ADD0">
                  <w:pPr>
                    <w:pStyle w:val="14"/>
                    <w:rPr>
                      <w:rFonts w:cs="Times New Roman"/>
                    </w:rPr>
                  </w:pPr>
                  <w:r>
                    <w:rPr>
                      <w:rFonts w:cs="Times New Roman"/>
                    </w:rPr>
                    <w:t>统一收集后由环卫部门进行清运处理</w:t>
                  </w:r>
                </w:p>
              </w:tc>
              <w:tc>
                <w:tcPr>
                  <w:tcW w:w="454" w:type="pct"/>
                  <w:tcBorders>
                    <w:tl2br w:val="nil"/>
                    <w:tr2bl w:val="nil"/>
                  </w:tcBorders>
                  <w:vAlign w:val="center"/>
                </w:tcPr>
                <w:p w14:paraId="3DAD0A9C">
                  <w:pPr>
                    <w:pStyle w:val="14"/>
                    <w:rPr>
                      <w:rFonts w:cs="Times New Roman"/>
                      <w:bCs/>
                    </w:rPr>
                  </w:pPr>
                  <w:r>
                    <w:rPr>
                      <w:rFonts w:cs="Times New Roman"/>
                      <w:bCs/>
                    </w:rPr>
                    <w:t>0.1</w:t>
                  </w:r>
                </w:p>
              </w:tc>
              <w:tc>
                <w:tcPr>
                  <w:tcW w:w="492" w:type="pct"/>
                  <w:tcBorders>
                    <w:bottom w:val="single" w:color="000000" w:sz="2" w:space="0"/>
                    <w:tl2br w:val="nil"/>
                    <w:tr2bl w:val="nil"/>
                  </w:tcBorders>
                  <w:vAlign w:val="center"/>
                </w:tcPr>
                <w:p w14:paraId="327CDADD">
                  <w:pPr>
                    <w:pStyle w:val="14"/>
                    <w:rPr>
                      <w:rFonts w:cs="Times New Roman"/>
                      <w:bCs/>
                    </w:rPr>
                  </w:pPr>
                  <w:r>
                    <w:rPr>
                      <w:rFonts w:hint="eastAsia" w:cs="Times New Roman"/>
                      <w:bCs/>
                    </w:rPr>
                    <w:t>已建</w:t>
                  </w:r>
                </w:p>
              </w:tc>
            </w:tr>
            <w:tr w14:paraId="462E1EA5">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396" w:hRule="atLeast"/>
              </w:trPr>
              <w:tc>
                <w:tcPr>
                  <w:tcW w:w="514" w:type="pct"/>
                  <w:vMerge w:val="continue"/>
                  <w:tcBorders>
                    <w:tl2br w:val="nil"/>
                    <w:tr2bl w:val="nil"/>
                  </w:tcBorders>
                  <w:vAlign w:val="center"/>
                </w:tcPr>
                <w:p w14:paraId="435A4D23">
                  <w:pPr>
                    <w:pStyle w:val="14"/>
                    <w:rPr>
                      <w:rFonts w:cs="Times New Roman"/>
                      <w:bCs/>
                    </w:rPr>
                  </w:pPr>
                </w:p>
              </w:tc>
              <w:tc>
                <w:tcPr>
                  <w:tcW w:w="531" w:type="pct"/>
                  <w:vMerge w:val="continue"/>
                  <w:tcBorders>
                    <w:tl2br w:val="nil"/>
                    <w:tr2bl w:val="nil"/>
                  </w:tcBorders>
                  <w:vAlign w:val="center"/>
                </w:tcPr>
                <w:p w14:paraId="7A4DFDC5">
                  <w:pPr>
                    <w:pStyle w:val="14"/>
                    <w:rPr>
                      <w:rFonts w:cs="Times New Roman"/>
                      <w:bCs/>
                    </w:rPr>
                  </w:pPr>
                </w:p>
              </w:tc>
              <w:tc>
                <w:tcPr>
                  <w:tcW w:w="674" w:type="pct"/>
                  <w:tcBorders>
                    <w:tl2br w:val="nil"/>
                    <w:tr2bl w:val="nil"/>
                  </w:tcBorders>
                  <w:vAlign w:val="center"/>
                </w:tcPr>
                <w:p w14:paraId="1D0D6867">
                  <w:pPr>
                    <w:pStyle w:val="14"/>
                    <w:rPr>
                      <w:rFonts w:cs="Times New Roman"/>
                    </w:rPr>
                  </w:pPr>
                  <w:r>
                    <w:rPr>
                      <w:rFonts w:cs="Times New Roman"/>
                    </w:rPr>
                    <w:t>建筑垃圾</w:t>
                  </w:r>
                </w:p>
              </w:tc>
              <w:tc>
                <w:tcPr>
                  <w:tcW w:w="2333" w:type="pct"/>
                  <w:tcBorders>
                    <w:tl2br w:val="nil"/>
                    <w:tr2bl w:val="nil"/>
                  </w:tcBorders>
                  <w:vAlign w:val="center"/>
                </w:tcPr>
                <w:p w14:paraId="266AF862">
                  <w:pPr>
                    <w:pStyle w:val="14"/>
                    <w:rPr>
                      <w:rFonts w:cs="Times New Roman"/>
                    </w:rPr>
                  </w:pPr>
                  <w:r>
                    <w:rPr>
                      <w:rFonts w:cs="Times New Roman"/>
                    </w:rPr>
                    <w:t>运至政府指定建渣场处理</w:t>
                  </w:r>
                </w:p>
              </w:tc>
              <w:tc>
                <w:tcPr>
                  <w:tcW w:w="454" w:type="pct"/>
                  <w:tcBorders>
                    <w:tl2br w:val="nil"/>
                    <w:tr2bl w:val="nil"/>
                  </w:tcBorders>
                  <w:vAlign w:val="center"/>
                </w:tcPr>
                <w:p w14:paraId="70C78D95">
                  <w:pPr>
                    <w:pStyle w:val="14"/>
                    <w:rPr>
                      <w:rFonts w:cs="Times New Roman"/>
                      <w:bCs/>
                    </w:rPr>
                  </w:pPr>
                  <w:r>
                    <w:rPr>
                      <w:rFonts w:cs="Times New Roman"/>
                      <w:bCs/>
                    </w:rPr>
                    <w:t>0.5</w:t>
                  </w:r>
                </w:p>
              </w:tc>
              <w:tc>
                <w:tcPr>
                  <w:tcW w:w="492" w:type="pct"/>
                  <w:tcBorders>
                    <w:top w:val="single" w:color="000000" w:sz="2" w:space="0"/>
                    <w:tl2br w:val="nil"/>
                    <w:tr2bl w:val="nil"/>
                  </w:tcBorders>
                  <w:vAlign w:val="center"/>
                </w:tcPr>
                <w:p w14:paraId="328F7FFF">
                  <w:pPr>
                    <w:pStyle w:val="14"/>
                    <w:rPr>
                      <w:rFonts w:cs="Times New Roman"/>
                      <w:bCs/>
                    </w:rPr>
                  </w:pPr>
                  <w:r>
                    <w:rPr>
                      <w:rFonts w:hint="eastAsia" w:cs="Times New Roman"/>
                      <w:bCs/>
                    </w:rPr>
                    <w:t>已建</w:t>
                  </w:r>
                </w:p>
              </w:tc>
            </w:tr>
            <w:bookmarkEnd w:id="104"/>
            <w:tr w14:paraId="283AFB08">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722" w:hRule="atLeast"/>
              </w:trPr>
              <w:tc>
                <w:tcPr>
                  <w:tcW w:w="514" w:type="pct"/>
                  <w:vMerge w:val="restart"/>
                  <w:tcBorders>
                    <w:tl2br w:val="nil"/>
                    <w:tr2bl w:val="nil"/>
                  </w:tcBorders>
                  <w:vAlign w:val="center"/>
                </w:tcPr>
                <w:p w14:paraId="725A84F1">
                  <w:pPr>
                    <w:pStyle w:val="14"/>
                    <w:rPr>
                      <w:rFonts w:cs="Times New Roman"/>
                      <w:bCs/>
                    </w:rPr>
                  </w:pPr>
                  <w:r>
                    <w:rPr>
                      <w:rFonts w:cs="Times New Roman"/>
                      <w:bCs/>
                    </w:rPr>
                    <w:t>营运期</w:t>
                  </w:r>
                </w:p>
              </w:tc>
              <w:tc>
                <w:tcPr>
                  <w:tcW w:w="531" w:type="pct"/>
                  <w:vMerge w:val="restart"/>
                  <w:tcBorders>
                    <w:tl2br w:val="nil"/>
                    <w:tr2bl w:val="nil"/>
                  </w:tcBorders>
                  <w:vAlign w:val="center"/>
                </w:tcPr>
                <w:p w14:paraId="15AB0C10">
                  <w:pPr>
                    <w:pStyle w:val="14"/>
                    <w:rPr>
                      <w:rFonts w:cs="Times New Roman"/>
                      <w:bCs/>
                    </w:rPr>
                  </w:pPr>
                  <w:r>
                    <w:rPr>
                      <w:rFonts w:cs="Times New Roman"/>
                      <w:bCs/>
                    </w:rPr>
                    <w:t>废气治理</w:t>
                  </w:r>
                </w:p>
              </w:tc>
              <w:tc>
                <w:tcPr>
                  <w:tcW w:w="674" w:type="pct"/>
                  <w:tcBorders>
                    <w:tl2br w:val="nil"/>
                    <w:tr2bl w:val="nil"/>
                  </w:tcBorders>
                  <w:vAlign w:val="center"/>
                </w:tcPr>
                <w:p w14:paraId="5DFA74B0">
                  <w:pPr>
                    <w:pStyle w:val="14"/>
                    <w:rPr>
                      <w:rFonts w:cs="Times New Roman"/>
                    </w:rPr>
                  </w:pPr>
                  <w:r>
                    <w:rPr>
                      <w:rFonts w:hint="eastAsia" w:cs="Times New Roman"/>
                    </w:rPr>
                    <w:t>二车间有机</w:t>
                  </w:r>
                  <w:r>
                    <w:rPr>
                      <w:rFonts w:cs="Times New Roman"/>
                    </w:rPr>
                    <w:t>废气</w:t>
                  </w:r>
                </w:p>
              </w:tc>
              <w:tc>
                <w:tcPr>
                  <w:tcW w:w="2333" w:type="pct"/>
                  <w:tcBorders>
                    <w:tl2br w:val="nil"/>
                    <w:tr2bl w:val="nil"/>
                  </w:tcBorders>
                  <w:vAlign w:val="center"/>
                </w:tcPr>
                <w:p w14:paraId="6C5B6A96">
                  <w:pPr>
                    <w:pStyle w:val="14"/>
                    <w:rPr>
                      <w:rFonts w:cs="Times New Roman"/>
                    </w:rPr>
                  </w:pPr>
                  <w:r>
                    <w:rPr>
                      <w:rFonts w:hint="eastAsia" w:cs="Times New Roman"/>
                    </w:rPr>
                    <w:t>二车间有机</w:t>
                  </w:r>
                  <w:r>
                    <w:rPr>
                      <w:rFonts w:cs="Times New Roman"/>
                    </w:rPr>
                    <w:t>废气：</w:t>
                  </w:r>
                  <w:r>
                    <w:rPr>
                      <w:rFonts w:hint="eastAsia" w:cs="Times New Roman"/>
                    </w:rPr>
                    <w:t>贴面废气经</w:t>
                  </w:r>
                  <w:r>
                    <w:rPr>
                      <w:rFonts w:cs="Times New Roman"/>
                    </w:rPr>
                    <w:t>负压收集</w:t>
                  </w:r>
                  <w:r>
                    <w:rPr>
                      <w:rFonts w:hint="eastAsia" w:cs="Times New Roman"/>
                    </w:rPr>
                    <w:t>，收集的废气经1套活性炭处理设施</w:t>
                  </w:r>
                  <w:r>
                    <w:rPr>
                      <w:rFonts w:cs="Times New Roman"/>
                    </w:rPr>
                    <w:t>，</w:t>
                  </w:r>
                  <w:r>
                    <w:rPr>
                      <w:rFonts w:hint="eastAsia" w:cs="Times New Roman"/>
                    </w:rPr>
                    <w:t>处理后的废气</w:t>
                  </w:r>
                  <w:r>
                    <w:rPr>
                      <w:rFonts w:cs="Times New Roman"/>
                    </w:rPr>
                    <w:t>经</w:t>
                  </w:r>
                  <w:r>
                    <w:rPr>
                      <w:rFonts w:hint="eastAsia" w:cs="Times New Roman"/>
                    </w:rPr>
                    <w:t>1</w:t>
                  </w:r>
                  <w:r>
                    <w:rPr>
                      <w:rFonts w:cs="Times New Roman"/>
                    </w:rPr>
                    <w:t>根15m高排气筒（</w:t>
                  </w:r>
                  <w:r>
                    <w:rPr>
                      <w:rFonts w:hint="eastAsia" w:cs="Times New Roman"/>
                    </w:rPr>
                    <w:t>DA002</w:t>
                  </w:r>
                  <w:r>
                    <w:rPr>
                      <w:rFonts w:cs="Times New Roman"/>
                    </w:rPr>
                    <w:t>）排放。</w:t>
                  </w:r>
                </w:p>
              </w:tc>
              <w:tc>
                <w:tcPr>
                  <w:tcW w:w="454" w:type="pct"/>
                  <w:tcBorders>
                    <w:tl2br w:val="nil"/>
                    <w:tr2bl w:val="nil"/>
                  </w:tcBorders>
                  <w:vAlign w:val="center"/>
                </w:tcPr>
                <w:p w14:paraId="0A14F6DB">
                  <w:pPr>
                    <w:pStyle w:val="14"/>
                    <w:rPr>
                      <w:rFonts w:cs="Times New Roman"/>
                      <w:bCs/>
                    </w:rPr>
                  </w:pPr>
                  <w:r>
                    <w:rPr>
                      <w:rFonts w:hint="eastAsia" w:cs="Times New Roman"/>
                      <w:bCs/>
                    </w:rPr>
                    <w:t>15</w:t>
                  </w:r>
                </w:p>
              </w:tc>
              <w:tc>
                <w:tcPr>
                  <w:tcW w:w="492" w:type="pct"/>
                  <w:tcBorders>
                    <w:tl2br w:val="nil"/>
                    <w:tr2bl w:val="nil"/>
                  </w:tcBorders>
                  <w:vAlign w:val="center"/>
                </w:tcPr>
                <w:p w14:paraId="614ED47F">
                  <w:pPr>
                    <w:pStyle w:val="14"/>
                    <w:rPr>
                      <w:rFonts w:cs="Times New Roman"/>
                      <w:bCs/>
                    </w:rPr>
                  </w:pPr>
                  <w:r>
                    <w:rPr>
                      <w:rFonts w:hint="eastAsia" w:cs="Times New Roman"/>
                      <w:bCs/>
                    </w:rPr>
                    <w:t>已建</w:t>
                  </w:r>
                </w:p>
              </w:tc>
            </w:tr>
            <w:tr w14:paraId="4C33AF0B">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722" w:hRule="atLeast"/>
              </w:trPr>
              <w:tc>
                <w:tcPr>
                  <w:tcW w:w="514" w:type="pct"/>
                  <w:vMerge w:val="continue"/>
                  <w:tcBorders>
                    <w:tl2br w:val="nil"/>
                    <w:tr2bl w:val="nil"/>
                  </w:tcBorders>
                  <w:vAlign w:val="center"/>
                </w:tcPr>
                <w:p w14:paraId="79BD3526">
                  <w:pPr>
                    <w:pStyle w:val="14"/>
                    <w:rPr>
                      <w:rFonts w:cs="Times New Roman"/>
                      <w:bCs/>
                    </w:rPr>
                  </w:pPr>
                </w:p>
              </w:tc>
              <w:tc>
                <w:tcPr>
                  <w:tcW w:w="531" w:type="pct"/>
                  <w:vMerge w:val="continue"/>
                  <w:tcBorders>
                    <w:tl2br w:val="nil"/>
                    <w:tr2bl w:val="nil"/>
                  </w:tcBorders>
                  <w:vAlign w:val="center"/>
                </w:tcPr>
                <w:p w14:paraId="6AACEB70">
                  <w:pPr>
                    <w:pStyle w:val="14"/>
                    <w:rPr>
                      <w:rFonts w:cs="Times New Roman"/>
                      <w:bCs/>
                    </w:rPr>
                  </w:pPr>
                </w:p>
              </w:tc>
              <w:tc>
                <w:tcPr>
                  <w:tcW w:w="674" w:type="pct"/>
                  <w:tcBorders>
                    <w:tl2br w:val="nil"/>
                    <w:tr2bl w:val="nil"/>
                  </w:tcBorders>
                  <w:vAlign w:val="center"/>
                </w:tcPr>
                <w:p w14:paraId="06D1129D">
                  <w:pPr>
                    <w:pStyle w:val="14"/>
                    <w:rPr>
                      <w:rFonts w:cs="Times New Roman"/>
                    </w:rPr>
                  </w:pPr>
                  <w:r>
                    <w:rPr>
                      <w:rFonts w:hint="eastAsia" w:cs="Times New Roman"/>
                    </w:rPr>
                    <w:t>二车间天然气燃烧废气</w:t>
                  </w:r>
                </w:p>
              </w:tc>
              <w:tc>
                <w:tcPr>
                  <w:tcW w:w="2333" w:type="pct"/>
                  <w:tcBorders>
                    <w:tl2br w:val="nil"/>
                    <w:tr2bl w:val="nil"/>
                  </w:tcBorders>
                  <w:vAlign w:val="center"/>
                </w:tcPr>
                <w:p w14:paraId="1DC3CC3B">
                  <w:pPr>
                    <w:pStyle w:val="14"/>
                    <w:rPr>
                      <w:rFonts w:cs="Times New Roman"/>
                    </w:rPr>
                  </w:pPr>
                  <w:r>
                    <w:rPr>
                      <w:rFonts w:hint="eastAsia" w:cs="Times New Roman"/>
                    </w:rPr>
                    <w:t>二车间天然气燃烧废气：废气经一根</w:t>
                  </w:r>
                  <w:r>
                    <w:rPr>
                      <w:rFonts w:cs="Times New Roman"/>
                    </w:rPr>
                    <w:t>1</w:t>
                  </w:r>
                  <w:r>
                    <w:rPr>
                      <w:rFonts w:hint="eastAsia" w:cs="Times New Roman"/>
                    </w:rPr>
                    <w:t>2</w:t>
                  </w:r>
                  <w:r>
                    <w:rPr>
                      <w:rFonts w:cs="Times New Roman"/>
                    </w:rPr>
                    <w:t>m高排气筒（</w:t>
                  </w:r>
                  <w:r>
                    <w:rPr>
                      <w:rFonts w:hint="eastAsia" w:cs="Times New Roman"/>
                    </w:rPr>
                    <w:t>DA003</w:t>
                  </w:r>
                  <w:r>
                    <w:rPr>
                      <w:rFonts w:cs="Times New Roman"/>
                    </w:rPr>
                    <w:t>）排放。</w:t>
                  </w:r>
                </w:p>
              </w:tc>
              <w:tc>
                <w:tcPr>
                  <w:tcW w:w="454" w:type="pct"/>
                  <w:tcBorders>
                    <w:tl2br w:val="nil"/>
                    <w:tr2bl w:val="nil"/>
                  </w:tcBorders>
                  <w:vAlign w:val="center"/>
                </w:tcPr>
                <w:p w14:paraId="7B7EB9F0">
                  <w:pPr>
                    <w:pStyle w:val="14"/>
                    <w:rPr>
                      <w:rFonts w:cs="Times New Roman"/>
                      <w:bCs/>
                    </w:rPr>
                  </w:pPr>
                  <w:r>
                    <w:rPr>
                      <w:rFonts w:hint="eastAsia" w:cs="Times New Roman"/>
                      <w:bCs/>
                    </w:rPr>
                    <w:t>15</w:t>
                  </w:r>
                </w:p>
              </w:tc>
              <w:tc>
                <w:tcPr>
                  <w:tcW w:w="492" w:type="pct"/>
                  <w:tcBorders>
                    <w:tl2br w:val="nil"/>
                    <w:tr2bl w:val="nil"/>
                  </w:tcBorders>
                  <w:vAlign w:val="center"/>
                </w:tcPr>
                <w:p w14:paraId="47B02978">
                  <w:pPr>
                    <w:pStyle w:val="14"/>
                    <w:rPr>
                      <w:rFonts w:cs="Times New Roman"/>
                      <w:bCs/>
                    </w:rPr>
                  </w:pPr>
                  <w:r>
                    <w:rPr>
                      <w:rFonts w:hint="eastAsia" w:cs="Times New Roman"/>
                      <w:bCs/>
                    </w:rPr>
                    <w:t>已建</w:t>
                  </w:r>
                </w:p>
              </w:tc>
            </w:tr>
            <w:tr w14:paraId="0488E493">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14" w:type="pct"/>
                  <w:vMerge w:val="continue"/>
                  <w:tcBorders>
                    <w:tl2br w:val="nil"/>
                    <w:tr2bl w:val="nil"/>
                  </w:tcBorders>
                  <w:vAlign w:val="center"/>
                </w:tcPr>
                <w:p w14:paraId="75CF19A7">
                  <w:pPr>
                    <w:pStyle w:val="14"/>
                    <w:rPr>
                      <w:rFonts w:cs="Times New Roman"/>
                      <w:bCs/>
                    </w:rPr>
                  </w:pPr>
                </w:p>
              </w:tc>
              <w:tc>
                <w:tcPr>
                  <w:tcW w:w="531" w:type="pct"/>
                  <w:tcBorders>
                    <w:tl2br w:val="nil"/>
                    <w:tr2bl w:val="nil"/>
                  </w:tcBorders>
                  <w:vAlign w:val="center"/>
                </w:tcPr>
                <w:p w14:paraId="251801A6">
                  <w:pPr>
                    <w:pStyle w:val="14"/>
                    <w:rPr>
                      <w:rFonts w:cs="Times New Roman"/>
                      <w:bCs/>
                    </w:rPr>
                  </w:pPr>
                  <w:r>
                    <w:rPr>
                      <w:rFonts w:cs="Times New Roman"/>
                      <w:bCs/>
                    </w:rPr>
                    <w:t>废水治理</w:t>
                  </w:r>
                </w:p>
              </w:tc>
              <w:tc>
                <w:tcPr>
                  <w:tcW w:w="674" w:type="pct"/>
                  <w:tcBorders>
                    <w:tl2br w:val="nil"/>
                    <w:tr2bl w:val="nil"/>
                  </w:tcBorders>
                  <w:vAlign w:val="center"/>
                </w:tcPr>
                <w:p w14:paraId="2503F906">
                  <w:pPr>
                    <w:pStyle w:val="14"/>
                    <w:rPr>
                      <w:rFonts w:cs="Times New Roman"/>
                    </w:rPr>
                  </w:pPr>
                  <w:r>
                    <w:rPr>
                      <w:rFonts w:cs="Times New Roman"/>
                    </w:rPr>
                    <w:t>生活污水</w:t>
                  </w:r>
                </w:p>
              </w:tc>
              <w:tc>
                <w:tcPr>
                  <w:tcW w:w="2333" w:type="pct"/>
                  <w:tcBorders>
                    <w:tl2br w:val="nil"/>
                    <w:tr2bl w:val="nil"/>
                  </w:tcBorders>
                  <w:vAlign w:val="center"/>
                </w:tcPr>
                <w:p w14:paraId="24752C1B">
                  <w:pPr>
                    <w:pStyle w:val="14"/>
                    <w:rPr>
                      <w:rFonts w:cs="Times New Roman"/>
                    </w:rPr>
                  </w:pPr>
                  <w:bookmarkStart w:id="105" w:name="OLE_LINK372"/>
                  <w:bookmarkStart w:id="106" w:name="OLE_LINK373"/>
                  <w:r>
                    <w:rPr>
                      <w:rFonts w:hint="eastAsia" w:cs="Times New Roman"/>
                    </w:rPr>
                    <w:t>预处理池处理</w:t>
                  </w:r>
                  <w:r>
                    <w:rPr>
                      <w:rFonts w:cs="Times New Roman"/>
                    </w:rPr>
                    <w:t>后进入</w:t>
                  </w:r>
                  <w:r>
                    <w:rPr>
                      <w:rFonts w:hint="eastAsia" w:cs="Times New Roman"/>
                    </w:rPr>
                    <w:t>市政</w:t>
                  </w:r>
                  <w:r>
                    <w:rPr>
                      <w:rFonts w:cs="Times New Roman"/>
                    </w:rPr>
                    <w:t>污水管网</w:t>
                  </w:r>
                  <w:bookmarkEnd w:id="105"/>
                  <w:bookmarkEnd w:id="106"/>
                </w:p>
              </w:tc>
              <w:tc>
                <w:tcPr>
                  <w:tcW w:w="454" w:type="pct"/>
                  <w:tcBorders>
                    <w:tl2br w:val="nil"/>
                    <w:tr2bl w:val="nil"/>
                  </w:tcBorders>
                  <w:vAlign w:val="center"/>
                </w:tcPr>
                <w:p w14:paraId="3E29C1E1">
                  <w:pPr>
                    <w:pStyle w:val="14"/>
                    <w:rPr>
                      <w:rFonts w:cs="Times New Roman"/>
                      <w:bCs/>
                    </w:rPr>
                  </w:pPr>
                  <w:r>
                    <w:rPr>
                      <w:rFonts w:hint="eastAsia" w:cs="Times New Roman"/>
                      <w:bCs/>
                    </w:rPr>
                    <w:t>0</w:t>
                  </w:r>
                </w:p>
              </w:tc>
              <w:tc>
                <w:tcPr>
                  <w:tcW w:w="492" w:type="pct"/>
                  <w:tcBorders>
                    <w:tl2br w:val="nil"/>
                    <w:tr2bl w:val="nil"/>
                  </w:tcBorders>
                  <w:vAlign w:val="center"/>
                </w:tcPr>
                <w:p w14:paraId="62FFA5CF">
                  <w:pPr>
                    <w:pStyle w:val="14"/>
                    <w:rPr>
                      <w:rFonts w:cs="Times New Roman"/>
                      <w:bCs/>
                    </w:rPr>
                  </w:pPr>
                  <w:r>
                    <w:rPr>
                      <w:rFonts w:cs="Times New Roman"/>
                      <w:bCs/>
                    </w:rPr>
                    <w:t>利旧</w:t>
                  </w:r>
                </w:p>
              </w:tc>
            </w:tr>
            <w:tr w14:paraId="6723693B">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14" w:type="pct"/>
                  <w:vMerge w:val="continue"/>
                  <w:tcBorders>
                    <w:tl2br w:val="nil"/>
                    <w:tr2bl w:val="nil"/>
                  </w:tcBorders>
                  <w:vAlign w:val="center"/>
                </w:tcPr>
                <w:p w14:paraId="12B57DDF">
                  <w:pPr>
                    <w:pStyle w:val="14"/>
                    <w:rPr>
                      <w:rFonts w:cs="Times New Roman"/>
                      <w:bCs/>
                    </w:rPr>
                  </w:pPr>
                </w:p>
              </w:tc>
              <w:tc>
                <w:tcPr>
                  <w:tcW w:w="531" w:type="pct"/>
                  <w:tcBorders>
                    <w:tl2br w:val="nil"/>
                    <w:tr2bl w:val="nil"/>
                  </w:tcBorders>
                  <w:vAlign w:val="center"/>
                </w:tcPr>
                <w:p w14:paraId="57AA9CC4">
                  <w:pPr>
                    <w:pStyle w:val="14"/>
                    <w:rPr>
                      <w:rFonts w:cs="Times New Roman"/>
                      <w:bCs/>
                    </w:rPr>
                  </w:pPr>
                  <w:r>
                    <w:rPr>
                      <w:rFonts w:cs="Times New Roman"/>
                      <w:bCs/>
                    </w:rPr>
                    <w:t>噪声治理</w:t>
                  </w:r>
                </w:p>
              </w:tc>
              <w:tc>
                <w:tcPr>
                  <w:tcW w:w="674" w:type="pct"/>
                  <w:tcBorders>
                    <w:tl2br w:val="nil"/>
                    <w:tr2bl w:val="nil"/>
                  </w:tcBorders>
                  <w:vAlign w:val="center"/>
                </w:tcPr>
                <w:p w14:paraId="474CF35A">
                  <w:pPr>
                    <w:pStyle w:val="14"/>
                    <w:rPr>
                      <w:rFonts w:cs="Times New Roman"/>
                    </w:rPr>
                  </w:pPr>
                  <w:r>
                    <w:rPr>
                      <w:rFonts w:cs="Times New Roman"/>
                    </w:rPr>
                    <w:t>设备运行噪声</w:t>
                  </w:r>
                </w:p>
              </w:tc>
              <w:tc>
                <w:tcPr>
                  <w:tcW w:w="2333" w:type="pct"/>
                  <w:tcBorders>
                    <w:tl2br w:val="nil"/>
                    <w:tr2bl w:val="nil"/>
                  </w:tcBorders>
                  <w:vAlign w:val="center"/>
                </w:tcPr>
                <w:p w14:paraId="6E20AFF7">
                  <w:pPr>
                    <w:pStyle w:val="14"/>
                    <w:rPr>
                      <w:rFonts w:cs="Times New Roman"/>
                      <w:bCs/>
                    </w:rPr>
                  </w:pPr>
                  <w:r>
                    <w:rPr>
                      <w:rFonts w:cs="Times New Roman"/>
                      <w:bCs/>
                    </w:rPr>
                    <w:t>选用低噪声设备、合理平面布局，</w:t>
                  </w:r>
                  <w:r>
                    <w:rPr>
                      <w:rFonts w:cs="Times New Roman"/>
                    </w:rPr>
                    <w:t>设备基础减震，建筑隔声，距离衰减。</w:t>
                  </w:r>
                </w:p>
              </w:tc>
              <w:tc>
                <w:tcPr>
                  <w:tcW w:w="454" w:type="pct"/>
                  <w:tcBorders>
                    <w:tl2br w:val="nil"/>
                    <w:tr2bl w:val="nil"/>
                  </w:tcBorders>
                  <w:vAlign w:val="center"/>
                </w:tcPr>
                <w:p w14:paraId="770B82A0">
                  <w:pPr>
                    <w:pStyle w:val="14"/>
                    <w:rPr>
                      <w:rFonts w:cs="Times New Roman"/>
                      <w:bCs/>
                    </w:rPr>
                  </w:pPr>
                  <w:r>
                    <w:rPr>
                      <w:rFonts w:hint="eastAsia" w:cs="Times New Roman"/>
                      <w:bCs/>
                    </w:rPr>
                    <w:t>2</w:t>
                  </w:r>
                </w:p>
              </w:tc>
              <w:tc>
                <w:tcPr>
                  <w:tcW w:w="492" w:type="pct"/>
                  <w:tcBorders>
                    <w:tl2br w:val="nil"/>
                    <w:tr2bl w:val="nil"/>
                  </w:tcBorders>
                  <w:vAlign w:val="center"/>
                </w:tcPr>
                <w:p w14:paraId="0F9F238C">
                  <w:pPr>
                    <w:pStyle w:val="14"/>
                    <w:rPr>
                      <w:rFonts w:cs="Times New Roman"/>
                      <w:bCs/>
                    </w:rPr>
                  </w:pPr>
                  <w:r>
                    <w:rPr>
                      <w:rFonts w:hint="eastAsia" w:cs="Times New Roman"/>
                      <w:bCs/>
                    </w:rPr>
                    <w:t>已建</w:t>
                  </w:r>
                </w:p>
              </w:tc>
            </w:tr>
            <w:tr w14:paraId="6C4C2776">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329" w:hRule="atLeast"/>
              </w:trPr>
              <w:tc>
                <w:tcPr>
                  <w:tcW w:w="514" w:type="pct"/>
                  <w:vMerge w:val="continue"/>
                  <w:tcBorders>
                    <w:tl2br w:val="nil"/>
                    <w:tr2bl w:val="nil"/>
                  </w:tcBorders>
                  <w:vAlign w:val="center"/>
                </w:tcPr>
                <w:p w14:paraId="5488DF30">
                  <w:pPr>
                    <w:pStyle w:val="14"/>
                    <w:rPr>
                      <w:rFonts w:cs="Times New Roman"/>
                      <w:bCs/>
                    </w:rPr>
                  </w:pPr>
                </w:p>
              </w:tc>
              <w:tc>
                <w:tcPr>
                  <w:tcW w:w="531" w:type="pct"/>
                  <w:vMerge w:val="restart"/>
                  <w:tcBorders>
                    <w:tl2br w:val="nil"/>
                    <w:tr2bl w:val="nil"/>
                  </w:tcBorders>
                  <w:vAlign w:val="center"/>
                </w:tcPr>
                <w:p w14:paraId="21E71DB7">
                  <w:pPr>
                    <w:pStyle w:val="14"/>
                    <w:rPr>
                      <w:rFonts w:cs="Times New Roman"/>
                      <w:bCs/>
                    </w:rPr>
                  </w:pPr>
                  <w:r>
                    <w:rPr>
                      <w:rFonts w:cs="Times New Roman"/>
                      <w:bCs/>
                    </w:rPr>
                    <w:t>固废治理</w:t>
                  </w:r>
                </w:p>
              </w:tc>
              <w:tc>
                <w:tcPr>
                  <w:tcW w:w="674" w:type="pct"/>
                  <w:tcBorders>
                    <w:tl2br w:val="nil"/>
                    <w:tr2bl w:val="nil"/>
                  </w:tcBorders>
                  <w:vAlign w:val="center"/>
                </w:tcPr>
                <w:p w14:paraId="3A6BB0D3">
                  <w:pPr>
                    <w:pStyle w:val="14"/>
                    <w:rPr>
                      <w:rFonts w:cs="Times New Roman"/>
                    </w:rPr>
                  </w:pPr>
                  <w:r>
                    <w:rPr>
                      <w:rFonts w:cs="Times New Roman"/>
                    </w:rPr>
                    <w:t>一般固废</w:t>
                  </w:r>
                </w:p>
              </w:tc>
              <w:tc>
                <w:tcPr>
                  <w:tcW w:w="2333" w:type="pct"/>
                  <w:tcBorders>
                    <w:tl2br w:val="nil"/>
                    <w:tr2bl w:val="nil"/>
                  </w:tcBorders>
                  <w:vAlign w:val="center"/>
                </w:tcPr>
                <w:p w14:paraId="506B6319">
                  <w:pPr>
                    <w:pStyle w:val="14"/>
                    <w:rPr>
                      <w:rFonts w:cs="Times New Roman"/>
                      <w:bCs/>
                    </w:rPr>
                  </w:pPr>
                  <w:r>
                    <w:rPr>
                      <w:rFonts w:hint="eastAsia" w:cs="Times New Roman"/>
                    </w:rPr>
                    <w:t>一车间</w:t>
                  </w:r>
                  <w:r>
                    <w:rPr>
                      <w:rFonts w:cs="Times New Roman"/>
                    </w:rPr>
                    <w:t>设置1间一般固废暂存间，面积10m</w:t>
                  </w:r>
                  <w:r>
                    <w:rPr>
                      <w:rFonts w:cs="Times New Roman"/>
                      <w:vertAlign w:val="superscript"/>
                    </w:rPr>
                    <w:t>2</w:t>
                  </w:r>
                  <w:r>
                    <w:rPr>
                      <w:rFonts w:cs="Times New Roman"/>
                    </w:rPr>
                    <w:t>，废边角料、废包装材料、布袋除尘器集尘外售综合利用</w:t>
                  </w:r>
                  <w:r>
                    <w:rPr>
                      <w:rFonts w:hint="eastAsia" w:cs="Times New Roman"/>
                    </w:rPr>
                    <w:t>，</w:t>
                  </w:r>
                  <w:r>
                    <w:rPr>
                      <w:rFonts w:cs="Times New Roman"/>
                    </w:rPr>
                    <w:t>生活垃圾交由环卫部门统一清运处理。</w:t>
                  </w:r>
                </w:p>
              </w:tc>
              <w:tc>
                <w:tcPr>
                  <w:tcW w:w="454" w:type="pct"/>
                  <w:tcBorders>
                    <w:tl2br w:val="nil"/>
                    <w:tr2bl w:val="nil"/>
                  </w:tcBorders>
                  <w:vAlign w:val="center"/>
                </w:tcPr>
                <w:p w14:paraId="42C584C2">
                  <w:pPr>
                    <w:pStyle w:val="14"/>
                    <w:rPr>
                      <w:rFonts w:cs="Times New Roman"/>
                      <w:bCs/>
                    </w:rPr>
                  </w:pPr>
                  <w:r>
                    <w:rPr>
                      <w:rFonts w:hint="eastAsia" w:cs="Times New Roman"/>
                      <w:bCs/>
                    </w:rPr>
                    <w:t>0</w:t>
                  </w:r>
                </w:p>
              </w:tc>
              <w:tc>
                <w:tcPr>
                  <w:tcW w:w="492" w:type="pct"/>
                  <w:tcBorders>
                    <w:tl2br w:val="nil"/>
                    <w:tr2bl w:val="nil"/>
                  </w:tcBorders>
                  <w:vAlign w:val="center"/>
                </w:tcPr>
                <w:p w14:paraId="2E82D5AD">
                  <w:pPr>
                    <w:pStyle w:val="14"/>
                    <w:rPr>
                      <w:rFonts w:cs="Times New Roman"/>
                      <w:bCs/>
                    </w:rPr>
                  </w:pPr>
                  <w:r>
                    <w:rPr>
                      <w:rFonts w:hint="eastAsia" w:cs="Times New Roman"/>
                      <w:bCs/>
                    </w:rPr>
                    <w:t>利旧</w:t>
                  </w:r>
                </w:p>
              </w:tc>
            </w:tr>
            <w:tr w14:paraId="2BA5FAFB">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498" w:hRule="atLeast"/>
              </w:trPr>
              <w:tc>
                <w:tcPr>
                  <w:tcW w:w="514" w:type="pct"/>
                  <w:vMerge w:val="continue"/>
                  <w:tcBorders>
                    <w:tl2br w:val="nil"/>
                    <w:tr2bl w:val="nil"/>
                  </w:tcBorders>
                  <w:vAlign w:val="center"/>
                </w:tcPr>
                <w:p w14:paraId="4092BCFF">
                  <w:pPr>
                    <w:pStyle w:val="14"/>
                    <w:rPr>
                      <w:rFonts w:cs="Times New Roman"/>
                      <w:bCs/>
                    </w:rPr>
                  </w:pPr>
                </w:p>
              </w:tc>
              <w:tc>
                <w:tcPr>
                  <w:tcW w:w="531" w:type="pct"/>
                  <w:vMerge w:val="continue"/>
                  <w:tcBorders>
                    <w:tl2br w:val="nil"/>
                    <w:tr2bl w:val="nil"/>
                  </w:tcBorders>
                  <w:vAlign w:val="center"/>
                </w:tcPr>
                <w:p w14:paraId="58696877">
                  <w:pPr>
                    <w:pStyle w:val="14"/>
                    <w:rPr>
                      <w:rFonts w:cs="Times New Roman"/>
                      <w:bCs/>
                    </w:rPr>
                  </w:pPr>
                </w:p>
              </w:tc>
              <w:tc>
                <w:tcPr>
                  <w:tcW w:w="674" w:type="pct"/>
                  <w:tcBorders>
                    <w:tl2br w:val="nil"/>
                    <w:tr2bl w:val="nil"/>
                  </w:tcBorders>
                  <w:vAlign w:val="center"/>
                </w:tcPr>
                <w:p w14:paraId="5ED9714C">
                  <w:pPr>
                    <w:pStyle w:val="14"/>
                    <w:rPr>
                      <w:rFonts w:cs="Times New Roman"/>
                    </w:rPr>
                  </w:pPr>
                  <w:r>
                    <w:rPr>
                      <w:rFonts w:cs="Times New Roman"/>
                    </w:rPr>
                    <w:t>危险废物</w:t>
                  </w:r>
                </w:p>
              </w:tc>
              <w:tc>
                <w:tcPr>
                  <w:tcW w:w="2333" w:type="pct"/>
                  <w:tcBorders>
                    <w:tl2br w:val="nil"/>
                    <w:tr2bl w:val="nil"/>
                  </w:tcBorders>
                  <w:vAlign w:val="center"/>
                </w:tcPr>
                <w:p w14:paraId="56DC692B">
                  <w:pPr>
                    <w:pStyle w:val="14"/>
                    <w:rPr>
                      <w:rFonts w:cs="Times New Roman"/>
                      <w:bCs/>
                    </w:rPr>
                  </w:pPr>
                  <w:r>
                    <w:rPr>
                      <w:rFonts w:hint="eastAsia" w:cs="Times New Roman"/>
                    </w:rPr>
                    <w:t>二车间</w:t>
                  </w:r>
                  <w:r>
                    <w:rPr>
                      <w:rFonts w:cs="Times New Roman"/>
                    </w:rPr>
                    <w:t>设置1间危废暂存间，面积</w:t>
                  </w:r>
                  <w:r>
                    <w:rPr>
                      <w:rFonts w:hint="eastAsia" w:cs="Times New Roman"/>
                    </w:rPr>
                    <w:t>5</w:t>
                  </w:r>
                  <w:r>
                    <w:rPr>
                      <w:rFonts w:cs="Times New Roman"/>
                    </w:rPr>
                    <w:t>m</w:t>
                  </w:r>
                  <w:r>
                    <w:rPr>
                      <w:rFonts w:cs="Times New Roman"/>
                      <w:vertAlign w:val="superscript"/>
                    </w:rPr>
                    <w:t>2</w:t>
                  </w:r>
                  <w:r>
                    <w:rPr>
                      <w:rFonts w:cs="Times New Roman"/>
                    </w:rPr>
                    <w:t>，危险废物分类收集，统一存放到危废暂存间，定期交由有资质的单位清运处理。</w:t>
                  </w:r>
                </w:p>
              </w:tc>
              <w:tc>
                <w:tcPr>
                  <w:tcW w:w="454" w:type="pct"/>
                  <w:tcBorders>
                    <w:tl2br w:val="nil"/>
                    <w:tr2bl w:val="nil"/>
                  </w:tcBorders>
                  <w:vAlign w:val="center"/>
                </w:tcPr>
                <w:p w14:paraId="60BB7A6D">
                  <w:pPr>
                    <w:pStyle w:val="14"/>
                    <w:rPr>
                      <w:rFonts w:cs="Times New Roman"/>
                      <w:bCs/>
                    </w:rPr>
                  </w:pPr>
                  <w:r>
                    <w:rPr>
                      <w:rFonts w:hint="eastAsia" w:cs="Times New Roman"/>
                      <w:bCs/>
                    </w:rPr>
                    <w:t>2</w:t>
                  </w:r>
                </w:p>
              </w:tc>
              <w:tc>
                <w:tcPr>
                  <w:tcW w:w="492" w:type="pct"/>
                  <w:tcBorders>
                    <w:tl2br w:val="nil"/>
                    <w:tr2bl w:val="nil"/>
                  </w:tcBorders>
                  <w:vAlign w:val="center"/>
                </w:tcPr>
                <w:p w14:paraId="13547F57">
                  <w:pPr>
                    <w:pStyle w:val="14"/>
                    <w:rPr>
                      <w:rFonts w:cs="Times New Roman"/>
                      <w:bCs/>
                    </w:rPr>
                  </w:pPr>
                  <w:r>
                    <w:rPr>
                      <w:rFonts w:hint="eastAsia" w:cs="Times New Roman"/>
                      <w:bCs/>
                    </w:rPr>
                    <w:t>新建</w:t>
                  </w:r>
                </w:p>
              </w:tc>
            </w:tr>
            <w:tr w14:paraId="7301AB20">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14" w:type="pct"/>
                  <w:vMerge w:val="continue"/>
                  <w:tcBorders>
                    <w:tl2br w:val="nil"/>
                    <w:tr2bl w:val="nil"/>
                  </w:tcBorders>
                  <w:vAlign w:val="center"/>
                </w:tcPr>
                <w:p w14:paraId="199A48E0">
                  <w:pPr>
                    <w:pStyle w:val="14"/>
                    <w:rPr>
                      <w:rFonts w:cs="Times New Roman"/>
                      <w:bCs/>
                    </w:rPr>
                  </w:pPr>
                </w:p>
              </w:tc>
              <w:tc>
                <w:tcPr>
                  <w:tcW w:w="531" w:type="pct"/>
                  <w:tcBorders>
                    <w:tl2br w:val="nil"/>
                    <w:tr2bl w:val="nil"/>
                  </w:tcBorders>
                  <w:vAlign w:val="center"/>
                </w:tcPr>
                <w:p w14:paraId="4EEA7D1C">
                  <w:pPr>
                    <w:pStyle w:val="14"/>
                    <w:rPr>
                      <w:rFonts w:cs="Times New Roman"/>
                      <w:bCs/>
                    </w:rPr>
                  </w:pPr>
                  <w:r>
                    <w:rPr>
                      <w:rFonts w:cs="Times New Roman"/>
                      <w:bCs/>
                    </w:rPr>
                    <w:t>地下水防治措施</w:t>
                  </w:r>
                </w:p>
              </w:tc>
              <w:tc>
                <w:tcPr>
                  <w:tcW w:w="674" w:type="pct"/>
                  <w:tcBorders>
                    <w:tl2br w:val="nil"/>
                    <w:tr2bl w:val="nil"/>
                  </w:tcBorders>
                  <w:vAlign w:val="center"/>
                </w:tcPr>
                <w:p w14:paraId="14CE7CCE">
                  <w:pPr>
                    <w:pStyle w:val="14"/>
                    <w:rPr>
                      <w:rFonts w:cs="Times New Roman"/>
                      <w:bCs/>
                    </w:rPr>
                  </w:pPr>
                  <w:r>
                    <w:rPr>
                      <w:rFonts w:cs="Times New Roman"/>
                      <w:bCs/>
                    </w:rPr>
                    <w:t>分区防渗</w:t>
                  </w:r>
                </w:p>
              </w:tc>
              <w:tc>
                <w:tcPr>
                  <w:tcW w:w="2333" w:type="pct"/>
                  <w:tcBorders>
                    <w:tl2br w:val="nil"/>
                    <w:tr2bl w:val="nil"/>
                  </w:tcBorders>
                  <w:vAlign w:val="center"/>
                </w:tcPr>
                <w:p w14:paraId="5096B850">
                  <w:pPr>
                    <w:pStyle w:val="14"/>
                    <w:rPr>
                      <w:rFonts w:cs="Times New Roman"/>
                      <w:lang w:bidi="ar"/>
                    </w:rPr>
                  </w:pPr>
                  <w:r>
                    <w:rPr>
                      <w:rFonts w:cs="Times New Roman"/>
                      <w:lang w:bidi="ar"/>
                    </w:rPr>
                    <w:t>重点防渗区：危废暂存间</w:t>
                  </w:r>
                  <w:r>
                    <w:rPr>
                      <w:rFonts w:hint="eastAsia" w:cs="Times New Roman"/>
                      <w:lang w:bidi="ar"/>
                    </w:rPr>
                    <w:t>，</w:t>
                  </w:r>
                  <w:r>
                    <w:rPr>
                      <w:rFonts w:cs="Times New Roman"/>
                      <w:lang w:bidi="ar"/>
                    </w:rPr>
                    <w:t>现有生产车间地面防渗基础上增加2mm厚HDPE人工防渗涂层，使渗透系数K≤10</w:t>
                  </w:r>
                  <w:r>
                    <w:rPr>
                      <w:rFonts w:cs="Times New Roman"/>
                      <w:vertAlign w:val="superscript"/>
                      <w:lang w:bidi="ar"/>
                    </w:rPr>
                    <w:t>-10</w:t>
                  </w:r>
                  <w:r>
                    <w:rPr>
                      <w:rFonts w:cs="Times New Roman"/>
                      <w:lang w:bidi="ar"/>
                    </w:rPr>
                    <w:t>cm/s。</w:t>
                  </w:r>
                </w:p>
                <w:p w14:paraId="4129A7DC">
                  <w:pPr>
                    <w:pStyle w:val="14"/>
                    <w:rPr>
                      <w:rFonts w:cs="Times New Roman"/>
                      <w:bCs/>
                    </w:rPr>
                  </w:pPr>
                  <w:r>
                    <w:rPr>
                      <w:rFonts w:cs="Times New Roman"/>
                      <w:lang w:bidi="ar"/>
                    </w:rPr>
                    <w:t>一般防渗区：生产车间。利用现有车间地面防渗，确保防渗层达到等效黏土防渗层Mb≥1.5m、渗透系数K≤1.0×10</w:t>
                  </w:r>
                  <w:r>
                    <w:rPr>
                      <w:rFonts w:cs="Times New Roman"/>
                      <w:vertAlign w:val="superscript"/>
                      <w:lang w:bidi="ar"/>
                    </w:rPr>
                    <w:t>-7</w:t>
                  </w:r>
                  <w:r>
                    <w:rPr>
                      <w:rFonts w:cs="Times New Roman"/>
                      <w:lang w:bidi="ar"/>
                    </w:rPr>
                    <w:t>cm/s。</w:t>
                  </w:r>
                </w:p>
              </w:tc>
              <w:tc>
                <w:tcPr>
                  <w:tcW w:w="454" w:type="pct"/>
                  <w:tcBorders>
                    <w:tl2br w:val="nil"/>
                    <w:tr2bl w:val="nil"/>
                  </w:tcBorders>
                  <w:vAlign w:val="center"/>
                </w:tcPr>
                <w:p w14:paraId="761971BE">
                  <w:pPr>
                    <w:pStyle w:val="14"/>
                    <w:rPr>
                      <w:rFonts w:cs="Times New Roman"/>
                      <w:bCs/>
                    </w:rPr>
                  </w:pPr>
                  <w:r>
                    <w:rPr>
                      <w:rFonts w:cs="Times New Roman"/>
                      <w:bCs/>
                    </w:rPr>
                    <w:t>1</w:t>
                  </w:r>
                </w:p>
              </w:tc>
              <w:tc>
                <w:tcPr>
                  <w:tcW w:w="492" w:type="pct"/>
                  <w:tcBorders>
                    <w:tl2br w:val="nil"/>
                    <w:tr2bl w:val="nil"/>
                  </w:tcBorders>
                  <w:vAlign w:val="center"/>
                </w:tcPr>
                <w:p w14:paraId="492D8986">
                  <w:pPr>
                    <w:pStyle w:val="14"/>
                    <w:rPr>
                      <w:rFonts w:cs="Times New Roman"/>
                      <w:bCs/>
                    </w:rPr>
                  </w:pPr>
                  <w:r>
                    <w:rPr>
                      <w:rFonts w:hint="eastAsia" w:cs="Times New Roman"/>
                      <w:bCs/>
                    </w:rPr>
                    <w:t>新建</w:t>
                  </w:r>
                </w:p>
              </w:tc>
            </w:tr>
            <w:tr w14:paraId="3D203DAC">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14" w:type="pct"/>
                  <w:vMerge w:val="continue"/>
                  <w:tcBorders>
                    <w:tl2br w:val="nil"/>
                    <w:tr2bl w:val="nil"/>
                  </w:tcBorders>
                  <w:vAlign w:val="center"/>
                </w:tcPr>
                <w:p w14:paraId="220ED57A">
                  <w:pPr>
                    <w:pStyle w:val="14"/>
                    <w:rPr>
                      <w:rFonts w:cs="Times New Roman"/>
                      <w:bCs/>
                    </w:rPr>
                  </w:pPr>
                </w:p>
              </w:tc>
              <w:tc>
                <w:tcPr>
                  <w:tcW w:w="531" w:type="pct"/>
                  <w:tcBorders>
                    <w:tl2br w:val="nil"/>
                    <w:tr2bl w:val="nil"/>
                  </w:tcBorders>
                  <w:vAlign w:val="center"/>
                </w:tcPr>
                <w:p w14:paraId="2E205DB2">
                  <w:pPr>
                    <w:pStyle w:val="14"/>
                    <w:rPr>
                      <w:rFonts w:cs="Times New Roman"/>
                      <w:bCs/>
                    </w:rPr>
                  </w:pPr>
                  <w:r>
                    <w:rPr>
                      <w:rFonts w:cs="Times New Roman"/>
                      <w:bCs/>
                    </w:rPr>
                    <w:t>环境风险</w:t>
                  </w:r>
                </w:p>
              </w:tc>
              <w:tc>
                <w:tcPr>
                  <w:tcW w:w="3007" w:type="pct"/>
                  <w:gridSpan w:val="2"/>
                  <w:tcBorders>
                    <w:tl2br w:val="nil"/>
                    <w:tr2bl w:val="nil"/>
                  </w:tcBorders>
                  <w:vAlign w:val="center"/>
                </w:tcPr>
                <w:p w14:paraId="2AB74E3B">
                  <w:pPr>
                    <w:pStyle w:val="14"/>
                    <w:rPr>
                      <w:rFonts w:cs="Times New Roman"/>
                      <w:bCs/>
                    </w:rPr>
                  </w:pPr>
                  <w:r>
                    <w:rPr>
                      <w:rFonts w:cs="Times New Roman"/>
                      <w:lang w:bidi="ar"/>
                    </w:rPr>
                    <w:t>加强管理，设置消防器材，采取环境风险防范及应急措施，制定风险应急预案。</w:t>
                  </w:r>
                </w:p>
              </w:tc>
              <w:tc>
                <w:tcPr>
                  <w:tcW w:w="454" w:type="pct"/>
                  <w:tcBorders>
                    <w:tl2br w:val="nil"/>
                    <w:tr2bl w:val="nil"/>
                  </w:tcBorders>
                  <w:vAlign w:val="center"/>
                </w:tcPr>
                <w:p w14:paraId="5540FBBC">
                  <w:pPr>
                    <w:pStyle w:val="14"/>
                    <w:rPr>
                      <w:rFonts w:cs="Times New Roman"/>
                      <w:bCs/>
                    </w:rPr>
                  </w:pPr>
                  <w:r>
                    <w:rPr>
                      <w:rFonts w:hint="eastAsia" w:cs="Times New Roman"/>
                      <w:bCs/>
                    </w:rPr>
                    <w:t>5</w:t>
                  </w:r>
                </w:p>
              </w:tc>
              <w:tc>
                <w:tcPr>
                  <w:tcW w:w="492" w:type="pct"/>
                  <w:tcBorders>
                    <w:tl2br w:val="nil"/>
                    <w:tr2bl w:val="nil"/>
                  </w:tcBorders>
                  <w:vAlign w:val="center"/>
                </w:tcPr>
                <w:p w14:paraId="39062E05">
                  <w:pPr>
                    <w:pStyle w:val="14"/>
                    <w:rPr>
                      <w:rFonts w:cs="Times New Roman"/>
                      <w:bCs/>
                    </w:rPr>
                  </w:pPr>
                  <w:r>
                    <w:rPr>
                      <w:rFonts w:hint="eastAsia" w:cs="Times New Roman"/>
                      <w:bCs/>
                    </w:rPr>
                    <w:t>新建</w:t>
                  </w:r>
                </w:p>
              </w:tc>
            </w:tr>
            <w:tr w14:paraId="59F8064B">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4053" w:type="pct"/>
                  <w:gridSpan w:val="4"/>
                  <w:tcBorders>
                    <w:tl2br w:val="nil"/>
                    <w:tr2bl w:val="nil"/>
                  </w:tcBorders>
                  <w:vAlign w:val="center"/>
                </w:tcPr>
                <w:p w14:paraId="18EAD0BE">
                  <w:pPr>
                    <w:pStyle w:val="14"/>
                    <w:rPr>
                      <w:rFonts w:cs="Times New Roman"/>
                      <w:bCs/>
                    </w:rPr>
                  </w:pPr>
                  <w:r>
                    <w:rPr>
                      <w:rFonts w:cs="Times New Roman"/>
                      <w:bCs/>
                    </w:rPr>
                    <w:t>合计</w:t>
                  </w:r>
                </w:p>
              </w:tc>
              <w:tc>
                <w:tcPr>
                  <w:tcW w:w="454" w:type="pct"/>
                  <w:tcBorders>
                    <w:tl2br w:val="nil"/>
                    <w:tr2bl w:val="nil"/>
                  </w:tcBorders>
                  <w:vAlign w:val="center"/>
                </w:tcPr>
                <w:p w14:paraId="0356DA06">
                  <w:pPr>
                    <w:pStyle w:val="14"/>
                    <w:rPr>
                      <w:rFonts w:cs="Times New Roman"/>
                      <w:bCs/>
                    </w:rPr>
                  </w:pPr>
                  <w:r>
                    <w:rPr>
                      <w:rFonts w:hint="eastAsia" w:cs="Times New Roman"/>
                      <w:bCs/>
                    </w:rPr>
                    <w:t>40.8</w:t>
                  </w:r>
                </w:p>
              </w:tc>
              <w:tc>
                <w:tcPr>
                  <w:tcW w:w="492" w:type="pct"/>
                  <w:tcBorders>
                    <w:tl2br w:val="nil"/>
                    <w:tr2bl w:val="nil"/>
                  </w:tcBorders>
                  <w:vAlign w:val="center"/>
                </w:tcPr>
                <w:p w14:paraId="35F6D938">
                  <w:pPr>
                    <w:pStyle w:val="14"/>
                    <w:rPr>
                      <w:rFonts w:cs="Times New Roman"/>
                      <w:bCs/>
                    </w:rPr>
                  </w:pPr>
                </w:p>
              </w:tc>
            </w:tr>
          </w:tbl>
          <w:p w14:paraId="1B1659FE">
            <w:pPr>
              <w:ind w:firstLine="480"/>
              <w:rPr>
                <w:rFonts w:cs="Times New Roman"/>
              </w:rPr>
            </w:pPr>
          </w:p>
        </w:tc>
      </w:tr>
    </w:tbl>
    <w:p w14:paraId="337970A5">
      <w:pPr>
        <w:pStyle w:val="2"/>
        <w:rPr>
          <w:rFonts w:ascii="Times New Roman" w:hAnsi="Times New Roman"/>
        </w:rPr>
        <w:sectPr>
          <w:pgSz w:w="11906" w:h="16838"/>
          <w:pgMar w:top="1440" w:right="1080" w:bottom="1440" w:left="1080" w:header="851" w:footer="567" w:gutter="0"/>
          <w:cols w:space="425" w:num="1"/>
          <w:docGrid w:type="lines" w:linePitch="326" w:charSpace="0"/>
        </w:sectPr>
      </w:pPr>
    </w:p>
    <w:p w14:paraId="54E32D9A">
      <w:pPr>
        <w:pStyle w:val="2"/>
        <w:rPr>
          <w:rFonts w:ascii="Times New Roman" w:hAnsi="Times New Roman"/>
        </w:rPr>
      </w:pPr>
      <w:r>
        <w:rPr>
          <w:rFonts w:ascii="Times New Roman" w:hAnsi="Times New Roman"/>
        </w:rPr>
        <w:t>环境保护措施监督检查清单</w:t>
      </w:r>
    </w:p>
    <w:tbl>
      <w:tblPr>
        <w:tblStyle w:val="33"/>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161"/>
        <w:gridCol w:w="1457"/>
        <w:gridCol w:w="1082"/>
        <w:gridCol w:w="3540"/>
        <w:gridCol w:w="2486"/>
      </w:tblGrid>
      <w:tr w14:paraId="329980F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97" w:type="pct"/>
            <w:tcBorders>
              <w:tl2br w:val="single" w:color="auto" w:sz="4" w:space="0"/>
            </w:tcBorders>
            <w:vAlign w:val="center"/>
          </w:tcPr>
          <w:p w14:paraId="2A59479C">
            <w:pPr>
              <w:pStyle w:val="25"/>
              <w:spacing w:line="240" w:lineRule="auto"/>
              <w:rPr>
                <w:rFonts w:cs="Times New Roman"/>
              </w:rPr>
            </w:pPr>
            <w:r>
              <w:rPr>
                <w:rFonts w:cs="Times New Roman"/>
              </w:rPr>
              <w:t>内容</w:t>
            </w:r>
          </w:p>
          <w:p w14:paraId="3E1CFD45">
            <w:pPr>
              <w:pStyle w:val="25"/>
              <w:spacing w:line="240" w:lineRule="auto"/>
              <w:rPr>
                <w:rFonts w:cs="Times New Roman"/>
              </w:rPr>
            </w:pPr>
          </w:p>
          <w:p w14:paraId="792D127C">
            <w:pPr>
              <w:pStyle w:val="25"/>
              <w:spacing w:line="240" w:lineRule="auto"/>
              <w:rPr>
                <w:rFonts w:cs="Times New Roman"/>
              </w:rPr>
            </w:pPr>
            <w:r>
              <w:rPr>
                <w:rFonts w:cs="Times New Roman"/>
              </w:rPr>
              <w:t>要素</w:t>
            </w:r>
          </w:p>
        </w:tc>
        <w:tc>
          <w:tcPr>
            <w:tcW w:w="749" w:type="pct"/>
            <w:vAlign w:val="center"/>
          </w:tcPr>
          <w:p w14:paraId="512B17C1">
            <w:pPr>
              <w:pStyle w:val="25"/>
              <w:spacing w:line="240" w:lineRule="auto"/>
              <w:rPr>
                <w:rFonts w:cs="Times New Roman"/>
              </w:rPr>
            </w:pPr>
            <w:r>
              <w:rPr>
                <w:rFonts w:cs="Times New Roman"/>
              </w:rPr>
              <w:t>排放口(编号、名称)/污染源</w:t>
            </w:r>
          </w:p>
        </w:tc>
        <w:tc>
          <w:tcPr>
            <w:tcW w:w="556" w:type="pct"/>
            <w:vAlign w:val="center"/>
          </w:tcPr>
          <w:p w14:paraId="7D3B38ED">
            <w:pPr>
              <w:pStyle w:val="25"/>
              <w:spacing w:line="240" w:lineRule="auto"/>
              <w:rPr>
                <w:rFonts w:cs="Times New Roman"/>
              </w:rPr>
            </w:pPr>
            <w:r>
              <w:rPr>
                <w:rFonts w:cs="Times New Roman"/>
              </w:rPr>
              <w:t>污染物项目</w:t>
            </w:r>
          </w:p>
        </w:tc>
        <w:tc>
          <w:tcPr>
            <w:tcW w:w="1820" w:type="pct"/>
            <w:vAlign w:val="center"/>
          </w:tcPr>
          <w:p w14:paraId="6403D8ED">
            <w:pPr>
              <w:pStyle w:val="25"/>
              <w:spacing w:line="240" w:lineRule="auto"/>
              <w:rPr>
                <w:rFonts w:cs="Times New Roman"/>
              </w:rPr>
            </w:pPr>
            <w:r>
              <w:rPr>
                <w:rFonts w:cs="Times New Roman"/>
              </w:rPr>
              <w:t>环境保护措施</w:t>
            </w:r>
          </w:p>
        </w:tc>
        <w:tc>
          <w:tcPr>
            <w:tcW w:w="1278" w:type="pct"/>
            <w:vAlign w:val="center"/>
          </w:tcPr>
          <w:p w14:paraId="02A5ED9E">
            <w:pPr>
              <w:pStyle w:val="25"/>
              <w:spacing w:line="240" w:lineRule="auto"/>
              <w:rPr>
                <w:rFonts w:cs="Times New Roman"/>
              </w:rPr>
            </w:pPr>
            <w:r>
              <w:rPr>
                <w:rFonts w:cs="Times New Roman"/>
              </w:rPr>
              <w:t>执行标准</w:t>
            </w:r>
          </w:p>
        </w:tc>
      </w:tr>
      <w:tr w14:paraId="40CE63F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7" w:type="pct"/>
            <w:vMerge w:val="restart"/>
            <w:vAlign w:val="center"/>
          </w:tcPr>
          <w:p w14:paraId="45F66BC3">
            <w:pPr>
              <w:pStyle w:val="25"/>
              <w:spacing w:line="240" w:lineRule="auto"/>
              <w:rPr>
                <w:rFonts w:cs="Times New Roman"/>
              </w:rPr>
            </w:pPr>
            <w:r>
              <w:rPr>
                <w:rFonts w:cs="Times New Roman"/>
              </w:rPr>
              <w:t>大气环境</w:t>
            </w:r>
          </w:p>
        </w:tc>
        <w:tc>
          <w:tcPr>
            <w:tcW w:w="749" w:type="pct"/>
            <w:vAlign w:val="center"/>
          </w:tcPr>
          <w:p w14:paraId="1991005E">
            <w:pPr>
              <w:pStyle w:val="25"/>
              <w:spacing w:line="240" w:lineRule="auto"/>
              <w:rPr>
                <w:rFonts w:cs="Times New Roman"/>
              </w:rPr>
            </w:pPr>
            <w:r>
              <w:rPr>
                <w:rFonts w:hint="eastAsia" w:cs="Times New Roman"/>
              </w:rPr>
              <w:t>二车间有机</w:t>
            </w:r>
            <w:r>
              <w:rPr>
                <w:rFonts w:cs="Times New Roman"/>
              </w:rPr>
              <w:t>废气</w:t>
            </w:r>
          </w:p>
        </w:tc>
        <w:tc>
          <w:tcPr>
            <w:tcW w:w="556" w:type="pct"/>
            <w:vAlign w:val="center"/>
          </w:tcPr>
          <w:p w14:paraId="6AC7D888">
            <w:pPr>
              <w:pStyle w:val="25"/>
              <w:spacing w:line="240" w:lineRule="auto"/>
              <w:rPr>
                <w:rFonts w:cs="Times New Roman"/>
              </w:rPr>
            </w:pPr>
            <w:r>
              <w:rPr>
                <w:rFonts w:hint="eastAsia" w:cs="Times New Roman"/>
              </w:rPr>
              <w:t>VOCs、甲醛</w:t>
            </w:r>
          </w:p>
        </w:tc>
        <w:tc>
          <w:tcPr>
            <w:tcW w:w="1820" w:type="pct"/>
            <w:vAlign w:val="center"/>
          </w:tcPr>
          <w:p w14:paraId="0FCAD710">
            <w:pPr>
              <w:pStyle w:val="25"/>
              <w:spacing w:line="240" w:lineRule="auto"/>
              <w:rPr>
                <w:rFonts w:cs="Times New Roman"/>
              </w:rPr>
            </w:pPr>
            <w:r>
              <w:rPr>
                <w:rFonts w:hint="eastAsia" w:cs="Times New Roman"/>
              </w:rPr>
              <w:t>贴面废气经</w:t>
            </w:r>
            <w:r>
              <w:rPr>
                <w:rFonts w:cs="Times New Roman"/>
              </w:rPr>
              <w:t>负压收集</w:t>
            </w:r>
            <w:r>
              <w:rPr>
                <w:rFonts w:hint="eastAsia" w:cs="Times New Roman"/>
              </w:rPr>
              <w:t>，收集的废气经1套活性炭处理设施</w:t>
            </w:r>
            <w:r>
              <w:rPr>
                <w:rFonts w:cs="Times New Roman"/>
              </w:rPr>
              <w:t>，</w:t>
            </w:r>
            <w:r>
              <w:rPr>
                <w:rFonts w:hint="eastAsia" w:cs="Times New Roman"/>
              </w:rPr>
              <w:t>处理后的废气</w:t>
            </w:r>
            <w:r>
              <w:rPr>
                <w:rFonts w:cs="Times New Roman"/>
              </w:rPr>
              <w:t>经</w:t>
            </w:r>
            <w:r>
              <w:rPr>
                <w:rFonts w:hint="eastAsia" w:cs="Times New Roman"/>
              </w:rPr>
              <w:t>1</w:t>
            </w:r>
            <w:r>
              <w:rPr>
                <w:rFonts w:cs="Times New Roman"/>
              </w:rPr>
              <w:t>根15m高排气筒（</w:t>
            </w:r>
            <w:r>
              <w:rPr>
                <w:rFonts w:hint="eastAsia" w:cs="Times New Roman"/>
              </w:rPr>
              <w:t>DA002</w:t>
            </w:r>
            <w:r>
              <w:rPr>
                <w:rFonts w:cs="Times New Roman"/>
              </w:rPr>
              <w:t>）排放。</w:t>
            </w:r>
          </w:p>
        </w:tc>
        <w:tc>
          <w:tcPr>
            <w:tcW w:w="1278" w:type="pct"/>
            <w:vMerge w:val="restart"/>
            <w:vAlign w:val="center"/>
          </w:tcPr>
          <w:p w14:paraId="73A94BD0">
            <w:pPr>
              <w:pStyle w:val="25"/>
              <w:spacing w:line="240" w:lineRule="auto"/>
              <w:rPr>
                <w:rFonts w:cs="Times New Roman"/>
              </w:rPr>
            </w:pPr>
            <w:r>
              <w:rPr>
                <w:rFonts w:cs="Times New Roman"/>
              </w:rPr>
              <w:t>《大气污染物综合排放标准》（GB1297-1996）中二级标准</w:t>
            </w:r>
          </w:p>
        </w:tc>
      </w:tr>
      <w:tr w14:paraId="1E2E67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7" w:type="pct"/>
            <w:vMerge w:val="continue"/>
            <w:vAlign w:val="center"/>
          </w:tcPr>
          <w:p w14:paraId="48DD1EA5">
            <w:pPr>
              <w:pStyle w:val="25"/>
              <w:spacing w:line="240" w:lineRule="auto"/>
              <w:rPr>
                <w:rFonts w:cs="Times New Roman"/>
              </w:rPr>
            </w:pPr>
          </w:p>
        </w:tc>
        <w:tc>
          <w:tcPr>
            <w:tcW w:w="749" w:type="pct"/>
            <w:vAlign w:val="center"/>
          </w:tcPr>
          <w:p w14:paraId="65ED70B6">
            <w:pPr>
              <w:pStyle w:val="25"/>
              <w:spacing w:line="240" w:lineRule="auto"/>
              <w:rPr>
                <w:rFonts w:cs="Times New Roman"/>
              </w:rPr>
            </w:pPr>
            <w:r>
              <w:rPr>
                <w:rFonts w:hint="eastAsia" w:cs="Times New Roman"/>
              </w:rPr>
              <w:t>二车间天然气燃烧废气</w:t>
            </w:r>
          </w:p>
        </w:tc>
        <w:tc>
          <w:tcPr>
            <w:tcW w:w="556" w:type="pct"/>
            <w:vAlign w:val="center"/>
          </w:tcPr>
          <w:p w14:paraId="6109EEFA">
            <w:pPr>
              <w:pStyle w:val="25"/>
              <w:spacing w:line="240" w:lineRule="auto"/>
              <w:rPr>
                <w:rFonts w:cs="Times New Roman"/>
              </w:rPr>
            </w:pPr>
            <w:r>
              <w:rPr>
                <w:rFonts w:cs="Times New Roman"/>
              </w:rPr>
              <w:t>颗粒物</w:t>
            </w:r>
            <w:r>
              <w:rPr>
                <w:rFonts w:hint="eastAsia" w:cs="Times New Roman"/>
              </w:rPr>
              <w:t>、</w:t>
            </w:r>
            <w:r>
              <w:rPr>
                <w:rFonts w:hint="eastAsia"/>
                <w:spacing w:val="7"/>
                <w:sz w:val="21"/>
                <w:szCs w:val="21"/>
              </w:rPr>
              <w:t>SO</w:t>
            </w:r>
            <w:r>
              <w:rPr>
                <w:rFonts w:hint="eastAsia"/>
                <w:spacing w:val="7"/>
                <w:sz w:val="21"/>
                <w:szCs w:val="21"/>
                <w:vertAlign w:val="subscript"/>
              </w:rPr>
              <w:t>2</w:t>
            </w:r>
            <w:r>
              <w:rPr>
                <w:rFonts w:hint="eastAsia"/>
                <w:spacing w:val="7"/>
                <w:sz w:val="21"/>
                <w:szCs w:val="21"/>
              </w:rPr>
              <w:t>、NOx</w:t>
            </w:r>
          </w:p>
        </w:tc>
        <w:tc>
          <w:tcPr>
            <w:tcW w:w="1820" w:type="pct"/>
            <w:vAlign w:val="center"/>
          </w:tcPr>
          <w:p w14:paraId="5521C622">
            <w:pPr>
              <w:pStyle w:val="25"/>
              <w:spacing w:line="240" w:lineRule="auto"/>
              <w:rPr>
                <w:rFonts w:cs="Times New Roman"/>
              </w:rPr>
            </w:pPr>
            <w:r>
              <w:rPr>
                <w:rFonts w:hint="eastAsia" w:cs="Times New Roman"/>
              </w:rPr>
              <w:t>废气经一根</w:t>
            </w:r>
            <w:r>
              <w:rPr>
                <w:rFonts w:cs="Times New Roman"/>
              </w:rPr>
              <w:t>1</w:t>
            </w:r>
            <w:r>
              <w:rPr>
                <w:rFonts w:hint="eastAsia" w:cs="Times New Roman"/>
              </w:rPr>
              <w:t>2</w:t>
            </w:r>
            <w:r>
              <w:rPr>
                <w:rFonts w:cs="Times New Roman"/>
              </w:rPr>
              <w:t>m高排气筒（</w:t>
            </w:r>
            <w:r>
              <w:rPr>
                <w:rFonts w:hint="eastAsia" w:cs="Times New Roman"/>
              </w:rPr>
              <w:t>DA003</w:t>
            </w:r>
            <w:r>
              <w:rPr>
                <w:rFonts w:cs="Times New Roman"/>
              </w:rPr>
              <w:t>）排放。</w:t>
            </w:r>
          </w:p>
        </w:tc>
        <w:tc>
          <w:tcPr>
            <w:tcW w:w="1278" w:type="pct"/>
            <w:vMerge w:val="continue"/>
            <w:vAlign w:val="center"/>
          </w:tcPr>
          <w:p w14:paraId="0BBAF3FA">
            <w:pPr>
              <w:pStyle w:val="25"/>
              <w:spacing w:line="240" w:lineRule="auto"/>
              <w:rPr>
                <w:rFonts w:cs="Times New Roman"/>
              </w:rPr>
            </w:pPr>
          </w:p>
        </w:tc>
      </w:tr>
      <w:tr w14:paraId="261B066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597" w:type="pct"/>
            <w:vAlign w:val="center"/>
          </w:tcPr>
          <w:p w14:paraId="753EF37B">
            <w:pPr>
              <w:pStyle w:val="25"/>
              <w:spacing w:line="240" w:lineRule="auto"/>
              <w:rPr>
                <w:rFonts w:cs="Times New Roman"/>
              </w:rPr>
            </w:pPr>
            <w:r>
              <w:rPr>
                <w:rFonts w:cs="Times New Roman"/>
              </w:rPr>
              <w:t>地表水环境</w:t>
            </w:r>
          </w:p>
        </w:tc>
        <w:tc>
          <w:tcPr>
            <w:tcW w:w="749" w:type="pct"/>
            <w:vAlign w:val="center"/>
          </w:tcPr>
          <w:p w14:paraId="0B0F9A17">
            <w:pPr>
              <w:pStyle w:val="25"/>
              <w:spacing w:line="240" w:lineRule="auto"/>
              <w:rPr>
                <w:rFonts w:cs="Times New Roman"/>
              </w:rPr>
            </w:pPr>
            <w:r>
              <w:rPr>
                <w:rFonts w:hint="eastAsia" w:cs="Times New Roman"/>
              </w:rPr>
              <w:t>污水总排口</w:t>
            </w:r>
            <w:r>
              <w:rPr>
                <w:rFonts w:cs="Times New Roman"/>
              </w:rPr>
              <w:t>（DW001）</w:t>
            </w:r>
          </w:p>
        </w:tc>
        <w:tc>
          <w:tcPr>
            <w:tcW w:w="556" w:type="pct"/>
            <w:vAlign w:val="center"/>
          </w:tcPr>
          <w:p w14:paraId="7097271D">
            <w:pPr>
              <w:pStyle w:val="25"/>
              <w:spacing w:line="240" w:lineRule="auto"/>
              <w:rPr>
                <w:rFonts w:cs="Times New Roman"/>
              </w:rPr>
            </w:pPr>
            <w:r>
              <w:rPr>
                <w:rFonts w:cs="Times New Roman"/>
              </w:rPr>
              <w:t>COD</w:t>
            </w:r>
            <w:r>
              <w:rPr>
                <w:rFonts w:hint="eastAsia" w:cs="Times New Roman"/>
              </w:rPr>
              <w:t>、</w:t>
            </w:r>
          </w:p>
          <w:p w14:paraId="71C47DAA">
            <w:pPr>
              <w:pStyle w:val="25"/>
              <w:spacing w:line="240" w:lineRule="auto"/>
              <w:rPr>
                <w:rFonts w:cs="Times New Roman"/>
              </w:rPr>
            </w:pPr>
            <w:r>
              <w:rPr>
                <w:rFonts w:cs="Times New Roman"/>
              </w:rPr>
              <w:t>BOD</w:t>
            </w:r>
            <w:r>
              <w:rPr>
                <w:rFonts w:cs="Times New Roman"/>
                <w:vertAlign w:val="subscript"/>
              </w:rPr>
              <w:t>5</w:t>
            </w:r>
            <w:r>
              <w:rPr>
                <w:rFonts w:hint="eastAsia" w:cs="Times New Roman"/>
                <w:vertAlign w:val="subscript"/>
              </w:rPr>
              <w:t>、</w:t>
            </w:r>
          </w:p>
          <w:p w14:paraId="1A15E5F6">
            <w:pPr>
              <w:pStyle w:val="25"/>
              <w:spacing w:line="240" w:lineRule="auto"/>
              <w:rPr>
                <w:rFonts w:cs="Times New Roman"/>
              </w:rPr>
            </w:pPr>
            <w:r>
              <w:rPr>
                <w:rFonts w:cs="Times New Roman"/>
              </w:rPr>
              <w:t>SS</w:t>
            </w:r>
            <w:r>
              <w:rPr>
                <w:rFonts w:hint="eastAsia" w:cs="Times New Roman"/>
              </w:rPr>
              <w:t>、</w:t>
            </w:r>
          </w:p>
          <w:p w14:paraId="5523C3F1">
            <w:pPr>
              <w:pStyle w:val="25"/>
              <w:spacing w:line="240" w:lineRule="auto"/>
              <w:rPr>
                <w:rFonts w:cs="Times New Roman"/>
              </w:rPr>
            </w:pPr>
            <w:r>
              <w:rPr>
                <w:rFonts w:cs="Times New Roman"/>
              </w:rPr>
              <w:t>氨氮</w:t>
            </w:r>
            <w:r>
              <w:rPr>
                <w:rFonts w:hint="eastAsia" w:cs="Times New Roman"/>
              </w:rPr>
              <w:t>、</w:t>
            </w:r>
          </w:p>
          <w:p w14:paraId="5820C985">
            <w:pPr>
              <w:pStyle w:val="25"/>
              <w:spacing w:line="240" w:lineRule="auto"/>
            </w:pPr>
            <w:r>
              <w:rPr>
                <w:rFonts w:hint="eastAsia"/>
              </w:rPr>
              <w:t>TP</w:t>
            </w:r>
          </w:p>
        </w:tc>
        <w:tc>
          <w:tcPr>
            <w:tcW w:w="1820" w:type="pct"/>
            <w:vAlign w:val="center"/>
          </w:tcPr>
          <w:p w14:paraId="7CDFCC67">
            <w:pPr>
              <w:pStyle w:val="25"/>
              <w:spacing w:line="240" w:lineRule="auto"/>
              <w:rPr>
                <w:rFonts w:cs="Times New Roman"/>
              </w:rPr>
            </w:pPr>
            <w:r>
              <w:rPr>
                <w:rFonts w:hint="eastAsia" w:cs="Times New Roman"/>
              </w:rPr>
              <w:t>生活污水经预处理池，出水</w:t>
            </w:r>
            <w:r>
              <w:rPr>
                <w:rFonts w:cs="Times New Roman"/>
              </w:rPr>
              <w:t>排入园区污水管网，送至巴中经开区污水处理厂处理达标后排入巴河。</w:t>
            </w:r>
          </w:p>
        </w:tc>
        <w:tc>
          <w:tcPr>
            <w:tcW w:w="1278" w:type="pct"/>
            <w:vAlign w:val="center"/>
          </w:tcPr>
          <w:p w14:paraId="30B18A7F">
            <w:pPr>
              <w:pStyle w:val="25"/>
              <w:spacing w:line="240" w:lineRule="auto"/>
              <w:rPr>
                <w:rFonts w:cs="Times New Roman"/>
              </w:rPr>
            </w:pPr>
            <w:r>
              <w:rPr>
                <w:rFonts w:cs="Times New Roman"/>
              </w:rPr>
              <w:t>《污水综合排放标准》（GB8978-1996）中的三级标准</w:t>
            </w:r>
          </w:p>
        </w:tc>
      </w:tr>
      <w:tr w14:paraId="0677E0C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597" w:type="pct"/>
            <w:vAlign w:val="center"/>
          </w:tcPr>
          <w:p w14:paraId="75D05B5A">
            <w:pPr>
              <w:pStyle w:val="25"/>
              <w:spacing w:line="240" w:lineRule="auto"/>
              <w:rPr>
                <w:rFonts w:cs="Times New Roman"/>
              </w:rPr>
            </w:pPr>
            <w:r>
              <w:rPr>
                <w:rFonts w:cs="Times New Roman"/>
              </w:rPr>
              <w:t>声环境</w:t>
            </w:r>
          </w:p>
        </w:tc>
        <w:tc>
          <w:tcPr>
            <w:tcW w:w="749" w:type="pct"/>
            <w:vAlign w:val="center"/>
          </w:tcPr>
          <w:p w14:paraId="554D7AAA">
            <w:pPr>
              <w:pStyle w:val="25"/>
              <w:spacing w:line="240" w:lineRule="auto"/>
              <w:rPr>
                <w:rFonts w:cs="Times New Roman"/>
                <w:szCs w:val="24"/>
                <w:lang w:val="zh-CN"/>
              </w:rPr>
            </w:pPr>
            <w:r>
              <w:rPr>
                <w:rFonts w:cs="Times New Roman"/>
                <w:szCs w:val="24"/>
              </w:rPr>
              <w:t>厂界</w:t>
            </w:r>
          </w:p>
        </w:tc>
        <w:tc>
          <w:tcPr>
            <w:tcW w:w="556" w:type="pct"/>
            <w:vAlign w:val="center"/>
          </w:tcPr>
          <w:p w14:paraId="1867A60D">
            <w:pPr>
              <w:pStyle w:val="25"/>
              <w:spacing w:line="240" w:lineRule="auto"/>
              <w:rPr>
                <w:rFonts w:cs="Times New Roman"/>
                <w:szCs w:val="24"/>
                <w:lang w:val="zh-CN"/>
              </w:rPr>
            </w:pPr>
            <w:r>
              <w:rPr>
                <w:rFonts w:cs="Times New Roman"/>
                <w:szCs w:val="24"/>
              </w:rPr>
              <w:t>等效连续A声级</w:t>
            </w:r>
          </w:p>
        </w:tc>
        <w:tc>
          <w:tcPr>
            <w:tcW w:w="1820" w:type="pct"/>
            <w:vAlign w:val="center"/>
          </w:tcPr>
          <w:p w14:paraId="5B59EF7A">
            <w:pPr>
              <w:pStyle w:val="25"/>
              <w:spacing w:line="240" w:lineRule="auto"/>
              <w:rPr>
                <w:rFonts w:cs="Times New Roman"/>
                <w:lang w:val="zh-CN"/>
              </w:rPr>
            </w:pPr>
            <w:r>
              <w:rPr>
                <w:rFonts w:cs="Times New Roman"/>
                <w:lang w:val="zh-CN"/>
              </w:rPr>
              <w:t>选用低噪声设备、合理平面布局，设备基础减震，建筑隔声，距离衰减。</w:t>
            </w:r>
          </w:p>
        </w:tc>
        <w:tc>
          <w:tcPr>
            <w:tcW w:w="1278" w:type="pct"/>
            <w:vAlign w:val="center"/>
          </w:tcPr>
          <w:p w14:paraId="24450259">
            <w:pPr>
              <w:pStyle w:val="25"/>
              <w:spacing w:line="240" w:lineRule="auto"/>
              <w:rPr>
                <w:rFonts w:cs="Times New Roman"/>
                <w:lang w:val="zh-CN"/>
              </w:rPr>
            </w:pPr>
            <w:r>
              <w:rPr>
                <w:rFonts w:cs="Times New Roman"/>
              </w:rPr>
              <w:t>《工业企业厂界环境噪声排放标准》（GB12348-2008）中3类标准限值</w:t>
            </w:r>
          </w:p>
        </w:tc>
      </w:tr>
      <w:tr w14:paraId="6669077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7" w:type="pct"/>
            <w:vAlign w:val="center"/>
          </w:tcPr>
          <w:p w14:paraId="3FF81BD3">
            <w:pPr>
              <w:pStyle w:val="25"/>
              <w:spacing w:line="240" w:lineRule="auto"/>
              <w:rPr>
                <w:rFonts w:cs="Times New Roman"/>
              </w:rPr>
            </w:pPr>
            <w:r>
              <w:rPr>
                <w:rFonts w:cs="Times New Roman"/>
              </w:rPr>
              <w:t>固体废物</w:t>
            </w:r>
          </w:p>
        </w:tc>
        <w:tc>
          <w:tcPr>
            <w:tcW w:w="4403" w:type="pct"/>
            <w:gridSpan w:val="4"/>
            <w:vAlign w:val="center"/>
          </w:tcPr>
          <w:p w14:paraId="2C503117">
            <w:pPr>
              <w:pStyle w:val="25"/>
              <w:spacing w:line="240" w:lineRule="auto"/>
              <w:rPr>
                <w:rFonts w:cs="Times New Roman"/>
              </w:rPr>
            </w:pPr>
            <w:r>
              <w:rPr>
                <w:rFonts w:cs="Times New Roman"/>
              </w:rPr>
              <w:t>一般固废：设置1间一般固废暂存间，面积10m</w:t>
            </w:r>
            <w:r>
              <w:rPr>
                <w:rFonts w:cs="Times New Roman"/>
                <w:vertAlign w:val="superscript"/>
              </w:rPr>
              <w:t>2</w:t>
            </w:r>
            <w:r>
              <w:rPr>
                <w:rFonts w:cs="Times New Roman"/>
              </w:rPr>
              <w:t>，</w:t>
            </w:r>
            <w:r>
              <w:rPr>
                <w:rFonts w:cs="Times New Roman"/>
                <w:szCs w:val="24"/>
              </w:rPr>
              <w:t>废边角料、废包装材料、布袋除尘器集尘外售综合利用，生活垃圾交由环卫部门统一清运处理</w:t>
            </w:r>
            <w:r>
              <w:rPr>
                <w:rFonts w:cs="Times New Roman"/>
              </w:rPr>
              <w:t>。</w:t>
            </w:r>
          </w:p>
          <w:p w14:paraId="1B78051E">
            <w:pPr>
              <w:pStyle w:val="25"/>
              <w:spacing w:line="240" w:lineRule="auto"/>
              <w:rPr>
                <w:rFonts w:cs="Times New Roman"/>
              </w:rPr>
            </w:pPr>
            <w:r>
              <w:rPr>
                <w:rFonts w:cs="Times New Roman"/>
              </w:rPr>
              <w:t>危险废物：设置1间危废暂存间，面积</w:t>
            </w:r>
            <w:r>
              <w:rPr>
                <w:rFonts w:hint="eastAsia" w:cs="Times New Roman"/>
              </w:rPr>
              <w:t>5</w:t>
            </w:r>
            <w:r>
              <w:rPr>
                <w:rFonts w:cs="Times New Roman"/>
              </w:rPr>
              <w:t>m</w:t>
            </w:r>
            <w:r>
              <w:rPr>
                <w:rFonts w:cs="Times New Roman"/>
                <w:vertAlign w:val="superscript"/>
              </w:rPr>
              <w:t>2</w:t>
            </w:r>
            <w:r>
              <w:rPr>
                <w:rFonts w:cs="Times New Roman"/>
              </w:rPr>
              <w:t>，危险废物分类收集，统一存放到危废暂存间，定期交由有资质的单位清运处理。</w:t>
            </w:r>
          </w:p>
        </w:tc>
      </w:tr>
      <w:tr w14:paraId="3127A51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97" w:type="pct"/>
            <w:vAlign w:val="center"/>
          </w:tcPr>
          <w:p w14:paraId="6651646F">
            <w:pPr>
              <w:pStyle w:val="25"/>
              <w:spacing w:line="240" w:lineRule="auto"/>
              <w:rPr>
                <w:rFonts w:cs="Times New Roman"/>
              </w:rPr>
            </w:pPr>
            <w:r>
              <w:rPr>
                <w:rFonts w:cs="Times New Roman"/>
              </w:rPr>
              <w:t>电磁辐射</w:t>
            </w:r>
          </w:p>
        </w:tc>
        <w:tc>
          <w:tcPr>
            <w:tcW w:w="749" w:type="pct"/>
            <w:vAlign w:val="center"/>
          </w:tcPr>
          <w:p w14:paraId="5B86D33C">
            <w:pPr>
              <w:pStyle w:val="25"/>
              <w:spacing w:line="240" w:lineRule="auto"/>
              <w:rPr>
                <w:rFonts w:cs="Times New Roman"/>
                <w:lang w:val="zh-CN"/>
              </w:rPr>
            </w:pPr>
            <w:r>
              <w:rPr>
                <w:rFonts w:cs="Times New Roman"/>
              </w:rPr>
              <w:t>/</w:t>
            </w:r>
          </w:p>
        </w:tc>
        <w:tc>
          <w:tcPr>
            <w:tcW w:w="556" w:type="pct"/>
            <w:vAlign w:val="center"/>
          </w:tcPr>
          <w:p w14:paraId="5E6287A0">
            <w:pPr>
              <w:pStyle w:val="25"/>
              <w:spacing w:line="240" w:lineRule="auto"/>
              <w:rPr>
                <w:rFonts w:cs="Times New Roman"/>
                <w:lang w:val="zh-CN"/>
              </w:rPr>
            </w:pPr>
            <w:r>
              <w:rPr>
                <w:rFonts w:cs="Times New Roman"/>
              </w:rPr>
              <w:t>/</w:t>
            </w:r>
          </w:p>
        </w:tc>
        <w:tc>
          <w:tcPr>
            <w:tcW w:w="1820" w:type="pct"/>
            <w:vAlign w:val="center"/>
          </w:tcPr>
          <w:p w14:paraId="04F9F55F">
            <w:pPr>
              <w:pStyle w:val="25"/>
              <w:spacing w:line="240" w:lineRule="auto"/>
              <w:rPr>
                <w:rFonts w:cs="Times New Roman"/>
                <w:lang w:val="zh-CN"/>
              </w:rPr>
            </w:pPr>
            <w:r>
              <w:rPr>
                <w:rFonts w:cs="Times New Roman"/>
              </w:rPr>
              <w:t>/</w:t>
            </w:r>
          </w:p>
        </w:tc>
        <w:tc>
          <w:tcPr>
            <w:tcW w:w="1278" w:type="pct"/>
            <w:vAlign w:val="center"/>
          </w:tcPr>
          <w:p w14:paraId="0446F4BD">
            <w:pPr>
              <w:pStyle w:val="25"/>
              <w:spacing w:line="240" w:lineRule="auto"/>
              <w:rPr>
                <w:rFonts w:cs="Times New Roman"/>
                <w:lang w:val="zh-CN"/>
              </w:rPr>
            </w:pPr>
            <w:r>
              <w:rPr>
                <w:rFonts w:cs="Times New Roman"/>
              </w:rPr>
              <w:t>/</w:t>
            </w:r>
          </w:p>
        </w:tc>
      </w:tr>
      <w:tr w14:paraId="140F888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33" w:hRule="atLeast"/>
          <w:jc w:val="center"/>
        </w:trPr>
        <w:tc>
          <w:tcPr>
            <w:tcW w:w="597" w:type="pct"/>
            <w:vAlign w:val="center"/>
          </w:tcPr>
          <w:p w14:paraId="58F63B0D">
            <w:pPr>
              <w:pStyle w:val="25"/>
              <w:spacing w:line="240" w:lineRule="auto"/>
              <w:rPr>
                <w:rFonts w:cs="Times New Roman"/>
              </w:rPr>
            </w:pPr>
            <w:r>
              <w:rPr>
                <w:rFonts w:cs="Times New Roman"/>
              </w:rPr>
              <w:t>土壤及地下水污染防治措施</w:t>
            </w:r>
          </w:p>
        </w:tc>
        <w:tc>
          <w:tcPr>
            <w:tcW w:w="4403" w:type="pct"/>
            <w:gridSpan w:val="4"/>
            <w:vAlign w:val="center"/>
          </w:tcPr>
          <w:p w14:paraId="794442AD">
            <w:pPr>
              <w:pStyle w:val="25"/>
              <w:spacing w:line="240" w:lineRule="auto"/>
              <w:rPr>
                <w:rFonts w:cs="Times New Roman"/>
              </w:rPr>
            </w:pPr>
            <w:r>
              <w:rPr>
                <w:rFonts w:cs="Times New Roman"/>
              </w:rPr>
              <w:t>为了避免项目的生产对土壤及地下水产生污染，项目方应加强日常管理，对项目内进行分区防渗。项目内防渗分区分为重点防渗分区、一般防渗分区。</w:t>
            </w:r>
          </w:p>
          <w:p w14:paraId="4ABEE8B3">
            <w:pPr>
              <w:pStyle w:val="25"/>
              <w:spacing w:line="240" w:lineRule="auto"/>
              <w:rPr>
                <w:rFonts w:cs="Times New Roman"/>
              </w:rPr>
            </w:pPr>
            <w:r>
              <w:rPr>
                <w:rFonts w:cs="Times New Roman"/>
              </w:rPr>
              <w:t>重点防渗区：危险废物暂存间采用现有生产车间地面防渗+2mm厚HDPE人工防渗涂层，防渗层渗透系数≤10</w:t>
            </w:r>
            <w:r>
              <w:rPr>
                <w:rFonts w:cs="Times New Roman"/>
                <w:vertAlign w:val="superscript"/>
              </w:rPr>
              <w:t>-10</w:t>
            </w:r>
            <w:r>
              <w:rPr>
                <w:rFonts w:cs="Times New Roman"/>
              </w:rPr>
              <w:t>cm/s。</w:t>
            </w:r>
          </w:p>
          <w:p w14:paraId="18F1ECA1">
            <w:pPr>
              <w:pStyle w:val="25"/>
              <w:spacing w:line="240" w:lineRule="auto"/>
              <w:rPr>
                <w:rFonts w:cs="Times New Roman"/>
              </w:rPr>
            </w:pPr>
            <w:r>
              <w:rPr>
                <w:rFonts w:cs="Times New Roman"/>
              </w:rPr>
              <w:t>一般防渗区：生产车间其他区域；依托现有生产车间地面防渗，确保防渗效果达到等效黏土防渗层Mb≥1.5m、渗透系数度数为≤10</w:t>
            </w:r>
            <w:r>
              <w:rPr>
                <w:rFonts w:cs="Times New Roman"/>
                <w:vertAlign w:val="superscript"/>
              </w:rPr>
              <w:t>-7</w:t>
            </w:r>
            <w:r>
              <w:rPr>
                <w:rFonts w:cs="Times New Roman"/>
              </w:rPr>
              <w:t>cm/s的防渗性能。</w:t>
            </w:r>
          </w:p>
        </w:tc>
      </w:tr>
      <w:tr w14:paraId="5905FF5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97" w:type="pct"/>
            <w:vAlign w:val="center"/>
          </w:tcPr>
          <w:p w14:paraId="32F63535">
            <w:pPr>
              <w:pStyle w:val="25"/>
              <w:spacing w:line="240" w:lineRule="auto"/>
              <w:rPr>
                <w:rFonts w:cs="Times New Roman"/>
              </w:rPr>
            </w:pPr>
            <w:r>
              <w:rPr>
                <w:rFonts w:cs="Times New Roman"/>
              </w:rPr>
              <w:t>生态保护措施</w:t>
            </w:r>
          </w:p>
        </w:tc>
        <w:tc>
          <w:tcPr>
            <w:tcW w:w="4403" w:type="pct"/>
            <w:gridSpan w:val="4"/>
            <w:vAlign w:val="center"/>
          </w:tcPr>
          <w:p w14:paraId="2A63FDA2">
            <w:pPr>
              <w:pStyle w:val="25"/>
              <w:spacing w:line="240" w:lineRule="auto"/>
              <w:rPr>
                <w:rFonts w:cs="Times New Roman"/>
              </w:rPr>
            </w:pPr>
            <w:r>
              <w:rPr>
                <w:rFonts w:cs="Times New Roman"/>
              </w:rPr>
              <w:t>本项目位于工业园区内，已建</w:t>
            </w:r>
            <w:r>
              <w:rPr>
                <w:rFonts w:hint="eastAsia" w:cs="Times New Roman"/>
              </w:rPr>
              <w:t>车间内安装设备新建生产线扩建</w:t>
            </w:r>
            <w:r>
              <w:rPr>
                <w:rFonts w:cs="Times New Roman"/>
              </w:rPr>
              <w:t>，不再单独进行征地，不涉及拆迁和安置，</w:t>
            </w:r>
            <w:r>
              <w:rPr>
                <w:rFonts w:cs="Times New Roman"/>
                <w:szCs w:val="28"/>
              </w:rPr>
              <w:t>在各项环保措施实施，污染物排放达标的情况下，项目运营期对周围生态环境影响较小</w:t>
            </w:r>
            <w:r>
              <w:rPr>
                <w:rFonts w:cs="Times New Roman"/>
              </w:rPr>
              <w:t>。</w:t>
            </w:r>
          </w:p>
        </w:tc>
      </w:tr>
      <w:tr w14:paraId="4C9D781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97" w:type="pct"/>
            <w:vAlign w:val="center"/>
          </w:tcPr>
          <w:p w14:paraId="5621EED2">
            <w:pPr>
              <w:pStyle w:val="25"/>
              <w:spacing w:line="240" w:lineRule="auto"/>
              <w:rPr>
                <w:rFonts w:cs="Times New Roman"/>
              </w:rPr>
            </w:pPr>
            <w:r>
              <w:rPr>
                <w:rFonts w:cs="Times New Roman"/>
              </w:rPr>
              <w:t>环境风险防范措施</w:t>
            </w:r>
          </w:p>
        </w:tc>
        <w:tc>
          <w:tcPr>
            <w:tcW w:w="4403" w:type="pct"/>
            <w:gridSpan w:val="4"/>
            <w:vAlign w:val="center"/>
          </w:tcPr>
          <w:p w14:paraId="6ED3C0EF">
            <w:pPr>
              <w:pStyle w:val="25"/>
              <w:spacing w:line="240" w:lineRule="auto"/>
              <w:rPr>
                <w:rFonts w:cs="Times New Roman"/>
              </w:rPr>
            </w:pPr>
            <w:r>
              <w:rPr>
                <w:rFonts w:hint="eastAsia" w:cs="Times New Roman"/>
                <w:szCs w:val="28"/>
              </w:rPr>
              <w:t>①火灾防范措施：加强厂区消防设施的日常管理，配备消防器材，设置明显标识，严格明火管理，加强日常检修维护，滤芯回收过滤器及布袋除尘器设置防爆装置（泄爆片），管线设置防火阀。②事故废水防范措施：危废暂存间、车间门口设置防渗漏、防腐蚀、防淋溶、防流失措施，配备沙袋、封堵气囊、应急收集桶等应急物资，以备应急时作为阻挡物封堵事故废水外流或者收集容器，利用混凝沉淀槽作为应急收容措施，厂房内设置雨水管网紧急封堵气囊和沙袋，火灾爆炸事件状态下采用充气封堵气囊投入雨污水管网内，封堵雨水管网和污水总排口。③泄漏风险防范措施：液态危险废物（废导热油）应专桶收集暂存于危废暂存间，收集桶堆放地面作防雨、防渗、防漏处理，并在周边设置导流槽；未使用的导热油密封在桶内，并在桶下发设置防泄漏托盘。④事故排放防范措施：定期检修各生产区间设置的环保设施，加强设备的运行管理和维护保养。</w:t>
            </w:r>
          </w:p>
        </w:tc>
      </w:tr>
      <w:tr w14:paraId="0E0289B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97" w:type="pct"/>
            <w:vAlign w:val="center"/>
          </w:tcPr>
          <w:p w14:paraId="5014566E">
            <w:pPr>
              <w:pStyle w:val="25"/>
              <w:spacing w:line="240" w:lineRule="auto"/>
              <w:rPr>
                <w:rFonts w:cs="Times New Roman"/>
              </w:rPr>
            </w:pPr>
            <w:r>
              <w:rPr>
                <w:rFonts w:cs="Times New Roman"/>
              </w:rPr>
              <w:t>其他环境管理要求</w:t>
            </w:r>
          </w:p>
        </w:tc>
        <w:tc>
          <w:tcPr>
            <w:tcW w:w="4403" w:type="pct"/>
            <w:gridSpan w:val="4"/>
            <w:vAlign w:val="center"/>
          </w:tcPr>
          <w:p w14:paraId="37449885">
            <w:pPr>
              <w:pStyle w:val="25"/>
              <w:spacing w:line="240" w:lineRule="auto"/>
              <w:jc w:val="left"/>
              <w:rPr>
                <w:rFonts w:cs="Times New Roman"/>
              </w:rPr>
            </w:pPr>
            <w:r>
              <w:rPr>
                <w:rFonts w:cs="Times New Roman"/>
              </w:rPr>
              <w:t>（1）结合工程工艺状况，制定并贯彻落实符合拟建项目特点的环保方针。遵守国家地方的有关法律、法规以及其他的有关规定。</w:t>
            </w:r>
          </w:p>
          <w:p w14:paraId="5D9C08FF">
            <w:pPr>
              <w:pStyle w:val="25"/>
              <w:spacing w:line="240" w:lineRule="auto"/>
              <w:jc w:val="left"/>
              <w:rPr>
                <w:rFonts w:cs="Times New Roman"/>
              </w:rPr>
            </w:pPr>
            <w:r>
              <w:rPr>
                <w:rFonts w:cs="Times New Roman"/>
              </w:rPr>
              <w:t>（2）根据制定的环保方针，确定本项目的环保工程目标和可量化的环保指标，使全体员工都参与到环保工作中。</w:t>
            </w:r>
          </w:p>
          <w:p w14:paraId="461200F1">
            <w:pPr>
              <w:pStyle w:val="25"/>
              <w:spacing w:line="240" w:lineRule="auto"/>
              <w:jc w:val="left"/>
              <w:rPr>
                <w:rFonts w:cs="Times New Roman"/>
              </w:rPr>
            </w:pPr>
            <w:r>
              <w:rPr>
                <w:rFonts w:cs="Times New Roman"/>
              </w:rPr>
              <w:t>（3）宣传、贯彻国家及地方的环境保护方针、法规、政策，不断提高全体员工的环保意识和遵守环保法规的自觉性。</w:t>
            </w:r>
          </w:p>
          <w:p w14:paraId="3BBB0361">
            <w:pPr>
              <w:pStyle w:val="25"/>
              <w:spacing w:line="240" w:lineRule="auto"/>
              <w:jc w:val="left"/>
              <w:rPr>
                <w:rFonts w:cs="Times New Roman"/>
              </w:rPr>
            </w:pPr>
            <w:r>
              <w:rPr>
                <w:rFonts w:cs="Times New Roman"/>
              </w:rPr>
              <w:t>（4）组织实施环境保护工作计划、年度污染治理计划、环境监测计划和环保工作计划。</w:t>
            </w:r>
          </w:p>
          <w:p w14:paraId="107D7450">
            <w:pPr>
              <w:pStyle w:val="25"/>
              <w:spacing w:line="240" w:lineRule="auto"/>
              <w:jc w:val="left"/>
              <w:rPr>
                <w:rFonts w:cs="Times New Roman"/>
              </w:rPr>
            </w:pPr>
            <w:r>
              <w:rPr>
                <w:rFonts w:cs="Times New Roman"/>
              </w:rPr>
              <w:t>（5）环保设施的运行管理，保证其正常运行；掌握运行过程中存在的问题，及时提出解决办法和改进措施，监督检查环保设施的日常维护工作。</w:t>
            </w:r>
          </w:p>
          <w:p w14:paraId="37E3CCE5">
            <w:pPr>
              <w:pStyle w:val="25"/>
              <w:spacing w:line="240" w:lineRule="auto"/>
              <w:jc w:val="left"/>
              <w:rPr>
                <w:rFonts w:cs="Times New Roman"/>
              </w:rPr>
            </w:pPr>
            <w:r>
              <w:rPr>
                <w:rFonts w:cs="Times New Roman"/>
              </w:rPr>
              <w:t>（6）建立健全污染源档案工作、环保统计工作，建立本项目环保设施运行情况、污染物排放情况的逐月记录工作。</w:t>
            </w:r>
          </w:p>
          <w:p w14:paraId="393850FF">
            <w:pPr>
              <w:pStyle w:val="25"/>
              <w:spacing w:line="240" w:lineRule="auto"/>
              <w:jc w:val="left"/>
              <w:rPr>
                <w:rFonts w:cs="Times New Roman"/>
              </w:rPr>
            </w:pPr>
            <w:r>
              <w:rPr>
                <w:rFonts w:cs="Times New Roman"/>
              </w:rPr>
              <w:t>（7）按照公司环保管理监测计划，配合环境监测站完成对本项目“三废”污染源监测或环境监测。</w:t>
            </w:r>
          </w:p>
          <w:p w14:paraId="40881E61">
            <w:pPr>
              <w:pStyle w:val="25"/>
              <w:spacing w:line="240" w:lineRule="auto"/>
              <w:jc w:val="left"/>
              <w:rPr>
                <w:rFonts w:cs="Times New Roman"/>
              </w:rPr>
            </w:pPr>
            <w:r>
              <w:rPr>
                <w:rFonts w:cs="Times New Roman"/>
              </w:rPr>
              <w:t>（8）准备和接受环保部门对本项目的排污监理、环保监察、执法检查等工作，并协调处理工作中出现的问题。</w:t>
            </w:r>
          </w:p>
          <w:p w14:paraId="41023D9D">
            <w:pPr>
              <w:pStyle w:val="25"/>
              <w:spacing w:line="240" w:lineRule="auto"/>
              <w:jc w:val="left"/>
              <w:rPr>
                <w:rFonts w:cs="Times New Roman"/>
              </w:rPr>
            </w:pPr>
            <w:r>
              <w:rPr>
                <w:rFonts w:cs="Times New Roman"/>
              </w:rPr>
              <w:t>（9）开展环保管理评审工作，总结环保工作中的成绩和存在的问题，提出改进措施。</w:t>
            </w:r>
          </w:p>
        </w:tc>
      </w:tr>
    </w:tbl>
    <w:p w14:paraId="126A684F">
      <w:pPr>
        <w:ind w:firstLine="480"/>
        <w:rPr>
          <w:rFonts w:cs="Times New Roman"/>
        </w:rPr>
        <w:sectPr>
          <w:pgSz w:w="11906" w:h="16838"/>
          <w:pgMar w:top="1440" w:right="1080" w:bottom="1440" w:left="1080" w:header="851" w:footer="567" w:gutter="0"/>
          <w:cols w:space="425" w:num="1"/>
          <w:docGrid w:type="lines" w:linePitch="326" w:charSpace="0"/>
        </w:sectPr>
      </w:pPr>
    </w:p>
    <w:p w14:paraId="173059F8">
      <w:pPr>
        <w:pStyle w:val="2"/>
        <w:rPr>
          <w:rFonts w:ascii="Times New Roman" w:hAnsi="Times New Roman"/>
        </w:rPr>
      </w:pPr>
      <w:r>
        <w:rPr>
          <w:rFonts w:ascii="Times New Roman" w:hAnsi="Times New Roman"/>
        </w:rPr>
        <w:t>结论</w:t>
      </w:r>
    </w:p>
    <w:tbl>
      <w:tblPr>
        <w:tblStyle w:val="3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36"/>
      </w:tblGrid>
      <w:tr w14:paraId="38699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24" w:hRule="atLeast"/>
        </w:trPr>
        <w:tc>
          <w:tcPr>
            <w:tcW w:w="9736" w:type="dxa"/>
          </w:tcPr>
          <w:p w14:paraId="34F84C92">
            <w:pPr>
              <w:ind w:firstLine="480"/>
              <w:rPr>
                <w:rFonts w:cs="Times New Roman"/>
              </w:rPr>
            </w:pPr>
            <w:bookmarkStart w:id="107" w:name="_Hlk207722802"/>
            <w:r>
              <w:rPr>
                <w:rFonts w:cs="Times New Roman"/>
              </w:rPr>
              <w:t>本项目的建设符合国家现行产业政策，选址符合当地规划要求，无环境制约因素，总平面布置基本合理。废气、废水、噪声在采取相应污染防治措施后可以做到达标排放，固废实现无害化处理，并通过加强管理等措施降低项目运行对环境的影响。只要认真落实本报告中提出的各项污染防治对策措施，严格执行“三同时”制度，保证环境保护措施的有效运行，确保污染物稳定达标排放，并严格按照环评要求进行环境风险防范，从环保角度而言，本项目的建设是可行的。</w:t>
            </w:r>
          </w:p>
          <w:bookmarkEnd w:id="107"/>
          <w:p w14:paraId="349E4FD6">
            <w:pPr>
              <w:ind w:firstLine="0" w:firstLineChars="0"/>
              <w:rPr>
                <w:rFonts w:cs="Times New Roman"/>
              </w:rPr>
            </w:pPr>
          </w:p>
        </w:tc>
      </w:tr>
    </w:tbl>
    <w:p w14:paraId="454EFED0">
      <w:pPr>
        <w:ind w:firstLine="480"/>
        <w:rPr>
          <w:rFonts w:cs="Times New Roman"/>
        </w:rPr>
        <w:sectPr>
          <w:pgSz w:w="11906" w:h="16838"/>
          <w:pgMar w:top="1440" w:right="1080" w:bottom="1440" w:left="1080" w:header="851" w:footer="567" w:gutter="0"/>
          <w:cols w:space="425" w:num="1"/>
          <w:docGrid w:type="lines" w:linePitch="326" w:charSpace="0"/>
        </w:sectPr>
      </w:pPr>
    </w:p>
    <w:p w14:paraId="029242F0">
      <w:pPr>
        <w:adjustRightInd w:val="0"/>
        <w:snapToGrid w:val="0"/>
        <w:ind w:firstLine="640"/>
        <w:outlineLvl w:val="0"/>
        <w:rPr>
          <w:rFonts w:eastAsia="黑体" w:cs="Times New Roman"/>
          <w:snapToGrid w:val="0"/>
          <w:sz w:val="32"/>
          <w:szCs w:val="32"/>
        </w:rPr>
      </w:pPr>
      <w:bookmarkStart w:id="108" w:name="_Hlk207722850"/>
      <w:r>
        <w:rPr>
          <w:rFonts w:eastAsia="黑体" w:cs="Times New Roman"/>
          <w:snapToGrid w:val="0"/>
          <w:sz w:val="32"/>
          <w:szCs w:val="32"/>
        </w:rPr>
        <w:t>附表</w:t>
      </w:r>
    </w:p>
    <w:p w14:paraId="401EAEB4">
      <w:pPr>
        <w:adjustRightInd w:val="0"/>
        <w:snapToGrid w:val="0"/>
        <w:spacing w:line="240" w:lineRule="auto"/>
        <w:ind w:firstLine="0" w:firstLineChars="0"/>
        <w:jc w:val="center"/>
        <w:outlineLvl w:val="0"/>
        <w:rPr>
          <w:rFonts w:eastAsia="方正小标宋_GBK" w:cs="Times New Roman"/>
          <w:snapToGrid w:val="0"/>
          <w:sz w:val="38"/>
          <w:szCs w:val="38"/>
        </w:rPr>
      </w:pPr>
      <w:r>
        <w:rPr>
          <w:rFonts w:eastAsia="方正小标宋_GBK" w:cs="Times New Roman"/>
          <w:snapToGrid w:val="0"/>
          <w:sz w:val="38"/>
          <w:szCs w:val="38"/>
        </w:rPr>
        <w:t>建设项目污染物排放量汇总表</w:t>
      </w:r>
    </w:p>
    <w:tbl>
      <w:tblPr>
        <w:tblStyle w:val="33"/>
        <w:tblW w:w="13882"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88"/>
        <w:gridCol w:w="1520"/>
        <w:gridCol w:w="1598"/>
        <w:gridCol w:w="1276"/>
        <w:gridCol w:w="1701"/>
        <w:gridCol w:w="1559"/>
        <w:gridCol w:w="1761"/>
        <w:gridCol w:w="1562"/>
        <w:gridCol w:w="1317"/>
      </w:tblGrid>
      <w:tr w14:paraId="78B3A88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88" w:type="dxa"/>
            <w:tcBorders>
              <w:tl2br w:val="single" w:color="auto" w:sz="4" w:space="0"/>
            </w:tcBorders>
            <w:tcMar>
              <w:left w:w="28" w:type="dxa"/>
              <w:right w:w="28" w:type="dxa"/>
            </w:tcMar>
            <w:vAlign w:val="center"/>
          </w:tcPr>
          <w:p w14:paraId="74210E19">
            <w:pPr>
              <w:pStyle w:val="14"/>
              <w:rPr>
                <w:rFonts w:cs="Times New Roman"/>
                <w:snapToGrid w:val="0"/>
              </w:rPr>
            </w:pPr>
            <w:r>
              <w:rPr>
                <w:rFonts w:cs="Times New Roman"/>
                <w:snapToGrid w:val="0"/>
              </w:rPr>
              <w:t>项目</w:t>
            </w:r>
          </w:p>
          <w:p w14:paraId="3326DCB4">
            <w:pPr>
              <w:pStyle w:val="14"/>
              <w:rPr>
                <w:rFonts w:cs="Times New Roman"/>
                <w:snapToGrid w:val="0"/>
              </w:rPr>
            </w:pPr>
            <w:r>
              <w:rPr>
                <w:rFonts w:cs="Times New Roman"/>
                <w:snapToGrid w:val="0"/>
              </w:rPr>
              <w:t>分类</w:t>
            </w:r>
          </w:p>
        </w:tc>
        <w:tc>
          <w:tcPr>
            <w:tcW w:w="1520" w:type="dxa"/>
            <w:tcMar>
              <w:left w:w="28" w:type="dxa"/>
              <w:right w:w="28" w:type="dxa"/>
            </w:tcMar>
            <w:vAlign w:val="center"/>
          </w:tcPr>
          <w:p w14:paraId="74EDB689">
            <w:pPr>
              <w:pStyle w:val="14"/>
              <w:rPr>
                <w:rFonts w:cs="Times New Roman"/>
                <w:snapToGrid w:val="0"/>
              </w:rPr>
            </w:pPr>
            <w:r>
              <w:rPr>
                <w:rFonts w:cs="Times New Roman"/>
                <w:snapToGrid w:val="0"/>
              </w:rPr>
              <w:t>污染物名称</w:t>
            </w:r>
          </w:p>
        </w:tc>
        <w:tc>
          <w:tcPr>
            <w:tcW w:w="1598" w:type="dxa"/>
            <w:tcMar>
              <w:left w:w="28" w:type="dxa"/>
              <w:right w:w="28" w:type="dxa"/>
            </w:tcMar>
            <w:vAlign w:val="center"/>
          </w:tcPr>
          <w:p w14:paraId="5E809B1B">
            <w:pPr>
              <w:pStyle w:val="14"/>
              <w:rPr>
                <w:rFonts w:cs="Times New Roman"/>
                <w:snapToGrid w:val="0"/>
              </w:rPr>
            </w:pPr>
            <w:r>
              <w:rPr>
                <w:rFonts w:cs="Times New Roman"/>
                <w:snapToGrid w:val="0"/>
              </w:rPr>
              <w:t>现有工程</w:t>
            </w:r>
          </w:p>
          <w:p w14:paraId="06CB4609">
            <w:pPr>
              <w:pStyle w:val="14"/>
              <w:rPr>
                <w:rFonts w:cs="Times New Roman"/>
                <w:snapToGrid w:val="0"/>
              </w:rPr>
            </w:pPr>
            <w:r>
              <w:rPr>
                <w:rFonts w:cs="Times New Roman"/>
                <w:snapToGrid w:val="0"/>
              </w:rPr>
              <w:t>排放量（固体废物产生量）</w:t>
            </w:r>
            <w:r>
              <w:rPr>
                <w:rFonts w:cs="Times New Roman"/>
                <w:snapToGrid w:val="0"/>
              </w:rPr>
              <w:fldChar w:fldCharType="begin"/>
            </w:r>
            <w:r>
              <w:rPr>
                <w:rFonts w:cs="Times New Roman"/>
                <w:snapToGrid w:val="0"/>
              </w:rPr>
              <w:instrText xml:space="preserve"> = 1 \* GB3 \* MERGEFORMAT </w:instrText>
            </w:r>
            <w:r>
              <w:rPr>
                <w:rFonts w:cs="Times New Roman"/>
                <w:snapToGrid w:val="0"/>
              </w:rPr>
              <w:fldChar w:fldCharType="separate"/>
            </w:r>
            <w:r>
              <w:rPr>
                <w:rFonts w:cs="Times New Roman"/>
              </w:rPr>
              <w:t>①</w:t>
            </w:r>
            <w:r>
              <w:rPr>
                <w:rFonts w:cs="Times New Roman"/>
                <w:snapToGrid w:val="0"/>
              </w:rPr>
              <w:fldChar w:fldCharType="end"/>
            </w:r>
          </w:p>
        </w:tc>
        <w:tc>
          <w:tcPr>
            <w:tcW w:w="1276" w:type="dxa"/>
            <w:tcMar>
              <w:left w:w="28" w:type="dxa"/>
              <w:right w:w="28" w:type="dxa"/>
            </w:tcMar>
            <w:vAlign w:val="center"/>
          </w:tcPr>
          <w:p w14:paraId="3F4A77F9">
            <w:pPr>
              <w:pStyle w:val="14"/>
              <w:rPr>
                <w:rFonts w:cs="Times New Roman"/>
                <w:snapToGrid w:val="0"/>
              </w:rPr>
            </w:pPr>
            <w:r>
              <w:rPr>
                <w:rFonts w:cs="Times New Roman"/>
                <w:snapToGrid w:val="0"/>
              </w:rPr>
              <w:t>现有工程</w:t>
            </w:r>
          </w:p>
          <w:p w14:paraId="26E967D8">
            <w:pPr>
              <w:pStyle w:val="14"/>
              <w:rPr>
                <w:rFonts w:cs="Times New Roman"/>
                <w:snapToGrid w:val="0"/>
              </w:rPr>
            </w:pPr>
            <w:r>
              <w:rPr>
                <w:rFonts w:cs="Times New Roman"/>
                <w:snapToGrid w:val="0"/>
              </w:rPr>
              <w:t>许可排放量</w:t>
            </w:r>
          </w:p>
          <w:p w14:paraId="6341A1E2">
            <w:pPr>
              <w:pStyle w:val="14"/>
              <w:rPr>
                <w:rFonts w:cs="Times New Roman"/>
                <w:snapToGrid w:val="0"/>
              </w:rPr>
            </w:pPr>
            <w:r>
              <w:rPr>
                <w:rFonts w:cs="Times New Roman"/>
                <w:snapToGrid w:val="0"/>
              </w:rPr>
              <w:fldChar w:fldCharType="begin"/>
            </w:r>
            <w:r>
              <w:rPr>
                <w:rFonts w:cs="Times New Roman"/>
                <w:snapToGrid w:val="0"/>
              </w:rPr>
              <w:instrText xml:space="preserve"> = 2 \* GB3 \* MERGEFORMAT </w:instrText>
            </w:r>
            <w:r>
              <w:rPr>
                <w:rFonts w:cs="Times New Roman"/>
                <w:snapToGrid w:val="0"/>
              </w:rPr>
              <w:fldChar w:fldCharType="separate"/>
            </w:r>
            <w:r>
              <w:rPr>
                <w:rFonts w:cs="Times New Roman"/>
                <w:snapToGrid w:val="0"/>
              </w:rPr>
              <w:t>②</w:t>
            </w:r>
            <w:r>
              <w:rPr>
                <w:rFonts w:cs="Times New Roman"/>
                <w:snapToGrid w:val="0"/>
              </w:rPr>
              <w:fldChar w:fldCharType="end"/>
            </w:r>
          </w:p>
        </w:tc>
        <w:tc>
          <w:tcPr>
            <w:tcW w:w="1701" w:type="dxa"/>
            <w:tcMar>
              <w:left w:w="28" w:type="dxa"/>
              <w:right w:w="28" w:type="dxa"/>
            </w:tcMar>
            <w:vAlign w:val="center"/>
          </w:tcPr>
          <w:p w14:paraId="67EC41D3">
            <w:pPr>
              <w:pStyle w:val="14"/>
              <w:rPr>
                <w:rFonts w:cs="Times New Roman"/>
                <w:snapToGrid w:val="0"/>
              </w:rPr>
            </w:pPr>
            <w:r>
              <w:rPr>
                <w:rFonts w:cs="Times New Roman"/>
                <w:snapToGrid w:val="0"/>
              </w:rPr>
              <w:t>在建工程</w:t>
            </w:r>
          </w:p>
          <w:p w14:paraId="6DA63CFA">
            <w:pPr>
              <w:pStyle w:val="14"/>
              <w:rPr>
                <w:rFonts w:cs="Times New Roman"/>
                <w:snapToGrid w:val="0"/>
              </w:rPr>
            </w:pPr>
            <w:r>
              <w:rPr>
                <w:rFonts w:cs="Times New Roman"/>
                <w:snapToGrid w:val="0"/>
              </w:rPr>
              <w:t>排放量（固体废物产生量）</w:t>
            </w:r>
            <w:r>
              <w:rPr>
                <w:rFonts w:cs="Times New Roman"/>
                <w:snapToGrid w:val="0"/>
              </w:rPr>
              <w:fldChar w:fldCharType="begin"/>
            </w:r>
            <w:r>
              <w:rPr>
                <w:rFonts w:cs="Times New Roman"/>
                <w:snapToGrid w:val="0"/>
              </w:rPr>
              <w:instrText xml:space="preserve"> = 3 \* GB3 \* MERGEFORMAT </w:instrText>
            </w:r>
            <w:r>
              <w:rPr>
                <w:rFonts w:cs="Times New Roman"/>
                <w:snapToGrid w:val="0"/>
              </w:rPr>
              <w:fldChar w:fldCharType="separate"/>
            </w:r>
            <w:r>
              <w:rPr>
                <w:rFonts w:cs="Times New Roman"/>
              </w:rPr>
              <w:t>③</w:t>
            </w:r>
            <w:r>
              <w:rPr>
                <w:rFonts w:cs="Times New Roman"/>
                <w:snapToGrid w:val="0"/>
              </w:rPr>
              <w:fldChar w:fldCharType="end"/>
            </w:r>
          </w:p>
        </w:tc>
        <w:tc>
          <w:tcPr>
            <w:tcW w:w="1559" w:type="dxa"/>
            <w:tcMar>
              <w:left w:w="28" w:type="dxa"/>
              <w:right w:w="28" w:type="dxa"/>
            </w:tcMar>
            <w:vAlign w:val="center"/>
          </w:tcPr>
          <w:p w14:paraId="1D7E304B">
            <w:pPr>
              <w:pStyle w:val="14"/>
              <w:rPr>
                <w:rFonts w:cs="Times New Roman"/>
                <w:snapToGrid w:val="0"/>
              </w:rPr>
            </w:pPr>
            <w:r>
              <w:rPr>
                <w:rFonts w:cs="Times New Roman"/>
                <w:snapToGrid w:val="0"/>
              </w:rPr>
              <w:t>本项目</w:t>
            </w:r>
          </w:p>
          <w:p w14:paraId="0D0F6F43">
            <w:pPr>
              <w:pStyle w:val="14"/>
              <w:rPr>
                <w:rFonts w:cs="Times New Roman"/>
                <w:snapToGrid w:val="0"/>
              </w:rPr>
            </w:pPr>
            <w:r>
              <w:rPr>
                <w:rFonts w:cs="Times New Roman"/>
                <w:snapToGrid w:val="0"/>
              </w:rPr>
              <w:t>排放量（固体废物产生量）</w:t>
            </w:r>
            <w:r>
              <w:rPr>
                <w:rFonts w:cs="Times New Roman"/>
                <w:snapToGrid w:val="0"/>
              </w:rPr>
              <w:fldChar w:fldCharType="begin"/>
            </w:r>
            <w:r>
              <w:rPr>
                <w:rFonts w:cs="Times New Roman"/>
                <w:snapToGrid w:val="0"/>
              </w:rPr>
              <w:instrText xml:space="preserve"> = 4 \* GB3 \* MERGEFORMAT </w:instrText>
            </w:r>
            <w:r>
              <w:rPr>
                <w:rFonts w:cs="Times New Roman"/>
                <w:snapToGrid w:val="0"/>
              </w:rPr>
              <w:fldChar w:fldCharType="separate"/>
            </w:r>
            <w:r>
              <w:rPr>
                <w:rFonts w:cs="Times New Roman"/>
              </w:rPr>
              <w:t>④</w:t>
            </w:r>
            <w:r>
              <w:rPr>
                <w:rFonts w:cs="Times New Roman"/>
                <w:snapToGrid w:val="0"/>
              </w:rPr>
              <w:fldChar w:fldCharType="end"/>
            </w:r>
          </w:p>
        </w:tc>
        <w:tc>
          <w:tcPr>
            <w:tcW w:w="1761" w:type="dxa"/>
            <w:tcMar>
              <w:left w:w="28" w:type="dxa"/>
              <w:right w:w="28" w:type="dxa"/>
            </w:tcMar>
            <w:vAlign w:val="center"/>
          </w:tcPr>
          <w:p w14:paraId="242C11CB">
            <w:pPr>
              <w:pStyle w:val="14"/>
              <w:rPr>
                <w:rFonts w:cs="Times New Roman"/>
                <w:snapToGrid w:val="0"/>
              </w:rPr>
            </w:pPr>
            <w:r>
              <w:rPr>
                <w:rFonts w:cs="Times New Roman"/>
                <w:snapToGrid w:val="0"/>
              </w:rPr>
              <w:t>以新带老削减量</w:t>
            </w:r>
          </w:p>
          <w:p w14:paraId="49B351EB">
            <w:pPr>
              <w:pStyle w:val="14"/>
              <w:rPr>
                <w:rFonts w:cs="Times New Roman"/>
                <w:snapToGrid w:val="0"/>
              </w:rPr>
            </w:pPr>
            <w:r>
              <w:rPr>
                <w:rFonts w:cs="Times New Roman"/>
                <w:snapToGrid w:val="0"/>
              </w:rPr>
              <w:t>（新建项目不填）</w:t>
            </w:r>
            <w:r>
              <w:rPr>
                <w:rFonts w:cs="Times New Roman"/>
                <w:snapToGrid w:val="0"/>
              </w:rPr>
              <w:fldChar w:fldCharType="begin"/>
            </w:r>
            <w:r>
              <w:rPr>
                <w:rFonts w:cs="Times New Roman"/>
                <w:snapToGrid w:val="0"/>
              </w:rPr>
              <w:instrText xml:space="preserve"> = 5 \* GB3 \* MERGEFORMAT </w:instrText>
            </w:r>
            <w:r>
              <w:rPr>
                <w:rFonts w:cs="Times New Roman"/>
                <w:snapToGrid w:val="0"/>
              </w:rPr>
              <w:fldChar w:fldCharType="separate"/>
            </w:r>
            <w:r>
              <w:rPr>
                <w:rFonts w:cs="Times New Roman"/>
              </w:rPr>
              <w:t>⑤</w:t>
            </w:r>
            <w:r>
              <w:rPr>
                <w:rFonts w:cs="Times New Roman"/>
                <w:snapToGrid w:val="0"/>
              </w:rPr>
              <w:fldChar w:fldCharType="end"/>
            </w:r>
          </w:p>
        </w:tc>
        <w:tc>
          <w:tcPr>
            <w:tcW w:w="1562" w:type="dxa"/>
            <w:tcMar>
              <w:left w:w="28" w:type="dxa"/>
              <w:right w:w="28" w:type="dxa"/>
            </w:tcMar>
            <w:vAlign w:val="center"/>
          </w:tcPr>
          <w:p w14:paraId="7F5A6E8C">
            <w:pPr>
              <w:pStyle w:val="14"/>
              <w:rPr>
                <w:rFonts w:cs="Times New Roman"/>
                <w:snapToGrid w:val="0"/>
              </w:rPr>
            </w:pPr>
            <w:r>
              <w:rPr>
                <w:rFonts w:cs="Times New Roman"/>
                <w:snapToGrid w:val="0"/>
              </w:rPr>
              <w:t>本项目建成后</w:t>
            </w:r>
          </w:p>
          <w:p w14:paraId="4B4FEA51">
            <w:pPr>
              <w:pStyle w:val="14"/>
              <w:rPr>
                <w:rFonts w:cs="Times New Roman"/>
                <w:snapToGrid w:val="0"/>
              </w:rPr>
            </w:pPr>
            <w:r>
              <w:rPr>
                <w:rFonts w:cs="Times New Roman"/>
                <w:snapToGrid w:val="0"/>
              </w:rPr>
              <w:t>全厂排放量（固体废物产生量）</w:t>
            </w:r>
            <w:r>
              <w:rPr>
                <w:rFonts w:cs="Times New Roman"/>
                <w:snapToGrid w:val="0"/>
              </w:rPr>
              <w:fldChar w:fldCharType="begin"/>
            </w:r>
            <w:r>
              <w:rPr>
                <w:rFonts w:cs="Times New Roman"/>
                <w:snapToGrid w:val="0"/>
              </w:rPr>
              <w:instrText xml:space="preserve"> = 6 \* GB3 \* MERGEFORMAT </w:instrText>
            </w:r>
            <w:r>
              <w:rPr>
                <w:rFonts w:cs="Times New Roman"/>
                <w:snapToGrid w:val="0"/>
              </w:rPr>
              <w:fldChar w:fldCharType="separate"/>
            </w:r>
            <w:r>
              <w:rPr>
                <w:rFonts w:cs="Times New Roman"/>
              </w:rPr>
              <w:t>⑥</w:t>
            </w:r>
            <w:r>
              <w:rPr>
                <w:rFonts w:cs="Times New Roman"/>
                <w:snapToGrid w:val="0"/>
              </w:rPr>
              <w:fldChar w:fldCharType="end"/>
            </w:r>
          </w:p>
        </w:tc>
        <w:tc>
          <w:tcPr>
            <w:tcW w:w="1317" w:type="dxa"/>
            <w:tcMar>
              <w:left w:w="28" w:type="dxa"/>
              <w:right w:w="28" w:type="dxa"/>
            </w:tcMar>
            <w:vAlign w:val="center"/>
          </w:tcPr>
          <w:p w14:paraId="53DD1033">
            <w:pPr>
              <w:pStyle w:val="14"/>
              <w:rPr>
                <w:rFonts w:cs="Times New Roman"/>
                <w:snapToGrid w:val="0"/>
              </w:rPr>
            </w:pPr>
            <w:r>
              <w:rPr>
                <w:rFonts w:cs="Times New Roman"/>
                <w:snapToGrid w:val="0"/>
              </w:rPr>
              <w:t>变化量</w:t>
            </w:r>
          </w:p>
          <w:p w14:paraId="62C34825">
            <w:pPr>
              <w:pStyle w:val="14"/>
              <w:rPr>
                <w:rFonts w:cs="Times New Roman"/>
                <w:snapToGrid w:val="0"/>
              </w:rPr>
            </w:pPr>
            <w:r>
              <w:rPr>
                <w:rFonts w:cs="Times New Roman"/>
                <w:snapToGrid w:val="0"/>
              </w:rPr>
              <w:fldChar w:fldCharType="begin"/>
            </w:r>
            <w:r>
              <w:rPr>
                <w:rFonts w:cs="Times New Roman"/>
                <w:snapToGrid w:val="0"/>
              </w:rPr>
              <w:instrText xml:space="preserve"> = 7 \* GB3 \* MERGEFORMAT </w:instrText>
            </w:r>
            <w:r>
              <w:rPr>
                <w:rFonts w:cs="Times New Roman"/>
                <w:snapToGrid w:val="0"/>
              </w:rPr>
              <w:fldChar w:fldCharType="separate"/>
            </w:r>
            <w:r>
              <w:rPr>
                <w:rFonts w:cs="Times New Roman"/>
              </w:rPr>
              <w:t>⑦</w:t>
            </w:r>
            <w:r>
              <w:rPr>
                <w:rFonts w:cs="Times New Roman"/>
                <w:snapToGrid w:val="0"/>
              </w:rPr>
              <w:fldChar w:fldCharType="end"/>
            </w:r>
          </w:p>
        </w:tc>
      </w:tr>
      <w:tr w14:paraId="5E46321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1588" w:type="dxa"/>
            <w:vMerge w:val="restart"/>
            <w:vAlign w:val="center"/>
          </w:tcPr>
          <w:p w14:paraId="1F5625C1">
            <w:pPr>
              <w:pStyle w:val="14"/>
              <w:rPr>
                <w:rFonts w:cs="Times New Roman"/>
                <w:snapToGrid w:val="0"/>
              </w:rPr>
            </w:pPr>
            <w:r>
              <w:rPr>
                <w:rFonts w:cs="Times New Roman"/>
                <w:snapToGrid w:val="0"/>
              </w:rPr>
              <w:t>废气</w:t>
            </w:r>
          </w:p>
        </w:tc>
        <w:tc>
          <w:tcPr>
            <w:tcW w:w="1520" w:type="dxa"/>
            <w:vAlign w:val="center"/>
          </w:tcPr>
          <w:p w14:paraId="46F332C2">
            <w:pPr>
              <w:pStyle w:val="14"/>
              <w:rPr>
                <w:rFonts w:cs="Times New Roman"/>
              </w:rPr>
            </w:pPr>
            <w:r>
              <w:rPr>
                <w:rFonts w:cs="Times New Roman"/>
                <w:snapToGrid w:val="0"/>
              </w:rPr>
              <w:t>颗粒物（</w:t>
            </w:r>
            <w:r>
              <w:rPr>
                <w:rFonts w:cs="Times New Roman"/>
                <w:snapToGrid w:val="0"/>
                <w:szCs w:val="21"/>
              </w:rPr>
              <w:t>木工粉尘</w:t>
            </w:r>
            <w:r>
              <w:rPr>
                <w:rFonts w:cs="Times New Roman"/>
                <w:snapToGrid w:val="0"/>
              </w:rPr>
              <w:t>）</w:t>
            </w:r>
          </w:p>
        </w:tc>
        <w:tc>
          <w:tcPr>
            <w:tcW w:w="1598" w:type="dxa"/>
            <w:vAlign w:val="center"/>
          </w:tcPr>
          <w:p w14:paraId="7AEF078D">
            <w:pPr>
              <w:pStyle w:val="14"/>
              <w:rPr>
                <w:rFonts w:cs="Times New Roman"/>
              </w:rPr>
            </w:pPr>
            <w:r>
              <w:rPr>
                <w:rFonts w:cs="Times New Roman"/>
                <w:szCs w:val="21"/>
              </w:rPr>
              <w:t>0.0243t/a</w:t>
            </w:r>
          </w:p>
        </w:tc>
        <w:tc>
          <w:tcPr>
            <w:tcW w:w="1276" w:type="dxa"/>
            <w:vAlign w:val="center"/>
          </w:tcPr>
          <w:p w14:paraId="3F01AC93">
            <w:pPr>
              <w:pStyle w:val="14"/>
              <w:rPr>
                <w:rFonts w:cs="Times New Roman"/>
              </w:rPr>
            </w:pPr>
            <w:r>
              <w:rPr>
                <w:rFonts w:cs="Times New Roman"/>
                <w:snapToGrid w:val="0"/>
              </w:rPr>
              <w:t>/</w:t>
            </w:r>
          </w:p>
        </w:tc>
        <w:tc>
          <w:tcPr>
            <w:tcW w:w="1701" w:type="dxa"/>
            <w:vAlign w:val="center"/>
          </w:tcPr>
          <w:p w14:paraId="3E466316">
            <w:pPr>
              <w:pStyle w:val="14"/>
              <w:rPr>
                <w:rFonts w:cs="Times New Roman"/>
              </w:rPr>
            </w:pPr>
            <w:r>
              <w:rPr>
                <w:rFonts w:cs="Times New Roman"/>
                <w:snapToGrid w:val="0"/>
              </w:rPr>
              <w:t>/</w:t>
            </w:r>
          </w:p>
        </w:tc>
        <w:tc>
          <w:tcPr>
            <w:tcW w:w="1559" w:type="dxa"/>
            <w:vAlign w:val="center"/>
          </w:tcPr>
          <w:p w14:paraId="2D541B1C">
            <w:pPr>
              <w:pStyle w:val="14"/>
              <w:rPr>
                <w:rFonts w:cs="Times New Roman"/>
                <w:kern w:val="21"/>
                <w:szCs w:val="21"/>
              </w:rPr>
            </w:pPr>
            <w:r>
              <w:rPr>
                <w:rFonts w:eastAsia="等线" w:cs="Times New Roman"/>
                <w:szCs w:val="21"/>
              </w:rPr>
              <w:t>0</w:t>
            </w:r>
          </w:p>
        </w:tc>
        <w:tc>
          <w:tcPr>
            <w:tcW w:w="1761" w:type="dxa"/>
            <w:vAlign w:val="center"/>
          </w:tcPr>
          <w:p w14:paraId="0EA0CC07">
            <w:pPr>
              <w:pStyle w:val="14"/>
              <w:rPr>
                <w:rFonts w:cs="Times New Roman"/>
              </w:rPr>
            </w:pPr>
            <w:r>
              <w:rPr>
                <w:rFonts w:cs="Times New Roman"/>
                <w:snapToGrid w:val="0"/>
              </w:rPr>
              <w:t>0</w:t>
            </w:r>
          </w:p>
        </w:tc>
        <w:tc>
          <w:tcPr>
            <w:tcW w:w="1562" w:type="dxa"/>
            <w:vAlign w:val="center"/>
          </w:tcPr>
          <w:p w14:paraId="49BFEDA0">
            <w:pPr>
              <w:pStyle w:val="14"/>
              <w:rPr>
                <w:rFonts w:cs="Times New Roman"/>
              </w:rPr>
            </w:pPr>
            <w:r>
              <w:rPr>
                <w:rFonts w:cs="Times New Roman"/>
                <w:szCs w:val="21"/>
              </w:rPr>
              <w:t>0.0243t/a</w:t>
            </w:r>
          </w:p>
        </w:tc>
        <w:tc>
          <w:tcPr>
            <w:tcW w:w="1317" w:type="dxa"/>
            <w:vAlign w:val="center"/>
          </w:tcPr>
          <w:p w14:paraId="630BFF18">
            <w:pPr>
              <w:pStyle w:val="14"/>
              <w:rPr>
                <w:rFonts w:cs="Times New Roman"/>
                <w:kern w:val="21"/>
                <w:szCs w:val="21"/>
              </w:rPr>
            </w:pPr>
            <w:r>
              <w:rPr>
                <w:rFonts w:cs="Times New Roman"/>
                <w:kern w:val="21"/>
                <w:szCs w:val="21"/>
              </w:rPr>
              <w:t>0</w:t>
            </w:r>
          </w:p>
        </w:tc>
      </w:tr>
      <w:tr w14:paraId="6B2C56E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588" w:type="dxa"/>
            <w:vMerge w:val="continue"/>
            <w:vAlign w:val="center"/>
          </w:tcPr>
          <w:p w14:paraId="45FD0F59">
            <w:pPr>
              <w:pStyle w:val="14"/>
              <w:rPr>
                <w:rFonts w:cs="Times New Roman"/>
                <w:snapToGrid w:val="0"/>
                <w:kern w:val="21"/>
                <w:sz w:val="24"/>
              </w:rPr>
            </w:pPr>
          </w:p>
        </w:tc>
        <w:tc>
          <w:tcPr>
            <w:tcW w:w="1520" w:type="dxa"/>
            <w:vAlign w:val="center"/>
          </w:tcPr>
          <w:p w14:paraId="1842A57F">
            <w:pPr>
              <w:pStyle w:val="14"/>
              <w:rPr>
                <w:rFonts w:cs="Times New Roman"/>
                <w:snapToGrid w:val="0"/>
              </w:rPr>
            </w:pPr>
            <w:r>
              <w:rPr>
                <w:rFonts w:cs="Times New Roman"/>
                <w:snapToGrid w:val="0"/>
              </w:rPr>
              <w:t>颗粒物（天然气）</w:t>
            </w:r>
          </w:p>
        </w:tc>
        <w:tc>
          <w:tcPr>
            <w:tcW w:w="1598" w:type="dxa"/>
          </w:tcPr>
          <w:p w14:paraId="4FD3BCA5">
            <w:pPr>
              <w:pStyle w:val="86"/>
              <w:jc w:val="center"/>
              <w:rPr>
                <w:rFonts w:ascii="Times New Roman" w:hAnsi="Times New Roman" w:cs="Times New Roman"/>
                <w:sz w:val="21"/>
                <w:szCs w:val="21"/>
              </w:rPr>
            </w:pPr>
            <w:r>
              <w:rPr>
                <w:rFonts w:hint="eastAsia" w:ascii="Times New Roman" w:hAnsi="Times New Roman" w:cs="Times New Roman"/>
                <w:spacing w:val="7"/>
                <w:sz w:val="21"/>
                <w:szCs w:val="21"/>
                <w:lang w:eastAsia="zh-CN"/>
              </w:rPr>
              <w:t>0</w:t>
            </w:r>
          </w:p>
        </w:tc>
        <w:tc>
          <w:tcPr>
            <w:tcW w:w="1276" w:type="dxa"/>
            <w:vAlign w:val="center"/>
          </w:tcPr>
          <w:p w14:paraId="08F8F909">
            <w:pPr>
              <w:pStyle w:val="14"/>
              <w:rPr>
                <w:rFonts w:cs="Times New Roman"/>
                <w:snapToGrid w:val="0"/>
              </w:rPr>
            </w:pPr>
            <w:r>
              <w:rPr>
                <w:rFonts w:cs="Times New Roman"/>
                <w:snapToGrid w:val="0"/>
              </w:rPr>
              <w:t>/</w:t>
            </w:r>
          </w:p>
        </w:tc>
        <w:tc>
          <w:tcPr>
            <w:tcW w:w="1701" w:type="dxa"/>
            <w:vAlign w:val="center"/>
          </w:tcPr>
          <w:p w14:paraId="527681BF">
            <w:pPr>
              <w:pStyle w:val="14"/>
              <w:rPr>
                <w:rFonts w:cs="Times New Roman"/>
                <w:snapToGrid w:val="0"/>
              </w:rPr>
            </w:pPr>
            <w:r>
              <w:rPr>
                <w:rFonts w:cs="Times New Roman"/>
                <w:snapToGrid w:val="0"/>
              </w:rPr>
              <w:t>/</w:t>
            </w:r>
          </w:p>
        </w:tc>
        <w:tc>
          <w:tcPr>
            <w:tcW w:w="1559" w:type="dxa"/>
          </w:tcPr>
          <w:p w14:paraId="275C4E0F">
            <w:pPr>
              <w:pStyle w:val="86"/>
              <w:jc w:val="center"/>
              <w:rPr>
                <w:rFonts w:ascii="Times New Roman" w:hAnsi="Times New Roman" w:cs="Times New Roman"/>
                <w:sz w:val="21"/>
                <w:szCs w:val="21"/>
              </w:rPr>
            </w:pPr>
            <w:r>
              <w:rPr>
                <w:rFonts w:ascii="Times New Roman" w:hAnsi="Times New Roman" w:cs="Times New Roman"/>
                <w:spacing w:val="7"/>
                <w:sz w:val="21"/>
                <w:szCs w:val="21"/>
                <w:lang w:eastAsia="zh-CN"/>
              </w:rPr>
              <w:t>0.936kg/a</w:t>
            </w:r>
          </w:p>
        </w:tc>
        <w:tc>
          <w:tcPr>
            <w:tcW w:w="1761" w:type="dxa"/>
            <w:vAlign w:val="center"/>
          </w:tcPr>
          <w:p w14:paraId="1B2B6ED7">
            <w:pPr>
              <w:pStyle w:val="14"/>
              <w:rPr>
                <w:rFonts w:cs="Times New Roman"/>
                <w:snapToGrid w:val="0"/>
              </w:rPr>
            </w:pPr>
            <w:r>
              <w:rPr>
                <w:rFonts w:cs="Times New Roman"/>
                <w:snapToGrid w:val="0"/>
              </w:rPr>
              <w:t>0</w:t>
            </w:r>
          </w:p>
        </w:tc>
        <w:tc>
          <w:tcPr>
            <w:tcW w:w="1562" w:type="dxa"/>
          </w:tcPr>
          <w:p w14:paraId="6C47FC54">
            <w:pPr>
              <w:pStyle w:val="86"/>
              <w:jc w:val="center"/>
              <w:rPr>
                <w:rFonts w:ascii="Times New Roman" w:hAnsi="Times New Roman" w:cs="Times New Roman"/>
                <w:sz w:val="21"/>
                <w:szCs w:val="21"/>
              </w:rPr>
            </w:pPr>
            <w:r>
              <w:rPr>
                <w:rFonts w:ascii="Times New Roman" w:hAnsi="Times New Roman" w:cs="Times New Roman"/>
                <w:spacing w:val="7"/>
                <w:sz w:val="21"/>
                <w:szCs w:val="21"/>
                <w:lang w:eastAsia="zh-CN"/>
              </w:rPr>
              <w:t>0.936kg/a</w:t>
            </w:r>
          </w:p>
        </w:tc>
        <w:tc>
          <w:tcPr>
            <w:tcW w:w="1317" w:type="dxa"/>
          </w:tcPr>
          <w:p w14:paraId="20A814A2">
            <w:pPr>
              <w:pStyle w:val="86"/>
              <w:jc w:val="center"/>
              <w:rPr>
                <w:rFonts w:ascii="Times New Roman" w:hAnsi="Times New Roman" w:cs="Times New Roman"/>
                <w:sz w:val="21"/>
                <w:szCs w:val="21"/>
              </w:rPr>
            </w:pPr>
            <w:r>
              <w:rPr>
                <w:rFonts w:ascii="Times New Roman" w:hAnsi="Times New Roman" w:cs="Times New Roman"/>
                <w:spacing w:val="7"/>
                <w:sz w:val="21"/>
                <w:szCs w:val="21"/>
                <w:lang w:eastAsia="zh-CN"/>
              </w:rPr>
              <w:t>+0.936kg/a</w:t>
            </w:r>
          </w:p>
        </w:tc>
      </w:tr>
      <w:tr w14:paraId="49566CE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588" w:type="dxa"/>
            <w:vMerge w:val="continue"/>
            <w:vAlign w:val="center"/>
          </w:tcPr>
          <w:p w14:paraId="1F0EC3C5">
            <w:pPr>
              <w:pStyle w:val="14"/>
              <w:rPr>
                <w:rFonts w:cs="Times New Roman"/>
                <w:snapToGrid w:val="0"/>
                <w:kern w:val="21"/>
                <w:sz w:val="24"/>
              </w:rPr>
            </w:pPr>
          </w:p>
        </w:tc>
        <w:tc>
          <w:tcPr>
            <w:tcW w:w="1520" w:type="dxa"/>
            <w:vAlign w:val="center"/>
          </w:tcPr>
          <w:p w14:paraId="14792D1E">
            <w:pPr>
              <w:pStyle w:val="14"/>
              <w:rPr>
                <w:rFonts w:cs="Times New Roman"/>
                <w:snapToGrid w:val="0"/>
              </w:rPr>
            </w:pPr>
            <w:r>
              <w:rPr>
                <w:rFonts w:cs="Times New Roman"/>
                <w:snapToGrid w:val="0"/>
              </w:rPr>
              <w:t>二氧化硫</w:t>
            </w:r>
          </w:p>
        </w:tc>
        <w:tc>
          <w:tcPr>
            <w:tcW w:w="1598" w:type="dxa"/>
          </w:tcPr>
          <w:p w14:paraId="07C4957E">
            <w:pPr>
              <w:pStyle w:val="86"/>
              <w:jc w:val="center"/>
              <w:rPr>
                <w:rFonts w:ascii="Times New Roman" w:hAnsi="Times New Roman" w:cs="Times New Roman"/>
                <w:sz w:val="21"/>
                <w:szCs w:val="21"/>
                <w:lang w:eastAsia="zh-CN"/>
              </w:rPr>
            </w:pPr>
            <w:r>
              <w:rPr>
                <w:rFonts w:hint="eastAsia" w:ascii="Times New Roman" w:hAnsi="Times New Roman" w:cs="Times New Roman"/>
                <w:sz w:val="21"/>
                <w:szCs w:val="21"/>
                <w:lang w:eastAsia="zh-CN"/>
              </w:rPr>
              <w:t>0</w:t>
            </w:r>
          </w:p>
        </w:tc>
        <w:tc>
          <w:tcPr>
            <w:tcW w:w="1276" w:type="dxa"/>
            <w:vAlign w:val="center"/>
          </w:tcPr>
          <w:p w14:paraId="1BA7C217">
            <w:pPr>
              <w:pStyle w:val="14"/>
              <w:rPr>
                <w:rFonts w:cs="Times New Roman"/>
                <w:snapToGrid w:val="0"/>
              </w:rPr>
            </w:pPr>
          </w:p>
        </w:tc>
        <w:tc>
          <w:tcPr>
            <w:tcW w:w="1701" w:type="dxa"/>
            <w:vAlign w:val="center"/>
          </w:tcPr>
          <w:p w14:paraId="0DCDB27E">
            <w:pPr>
              <w:pStyle w:val="14"/>
              <w:rPr>
                <w:rFonts w:cs="Times New Roman"/>
                <w:snapToGrid w:val="0"/>
              </w:rPr>
            </w:pPr>
          </w:p>
        </w:tc>
        <w:tc>
          <w:tcPr>
            <w:tcW w:w="1559" w:type="dxa"/>
          </w:tcPr>
          <w:p w14:paraId="27453FDA">
            <w:pPr>
              <w:pStyle w:val="86"/>
              <w:jc w:val="center"/>
              <w:rPr>
                <w:rFonts w:ascii="Times New Roman" w:hAnsi="Times New Roman" w:cs="Times New Roman"/>
                <w:sz w:val="21"/>
                <w:szCs w:val="21"/>
              </w:rPr>
            </w:pPr>
            <w:r>
              <w:rPr>
                <w:rFonts w:ascii="Times New Roman" w:hAnsi="Times New Roman" w:cs="Times New Roman"/>
                <w:spacing w:val="7"/>
                <w:sz w:val="21"/>
                <w:szCs w:val="21"/>
                <w:lang w:eastAsia="zh-CN"/>
              </w:rPr>
              <w:t>6.24kg/a</w:t>
            </w:r>
          </w:p>
        </w:tc>
        <w:tc>
          <w:tcPr>
            <w:tcW w:w="1761" w:type="dxa"/>
            <w:vAlign w:val="center"/>
          </w:tcPr>
          <w:p w14:paraId="26AF4AE4">
            <w:pPr>
              <w:pStyle w:val="14"/>
              <w:rPr>
                <w:rFonts w:cs="Times New Roman"/>
                <w:snapToGrid w:val="0"/>
              </w:rPr>
            </w:pPr>
            <w:r>
              <w:rPr>
                <w:rFonts w:cs="Times New Roman"/>
                <w:snapToGrid w:val="0"/>
              </w:rPr>
              <w:t>0</w:t>
            </w:r>
          </w:p>
        </w:tc>
        <w:tc>
          <w:tcPr>
            <w:tcW w:w="1562" w:type="dxa"/>
          </w:tcPr>
          <w:p w14:paraId="2DD8C540">
            <w:pPr>
              <w:pStyle w:val="86"/>
              <w:jc w:val="center"/>
              <w:rPr>
                <w:rFonts w:ascii="Times New Roman" w:hAnsi="Times New Roman" w:cs="Times New Roman"/>
                <w:sz w:val="21"/>
                <w:szCs w:val="21"/>
              </w:rPr>
            </w:pPr>
            <w:r>
              <w:rPr>
                <w:rFonts w:ascii="Times New Roman" w:hAnsi="Times New Roman" w:cs="Times New Roman"/>
                <w:spacing w:val="7"/>
                <w:sz w:val="21"/>
                <w:szCs w:val="21"/>
                <w:lang w:eastAsia="zh-CN"/>
              </w:rPr>
              <w:t>6.24kg/a</w:t>
            </w:r>
          </w:p>
        </w:tc>
        <w:tc>
          <w:tcPr>
            <w:tcW w:w="1317" w:type="dxa"/>
          </w:tcPr>
          <w:p w14:paraId="7013F978">
            <w:pPr>
              <w:pStyle w:val="86"/>
              <w:jc w:val="center"/>
              <w:rPr>
                <w:rFonts w:ascii="Times New Roman" w:hAnsi="Times New Roman" w:cs="Times New Roman"/>
                <w:sz w:val="21"/>
                <w:szCs w:val="21"/>
              </w:rPr>
            </w:pPr>
            <w:r>
              <w:rPr>
                <w:rFonts w:ascii="Times New Roman" w:hAnsi="Times New Roman" w:cs="Times New Roman"/>
                <w:spacing w:val="7"/>
                <w:sz w:val="21"/>
                <w:szCs w:val="21"/>
                <w:lang w:eastAsia="zh-CN"/>
              </w:rPr>
              <w:t>+6.24kg/a</w:t>
            </w:r>
          </w:p>
        </w:tc>
      </w:tr>
      <w:tr w14:paraId="50587E9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588" w:type="dxa"/>
            <w:vMerge w:val="continue"/>
            <w:vAlign w:val="center"/>
          </w:tcPr>
          <w:p w14:paraId="139C9A96">
            <w:pPr>
              <w:pStyle w:val="14"/>
              <w:rPr>
                <w:rFonts w:cs="Times New Roman"/>
                <w:snapToGrid w:val="0"/>
                <w:kern w:val="21"/>
                <w:sz w:val="24"/>
              </w:rPr>
            </w:pPr>
          </w:p>
        </w:tc>
        <w:tc>
          <w:tcPr>
            <w:tcW w:w="1520" w:type="dxa"/>
            <w:vAlign w:val="center"/>
          </w:tcPr>
          <w:p w14:paraId="79E31699">
            <w:pPr>
              <w:pStyle w:val="14"/>
              <w:rPr>
                <w:rFonts w:cs="Times New Roman"/>
                <w:kern w:val="21"/>
                <w:szCs w:val="21"/>
                <w:lang w:bidi="ar"/>
              </w:rPr>
            </w:pPr>
            <w:r>
              <w:rPr>
                <w:rFonts w:cs="Times New Roman"/>
                <w:snapToGrid w:val="0"/>
              </w:rPr>
              <w:t>氮氧化物</w:t>
            </w:r>
          </w:p>
        </w:tc>
        <w:tc>
          <w:tcPr>
            <w:tcW w:w="1598" w:type="dxa"/>
          </w:tcPr>
          <w:p w14:paraId="17E6EEEF">
            <w:pPr>
              <w:pStyle w:val="86"/>
              <w:jc w:val="center"/>
              <w:rPr>
                <w:rFonts w:ascii="Times New Roman" w:hAnsi="Times New Roman" w:cs="Times New Roman"/>
                <w:sz w:val="21"/>
                <w:szCs w:val="21"/>
                <w:lang w:eastAsia="zh-CN"/>
              </w:rPr>
            </w:pPr>
            <w:r>
              <w:rPr>
                <w:rFonts w:hint="eastAsia" w:ascii="Times New Roman" w:hAnsi="Times New Roman" w:cs="Times New Roman"/>
                <w:sz w:val="21"/>
                <w:szCs w:val="21"/>
                <w:lang w:eastAsia="zh-CN"/>
              </w:rPr>
              <w:t>0</w:t>
            </w:r>
          </w:p>
        </w:tc>
        <w:tc>
          <w:tcPr>
            <w:tcW w:w="1276" w:type="dxa"/>
            <w:vAlign w:val="center"/>
          </w:tcPr>
          <w:p w14:paraId="11690A56">
            <w:pPr>
              <w:pStyle w:val="14"/>
              <w:rPr>
                <w:rFonts w:cs="Times New Roman"/>
                <w:snapToGrid w:val="0"/>
              </w:rPr>
            </w:pPr>
          </w:p>
        </w:tc>
        <w:tc>
          <w:tcPr>
            <w:tcW w:w="1701" w:type="dxa"/>
            <w:vAlign w:val="center"/>
          </w:tcPr>
          <w:p w14:paraId="05BE51F9">
            <w:pPr>
              <w:pStyle w:val="14"/>
              <w:rPr>
                <w:rFonts w:cs="Times New Roman"/>
                <w:snapToGrid w:val="0"/>
              </w:rPr>
            </w:pPr>
          </w:p>
        </w:tc>
        <w:tc>
          <w:tcPr>
            <w:tcW w:w="1559" w:type="dxa"/>
          </w:tcPr>
          <w:p w14:paraId="715B70EE">
            <w:pPr>
              <w:pStyle w:val="86"/>
              <w:jc w:val="center"/>
              <w:rPr>
                <w:rFonts w:ascii="Times New Roman" w:hAnsi="Times New Roman" w:cs="Times New Roman"/>
                <w:sz w:val="21"/>
                <w:szCs w:val="21"/>
              </w:rPr>
            </w:pPr>
            <w:r>
              <w:rPr>
                <w:rFonts w:ascii="Times New Roman" w:hAnsi="Times New Roman" w:cs="Times New Roman"/>
                <w:spacing w:val="7"/>
                <w:sz w:val="21"/>
                <w:szCs w:val="21"/>
                <w:lang w:eastAsia="zh-CN"/>
              </w:rPr>
              <w:t>21.75kg/a</w:t>
            </w:r>
          </w:p>
        </w:tc>
        <w:tc>
          <w:tcPr>
            <w:tcW w:w="1761" w:type="dxa"/>
            <w:vAlign w:val="center"/>
          </w:tcPr>
          <w:p w14:paraId="5C08527F">
            <w:pPr>
              <w:pStyle w:val="14"/>
              <w:rPr>
                <w:rFonts w:cs="Times New Roman"/>
                <w:snapToGrid w:val="0"/>
              </w:rPr>
            </w:pPr>
            <w:r>
              <w:rPr>
                <w:rFonts w:cs="Times New Roman"/>
                <w:snapToGrid w:val="0"/>
              </w:rPr>
              <w:t>0</w:t>
            </w:r>
          </w:p>
        </w:tc>
        <w:tc>
          <w:tcPr>
            <w:tcW w:w="1562" w:type="dxa"/>
          </w:tcPr>
          <w:p w14:paraId="4651ABAD">
            <w:pPr>
              <w:pStyle w:val="86"/>
              <w:jc w:val="center"/>
              <w:rPr>
                <w:rFonts w:ascii="Times New Roman" w:hAnsi="Times New Roman" w:cs="Times New Roman"/>
                <w:sz w:val="21"/>
                <w:szCs w:val="21"/>
              </w:rPr>
            </w:pPr>
            <w:r>
              <w:rPr>
                <w:rFonts w:ascii="Times New Roman" w:hAnsi="Times New Roman" w:cs="Times New Roman"/>
                <w:spacing w:val="7"/>
                <w:sz w:val="21"/>
                <w:szCs w:val="21"/>
                <w:lang w:eastAsia="zh-CN"/>
              </w:rPr>
              <w:t>21.75kg/a</w:t>
            </w:r>
          </w:p>
        </w:tc>
        <w:tc>
          <w:tcPr>
            <w:tcW w:w="1317" w:type="dxa"/>
          </w:tcPr>
          <w:p w14:paraId="4633E802">
            <w:pPr>
              <w:pStyle w:val="86"/>
              <w:jc w:val="center"/>
              <w:rPr>
                <w:rFonts w:ascii="Times New Roman" w:hAnsi="Times New Roman" w:cs="Times New Roman"/>
                <w:sz w:val="21"/>
                <w:szCs w:val="21"/>
              </w:rPr>
            </w:pPr>
            <w:r>
              <w:rPr>
                <w:rFonts w:ascii="Times New Roman" w:hAnsi="Times New Roman" w:cs="Times New Roman"/>
                <w:spacing w:val="7"/>
                <w:sz w:val="21"/>
                <w:szCs w:val="21"/>
                <w:lang w:eastAsia="zh-CN"/>
              </w:rPr>
              <w:t>+21.75kg/a</w:t>
            </w:r>
          </w:p>
        </w:tc>
      </w:tr>
      <w:tr w14:paraId="1EF0728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588" w:type="dxa"/>
            <w:vMerge w:val="continue"/>
            <w:vAlign w:val="center"/>
          </w:tcPr>
          <w:p w14:paraId="6DFDA6AB">
            <w:pPr>
              <w:pStyle w:val="14"/>
              <w:rPr>
                <w:rFonts w:cs="Times New Roman"/>
                <w:snapToGrid w:val="0"/>
                <w:kern w:val="21"/>
                <w:sz w:val="24"/>
              </w:rPr>
            </w:pPr>
          </w:p>
        </w:tc>
        <w:tc>
          <w:tcPr>
            <w:tcW w:w="1520" w:type="dxa"/>
            <w:vAlign w:val="center"/>
          </w:tcPr>
          <w:p w14:paraId="36EFEE53">
            <w:pPr>
              <w:pStyle w:val="14"/>
              <w:rPr>
                <w:rFonts w:cs="Times New Roman"/>
                <w:szCs w:val="21"/>
              </w:rPr>
            </w:pPr>
            <w:r>
              <w:rPr>
                <w:rFonts w:cs="Times New Roman"/>
                <w:szCs w:val="21"/>
              </w:rPr>
              <w:t>VOCs</w:t>
            </w:r>
          </w:p>
        </w:tc>
        <w:tc>
          <w:tcPr>
            <w:tcW w:w="1598" w:type="dxa"/>
            <w:vAlign w:val="center"/>
          </w:tcPr>
          <w:p w14:paraId="2D96B7E7">
            <w:pPr>
              <w:pStyle w:val="14"/>
              <w:rPr>
                <w:rFonts w:cs="Times New Roman"/>
                <w:snapToGrid w:val="0"/>
              </w:rPr>
            </w:pPr>
            <w:r>
              <w:rPr>
                <w:rFonts w:cs="Times New Roman"/>
                <w:snapToGrid w:val="0"/>
              </w:rPr>
              <w:t>0.00</w:t>
            </w:r>
            <w:r>
              <w:rPr>
                <w:rFonts w:cs="Times New Roman"/>
                <w:bCs/>
                <w:szCs w:val="21"/>
              </w:rPr>
              <w:t>3t/a</w:t>
            </w:r>
          </w:p>
        </w:tc>
        <w:tc>
          <w:tcPr>
            <w:tcW w:w="1276" w:type="dxa"/>
            <w:vAlign w:val="center"/>
          </w:tcPr>
          <w:p w14:paraId="0A19D2EB">
            <w:pPr>
              <w:pStyle w:val="14"/>
              <w:rPr>
                <w:rFonts w:cs="Times New Roman"/>
                <w:snapToGrid w:val="0"/>
              </w:rPr>
            </w:pPr>
          </w:p>
        </w:tc>
        <w:tc>
          <w:tcPr>
            <w:tcW w:w="1701" w:type="dxa"/>
            <w:vAlign w:val="center"/>
          </w:tcPr>
          <w:p w14:paraId="1BBD251D">
            <w:pPr>
              <w:pStyle w:val="14"/>
              <w:rPr>
                <w:rFonts w:cs="Times New Roman"/>
                <w:snapToGrid w:val="0"/>
              </w:rPr>
            </w:pPr>
          </w:p>
        </w:tc>
        <w:tc>
          <w:tcPr>
            <w:tcW w:w="1559" w:type="dxa"/>
            <w:vAlign w:val="center"/>
          </w:tcPr>
          <w:p w14:paraId="424595AA">
            <w:pPr>
              <w:pStyle w:val="14"/>
              <w:rPr>
                <w:rFonts w:eastAsia="等线" w:cs="Times New Roman"/>
                <w:szCs w:val="21"/>
              </w:rPr>
            </w:pPr>
            <w:r>
              <w:rPr>
                <w:rFonts w:hint="eastAsia"/>
                <w:bCs/>
                <w:szCs w:val="21"/>
              </w:rPr>
              <w:t>0.055t</w:t>
            </w:r>
            <w:r>
              <w:rPr>
                <w:rFonts w:cs="Times New Roman"/>
                <w:bCs/>
                <w:szCs w:val="21"/>
              </w:rPr>
              <w:t xml:space="preserve"> /a</w:t>
            </w:r>
          </w:p>
        </w:tc>
        <w:tc>
          <w:tcPr>
            <w:tcW w:w="1761" w:type="dxa"/>
            <w:vAlign w:val="center"/>
          </w:tcPr>
          <w:p w14:paraId="028B6338">
            <w:pPr>
              <w:pStyle w:val="14"/>
              <w:rPr>
                <w:rFonts w:cs="Times New Roman"/>
                <w:snapToGrid w:val="0"/>
              </w:rPr>
            </w:pPr>
            <w:r>
              <w:rPr>
                <w:rFonts w:cs="Times New Roman"/>
                <w:snapToGrid w:val="0"/>
              </w:rPr>
              <w:t>0</w:t>
            </w:r>
          </w:p>
        </w:tc>
        <w:tc>
          <w:tcPr>
            <w:tcW w:w="1562" w:type="dxa"/>
            <w:vAlign w:val="center"/>
          </w:tcPr>
          <w:p w14:paraId="386A0142">
            <w:pPr>
              <w:pStyle w:val="14"/>
              <w:rPr>
                <w:rFonts w:eastAsia="等线" w:cs="Times New Roman"/>
                <w:szCs w:val="21"/>
              </w:rPr>
            </w:pPr>
            <w:r>
              <w:rPr>
                <w:rFonts w:eastAsia="等线" w:cs="Times New Roman"/>
                <w:szCs w:val="21"/>
              </w:rPr>
              <w:t>0.</w:t>
            </w:r>
            <w:r>
              <w:rPr>
                <w:rFonts w:hint="eastAsia" w:eastAsia="等线" w:cs="Times New Roman"/>
                <w:szCs w:val="21"/>
              </w:rPr>
              <w:t>058</w:t>
            </w:r>
            <w:r>
              <w:rPr>
                <w:rFonts w:cs="Times New Roman"/>
                <w:bCs/>
                <w:szCs w:val="21"/>
              </w:rPr>
              <w:t>t/a</w:t>
            </w:r>
          </w:p>
        </w:tc>
        <w:tc>
          <w:tcPr>
            <w:tcW w:w="1317" w:type="dxa"/>
            <w:vAlign w:val="center"/>
          </w:tcPr>
          <w:p w14:paraId="55BF175F">
            <w:pPr>
              <w:pStyle w:val="14"/>
              <w:rPr>
                <w:rFonts w:eastAsia="等线" w:cs="Times New Roman"/>
                <w:szCs w:val="21"/>
              </w:rPr>
            </w:pPr>
            <w:r>
              <w:rPr>
                <w:rFonts w:eastAsia="等线" w:cs="Times New Roman"/>
                <w:szCs w:val="21"/>
              </w:rPr>
              <w:t>+0.</w:t>
            </w:r>
            <w:r>
              <w:rPr>
                <w:rFonts w:hint="eastAsia" w:eastAsia="等线" w:cs="Times New Roman"/>
                <w:szCs w:val="21"/>
              </w:rPr>
              <w:t>055t</w:t>
            </w:r>
            <w:r>
              <w:rPr>
                <w:rFonts w:cs="Times New Roman"/>
                <w:bCs/>
                <w:szCs w:val="21"/>
              </w:rPr>
              <w:t>/a</w:t>
            </w:r>
          </w:p>
        </w:tc>
      </w:tr>
      <w:tr w14:paraId="4795101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94" w:hRule="atLeast"/>
        </w:trPr>
        <w:tc>
          <w:tcPr>
            <w:tcW w:w="1588" w:type="dxa"/>
            <w:vMerge w:val="restart"/>
            <w:vAlign w:val="center"/>
          </w:tcPr>
          <w:p w14:paraId="0967594D">
            <w:pPr>
              <w:pStyle w:val="14"/>
              <w:rPr>
                <w:rFonts w:cs="Times New Roman"/>
                <w:snapToGrid w:val="0"/>
              </w:rPr>
            </w:pPr>
            <w:r>
              <w:rPr>
                <w:rFonts w:cs="Times New Roman"/>
                <w:snapToGrid w:val="0"/>
              </w:rPr>
              <w:t>废水</w:t>
            </w:r>
          </w:p>
        </w:tc>
        <w:tc>
          <w:tcPr>
            <w:tcW w:w="1520" w:type="dxa"/>
            <w:vAlign w:val="center"/>
          </w:tcPr>
          <w:p w14:paraId="5CD99CC9">
            <w:pPr>
              <w:pStyle w:val="14"/>
              <w:rPr>
                <w:rFonts w:cs="Times New Roman"/>
                <w:kern w:val="21"/>
                <w:szCs w:val="21"/>
                <w:lang w:bidi="ar"/>
              </w:rPr>
            </w:pPr>
            <w:r>
              <w:rPr>
                <w:rFonts w:cs="Times New Roman"/>
                <w:kern w:val="21"/>
                <w:szCs w:val="21"/>
                <w:lang w:bidi="ar"/>
              </w:rPr>
              <w:t>废水量</w:t>
            </w:r>
          </w:p>
        </w:tc>
        <w:tc>
          <w:tcPr>
            <w:tcW w:w="1598" w:type="dxa"/>
            <w:vAlign w:val="center"/>
          </w:tcPr>
          <w:p w14:paraId="2360C59B">
            <w:pPr>
              <w:spacing w:line="240" w:lineRule="auto"/>
              <w:ind w:firstLine="0" w:firstLineChars="0"/>
              <w:jc w:val="center"/>
              <w:rPr>
                <w:rFonts w:cs="Times New Roman"/>
                <w:snapToGrid w:val="0"/>
              </w:rPr>
            </w:pPr>
            <w:r>
              <w:rPr>
                <w:rFonts w:cs="Times New Roman"/>
                <w:sz w:val="21"/>
                <w:szCs w:val="21"/>
              </w:rPr>
              <w:t>1080m</w:t>
            </w:r>
            <w:r>
              <w:rPr>
                <w:rFonts w:cs="Times New Roman"/>
                <w:sz w:val="21"/>
                <w:szCs w:val="21"/>
                <w:vertAlign w:val="superscript"/>
              </w:rPr>
              <w:t>3</w:t>
            </w:r>
            <w:r>
              <w:rPr>
                <w:rFonts w:cs="Times New Roman"/>
                <w:sz w:val="21"/>
                <w:szCs w:val="21"/>
              </w:rPr>
              <w:t>/d</w:t>
            </w:r>
          </w:p>
        </w:tc>
        <w:tc>
          <w:tcPr>
            <w:tcW w:w="1276" w:type="dxa"/>
            <w:vAlign w:val="center"/>
          </w:tcPr>
          <w:p w14:paraId="52898514">
            <w:pPr>
              <w:pStyle w:val="14"/>
              <w:rPr>
                <w:rFonts w:cs="Times New Roman"/>
                <w:snapToGrid w:val="0"/>
              </w:rPr>
            </w:pPr>
            <w:r>
              <w:rPr>
                <w:rFonts w:cs="Times New Roman"/>
                <w:snapToGrid w:val="0"/>
              </w:rPr>
              <w:t>/</w:t>
            </w:r>
          </w:p>
        </w:tc>
        <w:tc>
          <w:tcPr>
            <w:tcW w:w="1701" w:type="dxa"/>
            <w:vAlign w:val="center"/>
          </w:tcPr>
          <w:p w14:paraId="00C32BD5">
            <w:pPr>
              <w:pStyle w:val="14"/>
              <w:rPr>
                <w:rFonts w:cs="Times New Roman"/>
                <w:snapToGrid w:val="0"/>
              </w:rPr>
            </w:pPr>
            <w:r>
              <w:rPr>
                <w:rFonts w:cs="Times New Roman"/>
                <w:snapToGrid w:val="0"/>
              </w:rPr>
              <w:t>/</w:t>
            </w:r>
          </w:p>
        </w:tc>
        <w:tc>
          <w:tcPr>
            <w:tcW w:w="1559" w:type="dxa"/>
            <w:vAlign w:val="center"/>
          </w:tcPr>
          <w:p w14:paraId="5A753C81">
            <w:pPr>
              <w:pStyle w:val="14"/>
              <w:rPr>
                <w:rFonts w:eastAsia="等线" w:cs="Times New Roman"/>
                <w:szCs w:val="21"/>
              </w:rPr>
            </w:pPr>
            <w:r>
              <w:rPr>
                <w:rFonts w:eastAsia="等线" w:cs="Times New Roman"/>
                <w:szCs w:val="21"/>
              </w:rPr>
              <w:t>0</w:t>
            </w:r>
          </w:p>
        </w:tc>
        <w:tc>
          <w:tcPr>
            <w:tcW w:w="1761" w:type="dxa"/>
            <w:vAlign w:val="center"/>
          </w:tcPr>
          <w:p w14:paraId="5E9F0E8F">
            <w:pPr>
              <w:pStyle w:val="14"/>
              <w:rPr>
                <w:rFonts w:cs="Times New Roman"/>
                <w:snapToGrid w:val="0"/>
              </w:rPr>
            </w:pPr>
            <w:r>
              <w:rPr>
                <w:rFonts w:cs="Times New Roman"/>
                <w:snapToGrid w:val="0"/>
              </w:rPr>
              <w:t>/</w:t>
            </w:r>
          </w:p>
        </w:tc>
        <w:tc>
          <w:tcPr>
            <w:tcW w:w="1562" w:type="dxa"/>
            <w:vAlign w:val="center"/>
          </w:tcPr>
          <w:p w14:paraId="16FE6642">
            <w:pPr>
              <w:spacing w:line="240" w:lineRule="auto"/>
              <w:ind w:firstLine="0" w:firstLineChars="0"/>
              <w:jc w:val="center"/>
              <w:rPr>
                <w:rFonts w:cs="Times New Roman"/>
                <w:szCs w:val="21"/>
                <w:lang w:bidi="ar"/>
              </w:rPr>
            </w:pPr>
            <w:r>
              <w:rPr>
                <w:rFonts w:cs="Times New Roman"/>
                <w:sz w:val="21"/>
                <w:szCs w:val="21"/>
              </w:rPr>
              <w:t>1080m</w:t>
            </w:r>
            <w:r>
              <w:rPr>
                <w:rFonts w:cs="Times New Roman"/>
                <w:sz w:val="21"/>
                <w:szCs w:val="21"/>
                <w:vertAlign w:val="superscript"/>
              </w:rPr>
              <w:t>3</w:t>
            </w:r>
            <w:r>
              <w:rPr>
                <w:rFonts w:cs="Times New Roman"/>
                <w:sz w:val="21"/>
                <w:szCs w:val="21"/>
              </w:rPr>
              <w:t>/d</w:t>
            </w:r>
          </w:p>
        </w:tc>
        <w:tc>
          <w:tcPr>
            <w:tcW w:w="1317" w:type="dxa"/>
            <w:vAlign w:val="center"/>
          </w:tcPr>
          <w:p w14:paraId="38A5B171">
            <w:pPr>
              <w:pStyle w:val="14"/>
              <w:rPr>
                <w:rFonts w:eastAsia="等线" w:cs="Times New Roman"/>
                <w:szCs w:val="21"/>
              </w:rPr>
            </w:pPr>
            <w:r>
              <w:rPr>
                <w:rFonts w:eastAsia="等线" w:cs="Times New Roman"/>
                <w:szCs w:val="21"/>
              </w:rPr>
              <w:t>0</w:t>
            </w:r>
          </w:p>
        </w:tc>
      </w:tr>
      <w:tr w14:paraId="7E4B71B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94" w:hRule="atLeast"/>
        </w:trPr>
        <w:tc>
          <w:tcPr>
            <w:tcW w:w="1588" w:type="dxa"/>
            <w:vMerge w:val="continue"/>
            <w:vAlign w:val="center"/>
          </w:tcPr>
          <w:p w14:paraId="3C984775">
            <w:pPr>
              <w:pStyle w:val="14"/>
              <w:rPr>
                <w:rFonts w:cs="Times New Roman"/>
                <w:snapToGrid w:val="0"/>
              </w:rPr>
            </w:pPr>
          </w:p>
        </w:tc>
        <w:tc>
          <w:tcPr>
            <w:tcW w:w="1520" w:type="dxa"/>
            <w:vAlign w:val="center"/>
          </w:tcPr>
          <w:p w14:paraId="38FA374F">
            <w:pPr>
              <w:pStyle w:val="14"/>
              <w:rPr>
                <w:rFonts w:cs="Times New Roman"/>
                <w:kern w:val="21"/>
                <w:szCs w:val="21"/>
              </w:rPr>
            </w:pPr>
            <w:r>
              <w:rPr>
                <w:rFonts w:cs="Times New Roman"/>
                <w:kern w:val="21"/>
                <w:szCs w:val="21"/>
                <w:lang w:bidi="ar"/>
              </w:rPr>
              <w:t>COD</w:t>
            </w:r>
          </w:p>
        </w:tc>
        <w:tc>
          <w:tcPr>
            <w:tcW w:w="1598" w:type="dxa"/>
            <w:vAlign w:val="bottom"/>
          </w:tcPr>
          <w:p w14:paraId="7228A970">
            <w:pPr>
              <w:spacing w:line="240" w:lineRule="auto"/>
              <w:ind w:firstLine="0" w:firstLineChars="0"/>
              <w:jc w:val="center"/>
              <w:rPr>
                <w:rFonts w:cs="Times New Roman"/>
              </w:rPr>
            </w:pPr>
            <w:r>
              <w:rPr>
                <w:rFonts w:cs="Times New Roman"/>
                <w:sz w:val="21"/>
                <w:szCs w:val="21"/>
              </w:rPr>
              <w:t>0.54t/a</w:t>
            </w:r>
          </w:p>
        </w:tc>
        <w:tc>
          <w:tcPr>
            <w:tcW w:w="1276" w:type="dxa"/>
            <w:vAlign w:val="center"/>
          </w:tcPr>
          <w:p w14:paraId="1CF9226E">
            <w:pPr>
              <w:pStyle w:val="14"/>
              <w:rPr>
                <w:rFonts w:cs="Times New Roman"/>
              </w:rPr>
            </w:pPr>
            <w:r>
              <w:rPr>
                <w:rFonts w:cs="Times New Roman"/>
                <w:snapToGrid w:val="0"/>
              </w:rPr>
              <w:t>/</w:t>
            </w:r>
          </w:p>
        </w:tc>
        <w:tc>
          <w:tcPr>
            <w:tcW w:w="1701" w:type="dxa"/>
            <w:vAlign w:val="center"/>
          </w:tcPr>
          <w:p w14:paraId="1CAA8970">
            <w:pPr>
              <w:pStyle w:val="14"/>
              <w:rPr>
                <w:rFonts w:cs="Times New Roman"/>
              </w:rPr>
            </w:pPr>
            <w:r>
              <w:rPr>
                <w:rFonts w:cs="Times New Roman"/>
                <w:snapToGrid w:val="0"/>
              </w:rPr>
              <w:t>/</w:t>
            </w:r>
          </w:p>
        </w:tc>
        <w:tc>
          <w:tcPr>
            <w:tcW w:w="1559" w:type="dxa"/>
            <w:vAlign w:val="center"/>
          </w:tcPr>
          <w:p w14:paraId="55675F5C">
            <w:pPr>
              <w:widowControl/>
              <w:spacing w:line="240" w:lineRule="auto"/>
              <w:ind w:firstLine="0" w:firstLineChars="0"/>
              <w:jc w:val="center"/>
              <w:rPr>
                <w:rFonts w:eastAsia="等线" w:cs="Times New Roman"/>
                <w:kern w:val="21"/>
                <w:szCs w:val="21"/>
              </w:rPr>
            </w:pPr>
            <w:r>
              <w:rPr>
                <w:rFonts w:eastAsia="等线" w:cs="Times New Roman"/>
                <w:sz w:val="21"/>
                <w:szCs w:val="21"/>
              </w:rPr>
              <w:t>0</w:t>
            </w:r>
          </w:p>
        </w:tc>
        <w:tc>
          <w:tcPr>
            <w:tcW w:w="1761" w:type="dxa"/>
            <w:vAlign w:val="center"/>
          </w:tcPr>
          <w:p w14:paraId="79C225CF">
            <w:pPr>
              <w:pStyle w:val="14"/>
              <w:rPr>
                <w:rFonts w:cs="Times New Roman"/>
              </w:rPr>
            </w:pPr>
            <w:r>
              <w:rPr>
                <w:rFonts w:cs="Times New Roman"/>
                <w:snapToGrid w:val="0"/>
              </w:rPr>
              <w:t>/</w:t>
            </w:r>
          </w:p>
        </w:tc>
        <w:tc>
          <w:tcPr>
            <w:tcW w:w="1562" w:type="dxa"/>
            <w:vAlign w:val="bottom"/>
          </w:tcPr>
          <w:p w14:paraId="28316ACA">
            <w:pPr>
              <w:spacing w:line="240" w:lineRule="auto"/>
              <w:ind w:firstLine="0" w:firstLineChars="0"/>
              <w:jc w:val="center"/>
              <w:rPr>
                <w:rFonts w:cs="Times New Roman"/>
                <w:kern w:val="21"/>
                <w:szCs w:val="21"/>
              </w:rPr>
            </w:pPr>
            <w:r>
              <w:rPr>
                <w:rFonts w:cs="Times New Roman"/>
                <w:sz w:val="21"/>
                <w:szCs w:val="21"/>
              </w:rPr>
              <w:t>0.54t/a</w:t>
            </w:r>
          </w:p>
        </w:tc>
        <w:tc>
          <w:tcPr>
            <w:tcW w:w="1317" w:type="dxa"/>
            <w:vAlign w:val="center"/>
          </w:tcPr>
          <w:p w14:paraId="0ADA9324">
            <w:pPr>
              <w:widowControl/>
              <w:spacing w:line="240" w:lineRule="auto"/>
              <w:ind w:firstLine="0" w:firstLineChars="0"/>
              <w:jc w:val="center"/>
              <w:rPr>
                <w:rFonts w:eastAsia="等线" w:cs="Times New Roman"/>
                <w:kern w:val="21"/>
                <w:szCs w:val="21"/>
              </w:rPr>
            </w:pPr>
            <w:r>
              <w:rPr>
                <w:rFonts w:eastAsia="等线" w:cs="Times New Roman"/>
                <w:sz w:val="21"/>
                <w:szCs w:val="21"/>
              </w:rPr>
              <w:t>0</w:t>
            </w:r>
          </w:p>
        </w:tc>
      </w:tr>
      <w:tr w14:paraId="563FF9E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1588" w:type="dxa"/>
            <w:vMerge w:val="continue"/>
            <w:vAlign w:val="center"/>
          </w:tcPr>
          <w:p w14:paraId="2F55742F">
            <w:pPr>
              <w:pStyle w:val="14"/>
              <w:rPr>
                <w:rFonts w:cs="Times New Roman"/>
                <w:snapToGrid w:val="0"/>
                <w:kern w:val="21"/>
                <w:sz w:val="24"/>
              </w:rPr>
            </w:pPr>
          </w:p>
        </w:tc>
        <w:tc>
          <w:tcPr>
            <w:tcW w:w="1520" w:type="dxa"/>
            <w:vAlign w:val="center"/>
          </w:tcPr>
          <w:p w14:paraId="7C5703AA">
            <w:pPr>
              <w:pStyle w:val="14"/>
              <w:rPr>
                <w:rFonts w:cs="Times New Roman"/>
                <w:kern w:val="21"/>
                <w:szCs w:val="21"/>
                <w:lang w:bidi="ar"/>
              </w:rPr>
            </w:pPr>
            <w:r>
              <w:rPr>
                <w:rFonts w:cs="Times New Roman"/>
                <w:kern w:val="21"/>
                <w:szCs w:val="21"/>
                <w:lang w:bidi="ar"/>
              </w:rPr>
              <w:t>BOD</w:t>
            </w:r>
          </w:p>
        </w:tc>
        <w:tc>
          <w:tcPr>
            <w:tcW w:w="1598" w:type="dxa"/>
            <w:vAlign w:val="bottom"/>
          </w:tcPr>
          <w:p w14:paraId="313493BC">
            <w:pPr>
              <w:spacing w:line="240" w:lineRule="auto"/>
              <w:ind w:firstLine="0" w:firstLineChars="0"/>
              <w:jc w:val="center"/>
              <w:rPr>
                <w:rFonts w:cs="Times New Roman"/>
                <w:snapToGrid w:val="0"/>
              </w:rPr>
            </w:pPr>
            <w:r>
              <w:rPr>
                <w:rFonts w:cs="Times New Roman"/>
                <w:sz w:val="21"/>
                <w:szCs w:val="21"/>
              </w:rPr>
              <w:t>0.324t/a</w:t>
            </w:r>
          </w:p>
        </w:tc>
        <w:tc>
          <w:tcPr>
            <w:tcW w:w="1276" w:type="dxa"/>
            <w:vAlign w:val="center"/>
          </w:tcPr>
          <w:p w14:paraId="49145A41">
            <w:pPr>
              <w:pStyle w:val="14"/>
              <w:rPr>
                <w:rFonts w:cs="Times New Roman"/>
                <w:snapToGrid w:val="0"/>
              </w:rPr>
            </w:pPr>
            <w:r>
              <w:rPr>
                <w:rFonts w:cs="Times New Roman"/>
                <w:snapToGrid w:val="0"/>
              </w:rPr>
              <w:t>/</w:t>
            </w:r>
          </w:p>
        </w:tc>
        <w:tc>
          <w:tcPr>
            <w:tcW w:w="1701" w:type="dxa"/>
            <w:vAlign w:val="center"/>
          </w:tcPr>
          <w:p w14:paraId="2CD749FA">
            <w:pPr>
              <w:pStyle w:val="14"/>
              <w:rPr>
                <w:rFonts w:cs="Times New Roman"/>
                <w:snapToGrid w:val="0"/>
              </w:rPr>
            </w:pPr>
            <w:r>
              <w:rPr>
                <w:rFonts w:cs="Times New Roman"/>
                <w:snapToGrid w:val="0"/>
              </w:rPr>
              <w:t>/</w:t>
            </w:r>
          </w:p>
        </w:tc>
        <w:tc>
          <w:tcPr>
            <w:tcW w:w="1559" w:type="dxa"/>
            <w:vAlign w:val="center"/>
          </w:tcPr>
          <w:p w14:paraId="5A3DD7E8">
            <w:pPr>
              <w:widowControl/>
              <w:spacing w:line="240" w:lineRule="auto"/>
              <w:ind w:firstLine="0" w:firstLineChars="0"/>
              <w:jc w:val="center"/>
              <w:rPr>
                <w:rFonts w:eastAsia="等线" w:cs="Times New Roman"/>
                <w:sz w:val="21"/>
                <w:szCs w:val="21"/>
              </w:rPr>
            </w:pPr>
            <w:r>
              <w:rPr>
                <w:rFonts w:eastAsia="等线" w:cs="Times New Roman"/>
                <w:sz w:val="21"/>
                <w:szCs w:val="21"/>
              </w:rPr>
              <w:t>0</w:t>
            </w:r>
          </w:p>
        </w:tc>
        <w:tc>
          <w:tcPr>
            <w:tcW w:w="1761" w:type="dxa"/>
            <w:vAlign w:val="center"/>
          </w:tcPr>
          <w:p w14:paraId="1190C231">
            <w:pPr>
              <w:pStyle w:val="14"/>
              <w:rPr>
                <w:rFonts w:cs="Times New Roman"/>
                <w:snapToGrid w:val="0"/>
              </w:rPr>
            </w:pPr>
            <w:r>
              <w:rPr>
                <w:rFonts w:cs="Times New Roman"/>
                <w:snapToGrid w:val="0"/>
              </w:rPr>
              <w:t>/</w:t>
            </w:r>
          </w:p>
        </w:tc>
        <w:tc>
          <w:tcPr>
            <w:tcW w:w="1562" w:type="dxa"/>
            <w:vAlign w:val="bottom"/>
          </w:tcPr>
          <w:p w14:paraId="79767C48">
            <w:pPr>
              <w:spacing w:line="240" w:lineRule="auto"/>
              <w:ind w:firstLine="0" w:firstLineChars="0"/>
              <w:jc w:val="center"/>
              <w:rPr>
                <w:rFonts w:eastAsia="等线" w:cs="Times New Roman"/>
                <w:szCs w:val="21"/>
              </w:rPr>
            </w:pPr>
            <w:r>
              <w:rPr>
                <w:rFonts w:cs="Times New Roman"/>
                <w:sz w:val="21"/>
                <w:szCs w:val="21"/>
              </w:rPr>
              <w:t>0.324t/a</w:t>
            </w:r>
          </w:p>
        </w:tc>
        <w:tc>
          <w:tcPr>
            <w:tcW w:w="1317" w:type="dxa"/>
            <w:vAlign w:val="center"/>
          </w:tcPr>
          <w:p w14:paraId="518AD5FC">
            <w:pPr>
              <w:widowControl/>
              <w:spacing w:line="240" w:lineRule="auto"/>
              <w:ind w:firstLine="0" w:firstLineChars="0"/>
              <w:jc w:val="center"/>
              <w:rPr>
                <w:rFonts w:eastAsia="等线" w:cs="Times New Roman"/>
                <w:sz w:val="21"/>
                <w:szCs w:val="21"/>
              </w:rPr>
            </w:pPr>
            <w:r>
              <w:rPr>
                <w:rFonts w:eastAsia="等线" w:cs="Times New Roman"/>
                <w:sz w:val="21"/>
                <w:szCs w:val="21"/>
              </w:rPr>
              <w:t>0</w:t>
            </w:r>
          </w:p>
        </w:tc>
      </w:tr>
      <w:tr w14:paraId="5AAD99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1588" w:type="dxa"/>
            <w:vMerge w:val="continue"/>
            <w:vAlign w:val="center"/>
          </w:tcPr>
          <w:p w14:paraId="6F627565">
            <w:pPr>
              <w:pStyle w:val="14"/>
              <w:rPr>
                <w:rFonts w:cs="Times New Roman"/>
                <w:snapToGrid w:val="0"/>
                <w:kern w:val="21"/>
                <w:sz w:val="24"/>
              </w:rPr>
            </w:pPr>
          </w:p>
        </w:tc>
        <w:tc>
          <w:tcPr>
            <w:tcW w:w="1520" w:type="dxa"/>
            <w:vAlign w:val="center"/>
          </w:tcPr>
          <w:p w14:paraId="2F3E8E2A">
            <w:pPr>
              <w:spacing w:line="240" w:lineRule="auto"/>
              <w:ind w:firstLine="0" w:firstLineChars="0"/>
              <w:jc w:val="center"/>
              <w:rPr>
                <w:rFonts w:cs="Times New Roman"/>
                <w:kern w:val="21"/>
                <w:szCs w:val="21"/>
                <w:lang w:bidi="ar"/>
              </w:rPr>
            </w:pPr>
            <w:r>
              <w:rPr>
                <w:rFonts w:cs="Times New Roman"/>
                <w:bCs/>
                <w:kern w:val="0"/>
                <w:sz w:val="21"/>
                <w:szCs w:val="21"/>
              </w:rPr>
              <w:t>TP</w:t>
            </w:r>
          </w:p>
        </w:tc>
        <w:tc>
          <w:tcPr>
            <w:tcW w:w="1598" w:type="dxa"/>
            <w:vAlign w:val="bottom"/>
          </w:tcPr>
          <w:p w14:paraId="0DE0BF72">
            <w:pPr>
              <w:spacing w:line="240" w:lineRule="auto"/>
              <w:ind w:firstLine="0" w:firstLineChars="0"/>
              <w:jc w:val="center"/>
              <w:rPr>
                <w:rFonts w:cs="Times New Roman"/>
                <w:snapToGrid w:val="0"/>
              </w:rPr>
            </w:pPr>
            <w:r>
              <w:rPr>
                <w:rFonts w:cs="Times New Roman"/>
                <w:sz w:val="21"/>
                <w:szCs w:val="21"/>
              </w:rPr>
              <w:t>0.009t/a</w:t>
            </w:r>
          </w:p>
        </w:tc>
        <w:tc>
          <w:tcPr>
            <w:tcW w:w="1276" w:type="dxa"/>
            <w:vAlign w:val="center"/>
          </w:tcPr>
          <w:p w14:paraId="021D3842">
            <w:pPr>
              <w:pStyle w:val="14"/>
              <w:rPr>
                <w:rFonts w:cs="Times New Roman"/>
                <w:snapToGrid w:val="0"/>
              </w:rPr>
            </w:pPr>
            <w:r>
              <w:rPr>
                <w:rFonts w:cs="Times New Roman"/>
                <w:snapToGrid w:val="0"/>
              </w:rPr>
              <w:t>/</w:t>
            </w:r>
          </w:p>
        </w:tc>
        <w:tc>
          <w:tcPr>
            <w:tcW w:w="1701" w:type="dxa"/>
            <w:vAlign w:val="center"/>
          </w:tcPr>
          <w:p w14:paraId="3603E62A">
            <w:pPr>
              <w:pStyle w:val="14"/>
              <w:rPr>
                <w:rFonts w:cs="Times New Roman"/>
                <w:snapToGrid w:val="0"/>
              </w:rPr>
            </w:pPr>
            <w:r>
              <w:rPr>
                <w:rFonts w:cs="Times New Roman"/>
                <w:snapToGrid w:val="0"/>
              </w:rPr>
              <w:t>/</w:t>
            </w:r>
          </w:p>
        </w:tc>
        <w:tc>
          <w:tcPr>
            <w:tcW w:w="1559" w:type="dxa"/>
            <w:vAlign w:val="center"/>
          </w:tcPr>
          <w:p w14:paraId="4EA196DA">
            <w:pPr>
              <w:widowControl/>
              <w:spacing w:line="240" w:lineRule="auto"/>
              <w:ind w:firstLine="0" w:firstLineChars="0"/>
              <w:jc w:val="center"/>
              <w:rPr>
                <w:rFonts w:eastAsia="等线" w:cs="Times New Roman"/>
                <w:sz w:val="21"/>
                <w:szCs w:val="21"/>
              </w:rPr>
            </w:pPr>
            <w:r>
              <w:rPr>
                <w:rFonts w:eastAsia="等线" w:cs="Times New Roman"/>
                <w:sz w:val="21"/>
                <w:szCs w:val="21"/>
              </w:rPr>
              <w:t>0</w:t>
            </w:r>
          </w:p>
        </w:tc>
        <w:tc>
          <w:tcPr>
            <w:tcW w:w="1761" w:type="dxa"/>
            <w:vAlign w:val="center"/>
          </w:tcPr>
          <w:p w14:paraId="2824FF84">
            <w:pPr>
              <w:pStyle w:val="14"/>
              <w:rPr>
                <w:rFonts w:cs="Times New Roman"/>
                <w:snapToGrid w:val="0"/>
              </w:rPr>
            </w:pPr>
            <w:r>
              <w:rPr>
                <w:rFonts w:cs="Times New Roman"/>
                <w:snapToGrid w:val="0"/>
              </w:rPr>
              <w:t>/</w:t>
            </w:r>
          </w:p>
        </w:tc>
        <w:tc>
          <w:tcPr>
            <w:tcW w:w="1562" w:type="dxa"/>
            <w:vAlign w:val="bottom"/>
          </w:tcPr>
          <w:p w14:paraId="2E6B2805">
            <w:pPr>
              <w:spacing w:line="240" w:lineRule="auto"/>
              <w:ind w:firstLine="0" w:firstLineChars="0"/>
              <w:jc w:val="center"/>
              <w:rPr>
                <w:rFonts w:eastAsia="等线" w:cs="Times New Roman"/>
                <w:szCs w:val="21"/>
              </w:rPr>
            </w:pPr>
            <w:r>
              <w:rPr>
                <w:rFonts w:cs="Times New Roman"/>
                <w:sz w:val="21"/>
                <w:szCs w:val="21"/>
              </w:rPr>
              <w:t>0.009t/a</w:t>
            </w:r>
          </w:p>
        </w:tc>
        <w:tc>
          <w:tcPr>
            <w:tcW w:w="1317" w:type="dxa"/>
            <w:vAlign w:val="center"/>
          </w:tcPr>
          <w:p w14:paraId="5FEB2314">
            <w:pPr>
              <w:widowControl/>
              <w:spacing w:line="240" w:lineRule="auto"/>
              <w:ind w:firstLine="0" w:firstLineChars="0"/>
              <w:jc w:val="center"/>
              <w:rPr>
                <w:rFonts w:eastAsia="等线" w:cs="Times New Roman"/>
                <w:sz w:val="21"/>
                <w:szCs w:val="21"/>
              </w:rPr>
            </w:pPr>
            <w:r>
              <w:rPr>
                <w:rFonts w:eastAsia="等线" w:cs="Times New Roman"/>
                <w:sz w:val="21"/>
                <w:szCs w:val="21"/>
              </w:rPr>
              <w:t>0</w:t>
            </w:r>
          </w:p>
        </w:tc>
      </w:tr>
      <w:tr w14:paraId="5920518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1588" w:type="dxa"/>
            <w:vMerge w:val="continue"/>
            <w:vAlign w:val="center"/>
          </w:tcPr>
          <w:p w14:paraId="50DCDDB4">
            <w:pPr>
              <w:pStyle w:val="14"/>
              <w:rPr>
                <w:rFonts w:cs="Times New Roman"/>
                <w:snapToGrid w:val="0"/>
                <w:kern w:val="21"/>
                <w:sz w:val="24"/>
              </w:rPr>
            </w:pPr>
          </w:p>
        </w:tc>
        <w:tc>
          <w:tcPr>
            <w:tcW w:w="1520" w:type="dxa"/>
            <w:vAlign w:val="center"/>
          </w:tcPr>
          <w:p w14:paraId="443217BC">
            <w:pPr>
              <w:spacing w:line="240" w:lineRule="auto"/>
              <w:ind w:firstLine="0" w:firstLineChars="0"/>
              <w:jc w:val="center"/>
              <w:rPr>
                <w:rFonts w:cs="Times New Roman"/>
                <w:kern w:val="21"/>
                <w:szCs w:val="21"/>
              </w:rPr>
            </w:pPr>
            <w:r>
              <w:rPr>
                <w:rFonts w:cs="Times New Roman"/>
                <w:bCs/>
                <w:sz w:val="21"/>
                <w:szCs w:val="21"/>
              </w:rPr>
              <w:t>NH</w:t>
            </w:r>
            <w:r>
              <w:rPr>
                <w:rFonts w:cs="Times New Roman"/>
                <w:bCs/>
                <w:sz w:val="21"/>
                <w:szCs w:val="21"/>
                <w:vertAlign w:val="subscript"/>
              </w:rPr>
              <w:t>3</w:t>
            </w:r>
            <w:r>
              <w:rPr>
                <w:rFonts w:cs="Times New Roman"/>
                <w:bCs/>
                <w:sz w:val="21"/>
                <w:szCs w:val="21"/>
              </w:rPr>
              <w:t>-N</w:t>
            </w:r>
          </w:p>
        </w:tc>
        <w:tc>
          <w:tcPr>
            <w:tcW w:w="1598" w:type="dxa"/>
            <w:vAlign w:val="bottom"/>
          </w:tcPr>
          <w:p w14:paraId="50C55CDD">
            <w:pPr>
              <w:spacing w:line="240" w:lineRule="auto"/>
              <w:ind w:firstLine="0" w:firstLineChars="0"/>
              <w:jc w:val="center"/>
              <w:rPr>
                <w:rFonts w:cs="Times New Roman"/>
              </w:rPr>
            </w:pPr>
            <w:r>
              <w:rPr>
                <w:rFonts w:cs="Times New Roman"/>
                <w:sz w:val="21"/>
                <w:szCs w:val="21"/>
              </w:rPr>
              <w:t>0.049t/a</w:t>
            </w:r>
          </w:p>
        </w:tc>
        <w:tc>
          <w:tcPr>
            <w:tcW w:w="1276" w:type="dxa"/>
            <w:vAlign w:val="center"/>
          </w:tcPr>
          <w:p w14:paraId="3E8874C2">
            <w:pPr>
              <w:pStyle w:val="14"/>
              <w:rPr>
                <w:rFonts w:cs="Times New Roman"/>
              </w:rPr>
            </w:pPr>
            <w:r>
              <w:rPr>
                <w:rFonts w:cs="Times New Roman"/>
                <w:snapToGrid w:val="0"/>
              </w:rPr>
              <w:t>/</w:t>
            </w:r>
          </w:p>
        </w:tc>
        <w:tc>
          <w:tcPr>
            <w:tcW w:w="1701" w:type="dxa"/>
            <w:vAlign w:val="center"/>
          </w:tcPr>
          <w:p w14:paraId="13F41497">
            <w:pPr>
              <w:pStyle w:val="14"/>
              <w:rPr>
                <w:rFonts w:cs="Times New Roman"/>
              </w:rPr>
            </w:pPr>
            <w:r>
              <w:rPr>
                <w:rFonts w:cs="Times New Roman"/>
                <w:snapToGrid w:val="0"/>
              </w:rPr>
              <w:t>/</w:t>
            </w:r>
          </w:p>
        </w:tc>
        <w:tc>
          <w:tcPr>
            <w:tcW w:w="1559" w:type="dxa"/>
            <w:vAlign w:val="center"/>
          </w:tcPr>
          <w:p w14:paraId="15C69DBB">
            <w:pPr>
              <w:widowControl/>
              <w:spacing w:line="240" w:lineRule="auto"/>
              <w:ind w:firstLine="0" w:firstLineChars="0"/>
              <w:jc w:val="center"/>
              <w:rPr>
                <w:rFonts w:eastAsia="等线" w:cs="Times New Roman"/>
                <w:kern w:val="21"/>
                <w:szCs w:val="21"/>
              </w:rPr>
            </w:pPr>
            <w:r>
              <w:rPr>
                <w:rFonts w:eastAsia="等线" w:cs="Times New Roman"/>
                <w:sz w:val="21"/>
                <w:szCs w:val="21"/>
              </w:rPr>
              <w:t>0</w:t>
            </w:r>
          </w:p>
        </w:tc>
        <w:tc>
          <w:tcPr>
            <w:tcW w:w="1761" w:type="dxa"/>
            <w:vAlign w:val="center"/>
          </w:tcPr>
          <w:p w14:paraId="7F9DBD3C">
            <w:pPr>
              <w:pStyle w:val="14"/>
              <w:rPr>
                <w:rFonts w:cs="Times New Roman"/>
              </w:rPr>
            </w:pPr>
            <w:r>
              <w:rPr>
                <w:rFonts w:cs="Times New Roman"/>
                <w:snapToGrid w:val="0"/>
              </w:rPr>
              <w:t>/</w:t>
            </w:r>
          </w:p>
        </w:tc>
        <w:tc>
          <w:tcPr>
            <w:tcW w:w="1562" w:type="dxa"/>
            <w:vAlign w:val="bottom"/>
          </w:tcPr>
          <w:p w14:paraId="6171B0BD">
            <w:pPr>
              <w:spacing w:line="240" w:lineRule="auto"/>
              <w:ind w:firstLine="0" w:firstLineChars="0"/>
              <w:jc w:val="center"/>
              <w:rPr>
                <w:rFonts w:cs="Times New Roman"/>
                <w:kern w:val="21"/>
                <w:szCs w:val="21"/>
              </w:rPr>
            </w:pPr>
            <w:r>
              <w:rPr>
                <w:rFonts w:cs="Times New Roman"/>
                <w:sz w:val="21"/>
                <w:szCs w:val="21"/>
              </w:rPr>
              <w:t>0.049t/a</w:t>
            </w:r>
          </w:p>
        </w:tc>
        <w:tc>
          <w:tcPr>
            <w:tcW w:w="1317" w:type="dxa"/>
            <w:vAlign w:val="center"/>
          </w:tcPr>
          <w:p w14:paraId="61962BEF">
            <w:pPr>
              <w:widowControl/>
              <w:spacing w:line="240" w:lineRule="auto"/>
              <w:ind w:firstLine="0" w:firstLineChars="0"/>
              <w:jc w:val="center"/>
              <w:rPr>
                <w:rFonts w:eastAsia="等线" w:cs="Times New Roman"/>
                <w:kern w:val="21"/>
                <w:szCs w:val="21"/>
              </w:rPr>
            </w:pPr>
            <w:r>
              <w:rPr>
                <w:rFonts w:eastAsia="等线" w:cs="Times New Roman"/>
                <w:sz w:val="21"/>
                <w:szCs w:val="21"/>
              </w:rPr>
              <w:t>0</w:t>
            </w:r>
          </w:p>
        </w:tc>
      </w:tr>
      <w:tr w14:paraId="4D1711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1588" w:type="dxa"/>
            <w:vMerge w:val="restart"/>
            <w:vAlign w:val="center"/>
          </w:tcPr>
          <w:p w14:paraId="47E4A2DA">
            <w:pPr>
              <w:pStyle w:val="14"/>
              <w:rPr>
                <w:rFonts w:cs="Times New Roman"/>
                <w:snapToGrid w:val="0"/>
              </w:rPr>
            </w:pPr>
            <w:r>
              <w:rPr>
                <w:rFonts w:cs="Times New Roman"/>
                <w:snapToGrid w:val="0"/>
              </w:rPr>
              <w:t>一般工业</w:t>
            </w:r>
          </w:p>
          <w:p w14:paraId="294853DF">
            <w:pPr>
              <w:pStyle w:val="14"/>
              <w:rPr>
                <w:rFonts w:cs="Times New Roman"/>
                <w:snapToGrid w:val="0"/>
              </w:rPr>
            </w:pPr>
            <w:r>
              <w:rPr>
                <w:rFonts w:cs="Times New Roman"/>
                <w:snapToGrid w:val="0"/>
              </w:rPr>
              <w:t>固体废物</w:t>
            </w:r>
          </w:p>
        </w:tc>
        <w:tc>
          <w:tcPr>
            <w:tcW w:w="1520" w:type="dxa"/>
            <w:vAlign w:val="center"/>
          </w:tcPr>
          <w:p w14:paraId="56C66136">
            <w:pPr>
              <w:tabs>
                <w:tab w:val="left" w:pos="5250"/>
              </w:tabs>
              <w:spacing w:line="240" w:lineRule="auto"/>
              <w:ind w:firstLine="0" w:firstLineChars="0"/>
              <w:jc w:val="center"/>
              <w:rPr>
                <w:rFonts w:cs="Times New Roman"/>
                <w:szCs w:val="21"/>
                <w:lang w:val="zh-CN"/>
              </w:rPr>
            </w:pPr>
            <w:r>
              <w:rPr>
                <w:rFonts w:cs="Times New Roman"/>
                <w:sz w:val="21"/>
                <w:szCs w:val="21"/>
              </w:rPr>
              <w:t>生活垃圾</w:t>
            </w:r>
          </w:p>
        </w:tc>
        <w:tc>
          <w:tcPr>
            <w:tcW w:w="1598" w:type="dxa"/>
            <w:vAlign w:val="center"/>
          </w:tcPr>
          <w:p w14:paraId="138C2E3C">
            <w:pPr>
              <w:spacing w:line="240" w:lineRule="auto"/>
              <w:ind w:firstLine="0" w:firstLineChars="0"/>
              <w:jc w:val="center"/>
              <w:rPr>
                <w:rFonts w:cs="Times New Roman"/>
                <w:lang w:val="zh-CN"/>
              </w:rPr>
            </w:pPr>
            <w:r>
              <w:rPr>
                <w:rFonts w:cs="Times New Roman"/>
                <w:sz w:val="21"/>
                <w:szCs w:val="21"/>
              </w:rPr>
              <w:t>6t/a</w:t>
            </w:r>
          </w:p>
        </w:tc>
        <w:tc>
          <w:tcPr>
            <w:tcW w:w="1276" w:type="dxa"/>
            <w:vAlign w:val="center"/>
          </w:tcPr>
          <w:p w14:paraId="03D67091">
            <w:pPr>
              <w:pStyle w:val="14"/>
              <w:rPr>
                <w:rFonts w:cs="Times New Roman"/>
                <w:lang w:val="zh-CN"/>
              </w:rPr>
            </w:pPr>
            <w:r>
              <w:rPr>
                <w:rFonts w:cs="Times New Roman"/>
                <w:snapToGrid w:val="0"/>
              </w:rPr>
              <w:t>/</w:t>
            </w:r>
          </w:p>
        </w:tc>
        <w:tc>
          <w:tcPr>
            <w:tcW w:w="1701" w:type="dxa"/>
            <w:vAlign w:val="center"/>
          </w:tcPr>
          <w:p w14:paraId="54A92A10">
            <w:pPr>
              <w:pStyle w:val="14"/>
              <w:rPr>
                <w:rFonts w:cs="Times New Roman"/>
                <w:lang w:val="zh-CN"/>
              </w:rPr>
            </w:pPr>
            <w:r>
              <w:rPr>
                <w:rFonts w:cs="Times New Roman"/>
                <w:snapToGrid w:val="0"/>
              </w:rPr>
              <w:t>/</w:t>
            </w:r>
          </w:p>
        </w:tc>
        <w:tc>
          <w:tcPr>
            <w:tcW w:w="1559" w:type="dxa"/>
            <w:vAlign w:val="center"/>
          </w:tcPr>
          <w:p w14:paraId="78BF9B46">
            <w:pPr>
              <w:spacing w:line="240" w:lineRule="auto"/>
              <w:ind w:firstLine="0" w:firstLineChars="0"/>
              <w:jc w:val="center"/>
              <w:rPr>
                <w:rFonts w:cs="Times New Roman"/>
                <w:szCs w:val="21"/>
              </w:rPr>
            </w:pPr>
            <w:r>
              <w:rPr>
                <w:rFonts w:cs="Times New Roman"/>
                <w:sz w:val="21"/>
                <w:szCs w:val="21"/>
              </w:rPr>
              <w:t>0</w:t>
            </w:r>
          </w:p>
        </w:tc>
        <w:tc>
          <w:tcPr>
            <w:tcW w:w="1761" w:type="dxa"/>
            <w:vAlign w:val="center"/>
          </w:tcPr>
          <w:p w14:paraId="69B4C91C">
            <w:pPr>
              <w:pStyle w:val="14"/>
              <w:rPr>
                <w:rFonts w:cs="Times New Roman"/>
                <w:lang w:val="zh-CN"/>
              </w:rPr>
            </w:pPr>
            <w:r>
              <w:rPr>
                <w:rFonts w:cs="Times New Roman"/>
                <w:snapToGrid w:val="0"/>
              </w:rPr>
              <w:t>/</w:t>
            </w:r>
          </w:p>
        </w:tc>
        <w:tc>
          <w:tcPr>
            <w:tcW w:w="1562" w:type="dxa"/>
            <w:vAlign w:val="center"/>
          </w:tcPr>
          <w:p w14:paraId="57941A9A">
            <w:pPr>
              <w:spacing w:line="240" w:lineRule="auto"/>
              <w:ind w:firstLine="0" w:firstLineChars="0"/>
              <w:jc w:val="center"/>
              <w:rPr>
                <w:rFonts w:cs="Times New Roman"/>
                <w:szCs w:val="21"/>
                <w:lang w:val="zh-CN"/>
              </w:rPr>
            </w:pPr>
            <w:r>
              <w:rPr>
                <w:rFonts w:cs="Times New Roman"/>
                <w:sz w:val="21"/>
                <w:szCs w:val="21"/>
              </w:rPr>
              <w:t>6t/a</w:t>
            </w:r>
          </w:p>
        </w:tc>
        <w:tc>
          <w:tcPr>
            <w:tcW w:w="1317" w:type="dxa"/>
            <w:vAlign w:val="center"/>
          </w:tcPr>
          <w:p w14:paraId="67CD6135">
            <w:pPr>
              <w:pStyle w:val="14"/>
              <w:rPr>
                <w:rFonts w:cs="Times New Roman"/>
                <w:szCs w:val="21"/>
                <w:lang w:val="zh-CN"/>
              </w:rPr>
            </w:pPr>
            <w:r>
              <w:rPr>
                <w:rFonts w:eastAsia="等线" w:cs="Times New Roman"/>
                <w:szCs w:val="21"/>
              </w:rPr>
              <w:t>0</w:t>
            </w:r>
          </w:p>
        </w:tc>
      </w:tr>
      <w:tr w14:paraId="72A92F9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88" w:type="dxa"/>
            <w:vMerge w:val="continue"/>
            <w:vAlign w:val="center"/>
          </w:tcPr>
          <w:p w14:paraId="08FD029E">
            <w:pPr>
              <w:pStyle w:val="14"/>
              <w:rPr>
                <w:rFonts w:cs="Times New Roman"/>
                <w:snapToGrid w:val="0"/>
                <w:kern w:val="21"/>
                <w:sz w:val="24"/>
              </w:rPr>
            </w:pPr>
          </w:p>
        </w:tc>
        <w:tc>
          <w:tcPr>
            <w:tcW w:w="1520" w:type="dxa"/>
            <w:vAlign w:val="center"/>
          </w:tcPr>
          <w:p w14:paraId="6D5A1660">
            <w:pPr>
              <w:tabs>
                <w:tab w:val="left" w:pos="5250"/>
              </w:tabs>
              <w:spacing w:line="240" w:lineRule="auto"/>
              <w:ind w:firstLine="0" w:firstLineChars="0"/>
              <w:jc w:val="center"/>
              <w:rPr>
                <w:rFonts w:cs="Times New Roman"/>
                <w:szCs w:val="21"/>
                <w:lang w:val="zh-CN"/>
              </w:rPr>
            </w:pPr>
            <w:r>
              <w:rPr>
                <w:rFonts w:cs="Times New Roman"/>
                <w:sz w:val="21"/>
                <w:szCs w:val="21"/>
              </w:rPr>
              <w:t>纸箱废包装材料</w:t>
            </w:r>
          </w:p>
        </w:tc>
        <w:tc>
          <w:tcPr>
            <w:tcW w:w="1598" w:type="dxa"/>
            <w:vAlign w:val="center"/>
          </w:tcPr>
          <w:p w14:paraId="34195CCF">
            <w:pPr>
              <w:spacing w:line="240" w:lineRule="auto"/>
              <w:ind w:firstLine="0" w:firstLineChars="0"/>
              <w:jc w:val="center"/>
              <w:rPr>
                <w:rFonts w:cs="Times New Roman"/>
                <w:lang w:val="zh-CN"/>
              </w:rPr>
            </w:pPr>
            <w:r>
              <w:rPr>
                <w:rFonts w:cs="Times New Roman"/>
                <w:sz w:val="21"/>
                <w:szCs w:val="21"/>
              </w:rPr>
              <w:t>1t/a</w:t>
            </w:r>
          </w:p>
        </w:tc>
        <w:tc>
          <w:tcPr>
            <w:tcW w:w="1276" w:type="dxa"/>
            <w:vAlign w:val="center"/>
          </w:tcPr>
          <w:p w14:paraId="4C0A3575">
            <w:pPr>
              <w:pStyle w:val="14"/>
              <w:rPr>
                <w:rFonts w:cs="Times New Roman"/>
              </w:rPr>
            </w:pPr>
            <w:r>
              <w:rPr>
                <w:rFonts w:cs="Times New Roman"/>
                <w:snapToGrid w:val="0"/>
              </w:rPr>
              <w:t>/</w:t>
            </w:r>
          </w:p>
        </w:tc>
        <w:tc>
          <w:tcPr>
            <w:tcW w:w="1701" w:type="dxa"/>
            <w:vAlign w:val="center"/>
          </w:tcPr>
          <w:p w14:paraId="3EB1B58D">
            <w:pPr>
              <w:pStyle w:val="14"/>
              <w:rPr>
                <w:rFonts w:cs="Times New Roman"/>
              </w:rPr>
            </w:pPr>
            <w:r>
              <w:rPr>
                <w:rFonts w:cs="Times New Roman"/>
                <w:snapToGrid w:val="0"/>
              </w:rPr>
              <w:t>/</w:t>
            </w:r>
          </w:p>
        </w:tc>
        <w:tc>
          <w:tcPr>
            <w:tcW w:w="1559" w:type="dxa"/>
            <w:vAlign w:val="center"/>
          </w:tcPr>
          <w:p w14:paraId="428EB937">
            <w:pPr>
              <w:spacing w:line="240" w:lineRule="auto"/>
              <w:ind w:firstLine="0" w:firstLineChars="0"/>
              <w:jc w:val="center"/>
              <w:rPr>
                <w:rFonts w:cs="Times New Roman"/>
                <w:szCs w:val="21"/>
              </w:rPr>
            </w:pPr>
            <w:r>
              <w:rPr>
                <w:rFonts w:cs="Times New Roman"/>
                <w:sz w:val="21"/>
                <w:szCs w:val="21"/>
              </w:rPr>
              <w:t>0</w:t>
            </w:r>
          </w:p>
        </w:tc>
        <w:tc>
          <w:tcPr>
            <w:tcW w:w="1761" w:type="dxa"/>
            <w:vAlign w:val="center"/>
          </w:tcPr>
          <w:p w14:paraId="78644865">
            <w:pPr>
              <w:pStyle w:val="14"/>
              <w:rPr>
                <w:rFonts w:cs="Times New Roman"/>
              </w:rPr>
            </w:pPr>
            <w:r>
              <w:rPr>
                <w:rFonts w:cs="Times New Roman"/>
                <w:snapToGrid w:val="0"/>
              </w:rPr>
              <w:t>/</w:t>
            </w:r>
          </w:p>
        </w:tc>
        <w:tc>
          <w:tcPr>
            <w:tcW w:w="1562" w:type="dxa"/>
            <w:vAlign w:val="center"/>
          </w:tcPr>
          <w:p w14:paraId="3A3A4D98">
            <w:pPr>
              <w:spacing w:line="240" w:lineRule="auto"/>
              <w:ind w:firstLine="0" w:firstLineChars="0"/>
              <w:jc w:val="center"/>
              <w:rPr>
                <w:rFonts w:cs="Times New Roman"/>
                <w:szCs w:val="21"/>
              </w:rPr>
            </w:pPr>
            <w:r>
              <w:rPr>
                <w:rFonts w:cs="Times New Roman"/>
                <w:sz w:val="21"/>
                <w:szCs w:val="21"/>
              </w:rPr>
              <w:t>1t/a</w:t>
            </w:r>
          </w:p>
        </w:tc>
        <w:tc>
          <w:tcPr>
            <w:tcW w:w="1317" w:type="dxa"/>
            <w:vAlign w:val="center"/>
          </w:tcPr>
          <w:p w14:paraId="69BF8048">
            <w:pPr>
              <w:pStyle w:val="14"/>
              <w:rPr>
                <w:rFonts w:cs="Times New Roman"/>
                <w:szCs w:val="21"/>
              </w:rPr>
            </w:pPr>
            <w:r>
              <w:rPr>
                <w:rFonts w:eastAsia="等线" w:cs="Times New Roman"/>
                <w:szCs w:val="21"/>
              </w:rPr>
              <w:t>0</w:t>
            </w:r>
          </w:p>
        </w:tc>
      </w:tr>
      <w:tr w14:paraId="6E09E52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88" w:type="dxa"/>
            <w:vMerge w:val="continue"/>
            <w:vAlign w:val="center"/>
          </w:tcPr>
          <w:p w14:paraId="5F944B43">
            <w:pPr>
              <w:pStyle w:val="14"/>
              <w:rPr>
                <w:rFonts w:cs="Times New Roman"/>
                <w:snapToGrid w:val="0"/>
                <w:kern w:val="21"/>
                <w:sz w:val="24"/>
              </w:rPr>
            </w:pPr>
          </w:p>
        </w:tc>
        <w:tc>
          <w:tcPr>
            <w:tcW w:w="1520" w:type="dxa"/>
            <w:vAlign w:val="center"/>
          </w:tcPr>
          <w:p w14:paraId="57183037">
            <w:pPr>
              <w:pStyle w:val="14"/>
              <w:rPr>
                <w:rFonts w:cs="Times New Roman"/>
                <w:kern w:val="21"/>
              </w:rPr>
            </w:pPr>
            <w:r>
              <w:rPr>
                <w:rFonts w:cs="Times New Roman"/>
                <w:bCs/>
              </w:rPr>
              <w:t>废边角料</w:t>
            </w:r>
          </w:p>
        </w:tc>
        <w:tc>
          <w:tcPr>
            <w:tcW w:w="1598" w:type="dxa"/>
            <w:vAlign w:val="center"/>
          </w:tcPr>
          <w:p w14:paraId="55FE96E1">
            <w:pPr>
              <w:spacing w:line="240" w:lineRule="auto"/>
              <w:ind w:firstLine="0" w:firstLineChars="0"/>
              <w:jc w:val="center"/>
              <w:rPr>
                <w:rFonts w:cs="Times New Roman"/>
                <w:snapToGrid w:val="0"/>
              </w:rPr>
            </w:pPr>
            <w:r>
              <w:rPr>
                <w:rFonts w:cs="Times New Roman"/>
                <w:sz w:val="21"/>
                <w:szCs w:val="21"/>
              </w:rPr>
              <w:t>0</w:t>
            </w:r>
          </w:p>
        </w:tc>
        <w:tc>
          <w:tcPr>
            <w:tcW w:w="1276" w:type="dxa"/>
            <w:vAlign w:val="center"/>
          </w:tcPr>
          <w:p w14:paraId="22EF1AF8">
            <w:pPr>
              <w:pStyle w:val="14"/>
              <w:rPr>
                <w:rFonts w:cs="Times New Roman"/>
                <w:snapToGrid w:val="0"/>
              </w:rPr>
            </w:pPr>
            <w:r>
              <w:rPr>
                <w:rFonts w:cs="Times New Roman"/>
                <w:snapToGrid w:val="0"/>
              </w:rPr>
              <w:t>/</w:t>
            </w:r>
          </w:p>
        </w:tc>
        <w:tc>
          <w:tcPr>
            <w:tcW w:w="1701" w:type="dxa"/>
            <w:vAlign w:val="center"/>
          </w:tcPr>
          <w:p w14:paraId="49EA5EC8">
            <w:pPr>
              <w:pStyle w:val="14"/>
              <w:rPr>
                <w:rFonts w:cs="Times New Roman"/>
                <w:snapToGrid w:val="0"/>
              </w:rPr>
            </w:pPr>
            <w:r>
              <w:rPr>
                <w:rFonts w:cs="Times New Roman"/>
                <w:snapToGrid w:val="0"/>
              </w:rPr>
              <w:t>/</w:t>
            </w:r>
          </w:p>
        </w:tc>
        <w:tc>
          <w:tcPr>
            <w:tcW w:w="1559" w:type="dxa"/>
            <w:vAlign w:val="center"/>
          </w:tcPr>
          <w:p w14:paraId="3F42EB75">
            <w:pPr>
              <w:pStyle w:val="14"/>
              <w:rPr>
                <w:rFonts w:cs="Times New Roman"/>
                <w:szCs w:val="21"/>
              </w:rPr>
            </w:pPr>
            <w:r>
              <w:rPr>
                <w:rFonts w:cs="Times New Roman"/>
              </w:rPr>
              <w:t>0.5</w:t>
            </w:r>
            <w:r>
              <w:rPr>
                <w:rFonts w:cs="Times New Roman"/>
                <w:szCs w:val="21"/>
              </w:rPr>
              <w:t>t/a</w:t>
            </w:r>
          </w:p>
        </w:tc>
        <w:tc>
          <w:tcPr>
            <w:tcW w:w="1761" w:type="dxa"/>
            <w:vAlign w:val="center"/>
          </w:tcPr>
          <w:p w14:paraId="054FC851">
            <w:pPr>
              <w:pStyle w:val="14"/>
              <w:rPr>
                <w:rFonts w:cs="Times New Roman"/>
                <w:snapToGrid w:val="0"/>
              </w:rPr>
            </w:pPr>
            <w:r>
              <w:rPr>
                <w:rFonts w:cs="Times New Roman"/>
                <w:snapToGrid w:val="0"/>
              </w:rPr>
              <w:t>/</w:t>
            </w:r>
          </w:p>
        </w:tc>
        <w:tc>
          <w:tcPr>
            <w:tcW w:w="1562" w:type="dxa"/>
            <w:vAlign w:val="center"/>
          </w:tcPr>
          <w:p w14:paraId="60C4729D">
            <w:pPr>
              <w:pStyle w:val="14"/>
              <w:rPr>
                <w:rFonts w:cs="Times New Roman"/>
                <w:szCs w:val="21"/>
              </w:rPr>
            </w:pPr>
            <w:r>
              <w:rPr>
                <w:rFonts w:cs="Times New Roman"/>
              </w:rPr>
              <w:t>0.5</w:t>
            </w:r>
            <w:r>
              <w:rPr>
                <w:rFonts w:cs="Times New Roman"/>
                <w:szCs w:val="21"/>
              </w:rPr>
              <w:t>t/a</w:t>
            </w:r>
          </w:p>
        </w:tc>
        <w:tc>
          <w:tcPr>
            <w:tcW w:w="1317" w:type="dxa"/>
            <w:vAlign w:val="center"/>
          </w:tcPr>
          <w:p w14:paraId="6B6DCACC">
            <w:pPr>
              <w:pStyle w:val="14"/>
              <w:rPr>
                <w:rFonts w:cs="Times New Roman"/>
                <w:szCs w:val="21"/>
              </w:rPr>
            </w:pPr>
            <w:r>
              <w:rPr>
                <w:rFonts w:cs="Times New Roman"/>
              </w:rPr>
              <w:t>+0.5</w:t>
            </w:r>
            <w:r>
              <w:rPr>
                <w:rFonts w:cs="Times New Roman"/>
                <w:szCs w:val="21"/>
              </w:rPr>
              <w:t>t/a</w:t>
            </w:r>
          </w:p>
        </w:tc>
      </w:tr>
      <w:tr w14:paraId="7ED7C68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588" w:type="dxa"/>
            <w:vMerge w:val="restart"/>
            <w:vAlign w:val="center"/>
          </w:tcPr>
          <w:p w14:paraId="0CA9CCF0">
            <w:pPr>
              <w:pStyle w:val="14"/>
              <w:rPr>
                <w:rFonts w:cs="Times New Roman"/>
                <w:snapToGrid w:val="0"/>
              </w:rPr>
            </w:pPr>
            <w:r>
              <w:rPr>
                <w:rFonts w:cs="Times New Roman"/>
                <w:snapToGrid w:val="0"/>
              </w:rPr>
              <w:t>危险废物</w:t>
            </w:r>
          </w:p>
        </w:tc>
        <w:tc>
          <w:tcPr>
            <w:tcW w:w="1520" w:type="dxa"/>
            <w:vAlign w:val="center"/>
          </w:tcPr>
          <w:p w14:paraId="6927C1B7">
            <w:pPr>
              <w:pStyle w:val="14"/>
              <w:rPr>
                <w:rFonts w:cs="Times New Roman"/>
                <w:szCs w:val="21"/>
                <w:lang w:val="zh-CN"/>
              </w:rPr>
            </w:pPr>
            <w:r>
              <w:rPr>
                <w:rFonts w:cs="Times New Roman"/>
                <w:kern w:val="21"/>
              </w:rPr>
              <w:t>废活性炭</w:t>
            </w:r>
          </w:p>
        </w:tc>
        <w:tc>
          <w:tcPr>
            <w:tcW w:w="1598" w:type="dxa"/>
            <w:vAlign w:val="center"/>
          </w:tcPr>
          <w:p w14:paraId="353F81F7">
            <w:pPr>
              <w:spacing w:line="240" w:lineRule="auto"/>
              <w:ind w:firstLine="0" w:firstLineChars="0"/>
              <w:jc w:val="center"/>
              <w:rPr>
                <w:rFonts w:cs="Times New Roman"/>
                <w:lang w:val="zh-CN"/>
              </w:rPr>
            </w:pPr>
            <w:r>
              <w:rPr>
                <w:rFonts w:cs="Times New Roman"/>
                <w:sz w:val="21"/>
                <w:szCs w:val="21"/>
              </w:rPr>
              <w:t>0</w:t>
            </w:r>
          </w:p>
        </w:tc>
        <w:tc>
          <w:tcPr>
            <w:tcW w:w="1276" w:type="dxa"/>
            <w:vAlign w:val="center"/>
          </w:tcPr>
          <w:p w14:paraId="6069BD91">
            <w:pPr>
              <w:pStyle w:val="14"/>
              <w:rPr>
                <w:rFonts w:cs="Times New Roman"/>
                <w:lang w:val="zh-CN"/>
              </w:rPr>
            </w:pPr>
            <w:r>
              <w:rPr>
                <w:rFonts w:cs="Times New Roman"/>
                <w:snapToGrid w:val="0"/>
              </w:rPr>
              <w:t>/</w:t>
            </w:r>
          </w:p>
        </w:tc>
        <w:tc>
          <w:tcPr>
            <w:tcW w:w="1701" w:type="dxa"/>
            <w:vAlign w:val="center"/>
          </w:tcPr>
          <w:p w14:paraId="539A3F89">
            <w:pPr>
              <w:pStyle w:val="14"/>
              <w:rPr>
                <w:rFonts w:cs="Times New Roman"/>
                <w:lang w:val="zh-CN"/>
              </w:rPr>
            </w:pPr>
            <w:r>
              <w:rPr>
                <w:rFonts w:cs="Times New Roman"/>
                <w:snapToGrid w:val="0"/>
              </w:rPr>
              <w:t>/</w:t>
            </w:r>
          </w:p>
        </w:tc>
        <w:tc>
          <w:tcPr>
            <w:tcW w:w="1559" w:type="dxa"/>
            <w:vAlign w:val="center"/>
          </w:tcPr>
          <w:p w14:paraId="5F845F22">
            <w:pPr>
              <w:pStyle w:val="14"/>
              <w:rPr>
                <w:rFonts w:cs="Times New Roman"/>
                <w:szCs w:val="21"/>
                <w:lang w:val="zh-CN"/>
              </w:rPr>
            </w:pPr>
            <w:r>
              <w:rPr>
                <w:rFonts w:hint="eastAsia" w:cs="Times New Roman"/>
              </w:rPr>
              <w:t>1.045</w:t>
            </w:r>
            <w:r>
              <w:rPr>
                <w:rFonts w:cs="Times New Roman"/>
                <w:szCs w:val="21"/>
              </w:rPr>
              <w:t>t/a</w:t>
            </w:r>
          </w:p>
        </w:tc>
        <w:tc>
          <w:tcPr>
            <w:tcW w:w="1761" w:type="dxa"/>
            <w:vAlign w:val="center"/>
          </w:tcPr>
          <w:p w14:paraId="7442788F">
            <w:pPr>
              <w:pStyle w:val="14"/>
              <w:rPr>
                <w:rFonts w:cs="Times New Roman"/>
                <w:lang w:val="zh-CN"/>
              </w:rPr>
            </w:pPr>
            <w:r>
              <w:rPr>
                <w:rFonts w:cs="Times New Roman"/>
                <w:snapToGrid w:val="0"/>
              </w:rPr>
              <w:t>/</w:t>
            </w:r>
          </w:p>
        </w:tc>
        <w:tc>
          <w:tcPr>
            <w:tcW w:w="1562" w:type="dxa"/>
            <w:vAlign w:val="center"/>
          </w:tcPr>
          <w:p w14:paraId="351804A7">
            <w:pPr>
              <w:pStyle w:val="14"/>
              <w:rPr>
                <w:rFonts w:cs="Times New Roman"/>
                <w:szCs w:val="21"/>
                <w:lang w:val="zh-CN"/>
              </w:rPr>
            </w:pPr>
            <w:r>
              <w:rPr>
                <w:rFonts w:hint="eastAsia" w:cs="Times New Roman"/>
              </w:rPr>
              <w:t>1.045</w:t>
            </w:r>
            <w:r>
              <w:rPr>
                <w:rFonts w:cs="Times New Roman"/>
                <w:szCs w:val="21"/>
              </w:rPr>
              <w:t>t/a</w:t>
            </w:r>
          </w:p>
        </w:tc>
        <w:tc>
          <w:tcPr>
            <w:tcW w:w="1317" w:type="dxa"/>
            <w:vAlign w:val="center"/>
          </w:tcPr>
          <w:p w14:paraId="75775A80">
            <w:pPr>
              <w:pStyle w:val="14"/>
              <w:rPr>
                <w:rFonts w:cs="Times New Roman"/>
                <w:szCs w:val="21"/>
                <w:lang w:val="zh-CN"/>
              </w:rPr>
            </w:pPr>
            <w:r>
              <w:rPr>
                <w:rFonts w:cs="Times New Roman"/>
              </w:rPr>
              <w:t>+</w:t>
            </w:r>
            <w:r>
              <w:rPr>
                <w:rFonts w:hint="eastAsia" w:cs="Times New Roman"/>
              </w:rPr>
              <w:t>1.045</w:t>
            </w:r>
            <w:r>
              <w:rPr>
                <w:rFonts w:cs="Times New Roman"/>
                <w:szCs w:val="21"/>
              </w:rPr>
              <w:t>t/a</w:t>
            </w:r>
          </w:p>
        </w:tc>
      </w:tr>
      <w:tr w14:paraId="0A1A251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588" w:type="dxa"/>
            <w:vMerge w:val="continue"/>
            <w:vAlign w:val="center"/>
          </w:tcPr>
          <w:p w14:paraId="36E8F859">
            <w:pPr>
              <w:pStyle w:val="14"/>
              <w:rPr>
                <w:rFonts w:cs="Times New Roman"/>
                <w:snapToGrid w:val="0"/>
                <w:kern w:val="21"/>
                <w:sz w:val="24"/>
              </w:rPr>
            </w:pPr>
          </w:p>
        </w:tc>
        <w:tc>
          <w:tcPr>
            <w:tcW w:w="1520" w:type="dxa"/>
            <w:vAlign w:val="center"/>
          </w:tcPr>
          <w:p w14:paraId="228C422E">
            <w:pPr>
              <w:pStyle w:val="14"/>
              <w:rPr>
                <w:rFonts w:cs="Times New Roman"/>
              </w:rPr>
            </w:pPr>
            <w:r>
              <w:rPr>
                <w:rFonts w:cs="Times New Roman"/>
              </w:rPr>
              <w:t>废介质油</w:t>
            </w:r>
          </w:p>
        </w:tc>
        <w:tc>
          <w:tcPr>
            <w:tcW w:w="1598" w:type="dxa"/>
            <w:vAlign w:val="center"/>
          </w:tcPr>
          <w:p w14:paraId="79D39C00">
            <w:pPr>
              <w:wordWrap w:val="0"/>
              <w:autoSpaceDE w:val="0"/>
              <w:autoSpaceDN w:val="0"/>
              <w:adjustRightInd w:val="0"/>
              <w:spacing w:line="240" w:lineRule="auto"/>
              <w:ind w:firstLine="0" w:firstLineChars="0"/>
              <w:jc w:val="center"/>
              <w:rPr>
                <w:rFonts w:cs="Times New Roman"/>
                <w:snapToGrid w:val="0"/>
              </w:rPr>
            </w:pPr>
            <w:r>
              <w:rPr>
                <w:rFonts w:cs="Times New Roman"/>
                <w:sz w:val="21"/>
                <w:szCs w:val="21"/>
              </w:rPr>
              <w:t>0</w:t>
            </w:r>
          </w:p>
        </w:tc>
        <w:tc>
          <w:tcPr>
            <w:tcW w:w="1276" w:type="dxa"/>
            <w:vAlign w:val="center"/>
          </w:tcPr>
          <w:p w14:paraId="46149C2B">
            <w:pPr>
              <w:pStyle w:val="14"/>
              <w:rPr>
                <w:rFonts w:cs="Times New Roman"/>
                <w:snapToGrid w:val="0"/>
              </w:rPr>
            </w:pPr>
            <w:r>
              <w:rPr>
                <w:rFonts w:cs="Times New Roman"/>
                <w:snapToGrid w:val="0"/>
              </w:rPr>
              <w:t>/</w:t>
            </w:r>
          </w:p>
        </w:tc>
        <w:tc>
          <w:tcPr>
            <w:tcW w:w="1701" w:type="dxa"/>
            <w:vAlign w:val="center"/>
          </w:tcPr>
          <w:p w14:paraId="1FB7F451">
            <w:pPr>
              <w:pStyle w:val="14"/>
              <w:rPr>
                <w:rFonts w:cs="Times New Roman"/>
                <w:snapToGrid w:val="0"/>
              </w:rPr>
            </w:pPr>
            <w:r>
              <w:rPr>
                <w:rFonts w:cs="Times New Roman"/>
                <w:snapToGrid w:val="0"/>
              </w:rPr>
              <w:t>/</w:t>
            </w:r>
          </w:p>
        </w:tc>
        <w:tc>
          <w:tcPr>
            <w:tcW w:w="1559" w:type="dxa"/>
            <w:vAlign w:val="center"/>
          </w:tcPr>
          <w:p w14:paraId="6F2480F8">
            <w:pPr>
              <w:pStyle w:val="14"/>
              <w:rPr>
                <w:rFonts w:cs="Times New Roman"/>
                <w:szCs w:val="21"/>
              </w:rPr>
            </w:pPr>
            <w:r>
              <w:rPr>
                <w:rFonts w:cs="Times New Roman"/>
              </w:rPr>
              <w:t>0.2</w:t>
            </w:r>
            <w:r>
              <w:rPr>
                <w:rFonts w:cs="Times New Roman"/>
                <w:szCs w:val="21"/>
              </w:rPr>
              <w:t>t/a</w:t>
            </w:r>
          </w:p>
        </w:tc>
        <w:tc>
          <w:tcPr>
            <w:tcW w:w="1761" w:type="dxa"/>
            <w:vAlign w:val="center"/>
          </w:tcPr>
          <w:p w14:paraId="6674971D">
            <w:pPr>
              <w:pStyle w:val="14"/>
              <w:rPr>
                <w:rFonts w:cs="Times New Roman"/>
                <w:snapToGrid w:val="0"/>
              </w:rPr>
            </w:pPr>
            <w:r>
              <w:rPr>
                <w:rFonts w:cs="Times New Roman"/>
                <w:snapToGrid w:val="0"/>
              </w:rPr>
              <w:t>/</w:t>
            </w:r>
          </w:p>
        </w:tc>
        <w:tc>
          <w:tcPr>
            <w:tcW w:w="1562" w:type="dxa"/>
            <w:vAlign w:val="center"/>
          </w:tcPr>
          <w:p w14:paraId="21D61877">
            <w:pPr>
              <w:pStyle w:val="14"/>
              <w:rPr>
                <w:rFonts w:cs="Times New Roman"/>
                <w:szCs w:val="21"/>
              </w:rPr>
            </w:pPr>
            <w:r>
              <w:rPr>
                <w:rFonts w:cs="Times New Roman"/>
              </w:rPr>
              <w:t>0.2</w:t>
            </w:r>
            <w:r>
              <w:rPr>
                <w:rFonts w:cs="Times New Roman"/>
                <w:szCs w:val="21"/>
              </w:rPr>
              <w:t>t/a</w:t>
            </w:r>
          </w:p>
        </w:tc>
        <w:tc>
          <w:tcPr>
            <w:tcW w:w="1317" w:type="dxa"/>
            <w:vAlign w:val="center"/>
          </w:tcPr>
          <w:p w14:paraId="2D755A68">
            <w:pPr>
              <w:pStyle w:val="14"/>
              <w:rPr>
                <w:rFonts w:cs="Times New Roman"/>
                <w:szCs w:val="21"/>
              </w:rPr>
            </w:pPr>
            <w:r>
              <w:rPr>
                <w:rFonts w:cs="Times New Roman"/>
              </w:rPr>
              <w:t>+0.2</w:t>
            </w:r>
            <w:r>
              <w:rPr>
                <w:rFonts w:cs="Times New Roman"/>
                <w:szCs w:val="21"/>
              </w:rPr>
              <w:t>t/a</w:t>
            </w:r>
          </w:p>
        </w:tc>
      </w:tr>
    </w:tbl>
    <w:p w14:paraId="280CDC7D">
      <w:pPr>
        <w:pStyle w:val="14"/>
        <w:jc w:val="left"/>
        <w:rPr>
          <w:rFonts w:cs="Times New Roman"/>
          <w:snapToGrid w:val="0"/>
        </w:rPr>
      </w:pPr>
      <w:r>
        <w:rPr>
          <w:rFonts w:cs="Times New Roman"/>
          <w:snapToGrid w:val="0"/>
        </w:rPr>
        <w:t>注：</w:t>
      </w:r>
      <w:r>
        <w:rPr>
          <w:rFonts w:cs="Times New Roman"/>
          <w:snapToGrid w:val="0"/>
          <w:spacing w:val="-16"/>
        </w:rPr>
        <w:fldChar w:fldCharType="begin"/>
      </w:r>
      <w:r>
        <w:rPr>
          <w:rFonts w:cs="Times New Roman"/>
          <w:snapToGrid w:val="0"/>
          <w:spacing w:val="-16"/>
        </w:rPr>
        <w:instrText xml:space="preserve"> = 6 \* GB3 \* MERGEFORMAT </w:instrText>
      </w:r>
      <w:r>
        <w:rPr>
          <w:rFonts w:cs="Times New Roman"/>
          <w:snapToGrid w:val="0"/>
          <w:spacing w:val="-16"/>
        </w:rPr>
        <w:fldChar w:fldCharType="separate"/>
      </w:r>
      <w:r>
        <w:rPr>
          <w:rFonts w:hint="eastAsia" w:ascii="宋体" w:hAnsi="宋体" w:cs="宋体"/>
        </w:rPr>
        <w:t>⑥</w:t>
      </w:r>
      <w:r>
        <w:rPr>
          <w:rFonts w:cs="Times New Roman"/>
          <w:snapToGrid w:val="0"/>
          <w:spacing w:val="-16"/>
        </w:rPr>
        <w:fldChar w:fldCharType="end"/>
      </w:r>
      <w:r>
        <w:rPr>
          <w:rFonts w:cs="Times New Roman"/>
          <w:snapToGrid w:val="0"/>
          <w:spacing w:val="-16"/>
        </w:rPr>
        <w:t>=</w:t>
      </w:r>
      <w:r>
        <w:rPr>
          <w:rFonts w:cs="Times New Roman"/>
          <w:snapToGrid w:val="0"/>
        </w:rPr>
        <w:fldChar w:fldCharType="begin"/>
      </w:r>
      <w:r>
        <w:rPr>
          <w:rFonts w:cs="Times New Roman"/>
          <w:snapToGrid w:val="0"/>
        </w:rPr>
        <w:instrText xml:space="preserve"> = 1 \* GB3 \* MERGEFORMAT </w:instrText>
      </w:r>
      <w:r>
        <w:rPr>
          <w:rFonts w:cs="Times New Roman"/>
          <w:snapToGrid w:val="0"/>
        </w:rPr>
        <w:fldChar w:fldCharType="separate"/>
      </w:r>
      <w:r>
        <w:rPr>
          <w:rFonts w:hint="eastAsia" w:ascii="宋体" w:hAnsi="宋体" w:cs="宋体"/>
        </w:rPr>
        <w:t>①</w:t>
      </w:r>
      <w:r>
        <w:rPr>
          <w:rFonts w:cs="Times New Roman"/>
          <w:snapToGrid w:val="0"/>
        </w:rPr>
        <w:fldChar w:fldCharType="end"/>
      </w:r>
      <w:r>
        <w:rPr>
          <w:rFonts w:cs="Times New Roman"/>
          <w:snapToGrid w:val="0"/>
        </w:rPr>
        <w:t>+</w:t>
      </w:r>
      <w:r>
        <w:rPr>
          <w:rFonts w:cs="Times New Roman"/>
          <w:snapToGrid w:val="0"/>
        </w:rPr>
        <w:fldChar w:fldCharType="begin"/>
      </w:r>
      <w:r>
        <w:rPr>
          <w:rFonts w:cs="Times New Roman"/>
          <w:snapToGrid w:val="0"/>
        </w:rPr>
        <w:instrText xml:space="preserve"> = 3 \* GB3 \* MERGEFORMAT </w:instrText>
      </w:r>
      <w:r>
        <w:rPr>
          <w:rFonts w:cs="Times New Roman"/>
          <w:snapToGrid w:val="0"/>
        </w:rPr>
        <w:fldChar w:fldCharType="separate"/>
      </w:r>
      <w:r>
        <w:rPr>
          <w:rFonts w:hint="eastAsia" w:ascii="宋体" w:hAnsi="宋体" w:cs="宋体"/>
        </w:rPr>
        <w:t>③</w:t>
      </w:r>
      <w:r>
        <w:rPr>
          <w:rFonts w:cs="Times New Roman"/>
          <w:snapToGrid w:val="0"/>
        </w:rPr>
        <w:fldChar w:fldCharType="end"/>
      </w:r>
      <w:r>
        <w:rPr>
          <w:rFonts w:cs="Times New Roman"/>
          <w:snapToGrid w:val="0"/>
        </w:rPr>
        <w:t>+</w:t>
      </w:r>
      <w:r>
        <w:rPr>
          <w:rFonts w:cs="Times New Roman"/>
          <w:snapToGrid w:val="0"/>
        </w:rPr>
        <w:fldChar w:fldCharType="begin"/>
      </w:r>
      <w:r>
        <w:rPr>
          <w:rFonts w:cs="Times New Roman"/>
          <w:snapToGrid w:val="0"/>
        </w:rPr>
        <w:instrText xml:space="preserve"> = 4 \* GB3 \* MERGEFORMAT </w:instrText>
      </w:r>
      <w:r>
        <w:rPr>
          <w:rFonts w:cs="Times New Roman"/>
          <w:snapToGrid w:val="0"/>
        </w:rPr>
        <w:fldChar w:fldCharType="separate"/>
      </w:r>
      <w:r>
        <w:rPr>
          <w:rFonts w:hint="eastAsia" w:ascii="宋体" w:hAnsi="宋体" w:cs="宋体"/>
        </w:rPr>
        <w:t>④</w:t>
      </w:r>
      <w:r>
        <w:rPr>
          <w:rFonts w:cs="Times New Roman"/>
          <w:snapToGrid w:val="0"/>
        </w:rPr>
        <w:fldChar w:fldCharType="end"/>
      </w:r>
      <w:r>
        <w:rPr>
          <w:rFonts w:cs="Times New Roman"/>
          <w:snapToGrid w:val="0"/>
        </w:rPr>
        <w:t>-</w:t>
      </w:r>
      <w:r>
        <w:rPr>
          <w:rFonts w:cs="Times New Roman"/>
          <w:snapToGrid w:val="0"/>
          <w:spacing w:val="-16"/>
        </w:rPr>
        <w:fldChar w:fldCharType="begin"/>
      </w:r>
      <w:r>
        <w:rPr>
          <w:rFonts w:cs="Times New Roman"/>
          <w:snapToGrid w:val="0"/>
          <w:spacing w:val="-16"/>
        </w:rPr>
        <w:instrText xml:space="preserve"> = 5 \* GB3 \* MERGEFORMAT </w:instrText>
      </w:r>
      <w:r>
        <w:rPr>
          <w:rFonts w:cs="Times New Roman"/>
          <w:snapToGrid w:val="0"/>
          <w:spacing w:val="-16"/>
        </w:rPr>
        <w:fldChar w:fldCharType="separate"/>
      </w:r>
      <w:r>
        <w:rPr>
          <w:rFonts w:hint="eastAsia" w:ascii="宋体" w:hAnsi="宋体" w:cs="宋体"/>
        </w:rPr>
        <w:t>⑤</w:t>
      </w:r>
      <w:r>
        <w:rPr>
          <w:rFonts w:cs="Times New Roman"/>
          <w:snapToGrid w:val="0"/>
          <w:spacing w:val="-16"/>
        </w:rPr>
        <w:fldChar w:fldCharType="end"/>
      </w:r>
      <w:r>
        <w:rPr>
          <w:rFonts w:cs="Times New Roman"/>
          <w:snapToGrid w:val="0"/>
          <w:spacing w:val="-16"/>
        </w:rPr>
        <w:t>；</w:t>
      </w:r>
      <w:r>
        <w:rPr>
          <w:rFonts w:cs="Times New Roman"/>
          <w:snapToGrid w:val="0"/>
        </w:rPr>
        <w:fldChar w:fldCharType="begin"/>
      </w:r>
      <w:r>
        <w:rPr>
          <w:rFonts w:cs="Times New Roman"/>
          <w:snapToGrid w:val="0"/>
        </w:rPr>
        <w:instrText xml:space="preserve"> = 7 \* GB3 \* MERGEFORMAT </w:instrText>
      </w:r>
      <w:r>
        <w:rPr>
          <w:rFonts w:cs="Times New Roman"/>
          <w:snapToGrid w:val="0"/>
        </w:rPr>
        <w:fldChar w:fldCharType="separate"/>
      </w:r>
      <w:r>
        <w:rPr>
          <w:rFonts w:hint="eastAsia" w:ascii="宋体" w:hAnsi="宋体" w:cs="宋体"/>
        </w:rPr>
        <w:t>⑦</w:t>
      </w:r>
      <w:r>
        <w:rPr>
          <w:rFonts w:cs="Times New Roman"/>
          <w:snapToGrid w:val="0"/>
        </w:rPr>
        <w:fldChar w:fldCharType="end"/>
      </w:r>
      <w:r>
        <w:rPr>
          <w:rFonts w:cs="Times New Roman"/>
          <w:snapToGrid w:val="0"/>
        </w:rPr>
        <w:t>=</w:t>
      </w:r>
      <w:r>
        <w:rPr>
          <w:rFonts w:cs="Times New Roman"/>
          <w:snapToGrid w:val="0"/>
          <w:spacing w:val="-16"/>
        </w:rPr>
        <w:fldChar w:fldCharType="begin"/>
      </w:r>
      <w:r>
        <w:rPr>
          <w:rFonts w:cs="Times New Roman"/>
          <w:snapToGrid w:val="0"/>
          <w:spacing w:val="-16"/>
        </w:rPr>
        <w:instrText xml:space="preserve"> = 6 \* GB3 \* MERGEFORMAT </w:instrText>
      </w:r>
      <w:r>
        <w:rPr>
          <w:rFonts w:cs="Times New Roman"/>
          <w:snapToGrid w:val="0"/>
          <w:spacing w:val="-16"/>
        </w:rPr>
        <w:fldChar w:fldCharType="separate"/>
      </w:r>
      <w:r>
        <w:rPr>
          <w:rFonts w:hint="eastAsia" w:ascii="宋体" w:hAnsi="宋体" w:cs="宋体"/>
        </w:rPr>
        <w:t>⑥</w:t>
      </w:r>
      <w:r>
        <w:rPr>
          <w:rFonts w:cs="Times New Roman"/>
          <w:snapToGrid w:val="0"/>
          <w:spacing w:val="-16"/>
        </w:rPr>
        <w:fldChar w:fldCharType="end"/>
      </w:r>
      <w:r>
        <w:rPr>
          <w:rFonts w:cs="Times New Roman"/>
          <w:snapToGrid w:val="0"/>
          <w:spacing w:val="-16"/>
        </w:rPr>
        <w:t>-</w:t>
      </w:r>
      <w:r>
        <w:rPr>
          <w:rFonts w:cs="Times New Roman"/>
          <w:snapToGrid w:val="0"/>
        </w:rPr>
        <w:fldChar w:fldCharType="begin"/>
      </w:r>
      <w:r>
        <w:rPr>
          <w:rFonts w:cs="Times New Roman"/>
          <w:snapToGrid w:val="0"/>
        </w:rPr>
        <w:instrText xml:space="preserve"> = 1 \* GB3 \* MERGEFORMAT </w:instrText>
      </w:r>
      <w:r>
        <w:rPr>
          <w:rFonts w:cs="Times New Roman"/>
          <w:snapToGrid w:val="0"/>
        </w:rPr>
        <w:fldChar w:fldCharType="separate"/>
      </w:r>
      <w:r>
        <w:rPr>
          <w:rFonts w:hint="eastAsia" w:ascii="宋体" w:hAnsi="宋体" w:cs="宋体"/>
        </w:rPr>
        <w:t>①</w:t>
      </w:r>
      <w:r>
        <w:rPr>
          <w:rFonts w:cs="Times New Roman"/>
          <w:snapToGrid w:val="0"/>
        </w:rPr>
        <w:fldChar w:fldCharType="end"/>
      </w:r>
      <w:bookmarkEnd w:id="108"/>
      <w:r>
        <w:rPr>
          <w:rFonts w:cs="Times New Roman"/>
          <w:snapToGrid w:val="0"/>
        </w:rPr>
        <w:t>。</w:t>
      </w:r>
    </w:p>
    <w:p w14:paraId="10735CB0">
      <w:pPr>
        <w:ind w:firstLine="480"/>
        <w:rPr>
          <w:rFonts w:cs="Times New Roman"/>
        </w:rPr>
      </w:pPr>
    </w:p>
    <w:sectPr>
      <w:footerReference r:id="rId12" w:type="default"/>
      <w:pgSz w:w="16838" w:h="11906" w:orient="landscape"/>
      <w:pgMar w:top="1474" w:right="1531" w:bottom="1474" w:left="1531" w:header="851" w:footer="850" w:gutter="0"/>
      <w:cols w:space="720" w:num="1"/>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Light">
    <w:altName w:val="宋体"/>
    <w:panose1 w:val="02010600030101010101"/>
    <w:charset w:val="86"/>
    <w:family w:val="auto"/>
    <w:pitch w:val="default"/>
    <w:sig w:usb0="00000000" w:usb1="00000000" w:usb2="00000016" w:usb3="00000000" w:csb0="0004000F" w:csb1="00000000"/>
  </w:font>
  <w:font w:name="等线">
    <w:altName w:val="微软雅黑"/>
    <w:panose1 w:val="02010600030101010101"/>
    <w:charset w:val="86"/>
    <w:family w:val="auto"/>
    <w:pitch w:val="default"/>
    <w:sig w:usb0="00000000" w:usb1="00000000" w:usb2="00000016" w:usb3="00000000" w:csb0="0004000F" w:csb1="00000000"/>
  </w:font>
  <w:font w:name="DengXian">
    <w:altName w:val="Segoe Print"/>
    <w:panose1 w:val="00000000000000000000"/>
    <w:charset w:val="00"/>
    <w:family w:val="auto"/>
    <w:pitch w:val="default"/>
    <w:sig w:usb0="00000000" w:usb1="00000000" w:usb2="00000000" w:usb3="00000000" w:csb0="00000000" w:csb1="00000000"/>
  </w:font>
  <w:font w:name="Courier New">
    <w:panose1 w:val="02070309020205020404"/>
    <w:charset w:val="00"/>
    <w:family w:val="modern"/>
    <w:pitch w:val="default"/>
    <w:sig w:usb0="E0002AFF" w:usb1="C0007843" w:usb2="00000009" w:usb3="00000000" w:csb0="400001FF" w:csb1="FFFF0000"/>
  </w:font>
  <w:font w:name="仿宋">
    <w:panose1 w:val="02010609060101010101"/>
    <w:charset w:val="86"/>
    <w:family w:val="modern"/>
    <w:pitch w:val="default"/>
    <w:sig w:usb0="800002BF" w:usb1="38CF7CFA" w:usb2="00000016" w:usb3="00000000" w:csb0="00040001" w:csb1="00000000"/>
  </w:font>
  <w:font w:name="TimesNewRomanPSMT">
    <w:altName w:val="Times New Roman"/>
    <w:panose1 w:val="00000000000000000000"/>
    <w:charset w:val="00"/>
    <w:family w:val="roman"/>
    <w:pitch w:val="default"/>
    <w:sig w:usb0="00000000" w:usb1="00000000" w:usb2="00000010" w:usb3="00000000" w:csb0="00060001" w:csb1="00000000"/>
  </w:font>
  <w:font w:name="TimesNewRomanPS-BoldMT">
    <w:altName w:val="Times New Roman"/>
    <w:panose1 w:val="00000000000000000000"/>
    <w:charset w:val="00"/>
    <w:family w:val="roman"/>
    <w:pitch w:val="default"/>
    <w:sig w:usb0="00000000" w:usb1="00000000" w:usb2="00000000" w:usb3="00000000" w:csb0="00000000" w:csb1="00000000"/>
  </w:font>
  <w:font w:name="方正小标宋_GBK">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Wingdings 2">
    <w:altName w:val="Wingdings"/>
    <w:panose1 w:val="05020102010507070707"/>
    <w:charset w:val="02"/>
    <w:family w:val="roman"/>
    <w:pitch w:val="default"/>
    <w:sig w:usb0="00000000" w:usb1="00000000" w:usb2="00000000" w:usb3="00000000" w:csb0="80000000" w:csb1="00000000"/>
  </w:font>
  <w:font w:name="Segoe UI Symbol">
    <w:panose1 w:val="020B0502040204020203"/>
    <w:charset w:val="00"/>
    <w:family w:val="swiss"/>
    <w:pitch w:val="default"/>
    <w:sig w:usb0="8000006F" w:usb1="1200FBEF" w:usb2="0064C000" w:usb3="00000002" w:csb0="00000001" w:csb1="40000000"/>
  </w:font>
  <w:font w:name="新宋体">
    <w:panose1 w:val="02010609030101010101"/>
    <w:charset w:val="86"/>
    <w:family w:val="modern"/>
    <w:pitch w:val="default"/>
    <w:sig w:usb0="00000003" w:usb1="288F0000" w:usb2="00000006" w:usb3="00000000" w:csb0="00040001" w:csb1="00000000"/>
  </w:font>
  <w:font w:name="Arial">
    <w:panose1 w:val="020B0604020202020204"/>
    <w:charset w:val="00"/>
    <w:family w:val="swiss"/>
    <w:pitch w:val="default"/>
    <w:sig w:usb0="E0002AFF" w:usb1="C0007843" w:usb2="00000009" w:usb3="00000000" w:csb0="400001FF" w:csb1="FFFF0000"/>
  </w:font>
  <w:font w:name="微软雅黑">
    <w:panose1 w:val="020B0503020204020204"/>
    <w:charset w:val="86"/>
    <w:family w:val="swiss"/>
    <w:pitch w:val="default"/>
    <w:sig w:usb0="80000287" w:usb1="280F3C52" w:usb2="00000016" w:usb3="00000000" w:csb0="0004001F" w:csb1="00000000"/>
  </w:font>
  <w:font w:name="Cambria Math">
    <w:panose1 w:val="02040503050406030204"/>
    <w:charset w:val="00"/>
    <w:family w:val="roman"/>
    <w:pitch w:val="default"/>
    <w:sig w:usb0="E00002FF" w:usb1="420024FF" w:usb2="00000000" w:usb3="00000000" w:csb0="2000019F" w:csb1="00000000"/>
  </w:font>
  <w:font w:name="等线">
    <w:altName w:val="微软雅黑"/>
    <w:panose1 w:val="00000000000000000000"/>
    <w:charset w:val="00"/>
    <w:family w:val="auto"/>
    <w:pitch w:val="default"/>
    <w:sig w:usb0="00000000" w:usb1="00000000" w:usb2="00000000" w:usb3="00000000" w:csb0="00000000" w:csb1="00000000"/>
  </w:font>
  <w:font w:name="Wingdings">
    <w:panose1 w:val="05000000000000000000"/>
    <w:charset w:val="00"/>
    <w:family w:val="auto"/>
    <w:pitch w:val="default"/>
    <w:sig w:usb0="00000000" w:usb1="00000000" w:usb2="00000000" w:usb3="00000000" w:csb0="80000000" w:csb1="00000000"/>
  </w:font>
  <w:font w:name="Kingsoft UE">
    <w:panose1 w:val="02000100010000000000"/>
    <w:charset w:val="00"/>
    <w:family w:val="auto"/>
    <w:pitch w:val="default"/>
    <w:sig w:usb0="00000001" w:usb1="00004000" w:usb2="00000000" w:usb3="00000000" w:csb0="00000001"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13570858"/>
    </w:sdtPr>
    <w:sdtContent>
      <w:p w14:paraId="7B50D88D">
        <w:pPr>
          <w:pStyle w:val="22"/>
          <w:ind w:firstLine="360"/>
          <w:jc w:val="center"/>
          <w:rPr>
            <w:rFonts w:hint="eastAsia"/>
          </w:rPr>
        </w:pPr>
      </w:p>
    </w:sdtContent>
  </w:sdt>
  <w:p w14:paraId="67908DE2">
    <w:pPr>
      <w:ind w:firstLine="48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93BAB4">
    <w:pPr>
      <w:ind w:firstLine="48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C72D0F">
    <w:pPr>
      <w:ind w:firstLine="48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76996022"/>
    </w:sdtPr>
    <w:sdtContent>
      <w:p w14:paraId="15263F17">
        <w:pPr>
          <w:pStyle w:val="22"/>
          <w:ind w:firstLine="360"/>
          <w:jc w:val="center"/>
          <w:rPr>
            <w:rFonts w:hint="eastAsia"/>
          </w:rPr>
        </w:pPr>
        <w:r>
          <w:fldChar w:fldCharType="begin"/>
        </w:r>
        <w:r>
          <w:instrText xml:space="preserve">PAGE   \* MERGEFORMAT</w:instrText>
        </w:r>
        <w:r>
          <w:fldChar w:fldCharType="separate"/>
        </w:r>
        <w:r>
          <w:rPr>
            <w:lang w:val="zh-CN"/>
          </w:rPr>
          <w:t>2</w:t>
        </w:r>
        <w:r>
          <w:fldChar w:fldCharType="end"/>
        </w:r>
      </w:p>
    </w:sdtContent>
  </w:sdt>
  <w:p w14:paraId="774F0036">
    <w:pPr>
      <w:ind w:firstLine="48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83549627"/>
    </w:sdtPr>
    <w:sdtContent>
      <w:p w14:paraId="12B12BC4">
        <w:pPr>
          <w:pStyle w:val="22"/>
          <w:ind w:firstLine="360"/>
          <w:jc w:val="center"/>
          <w:rPr>
            <w:rFonts w:hint="eastAsia"/>
          </w:rPr>
        </w:pPr>
        <w:r>
          <w:fldChar w:fldCharType="begin"/>
        </w:r>
        <w:r>
          <w:instrText xml:space="preserve">PAGE   \* MERGEFORMAT</w:instrText>
        </w:r>
        <w:r>
          <w:fldChar w:fldCharType="separate"/>
        </w:r>
        <w:r>
          <w:rPr>
            <w:lang w:val="zh-CN"/>
          </w:rPr>
          <w:t>2</w:t>
        </w:r>
        <w:r>
          <w:fldChar w:fldCharType="end"/>
        </w:r>
      </w:p>
    </w:sdtContent>
  </w:sdt>
  <w:p w14:paraId="31E8A850">
    <w:pPr>
      <w:pStyle w:val="22"/>
      <w:ind w:right="360" w:firstLine="360"/>
      <w:jc w:val="center"/>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4E4669">
    <w:pPr>
      <w:ind w:firstLine="48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23326">
    <w:pPr>
      <w:ind w:firstLine="48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9CA92B">
    <w:pPr>
      <w:ind w:firstLine="48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7743BFE"/>
    <w:multiLevelType w:val="singleLevel"/>
    <w:tmpl w:val="E7743BFE"/>
    <w:lvl w:ilvl="0" w:tentative="0">
      <w:start w:val="1"/>
      <w:numFmt w:val="decimal"/>
      <w:suff w:val="nothing"/>
      <w:lvlText w:val="%1）"/>
      <w:lvlJc w:val="left"/>
    </w:lvl>
  </w:abstractNum>
  <w:abstractNum w:abstractNumId="1">
    <w:nsid w:val="15B0369C"/>
    <w:multiLevelType w:val="multilevel"/>
    <w:tmpl w:val="15B0369C"/>
    <w:lvl w:ilvl="0" w:tentative="0">
      <w:start w:val="1"/>
      <w:numFmt w:val="chineseCountingThousand"/>
      <w:pStyle w:val="2"/>
      <w:suff w:val="nothing"/>
      <w:lvlText w:val="%1、"/>
      <w:lvlJc w:val="left"/>
      <w:pPr>
        <w:ind w:left="0" w:firstLine="0"/>
      </w:pPr>
      <w:rPr>
        <w:rFonts w:hint="eastAsia"/>
      </w:rPr>
    </w:lvl>
    <w:lvl w:ilvl="1" w:tentative="0">
      <w:start w:val="1"/>
      <w:numFmt w:val="none"/>
      <w:suff w:val="nothing"/>
      <w:lvlText w:val=""/>
      <w:lvlJc w:val="left"/>
      <w:pPr>
        <w:ind w:left="0" w:firstLine="0"/>
      </w:pPr>
      <w:rPr>
        <w:rFonts w:hint="eastAsia"/>
      </w:rPr>
    </w:lvl>
    <w:lvl w:ilvl="2" w:tentative="0">
      <w:start w:val="1"/>
      <w:numFmt w:val="none"/>
      <w:pStyle w:val="4"/>
      <w:suff w:val="nothing"/>
      <w:lvlText w:val=""/>
      <w:lvlJc w:val="left"/>
      <w:pPr>
        <w:ind w:left="0" w:firstLine="0"/>
      </w:pPr>
      <w:rPr>
        <w:rFonts w:hint="eastAsia"/>
      </w:rPr>
    </w:lvl>
    <w:lvl w:ilvl="3" w:tentative="0">
      <w:start w:val="1"/>
      <w:numFmt w:val="none"/>
      <w:pStyle w:val="5"/>
      <w:suff w:val="nothing"/>
      <w:lvlText w:val=""/>
      <w:lvlJc w:val="left"/>
      <w:pPr>
        <w:ind w:left="0" w:firstLine="0"/>
      </w:pPr>
      <w:rPr>
        <w:rFonts w:hint="eastAsia"/>
      </w:rPr>
    </w:lvl>
    <w:lvl w:ilvl="4" w:tentative="0">
      <w:start w:val="1"/>
      <w:numFmt w:val="none"/>
      <w:pStyle w:val="6"/>
      <w:suff w:val="nothing"/>
      <w:lvlText w:val=""/>
      <w:lvlJc w:val="left"/>
      <w:pPr>
        <w:ind w:left="0" w:firstLine="0"/>
      </w:pPr>
      <w:rPr>
        <w:rFonts w:hint="eastAsia"/>
      </w:rPr>
    </w:lvl>
    <w:lvl w:ilvl="5" w:tentative="0">
      <w:start w:val="1"/>
      <w:numFmt w:val="none"/>
      <w:pStyle w:val="7"/>
      <w:suff w:val="nothing"/>
      <w:lvlText w:val=""/>
      <w:lvlJc w:val="left"/>
      <w:pPr>
        <w:ind w:left="0" w:firstLine="0"/>
      </w:pPr>
      <w:rPr>
        <w:rFonts w:hint="eastAsia"/>
      </w:rPr>
    </w:lvl>
    <w:lvl w:ilvl="6" w:tentative="0">
      <w:start w:val="1"/>
      <w:numFmt w:val="none"/>
      <w:pStyle w:val="8"/>
      <w:suff w:val="nothing"/>
      <w:lvlText w:val=""/>
      <w:lvlJc w:val="left"/>
      <w:pPr>
        <w:ind w:left="0" w:firstLine="0"/>
      </w:pPr>
      <w:rPr>
        <w:rFonts w:hint="eastAsia"/>
      </w:rPr>
    </w:lvl>
    <w:lvl w:ilvl="7" w:tentative="0">
      <w:start w:val="1"/>
      <w:numFmt w:val="none"/>
      <w:pStyle w:val="9"/>
      <w:suff w:val="nothing"/>
      <w:lvlText w:val=""/>
      <w:lvlJc w:val="left"/>
      <w:pPr>
        <w:ind w:left="0" w:firstLine="0"/>
      </w:pPr>
      <w:rPr>
        <w:rFonts w:hint="eastAsia"/>
      </w:rPr>
    </w:lvl>
    <w:lvl w:ilvl="8" w:tentative="0">
      <w:start w:val="1"/>
      <w:numFmt w:val="none"/>
      <w:pStyle w:val="10"/>
      <w:suff w:val="nothing"/>
      <w:lvlText w:val=""/>
      <w:lvlJc w:val="left"/>
      <w:pPr>
        <w:ind w:left="0" w:firstLine="0"/>
      </w:pPr>
      <w:rPr>
        <w:rFonts w:hint="eastAsia"/>
      </w:rPr>
    </w:lvl>
  </w:abstractNum>
  <w:abstractNum w:abstractNumId="2">
    <w:nsid w:val="2F3E1E3D"/>
    <w:multiLevelType w:val="multilevel"/>
    <w:tmpl w:val="2F3E1E3D"/>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3">
    <w:nsid w:val="3705016F"/>
    <w:multiLevelType w:val="multilevel"/>
    <w:tmpl w:val="3705016F"/>
    <w:lvl w:ilvl="0" w:tentative="0">
      <w:start w:val="1"/>
      <w:numFmt w:val="decimal"/>
      <w:lvlText w:val="（%1）"/>
      <w:lvlJc w:val="left"/>
      <w:pPr>
        <w:ind w:left="1200" w:hanging="7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hideSpellingErrors/>
  <w:documentProtection w:enforcement="0"/>
  <w:defaultTabStop w:val="420"/>
  <w:drawingGridHorizontalSpacing w:val="120"/>
  <w:drawingGridVerticalSpacing w:val="163"/>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03F4"/>
    <w:rsid w:val="00002E31"/>
    <w:rsid w:val="0000371B"/>
    <w:rsid w:val="00005CBD"/>
    <w:rsid w:val="00007BB1"/>
    <w:rsid w:val="0001058D"/>
    <w:rsid w:val="000109D0"/>
    <w:rsid w:val="00011C1D"/>
    <w:rsid w:val="00011C23"/>
    <w:rsid w:val="00012AFB"/>
    <w:rsid w:val="000136C2"/>
    <w:rsid w:val="00013CA2"/>
    <w:rsid w:val="00013D65"/>
    <w:rsid w:val="00014AFA"/>
    <w:rsid w:val="00014CEA"/>
    <w:rsid w:val="00015531"/>
    <w:rsid w:val="00015C55"/>
    <w:rsid w:val="000160E2"/>
    <w:rsid w:val="00016A32"/>
    <w:rsid w:val="00016F29"/>
    <w:rsid w:val="000205C2"/>
    <w:rsid w:val="00020E8C"/>
    <w:rsid w:val="0002269E"/>
    <w:rsid w:val="00022B26"/>
    <w:rsid w:val="0002436D"/>
    <w:rsid w:val="0002460F"/>
    <w:rsid w:val="000246B1"/>
    <w:rsid w:val="000253A2"/>
    <w:rsid w:val="00025932"/>
    <w:rsid w:val="0002632F"/>
    <w:rsid w:val="000277AC"/>
    <w:rsid w:val="00031A94"/>
    <w:rsid w:val="0003387C"/>
    <w:rsid w:val="00033A00"/>
    <w:rsid w:val="00033B2D"/>
    <w:rsid w:val="00034A36"/>
    <w:rsid w:val="00034CD2"/>
    <w:rsid w:val="0003573F"/>
    <w:rsid w:val="0003722F"/>
    <w:rsid w:val="000376C9"/>
    <w:rsid w:val="00037A11"/>
    <w:rsid w:val="00037A55"/>
    <w:rsid w:val="00040D2D"/>
    <w:rsid w:val="00041489"/>
    <w:rsid w:val="000424D4"/>
    <w:rsid w:val="00043243"/>
    <w:rsid w:val="00044D12"/>
    <w:rsid w:val="00044D5C"/>
    <w:rsid w:val="000455A4"/>
    <w:rsid w:val="00046172"/>
    <w:rsid w:val="00047223"/>
    <w:rsid w:val="00047767"/>
    <w:rsid w:val="00047A3E"/>
    <w:rsid w:val="00050829"/>
    <w:rsid w:val="00051B8C"/>
    <w:rsid w:val="00052759"/>
    <w:rsid w:val="000535A7"/>
    <w:rsid w:val="00053732"/>
    <w:rsid w:val="000544BD"/>
    <w:rsid w:val="00054649"/>
    <w:rsid w:val="000548BF"/>
    <w:rsid w:val="0005530D"/>
    <w:rsid w:val="000553B3"/>
    <w:rsid w:val="000561A1"/>
    <w:rsid w:val="00056C04"/>
    <w:rsid w:val="00061C14"/>
    <w:rsid w:val="00062030"/>
    <w:rsid w:val="0006255E"/>
    <w:rsid w:val="000626C4"/>
    <w:rsid w:val="00062CDA"/>
    <w:rsid w:val="00062DC3"/>
    <w:rsid w:val="00063908"/>
    <w:rsid w:val="0006488A"/>
    <w:rsid w:val="00065603"/>
    <w:rsid w:val="00065D7D"/>
    <w:rsid w:val="00066536"/>
    <w:rsid w:val="000668AA"/>
    <w:rsid w:val="000675C3"/>
    <w:rsid w:val="00076A2D"/>
    <w:rsid w:val="00076D8B"/>
    <w:rsid w:val="00077647"/>
    <w:rsid w:val="00077E13"/>
    <w:rsid w:val="00080870"/>
    <w:rsid w:val="0008142E"/>
    <w:rsid w:val="00082FEF"/>
    <w:rsid w:val="000837CB"/>
    <w:rsid w:val="00083E48"/>
    <w:rsid w:val="00084051"/>
    <w:rsid w:val="000857FE"/>
    <w:rsid w:val="00085CA2"/>
    <w:rsid w:val="000860C1"/>
    <w:rsid w:val="0008671C"/>
    <w:rsid w:val="00086A3A"/>
    <w:rsid w:val="00087480"/>
    <w:rsid w:val="00087584"/>
    <w:rsid w:val="00087844"/>
    <w:rsid w:val="00087B93"/>
    <w:rsid w:val="00090398"/>
    <w:rsid w:val="00090535"/>
    <w:rsid w:val="00090DB7"/>
    <w:rsid w:val="00091140"/>
    <w:rsid w:val="00091EBC"/>
    <w:rsid w:val="00092ACE"/>
    <w:rsid w:val="00092BA2"/>
    <w:rsid w:val="00092BEF"/>
    <w:rsid w:val="0009529E"/>
    <w:rsid w:val="00095B29"/>
    <w:rsid w:val="00095CD2"/>
    <w:rsid w:val="00095D50"/>
    <w:rsid w:val="0009613F"/>
    <w:rsid w:val="0009629B"/>
    <w:rsid w:val="0009792F"/>
    <w:rsid w:val="000979AE"/>
    <w:rsid w:val="00097D1B"/>
    <w:rsid w:val="00097F97"/>
    <w:rsid w:val="000A02F1"/>
    <w:rsid w:val="000A07DD"/>
    <w:rsid w:val="000A0BBE"/>
    <w:rsid w:val="000A24ED"/>
    <w:rsid w:val="000A350C"/>
    <w:rsid w:val="000A4AFD"/>
    <w:rsid w:val="000A5217"/>
    <w:rsid w:val="000A5376"/>
    <w:rsid w:val="000A5903"/>
    <w:rsid w:val="000A5A36"/>
    <w:rsid w:val="000A6796"/>
    <w:rsid w:val="000A67E8"/>
    <w:rsid w:val="000A7099"/>
    <w:rsid w:val="000A7419"/>
    <w:rsid w:val="000A7CC3"/>
    <w:rsid w:val="000B0B2E"/>
    <w:rsid w:val="000B1BC8"/>
    <w:rsid w:val="000B2D86"/>
    <w:rsid w:val="000B316E"/>
    <w:rsid w:val="000B32BE"/>
    <w:rsid w:val="000B386D"/>
    <w:rsid w:val="000B3D6E"/>
    <w:rsid w:val="000B44C6"/>
    <w:rsid w:val="000B48E4"/>
    <w:rsid w:val="000B563C"/>
    <w:rsid w:val="000B5707"/>
    <w:rsid w:val="000B5C96"/>
    <w:rsid w:val="000B721D"/>
    <w:rsid w:val="000C0BAB"/>
    <w:rsid w:val="000C1CF7"/>
    <w:rsid w:val="000C1CFF"/>
    <w:rsid w:val="000C2126"/>
    <w:rsid w:val="000C3DA7"/>
    <w:rsid w:val="000C403D"/>
    <w:rsid w:val="000C765E"/>
    <w:rsid w:val="000D0854"/>
    <w:rsid w:val="000D1174"/>
    <w:rsid w:val="000D16D9"/>
    <w:rsid w:val="000D18E0"/>
    <w:rsid w:val="000D1DF8"/>
    <w:rsid w:val="000D202A"/>
    <w:rsid w:val="000D2C5D"/>
    <w:rsid w:val="000D3314"/>
    <w:rsid w:val="000D3A5C"/>
    <w:rsid w:val="000D3DAF"/>
    <w:rsid w:val="000D3F94"/>
    <w:rsid w:val="000D4713"/>
    <w:rsid w:val="000D791E"/>
    <w:rsid w:val="000E05A7"/>
    <w:rsid w:val="000E0A70"/>
    <w:rsid w:val="000E2663"/>
    <w:rsid w:val="000E41B7"/>
    <w:rsid w:val="000E4438"/>
    <w:rsid w:val="000E49D2"/>
    <w:rsid w:val="000E510A"/>
    <w:rsid w:val="000E56C0"/>
    <w:rsid w:val="000E5E72"/>
    <w:rsid w:val="000E614C"/>
    <w:rsid w:val="000E75EC"/>
    <w:rsid w:val="000E7E35"/>
    <w:rsid w:val="000F2325"/>
    <w:rsid w:val="000F3D04"/>
    <w:rsid w:val="000F55A6"/>
    <w:rsid w:val="000F64D4"/>
    <w:rsid w:val="000F704F"/>
    <w:rsid w:val="000F7E0F"/>
    <w:rsid w:val="0010076C"/>
    <w:rsid w:val="00104E82"/>
    <w:rsid w:val="00104F7E"/>
    <w:rsid w:val="001054F0"/>
    <w:rsid w:val="001055B8"/>
    <w:rsid w:val="00107193"/>
    <w:rsid w:val="00110122"/>
    <w:rsid w:val="00110771"/>
    <w:rsid w:val="001108F5"/>
    <w:rsid w:val="0011131E"/>
    <w:rsid w:val="00111879"/>
    <w:rsid w:val="00111D7E"/>
    <w:rsid w:val="00112425"/>
    <w:rsid w:val="00112D82"/>
    <w:rsid w:val="00112EA9"/>
    <w:rsid w:val="00113528"/>
    <w:rsid w:val="00114208"/>
    <w:rsid w:val="001145B3"/>
    <w:rsid w:val="0011468F"/>
    <w:rsid w:val="00115437"/>
    <w:rsid w:val="0011644A"/>
    <w:rsid w:val="00116C78"/>
    <w:rsid w:val="001171E2"/>
    <w:rsid w:val="00117B75"/>
    <w:rsid w:val="00117FB9"/>
    <w:rsid w:val="00120909"/>
    <w:rsid w:val="001218CA"/>
    <w:rsid w:val="001229DC"/>
    <w:rsid w:val="00123BF3"/>
    <w:rsid w:val="0012467E"/>
    <w:rsid w:val="00124D5D"/>
    <w:rsid w:val="0012597C"/>
    <w:rsid w:val="0012661B"/>
    <w:rsid w:val="00127F66"/>
    <w:rsid w:val="001315A5"/>
    <w:rsid w:val="00131806"/>
    <w:rsid w:val="00131A09"/>
    <w:rsid w:val="001326C8"/>
    <w:rsid w:val="001339D4"/>
    <w:rsid w:val="00134063"/>
    <w:rsid w:val="001346C1"/>
    <w:rsid w:val="00134C76"/>
    <w:rsid w:val="001359E8"/>
    <w:rsid w:val="00135DD7"/>
    <w:rsid w:val="00136D42"/>
    <w:rsid w:val="00137779"/>
    <w:rsid w:val="00140300"/>
    <w:rsid w:val="001409FD"/>
    <w:rsid w:val="00140D18"/>
    <w:rsid w:val="00141243"/>
    <w:rsid w:val="00141D95"/>
    <w:rsid w:val="0014207A"/>
    <w:rsid w:val="001420CE"/>
    <w:rsid w:val="001430BC"/>
    <w:rsid w:val="00143C46"/>
    <w:rsid w:val="0014493F"/>
    <w:rsid w:val="00144E05"/>
    <w:rsid w:val="0014508B"/>
    <w:rsid w:val="00145A60"/>
    <w:rsid w:val="00145B3C"/>
    <w:rsid w:val="001463C7"/>
    <w:rsid w:val="00146741"/>
    <w:rsid w:val="00150B01"/>
    <w:rsid w:val="0015119D"/>
    <w:rsid w:val="0015233B"/>
    <w:rsid w:val="0015268B"/>
    <w:rsid w:val="001533F2"/>
    <w:rsid w:val="00153AE1"/>
    <w:rsid w:val="00155172"/>
    <w:rsid w:val="00155977"/>
    <w:rsid w:val="00156769"/>
    <w:rsid w:val="001570B7"/>
    <w:rsid w:val="0015751F"/>
    <w:rsid w:val="001602D0"/>
    <w:rsid w:val="001619ED"/>
    <w:rsid w:val="00162C44"/>
    <w:rsid w:val="00163373"/>
    <w:rsid w:val="00163A46"/>
    <w:rsid w:val="0016461E"/>
    <w:rsid w:val="001648A0"/>
    <w:rsid w:val="00170871"/>
    <w:rsid w:val="00170E4D"/>
    <w:rsid w:val="00171DFA"/>
    <w:rsid w:val="00172369"/>
    <w:rsid w:val="001723F5"/>
    <w:rsid w:val="001729B4"/>
    <w:rsid w:val="00172A27"/>
    <w:rsid w:val="001734EF"/>
    <w:rsid w:val="00173796"/>
    <w:rsid w:val="00173A28"/>
    <w:rsid w:val="00177038"/>
    <w:rsid w:val="001770D0"/>
    <w:rsid w:val="001778BE"/>
    <w:rsid w:val="00180330"/>
    <w:rsid w:val="001803A7"/>
    <w:rsid w:val="00182AC9"/>
    <w:rsid w:val="00183E2F"/>
    <w:rsid w:val="0018474E"/>
    <w:rsid w:val="001877F4"/>
    <w:rsid w:val="00191A82"/>
    <w:rsid w:val="00193F81"/>
    <w:rsid w:val="001942EA"/>
    <w:rsid w:val="00194C7D"/>
    <w:rsid w:val="00195C11"/>
    <w:rsid w:val="00195EB6"/>
    <w:rsid w:val="00195F29"/>
    <w:rsid w:val="0019670D"/>
    <w:rsid w:val="00196E7B"/>
    <w:rsid w:val="001A054C"/>
    <w:rsid w:val="001A2952"/>
    <w:rsid w:val="001A2D03"/>
    <w:rsid w:val="001A346A"/>
    <w:rsid w:val="001A3977"/>
    <w:rsid w:val="001A3BEA"/>
    <w:rsid w:val="001A5600"/>
    <w:rsid w:val="001A567E"/>
    <w:rsid w:val="001A58DA"/>
    <w:rsid w:val="001A7C41"/>
    <w:rsid w:val="001A7D4E"/>
    <w:rsid w:val="001B1B88"/>
    <w:rsid w:val="001B2162"/>
    <w:rsid w:val="001B2759"/>
    <w:rsid w:val="001B2ED8"/>
    <w:rsid w:val="001B34B4"/>
    <w:rsid w:val="001B3B42"/>
    <w:rsid w:val="001B4E66"/>
    <w:rsid w:val="001B53C3"/>
    <w:rsid w:val="001B55B0"/>
    <w:rsid w:val="001B58BF"/>
    <w:rsid w:val="001B635A"/>
    <w:rsid w:val="001B686D"/>
    <w:rsid w:val="001B6871"/>
    <w:rsid w:val="001B6FEB"/>
    <w:rsid w:val="001C0574"/>
    <w:rsid w:val="001C268A"/>
    <w:rsid w:val="001C2A0B"/>
    <w:rsid w:val="001C2E0F"/>
    <w:rsid w:val="001C47F9"/>
    <w:rsid w:val="001C5E5F"/>
    <w:rsid w:val="001C6E8A"/>
    <w:rsid w:val="001C7527"/>
    <w:rsid w:val="001D0158"/>
    <w:rsid w:val="001D08B3"/>
    <w:rsid w:val="001D2BC8"/>
    <w:rsid w:val="001D2C26"/>
    <w:rsid w:val="001D2C34"/>
    <w:rsid w:val="001D3788"/>
    <w:rsid w:val="001D5AB4"/>
    <w:rsid w:val="001D5C4D"/>
    <w:rsid w:val="001E2387"/>
    <w:rsid w:val="001E2EE5"/>
    <w:rsid w:val="001E3C88"/>
    <w:rsid w:val="001E473B"/>
    <w:rsid w:val="001E567A"/>
    <w:rsid w:val="001E580E"/>
    <w:rsid w:val="001E5E7F"/>
    <w:rsid w:val="001E701C"/>
    <w:rsid w:val="001E7103"/>
    <w:rsid w:val="001E7503"/>
    <w:rsid w:val="001F0E2E"/>
    <w:rsid w:val="001F12D9"/>
    <w:rsid w:val="001F1376"/>
    <w:rsid w:val="001F1E6D"/>
    <w:rsid w:val="001F2AA0"/>
    <w:rsid w:val="001F2CA8"/>
    <w:rsid w:val="001F3675"/>
    <w:rsid w:val="001F446F"/>
    <w:rsid w:val="001F4B69"/>
    <w:rsid w:val="001F5B8D"/>
    <w:rsid w:val="001F66DE"/>
    <w:rsid w:val="001F69FB"/>
    <w:rsid w:val="001F756D"/>
    <w:rsid w:val="001F75D6"/>
    <w:rsid w:val="001F7C58"/>
    <w:rsid w:val="001F7CE7"/>
    <w:rsid w:val="001F7DF2"/>
    <w:rsid w:val="00200961"/>
    <w:rsid w:val="00201800"/>
    <w:rsid w:val="00202FCC"/>
    <w:rsid w:val="00204C3B"/>
    <w:rsid w:val="00205765"/>
    <w:rsid w:val="00206ABD"/>
    <w:rsid w:val="00207095"/>
    <w:rsid w:val="0021103C"/>
    <w:rsid w:val="00212291"/>
    <w:rsid w:val="00213030"/>
    <w:rsid w:val="00213F76"/>
    <w:rsid w:val="002142BE"/>
    <w:rsid w:val="00214361"/>
    <w:rsid w:val="0021592C"/>
    <w:rsid w:val="0021732F"/>
    <w:rsid w:val="00217488"/>
    <w:rsid w:val="00220821"/>
    <w:rsid w:val="002215DB"/>
    <w:rsid w:val="0022278F"/>
    <w:rsid w:val="0022356C"/>
    <w:rsid w:val="002238F0"/>
    <w:rsid w:val="00225019"/>
    <w:rsid w:val="00225AB7"/>
    <w:rsid w:val="00225B93"/>
    <w:rsid w:val="00227698"/>
    <w:rsid w:val="0023038E"/>
    <w:rsid w:val="00230F0B"/>
    <w:rsid w:val="00230F57"/>
    <w:rsid w:val="00231CE6"/>
    <w:rsid w:val="00234531"/>
    <w:rsid w:val="002348C5"/>
    <w:rsid w:val="0023544A"/>
    <w:rsid w:val="00235DD7"/>
    <w:rsid w:val="00236435"/>
    <w:rsid w:val="002420CF"/>
    <w:rsid w:val="00242382"/>
    <w:rsid w:val="0024291D"/>
    <w:rsid w:val="00243BE8"/>
    <w:rsid w:val="00243D7C"/>
    <w:rsid w:val="0024491A"/>
    <w:rsid w:val="002451B2"/>
    <w:rsid w:val="0024537E"/>
    <w:rsid w:val="00245B9C"/>
    <w:rsid w:val="002463CC"/>
    <w:rsid w:val="0024687B"/>
    <w:rsid w:val="002468BB"/>
    <w:rsid w:val="0024752A"/>
    <w:rsid w:val="00250426"/>
    <w:rsid w:val="00250999"/>
    <w:rsid w:val="00250BF1"/>
    <w:rsid w:val="00250DCF"/>
    <w:rsid w:val="002511C7"/>
    <w:rsid w:val="00251954"/>
    <w:rsid w:val="00252123"/>
    <w:rsid w:val="00254160"/>
    <w:rsid w:val="00255700"/>
    <w:rsid w:val="00255C1A"/>
    <w:rsid w:val="00256769"/>
    <w:rsid w:val="0025776C"/>
    <w:rsid w:val="002577EA"/>
    <w:rsid w:val="0025780D"/>
    <w:rsid w:val="002627DD"/>
    <w:rsid w:val="00263CDE"/>
    <w:rsid w:val="0026413B"/>
    <w:rsid w:val="002643B9"/>
    <w:rsid w:val="00264A39"/>
    <w:rsid w:val="00264D18"/>
    <w:rsid w:val="00265AE6"/>
    <w:rsid w:val="00266182"/>
    <w:rsid w:val="002669A7"/>
    <w:rsid w:val="00266ACC"/>
    <w:rsid w:val="00267308"/>
    <w:rsid w:val="00267808"/>
    <w:rsid w:val="00267935"/>
    <w:rsid w:val="00267BDC"/>
    <w:rsid w:val="00271903"/>
    <w:rsid w:val="002723B4"/>
    <w:rsid w:val="00274258"/>
    <w:rsid w:val="0027496E"/>
    <w:rsid w:val="00277108"/>
    <w:rsid w:val="002773CD"/>
    <w:rsid w:val="0028020A"/>
    <w:rsid w:val="002812C5"/>
    <w:rsid w:val="00282521"/>
    <w:rsid w:val="002825C2"/>
    <w:rsid w:val="00283A7E"/>
    <w:rsid w:val="002853B1"/>
    <w:rsid w:val="002859DC"/>
    <w:rsid w:val="00286B38"/>
    <w:rsid w:val="00287005"/>
    <w:rsid w:val="00290652"/>
    <w:rsid w:val="00290E42"/>
    <w:rsid w:val="002912C8"/>
    <w:rsid w:val="00291FA6"/>
    <w:rsid w:val="002922E3"/>
    <w:rsid w:val="00292A8D"/>
    <w:rsid w:val="00296FA7"/>
    <w:rsid w:val="002973DD"/>
    <w:rsid w:val="00297A1F"/>
    <w:rsid w:val="00297A25"/>
    <w:rsid w:val="002A06EE"/>
    <w:rsid w:val="002A2970"/>
    <w:rsid w:val="002A326C"/>
    <w:rsid w:val="002A3347"/>
    <w:rsid w:val="002A3F60"/>
    <w:rsid w:val="002A43B3"/>
    <w:rsid w:val="002A69B4"/>
    <w:rsid w:val="002A78C6"/>
    <w:rsid w:val="002A7C9A"/>
    <w:rsid w:val="002B0891"/>
    <w:rsid w:val="002B12EE"/>
    <w:rsid w:val="002B15CF"/>
    <w:rsid w:val="002B253B"/>
    <w:rsid w:val="002B3583"/>
    <w:rsid w:val="002B3823"/>
    <w:rsid w:val="002B40CC"/>
    <w:rsid w:val="002B4CD1"/>
    <w:rsid w:val="002B56CE"/>
    <w:rsid w:val="002B5CF1"/>
    <w:rsid w:val="002B5FC7"/>
    <w:rsid w:val="002B6FBA"/>
    <w:rsid w:val="002B73A2"/>
    <w:rsid w:val="002C1FB0"/>
    <w:rsid w:val="002C2BDA"/>
    <w:rsid w:val="002C2E37"/>
    <w:rsid w:val="002C3FA9"/>
    <w:rsid w:val="002C429F"/>
    <w:rsid w:val="002C5531"/>
    <w:rsid w:val="002C5573"/>
    <w:rsid w:val="002C5917"/>
    <w:rsid w:val="002C5DEC"/>
    <w:rsid w:val="002C609E"/>
    <w:rsid w:val="002C644D"/>
    <w:rsid w:val="002C6950"/>
    <w:rsid w:val="002C797B"/>
    <w:rsid w:val="002D0134"/>
    <w:rsid w:val="002D10F7"/>
    <w:rsid w:val="002D1F33"/>
    <w:rsid w:val="002D20CB"/>
    <w:rsid w:val="002D21B8"/>
    <w:rsid w:val="002D4BF5"/>
    <w:rsid w:val="002D5C7D"/>
    <w:rsid w:val="002D5D2B"/>
    <w:rsid w:val="002D5F4E"/>
    <w:rsid w:val="002D64E4"/>
    <w:rsid w:val="002D6661"/>
    <w:rsid w:val="002D6B73"/>
    <w:rsid w:val="002D703A"/>
    <w:rsid w:val="002D790A"/>
    <w:rsid w:val="002D7AD0"/>
    <w:rsid w:val="002D7F63"/>
    <w:rsid w:val="002E2027"/>
    <w:rsid w:val="002E2E72"/>
    <w:rsid w:val="002E3B94"/>
    <w:rsid w:val="002E3D1D"/>
    <w:rsid w:val="002E4626"/>
    <w:rsid w:val="002E4AF8"/>
    <w:rsid w:val="002E5329"/>
    <w:rsid w:val="002E5FFD"/>
    <w:rsid w:val="002E612B"/>
    <w:rsid w:val="002E7265"/>
    <w:rsid w:val="002F0897"/>
    <w:rsid w:val="002F14D1"/>
    <w:rsid w:val="002F2CCD"/>
    <w:rsid w:val="002F2F2D"/>
    <w:rsid w:val="002F3D34"/>
    <w:rsid w:val="002F4EB5"/>
    <w:rsid w:val="002F668E"/>
    <w:rsid w:val="002F6744"/>
    <w:rsid w:val="00300506"/>
    <w:rsid w:val="003010BA"/>
    <w:rsid w:val="003011E3"/>
    <w:rsid w:val="003031BE"/>
    <w:rsid w:val="0030382E"/>
    <w:rsid w:val="00304897"/>
    <w:rsid w:val="00305C99"/>
    <w:rsid w:val="00306E8E"/>
    <w:rsid w:val="0030747E"/>
    <w:rsid w:val="00307D2C"/>
    <w:rsid w:val="00311C75"/>
    <w:rsid w:val="0031237C"/>
    <w:rsid w:val="0031333E"/>
    <w:rsid w:val="0031372E"/>
    <w:rsid w:val="00313B27"/>
    <w:rsid w:val="00315401"/>
    <w:rsid w:val="00315687"/>
    <w:rsid w:val="00315CD2"/>
    <w:rsid w:val="00317340"/>
    <w:rsid w:val="0031789D"/>
    <w:rsid w:val="00317A9B"/>
    <w:rsid w:val="00317C4E"/>
    <w:rsid w:val="00317E96"/>
    <w:rsid w:val="00322ED5"/>
    <w:rsid w:val="00326892"/>
    <w:rsid w:val="003274FC"/>
    <w:rsid w:val="0032769C"/>
    <w:rsid w:val="0032770C"/>
    <w:rsid w:val="00330562"/>
    <w:rsid w:val="003305F5"/>
    <w:rsid w:val="00330C16"/>
    <w:rsid w:val="00332736"/>
    <w:rsid w:val="00334296"/>
    <w:rsid w:val="00335396"/>
    <w:rsid w:val="00335D21"/>
    <w:rsid w:val="00336247"/>
    <w:rsid w:val="00336762"/>
    <w:rsid w:val="00336D5B"/>
    <w:rsid w:val="0033782A"/>
    <w:rsid w:val="003401BA"/>
    <w:rsid w:val="00340696"/>
    <w:rsid w:val="00340BD2"/>
    <w:rsid w:val="0034187D"/>
    <w:rsid w:val="00342292"/>
    <w:rsid w:val="00344EA8"/>
    <w:rsid w:val="00346019"/>
    <w:rsid w:val="00347225"/>
    <w:rsid w:val="00350590"/>
    <w:rsid w:val="0035210B"/>
    <w:rsid w:val="00353B5E"/>
    <w:rsid w:val="00354CC2"/>
    <w:rsid w:val="003555F5"/>
    <w:rsid w:val="00355627"/>
    <w:rsid w:val="00356A73"/>
    <w:rsid w:val="003570A6"/>
    <w:rsid w:val="00361314"/>
    <w:rsid w:val="00362F8A"/>
    <w:rsid w:val="00363493"/>
    <w:rsid w:val="00364A27"/>
    <w:rsid w:val="00364A2C"/>
    <w:rsid w:val="00364E49"/>
    <w:rsid w:val="0036640C"/>
    <w:rsid w:val="00366B04"/>
    <w:rsid w:val="00367A65"/>
    <w:rsid w:val="00370265"/>
    <w:rsid w:val="00370394"/>
    <w:rsid w:val="00370B17"/>
    <w:rsid w:val="0037129F"/>
    <w:rsid w:val="0037148B"/>
    <w:rsid w:val="00371AA4"/>
    <w:rsid w:val="00373002"/>
    <w:rsid w:val="00374390"/>
    <w:rsid w:val="003765F0"/>
    <w:rsid w:val="00377A4D"/>
    <w:rsid w:val="00377ACB"/>
    <w:rsid w:val="00377D04"/>
    <w:rsid w:val="00380175"/>
    <w:rsid w:val="003803CB"/>
    <w:rsid w:val="0038137D"/>
    <w:rsid w:val="00383283"/>
    <w:rsid w:val="00383A87"/>
    <w:rsid w:val="003847E6"/>
    <w:rsid w:val="003851CC"/>
    <w:rsid w:val="00386ECF"/>
    <w:rsid w:val="003874C9"/>
    <w:rsid w:val="0038797A"/>
    <w:rsid w:val="00387C45"/>
    <w:rsid w:val="00390D24"/>
    <w:rsid w:val="0039103A"/>
    <w:rsid w:val="00391250"/>
    <w:rsid w:val="003925C3"/>
    <w:rsid w:val="00393644"/>
    <w:rsid w:val="0039496D"/>
    <w:rsid w:val="00395EBA"/>
    <w:rsid w:val="00396157"/>
    <w:rsid w:val="003978B8"/>
    <w:rsid w:val="003A0FA7"/>
    <w:rsid w:val="003A1BDF"/>
    <w:rsid w:val="003A24EE"/>
    <w:rsid w:val="003A463A"/>
    <w:rsid w:val="003A46AA"/>
    <w:rsid w:val="003A5B60"/>
    <w:rsid w:val="003A6EB9"/>
    <w:rsid w:val="003B0891"/>
    <w:rsid w:val="003B0A34"/>
    <w:rsid w:val="003B0C0B"/>
    <w:rsid w:val="003B3F3D"/>
    <w:rsid w:val="003B544E"/>
    <w:rsid w:val="003B5853"/>
    <w:rsid w:val="003B5BF8"/>
    <w:rsid w:val="003B7243"/>
    <w:rsid w:val="003B75EC"/>
    <w:rsid w:val="003B78EC"/>
    <w:rsid w:val="003C0D6F"/>
    <w:rsid w:val="003C2AA1"/>
    <w:rsid w:val="003C3573"/>
    <w:rsid w:val="003C4635"/>
    <w:rsid w:val="003C4F93"/>
    <w:rsid w:val="003C50F5"/>
    <w:rsid w:val="003C5AFB"/>
    <w:rsid w:val="003C5CF3"/>
    <w:rsid w:val="003C6B0D"/>
    <w:rsid w:val="003C6B51"/>
    <w:rsid w:val="003C7769"/>
    <w:rsid w:val="003C7ECB"/>
    <w:rsid w:val="003D0B30"/>
    <w:rsid w:val="003D1897"/>
    <w:rsid w:val="003D1AD1"/>
    <w:rsid w:val="003D1F64"/>
    <w:rsid w:val="003D34D7"/>
    <w:rsid w:val="003D3ADE"/>
    <w:rsid w:val="003D45F9"/>
    <w:rsid w:val="003D55E8"/>
    <w:rsid w:val="003D61B0"/>
    <w:rsid w:val="003D6989"/>
    <w:rsid w:val="003D7340"/>
    <w:rsid w:val="003E037C"/>
    <w:rsid w:val="003E10C2"/>
    <w:rsid w:val="003E2189"/>
    <w:rsid w:val="003E4DEC"/>
    <w:rsid w:val="003E564B"/>
    <w:rsid w:val="003E56C6"/>
    <w:rsid w:val="003E5A3D"/>
    <w:rsid w:val="003E64EF"/>
    <w:rsid w:val="003E7823"/>
    <w:rsid w:val="003E7CAE"/>
    <w:rsid w:val="003E7D87"/>
    <w:rsid w:val="003F015C"/>
    <w:rsid w:val="003F069F"/>
    <w:rsid w:val="003F0F77"/>
    <w:rsid w:val="003F1EEE"/>
    <w:rsid w:val="003F246D"/>
    <w:rsid w:val="003F2C3B"/>
    <w:rsid w:val="003F3F2B"/>
    <w:rsid w:val="003F40E6"/>
    <w:rsid w:val="003F4A78"/>
    <w:rsid w:val="003F4F39"/>
    <w:rsid w:val="003F5115"/>
    <w:rsid w:val="003F5842"/>
    <w:rsid w:val="003F666A"/>
    <w:rsid w:val="003F7455"/>
    <w:rsid w:val="003F7800"/>
    <w:rsid w:val="003F7D2E"/>
    <w:rsid w:val="00400F91"/>
    <w:rsid w:val="0040292B"/>
    <w:rsid w:val="00402B12"/>
    <w:rsid w:val="00404383"/>
    <w:rsid w:val="004049C6"/>
    <w:rsid w:val="00404A3E"/>
    <w:rsid w:val="00405B8D"/>
    <w:rsid w:val="00410280"/>
    <w:rsid w:val="00410D8A"/>
    <w:rsid w:val="00411732"/>
    <w:rsid w:val="00412BFD"/>
    <w:rsid w:val="004133C1"/>
    <w:rsid w:val="00413E6D"/>
    <w:rsid w:val="00413FB8"/>
    <w:rsid w:val="004156DA"/>
    <w:rsid w:val="00417789"/>
    <w:rsid w:val="004179C8"/>
    <w:rsid w:val="00417A87"/>
    <w:rsid w:val="00421015"/>
    <w:rsid w:val="00422127"/>
    <w:rsid w:val="004223BE"/>
    <w:rsid w:val="00423A8F"/>
    <w:rsid w:val="0042448D"/>
    <w:rsid w:val="004316AE"/>
    <w:rsid w:val="004328DA"/>
    <w:rsid w:val="004331C0"/>
    <w:rsid w:val="004335B1"/>
    <w:rsid w:val="004344DF"/>
    <w:rsid w:val="00434CC5"/>
    <w:rsid w:val="004366A5"/>
    <w:rsid w:val="00440006"/>
    <w:rsid w:val="0044061E"/>
    <w:rsid w:val="00440EC4"/>
    <w:rsid w:val="00441974"/>
    <w:rsid w:val="00441D65"/>
    <w:rsid w:val="00443E2E"/>
    <w:rsid w:val="00444ACE"/>
    <w:rsid w:val="004456E6"/>
    <w:rsid w:val="00445712"/>
    <w:rsid w:val="00446445"/>
    <w:rsid w:val="00446D34"/>
    <w:rsid w:val="0044777E"/>
    <w:rsid w:val="00450BD3"/>
    <w:rsid w:val="004510C3"/>
    <w:rsid w:val="00451B0B"/>
    <w:rsid w:val="00452DEB"/>
    <w:rsid w:val="00453105"/>
    <w:rsid w:val="00454584"/>
    <w:rsid w:val="0045476C"/>
    <w:rsid w:val="00454896"/>
    <w:rsid w:val="00454A9F"/>
    <w:rsid w:val="00455FFB"/>
    <w:rsid w:val="004561A6"/>
    <w:rsid w:val="0045641B"/>
    <w:rsid w:val="00456B72"/>
    <w:rsid w:val="00456D16"/>
    <w:rsid w:val="00456DDE"/>
    <w:rsid w:val="004571B1"/>
    <w:rsid w:val="0046003F"/>
    <w:rsid w:val="004603C6"/>
    <w:rsid w:val="004604B9"/>
    <w:rsid w:val="004604CA"/>
    <w:rsid w:val="00463859"/>
    <w:rsid w:val="004644A0"/>
    <w:rsid w:val="00465F54"/>
    <w:rsid w:val="0046617A"/>
    <w:rsid w:val="00466E5C"/>
    <w:rsid w:val="00467223"/>
    <w:rsid w:val="00470183"/>
    <w:rsid w:val="004701A6"/>
    <w:rsid w:val="00470B6C"/>
    <w:rsid w:val="0047103F"/>
    <w:rsid w:val="00471A12"/>
    <w:rsid w:val="00471F5D"/>
    <w:rsid w:val="004722E4"/>
    <w:rsid w:val="00472DF8"/>
    <w:rsid w:val="004733F2"/>
    <w:rsid w:val="004734C1"/>
    <w:rsid w:val="00473A64"/>
    <w:rsid w:val="00473AB4"/>
    <w:rsid w:val="0047453D"/>
    <w:rsid w:val="00474E32"/>
    <w:rsid w:val="00475A0C"/>
    <w:rsid w:val="004766E7"/>
    <w:rsid w:val="00477721"/>
    <w:rsid w:val="00477C3D"/>
    <w:rsid w:val="00480CFA"/>
    <w:rsid w:val="00481266"/>
    <w:rsid w:val="004820B3"/>
    <w:rsid w:val="00482112"/>
    <w:rsid w:val="00483468"/>
    <w:rsid w:val="0048363A"/>
    <w:rsid w:val="00483A57"/>
    <w:rsid w:val="00484C78"/>
    <w:rsid w:val="00485441"/>
    <w:rsid w:val="00485680"/>
    <w:rsid w:val="00486216"/>
    <w:rsid w:val="00486718"/>
    <w:rsid w:val="0049048E"/>
    <w:rsid w:val="00490503"/>
    <w:rsid w:val="00490518"/>
    <w:rsid w:val="0049135D"/>
    <w:rsid w:val="004919A5"/>
    <w:rsid w:val="0049248C"/>
    <w:rsid w:val="00492C6D"/>
    <w:rsid w:val="00493E7B"/>
    <w:rsid w:val="00494585"/>
    <w:rsid w:val="00495A91"/>
    <w:rsid w:val="00497CED"/>
    <w:rsid w:val="00497D44"/>
    <w:rsid w:val="004A24C1"/>
    <w:rsid w:val="004A2961"/>
    <w:rsid w:val="004A2B73"/>
    <w:rsid w:val="004A2D3D"/>
    <w:rsid w:val="004A32BC"/>
    <w:rsid w:val="004A35FE"/>
    <w:rsid w:val="004A43E8"/>
    <w:rsid w:val="004A4C5D"/>
    <w:rsid w:val="004A51E4"/>
    <w:rsid w:val="004A636D"/>
    <w:rsid w:val="004A6A02"/>
    <w:rsid w:val="004A7570"/>
    <w:rsid w:val="004B0773"/>
    <w:rsid w:val="004B0EE5"/>
    <w:rsid w:val="004B18B2"/>
    <w:rsid w:val="004B1CF4"/>
    <w:rsid w:val="004B3E96"/>
    <w:rsid w:val="004B543F"/>
    <w:rsid w:val="004B5C02"/>
    <w:rsid w:val="004B6025"/>
    <w:rsid w:val="004B6054"/>
    <w:rsid w:val="004C00BA"/>
    <w:rsid w:val="004C11ED"/>
    <w:rsid w:val="004C2E1A"/>
    <w:rsid w:val="004C376B"/>
    <w:rsid w:val="004C393C"/>
    <w:rsid w:val="004C5D39"/>
    <w:rsid w:val="004C5F1C"/>
    <w:rsid w:val="004C6B4C"/>
    <w:rsid w:val="004C72DA"/>
    <w:rsid w:val="004D0DB0"/>
    <w:rsid w:val="004D18DF"/>
    <w:rsid w:val="004D2001"/>
    <w:rsid w:val="004D2BF3"/>
    <w:rsid w:val="004D5F4C"/>
    <w:rsid w:val="004D7194"/>
    <w:rsid w:val="004E1F41"/>
    <w:rsid w:val="004E2DDD"/>
    <w:rsid w:val="004E4872"/>
    <w:rsid w:val="004E733E"/>
    <w:rsid w:val="004E7656"/>
    <w:rsid w:val="004F13B4"/>
    <w:rsid w:val="004F19B4"/>
    <w:rsid w:val="004F1AA7"/>
    <w:rsid w:val="004F3373"/>
    <w:rsid w:val="004F38BB"/>
    <w:rsid w:val="004F4671"/>
    <w:rsid w:val="004F4A30"/>
    <w:rsid w:val="004F5347"/>
    <w:rsid w:val="004F6167"/>
    <w:rsid w:val="004F672A"/>
    <w:rsid w:val="004F6EE3"/>
    <w:rsid w:val="00500902"/>
    <w:rsid w:val="00500F19"/>
    <w:rsid w:val="00501E5F"/>
    <w:rsid w:val="0050352B"/>
    <w:rsid w:val="00503B44"/>
    <w:rsid w:val="005040D7"/>
    <w:rsid w:val="005048CC"/>
    <w:rsid w:val="00505FB1"/>
    <w:rsid w:val="0050698E"/>
    <w:rsid w:val="00506F17"/>
    <w:rsid w:val="005105A0"/>
    <w:rsid w:val="005118B3"/>
    <w:rsid w:val="00511B9B"/>
    <w:rsid w:val="00511E15"/>
    <w:rsid w:val="005128A0"/>
    <w:rsid w:val="00515405"/>
    <w:rsid w:val="005161CD"/>
    <w:rsid w:val="00517BBA"/>
    <w:rsid w:val="00520307"/>
    <w:rsid w:val="00520635"/>
    <w:rsid w:val="00521668"/>
    <w:rsid w:val="00522219"/>
    <w:rsid w:val="00522489"/>
    <w:rsid w:val="005225AD"/>
    <w:rsid w:val="00523AF2"/>
    <w:rsid w:val="00523D6D"/>
    <w:rsid w:val="00525732"/>
    <w:rsid w:val="005257F2"/>
    <w:rsid w:val="00525C02"/>
    <w:rsid w:val="005266EF"/>
    <w:rsid w:val="00526DC0"/>
    <w:rsid w:val="005270CF"/>
    <w:rsid w:val="005270DD"/>
    <w:rsid w:val="005303F2"/>
    <w:rsid w:val="00530592"/>
    <w:rsid w:val="00531279"/>
    <w:rsid w:val="00531390"/>
    <w:rsid w:val="00532458"/>
    <w:rsid w:val="00532790"/>
    <w:rsid w:val="00532E0C"/>
    <w:rsid w:val="00533EC4"/>
    <w:rsid w:val="00534CDF"/>
    <w:rsid w:val="005368BA"/>
    <w:rsid w:val="00540917"/>
    <w:rsid w:val="00540E64"/>
    <w:rsid w:val="005413E2"/>
    <w:rsid w:val="0054227F"/>
    <w:rsid w:val="005424A3"/>
    <w:rsid w:val="00542AA5"/>
    <w:rsid w:val="00543AA3"/>
    <w:rsid w:val="005444E2"/>
    <w:rsid w:val="00544EB1"/>
    <w:rsid w:val="00546705"/>
    <w:rsid w:val="00553500"/>
    <w:rsid w:val="00553D36"/>
    <w:rsid w:val="0055469E"/>
    <w:rsid w:val="005547FC"/>
    <w:rsid w:val="00555C28"/>
    <w:rsid w:val="00556864"/>
    <w:rsid w:val="00557660"/>
    <w:rsid w:val="00557C73"/>
    <w:rsid w:val="0056015E"/>
    <w:rsid w:val="005619F1"/>
    <w:rsid w:val="00561A29"/>
    <w:rsid w:val="00563D36"/>
    <w:rsid w:val="005650D0"/>
    <w:rsid w:val="0056592C"/>
    <w:rsid w:val="00570197"/>
    <w:rsid w:val="005710EF"/>
    <w:rsid w:val="005712F1"/>
    <w:rsid w:val="00571C1E"/>
    <w:rsid w:val="00571F7D"/>
    <w:rsid w:val="00571FEC"/>
    <w:rsid w:val="0057209D"/>
    <w:rsid w:val="00573692"/>
    <w:rsid w:val="00573F11"/>
    <w:rsid w:val="00574EDF"/>
    <w:rsid w:val="005753B9"/>
    <w:rsid w:val="00575582"/>
    <w:rsid w:val="00575790"/>
    <w:rsid w:val="005766CF"/>
    <w:rsid w:val="00576E8B"/>
    <w:rsid w:val="0057711B"/>
    <w:rsid w:val="005773B1"/>
    <w:rsid w:val="00580D48"/>
    <w:rsid w:val="005816D6"/>
    <w:rsid w:val="0058229D"/>
    <w:rsid w:val="00585A93"/>
    <w:rsid w:val="00586A9D"/>
    <w:rsid w:val="00586EA7"/>
    <w:rsid w:val="00587709"/>
    <w:rsid w:val="00590537"/>
    <w:rsid w:val="00590F62"/>
    <w:rsid w:val="005910F6"/>
    <w:rsid w:val="005917FC"/>
    <w:rsid w:val="00592059"/>
    <w:rsid w:val="00594628"/>
    <w:rsid w:val="005953F6"/>
    <w:rsid w:val="00597C13"/>
    <w:rsid w:val="005A01BA"/>
    <w:rsid w:val="005A0F8C"/>
    <w:rsid w:val="005A14E9"/>
    <w:rsid w:val="005A2AC8"/>
    <w:rsid w:val="005A2CFB"/>
    <w:rsid w:val="005A3ADF"/>
    <w:rsid w:val="005A3AEB"/>
    <w:rsid w:val="005A3C24"/>
    <w:rsid w:val="005A3D64"/>
    <w:rsid w:val="005A3F31"/>
    <w:rsid w:val="005A4FD8"/>
    <w:rsid w:val="005A56DA"/>
    <w:rsid w:val="005A6A28"/>
    <w:rsid w:val="005A7840"/>
    <w:rsid w:val="005A78D1"/>
    <w:rsid w:val="005B094B"/>
    <w:rsid w:val="005B0EFB"/>
    <w:rsid w:val="005B0FA3"/>
    <w:rsid w:val="005B1A06"/>
    <w:rsid w:val="005B2F6B"/>
    <w:rsid w:val="005B3D94"/>
    <w:rsid w:val="005B46EC"/>
    <w:rsid w:val="005B6384"/>
    <w:rsid w:val="005B63F2"/>
    <w:rsid w:val="005B705E"/>
    <w:rsid w:val="005C096E"/>
    <w:rsid w:val="005C0B19"/>
    <w:rsid w:val="005C14DA"/>
    <w:rsid w:val="005C2119"/>
    <w:rsid w:val="005C2172"/>
    <w:rsid w:val="005C300E"/>
    <w:rsid w:val="005C4C81"/>
    <w:rsid w:val="005C687A"/>
    <w:rsid w:val="005D16DE"/>
    <w:rsid w:val="005D23E1"/>
    <w:rsid w:val="005D2B59"/>
    <w:rsid w:val="005D3D79"/>
    <w:rsid w:val="005D3DF1"/>
    <w:rsid w:val="005D4A51"/>
    <w:rsid w:val="005D4C59"/>
    <w:rsid w:val="005D5F1C"/>
    <w:rsid w:val="005D61A7"/>
    <w:rsid w:val="005D638C"/>
    <w:rsid w:val="005D6CE4"/>
    <w:rsid w:val="005D7664"/>
    <w:rsid w:val="005D7A15"/>
    <w:rsid w:val="005D7DAF"/>
    <w:rsid w:val="005D7DF7"/>
    <w:rsid w:val="005D7FBB"/>
    <w:rsid w:val="005E1377"/>
    <w:rsid w:val="005E1854"/>
    <w:rsid w:val="005E19C7"/>
    <w:rsid w:val="005E6A72"/>
    <w:rsid w:val="005E7671"/>
    <w:rsid w:val="005F035D"/>
    <w:rsid w:val="005F1DEF"/>
    <w:rsid w:val="005F25E9"/>
    <w:rsid w:val="005F4CB9"/>
    <w:rsid w:val="005F5C8F"/>
    <w:rsid w:val="005F5DBF"/>
    <w:rsid w:val="005F6FE8"/>
    <w:rsid w:val="005F775C"/>
    <w:rsid w:val="005F7A1F"/>
    <w:rsid w:val="005F7D04"/>
    <w:rsid w:val="00600334"/>
    <w:rsid w:val="00600368"/>
    <w:rsid w:val="006021FE"/>
    <w:rsid w:val="006023B8"/>
    <w:rsid w:val="006051B2"/>
    <w:rsid w:val="0060600B"/>
    <w:rsid w:val="00607050"/>
    <w:rsid w:val="00607D1A"/>
    <w:rsid w:val="006113A9"/>
    <w:rsid w:val="00614580"/>
    <w:rsid w:val="00617452"/>
    <w:rsid w:val="006202FF"/>
    <w:rsid w:val="00620683"/>
    <w:rsid w:val="00620D78"/>
    <w:rsid w:val="00621153"/>
    <w:rsid w:val="006232C9"/>
    <w:rsid w:val="006239A8"/>
    <w:rsid w:val="00623E3C"/>
    <w:rsid w:val="00624DD8"/>
    <w:rsid w:val="006253F0"/>
    <w:rsid w:val="006265E3"/>
    <w:rsid w:val="00626A38"/>
    <w:rsid w:val="00626E08"/>
    <w:rsid w:val="00626E37"/>
    <w:rsid w:val="006279BD"/>
    <w:rsid w:val="00631AF2"/>
    <w:rsid w:val="00632C6F"/>
    <w:rsid w:val="00633E7F"/>
    <w:rsid w:val="00634CCB"/>
    <w:rsid w:val="00635A14"/>
    <w:rsid w:val="006365F2"/>
    <w:rsid w:val="00636CD1"/>
    <w:rsid w:val="00637AD0"/>
    <w:rsid w:val="006409CB"/>
    <w:rsid w:val="006412FA"/>
    <w:rsid w:val="00641B16"/>
    <w:rsid w:val="00642F0A"/>
    <w:rsid w:val="0064374A"/>
    <w:rsid w:val="00643795"/>
    <w:rsid w:val="00643E50"/>
    <w:rsid w:val="00644532"/>
    <w:rsid w:val="00645A9C"/>
    <w:rsid w:val="00645E68"/>
    <w:rsid w:val="00646482"/>
    <w:rsid w:val="00647B53"/>
    <w:rsid w:val="006504AA"/>
    <w:rsid w:val="00650599"/>
    <w:rsid w:val="00650C62"/>
    <w:rsid w:val="006510CC"/>
    <w:rsid w:val="006521AB"/>
    <w:rsid w:val="006522CA"/>
    <w:rsid w:val="0065297D"/>
    <w:rsid w:val="0065448B"/>
    <w:rsid w:val="006558AF"/>
    <w:rsid w:val="00656AED"/>
    <w:rsid w:val="00657C1D"/>
    <w:rsid w:val="006608A3"/>
    <w:rsid w:val="006620F2"/>
    <w:rsid w:val="00662456"/>
    <w:rsid w:val="00662AB0"/>
    <w:rsid w:val="0066315A"/>
    <w:rsid w:val="0066323A"/>
    <w:rsid w:val="006640BE"/>
    <w:rsid w:val="00664359"/>
    <w:rsid w:val="006656F4"/>
    <w:rsid w:val="006669E9"/>
    <w:rsid w:val="006677B6"/>
    <w:rsid w:val="00667B77"/>
    <w:rsid w:val="00670830"/>
    <w:rsid w:val="006718C4"/>
    <w:rsid w:val="00672220"/>
    <w:rsid w:val="006732D0"/>
    <w:rsid w:val="00674321"/>
    <w:rsid w:val="006754ED"/>
    <w:rsid w:val="00675BF0"/>
    <w:rsid w:val="00676937"/>
    <w:rsid w:val="00676B6D"/>
    <w:rsid w:val="00677C13"/>
    <w:rsid w:val="0068121E"/>
    <w:rsid w:val="006821B2"/>
    <w:rsid w:val="00682B4D"/>
    <w:rsid w:val="00682B62"/>
    <w:rsid w:val="00683138"/>
    <w:rsid w:val="006879AE"/>
    <w:rsid w:val="0069018D"/>
    <w:rsid w:val="00690681"/>
    <w:rsid w:val="0069089C"/>
    <w:rsid w:val="00690B81"/>
    <w:rsid w:val="00691277"/>
    <w:rsid w:val="0069193B"/>
    <w:rsid w:val="00695802"/>
    <w:rsid w:val="00695A4B"/>
    <w:rsid w:val="006967A4"/>
    <w:rsid w:val="006972D1"/>
    <w:rsid w:val="0069753E"/>
    <w:rsid w:val="00697880"/>
    <w:rsid w:val="006A047F"/>
    <w:rsid w:val="006A0ADE"/>
    <w:rsid w:val="006A0EF1"/>
    <w:rsid w:val="006A1161"/>
    <w:rsid w:val="006A13FF"/>
    <w:rsid w:val="006A1B6F"/>
    <w:rsid w:val="006A1DD3"/>
    <w:rsid w:val="006A2655"/>
    <w:rsid w:val="006A2F7F"/>
    <w:rsid w:val="006A4239"/>
    <w:rsid w:val="006A7C67"/>
    <w:rsid w:val="006B01E4"/>
    <w:rsid w:val="006B093E"/>
    <w:rsid w:val="006B1A43"/>
    <w:rsid w:val="006B1B62"/>
    <w:rsid w:val="006B2471"/>
    <w:rsid w:val="006B290C"/>
    <w:rsid w:val="006B3565"/>
    <w:rsid w:val="006B4194"/>
    <w:rsid w:val="006B4AB2"/>
    <w:rsid w:val="006B55F8"/>
    <w:rsid w:val="006B5747"/>
    <w:rsid w:val="006B6449"/>
    <w:rsid w:val="006B67DC"/>
    <w:rsid w:val="006B684A"/>
    <w:rsid w:val="006C0F47"/>
    <w:rsid w:val="006C146E"/>
    <w:rsid w:val="006C1874"/>
    <w:rsid w:val="006C1D93"/>
    <w:rsid w:val="006C2389"/>
    <w:rsid w:val="006C3D88"/>
    <w:rsid w:val="006C5450"/>
    <w:rsid w:val="006C5F1C"/>
    <w:rsid w:val="006C63D0"/>
    <w:rsid w:val="006C7005"/>
    <w:rsid w:val="006C77FE"/>
    <w:rsid w:val="006C7B87"/>
    <w:rsid w:val="006D0816"/>
    <w:rsid w:val="006D0AB8"/>
    <w:rsid w:val="006D25BA"/>
    <w:rsid w:val="006D25E7"/>
    <w:rsid w:val="006D31D8"/>
    <w:rsid w:val="006D357B"/>
    <w:rsid w:val="006D405E"/>
    <w:rsid w:val="006D4240"/>
    <w:rsid w:val="006D4859"/>
    <w:rsid w:val="006D4FDD"/>
    <w:rsid w:val="006D56EC"/>
    <w:rsid w:val="006D6874"/>
    <w:rsid w:val="006D6CBF"/>
    <w:rsid w:val="006D6DFB"/>
    <w:rsid w:val="006E029F"/>
    <w:rsid w:val="006E0329"/>
    <w:rsid w:val="006E09D4"/>
    <w:rsid w:val="006E1455"/>
    <w:rsid w:val="006E3C5A"/>
    <w:rsid w:val="006E535D"/>
    <w:rsid w:val="006E786D"/>
    <w:rsid w:val="006F0FE0"/>
    <w:rsid w:val="006F13D0"/>
    <w:rsid w:val="006F155B"/>
    <w:rsid w:val="006F3365"/>
    <w:rsid w:val="006F3E6A"/>
    <w:rsid w:val="006F53A9"/>
    <w:rsid w:val="006F585E"/>
    <w:rsid w:val="006F5B93"/>
    <w:rsid w:val="006F5C44"/>
    <w:rsid w:val="006F67E0"/>
    <w:rsid w:val="006F6FCD"/>
    <w:rsid w:val="00700A97"/>
    <w:rsid w:val="00701436"/>
    <w:rsid w:val="00702F99"/>
    <w:rsid w:val="00703136"/>
    <w:rsid w:val="00703B76"/>
    <w:rsid w:val="00703C36"/>
    <w:rsid w:val="00704EEE"/>
    <w:rsid w:val="007062B4"/>
    <w:rsid w:val="00706360"/>
    <w:rsid w:val="00706BC5"/>
    <w:rsid w:val="00713D13"/>
    <w:rsid w:val="00713E86"/>
    <w:rsid w:val="00713EDC"/>
    <w:rsid w:val="007145FB"/>
    <w:rsid w:val="00715C80"/>
    <w:rsid w:val="00715E86"/>
    <w:rsid w:val="00717013"/>
    <w:rsid w:val="00720DD8"/>
    <w:rsid w:val="0072147F"/>
    <w:rsid w:val="00721BDF"/>
    <w:rsid w:val="007238CC"/>
    <w:rsid w:val="007242FC"/>
    <w:rsid w:val="007247CD"/>
    <w:rsid w:val="00725F20"/>
    <w:rsid w:val="00726634"/>
    <w:rsid w:val="00727BE3"/>
    <w:rsid w:val="007304CE"/>
    <w:rsid w:val="0073079A"/>
    <w:rsid w:val="00730D19"/>
    <w:rsid w:val="007337C9"/>
    <w:rsid w:val="00734BF4"/>
    <w:rsid w:val="00734D41"/>
    <w:rsid w:val="00736509"/>
    <w:rsid w:val="00736BF0"/>
    <w:rsid w:val="00737506"/>
    <w:rsid w:val="0073799D"/>
    <w:rsid w:val="00740BAC"/>
    <w:rsid w:val="007410DE"/>
    <w:rsid w:val="007410E4"/>
    <w:rsid w:val="00741361"/>
    <w:rsid w:val="007415FF"/>
    <w:rsid w:val="0074262F"/>
    <w:rsid w:val="00742D36"/>
    <w:rsid w:val="0074425F"/>
    <w:rsid w:val="00744AC5"/>
    <w:rsid w:val="00744C9D"/>
    <w:rsid w:val="007452C3"/>
    <w:rsid w:val="007460CD"/>
    <w:rsid w:val="00746F6C"/>
    <w:rsid w:val="00746F95"/>
    <w:rsid w:val="007475E6"/>
    <w:rsid w:val="00750723"/>
    <w:rsid w:val="007538E9"/>
    <w:rsid w:val="00753D51"/>
    <w:rsid w:val="00753E00"/>
    <w:rsid w:val="00754589"/>
    <w:rsid w:val="00754605"/>
    <w:rsid w:val="00754A0E"/>
    <w:rsid w:val="00754D35"/>
    <w:rsid w:val="00756F71"/>
    <w:rsid w:val="007572AB"/>
    <w:rsid w:val="00757502"/>
    <w:rsid w:val="00757B85"/>
    <w:rsid w:val="007601FE"/>
    <w:rsid w:val="007629BD"/>
    <w:rsid w:val="00762B68"/>
    <w:rsid w:val="00762B89"/>
    <w:rsid w:val="00762CE2"/>
    <w:rsid w:val="00762D65"/>
    <w:rsid w:val="00763D91"/>
    <w:rsid w:val="00763EE0"/>
    <w:rsid w:val="007642BE"/>
    <w:rsid w:val="007643F5"/>
    <w:rsid w:val="00765CC1"/>
    <w:rsid w:val="00765D60"/>
    <w:rsid w:val="00765FDC"/>
    <w:rsid w:val="00766E41"/>
    <w:rsid w:val="007676EF"/>
    <w:rsid w:val="007700DE"/>
    <w:rsid w:val="007705C4"/>
    <w:rsid w:val="007706C4"/>
    <w:rsid w:val="00770D76"/>
    <w:rsid w:val="007736F1"/>
    <w:rsid w:val="00773EB1"/>
    <w:rsid w:val="007762E2"/>
    <w:rsid w:val="00776840"/>
    <w:rsid w:val="00776924"/>
    <w:rsid w:val="007772DB"/>
    <w:rsid w:val="0077767A"/>
    <w:rsid w:val="00781E5D"/>
    <w:rsid w:val="00782DB2"/>
    <w:rsid w:val="00782E85"/>
    <w:rsid w:val="0078360E"/>
    <w:rsid w:val="00783806"/>
    <w:rsid w:val="0078383C"/>
    <w:rsid w:val="0078450C"/>
    <w:rsid w:val="007867D5"/>
    <w:rsid w:val="007903C5"/>
    <w:rsid w:val="00791488"/>
    <w:rsid w:val="0079195D"/>
    <w:rsid w:val="00793356"/>
    <w:rsid w:val="007938DE"/>
    <w:rsid w:val="00793ED3"/>
    <w:rsid w:val="00793FBA"/>
    <w:rsid w:val="00795A58"/>
    <w:rsid w:val="00796634"/>
    <w:rsid w:val="00797ADA"/>
    <w:rsid w:val="007A21F3"/>
    <w:rsid w:val="007A2202"/>
    <w:rsid w:val="007A395A"/>
    <w:rsid w:val="007A4231"/>
    <w:rsid w:val="007A4A9D"/>
    <w:rsid w:val="007A59D3"/>
    <w:rsid w:val="007B0065"/>
    <w:rsid w:val="007B1328"/>
    <w:rsid w:val="007B250F"/>
    <w:rsid w:val="007B2C5F"/>
    <w:rsid w:val="007B3BFE"/>
    <w:rsid w:val="007B3C75"/>
    <w:rsid w:val="007B66CA"/>
    <w:rsid w:val="007B7EFA"/>
    <w:rsid w:val="007C06A5"/>
    <w:rsid w:val="007C0B6C"/>
    <w:rsid w:val="007C0DBE"/>
    <w:rsid w:val="007C3054"/>
    <w:rsid w:val="007C30E0"/>
    <w:rsid w:val="007C32FA"/>
    <w:rsid w:val="007C3BAF"/>
    <w:rsid w:val="007C4709"/>
    <w:rsid w:val="007C4D0F"/>
    <w:rsid w:val="007C581B"/>
    <w:rsid w:val="007C5ACD"/>
    <w:rsid w:val="007C7E39"/>
    <w:rsid w:val="007D104B"/>
    <w:rsid w:val="007D26F4"/>
    <w:rsid w:val="007D2D2E"/>
    <w:rsid w:val="007D3593"/>
    <w:rsid w:val="007D3741"/>
    <w:rsid w:val="007D4072"/>
    <w:rsid w:val="007D49A1"/>
    <w:rsid w:val="007D4B23"/>
    <w:rsid w:val="007D6451"/>
    <w:rsid w:val="007E2A73"/>
    <w:rsid w:val="007E2A80"/>
    <w:rsid w:val="007E366C"/>
    <w:rsid w:val="007E49ED"/>
    <w:rsid w:val="007E5D10"/>
    <w:rsid w:val="007E6CA4"/>
    <w:rsid w:val="007E7521"/>
    <w:rsid w:val="007E7700"/>
    <w:rsid w:val="007E77FA"/>
    <w:rsid w:val="007E7A56"/>
    <w:rsid w:val="007E7E2B"/>
    <w:rsid w:val="007F1927"/>
    <w:rsid w:val="007F2112"/>
    <w:rsid w:val="007F2BEF"/>
    <w:rsid w:val="007F38BB"/>
    <w:rsid w:val="007F3D19"/>
    <w:rsid w:val="007F56BA"/>
    <w:rsid w:val="007F6822"/>
    <w:rsid w:val="007F7642"/>
    <w:rsid w:val="008015E3"/>
    <w:rsid w:val="008017BF"/>
    <w:rsid w:val="00802D5B"/>
    <w:rsid w:val="00802F41"/>
    <w:rsid w:val="008034C7"/>
    <w:rsid w:val="008044C3"/>
    <w:rsid w:val="00804C0C"/>
    <w:rsid w:val="008050BF"/>
    <w:rsid w:val="0080519A"/>
    <w:rsid w:val="00806C6A"/>
    <w:rsid w:val="00807201"/>
    <w:rsid w:val="00807867"/>
    <w:rsid w:val="00807FF8"/>
    <w:rsid w:val="00811AEA"/>
    <w:rsid w:val="0081258F"/>
    <w:rsid w:val="00812B99"/>
    <w:rsid w:val="00812F42"/>
    <w:rsid w:val="00813119"/>
    <w:rsid w:val="00814868"/>
    <w:rsid w:val="00814B5B"/>
    <w:rsid w:val="00814CB0"/>
    <w:rsid w:val="008179DF"/>
    <w:rsid w:val="00817A7B"/>
    <w:rsid w:val="0082014D"/>
    <w:rsid w:val="0082194D"/>
    <w:rsid w:val="00821A17"/>
    <w:rsid w:val="00822723"/>
    <w:rsid w:val="00823470"/>
    <w:rsid w:val="00823D9C"/>
    <w:rsid w:val="00824133"/>
    <w:rsid w:val="00825C0F"/>
    <w:rsid w:val="00827DA7"/>
    <w:rsid w:val="00830674"/>
    <w:rsid w:val="00830E25"/>
    <w:rsid w:val="00831C2B"/>
    <w:rsid w:val="008321B6"/>
    <w:rsid w:val="00832D80"/>
    <w:rsid w:val="0083303D"/>
    <w:rsid w:val="0083562A"/>
    <w:rsid w:val="0083658A"/>
    <w:rsid w:val="0083664F"/>
    <w:rsid w:val="00836A96"/>
    <w:rsid w:val="008372B6"/>
    <w:rsid w:val="00837618"/>
    <w:rsid w:val="00837FAB"/>
    <w:rsid w:val="0084250C"/>
    <w:rsid w:val="00842B37"/>
    <w:rsid w:val="00845139"/>
    <w:rsid w:val="00845368"/>
    <w:rsid w:val="008453BD"/>
    <w:rsid w:val="00845485"/>
    <w:rsid w:val="00845DBF"/>
    <w:rsid w:val="00846637"/>
    <w:rsid w:val="00846893"/>
    <w:rsid w:val="00846A53"/>
    <w:rsid w:val="008471CC"/>
    <w:rsid w:val="008475F8"/>
    <w:rsid w:val="00850AC5"/>
    <w:rsid w:val="008512C1"/>
    <w:rsid w:val="00851C5C"/>
    <w:rsid w:val="008553BC"/>
    <w:rsid w:val="00855714"/>
    <w:rsid w:val="0085586F"/>
    <w:rsid w:val="008560A2"/>
    <w:rsid w:val="008563C7"/>
    <w:rsid w:val="00857054"/>
    <w:rsid w:val="0085738F"/>
    <w:rsid w:val="008573E8"/>
    <w:rsid w:val="00857C14"/>
    <w:rsid w:val="008618E5"/>
    <w:rsid w:val="00861B03"/>
    <w:rsid w:val="0086201C"/>
    <w:rsid w:val="00862239"/>
    <w:rsid w:val="00866D97"/>
    <w:rsid w:val="00867292"/>
    <w:rsid w:val="00867A45"/>
    <w:rsid w:val="00867CBB"/>
    <w:rsid w:val="00871312"/>
    <w:rsid w:val="008715C9"/>
    <w:rsid w:val="00871660"/>
    <w:rsid w:val="008717DD"/>
    <w:rsid w:val="00871A5C"/>
    <w:rsid w:val="00873EFB"/>
    <w:rsid w:val="0087498D"/>
    <w:rsid w:val="00874B0F"/>
    <w:rsid w:val="00874B90"/>
    <w:rsid w:val="00874C66"/>
    <w:rsid w:val="008770D1"/>
    <w:rsid w:val="008777C2"/>
    <w:rsid w:val="00877C21"/>
    <w:rsid w:val="0088191E"/>
    <w:rsid w:val="00881D7E"/>
    <w:rsid w:val="00882785"/>
    <w:rsid w:val="00882A3B"/>
    <w:rsid w:val="008830E8"/>
    <w:rsid w:val="00883651"/>
    <w:rsid w:val="008839E9"/>
    <w:rsid w:val="008844E3"/>
    <w:rsid w:val="0088560B"/>
    <w:rsid w:val="008859E9"/>
    <w:rsid w:val="00886256"/>
    <w:rsid w:val="008874DA"/>
    <w:rsid w:val="008900C7"/>
    <w:rsid w:val="00890B32"/>
    <w:rsid w:val="00891AD4"/>
    <w:rsid w:val="00892157"/>
    <w:rsid w:val="00892992"/>
    <w:rsid w:val="00892FD1"/>
    <w:rsid w:val="0089314D"/>
    <w:rsid w:val="00893430"/>
    <w:rsid w:val="0089367F"/>
    <w:rsid w:val="00893844"/>
    <w:rsid w:val="00893C79"/>
    <w:rsid w:val="00893EA5"/>
    <w:rsid w:val="008962DB"/>
    <w:rsid w:val="00896E84"/>
    <w:rsid w:val="00897264"/>
    <w:rsid w:val="00897D44"/>
    <w:rsid w:val="00897F13"/>
    <w:rsid w:val="008A0584"/>
    <w:rsid w:val="008A1056"/>
    <w:rsid w:val="008A1D5C"/>
    <w:rsid w:val="008A27B6"/>
    <w:rsid w:val="008A2A2A"/>
    <w:rsid w:val="008A3988"/>
    <w:rsid w:val="008A4374"/>
    <w:rsid w:val="008A44C4"/>
    <w:rsid w:val="008A465F"/>
    <w:rsid w:val="008A5491"/>
    <w:rsid w:val="008A5927"/>
    <w:rsid w:val="008A6300"/>
    <w:rsid w:val="008A7145"/>
    <w:rsid w:val="008A74B3"/>
    <w:rsid w:val="008B160F"/>
    <w:rsid w:val="008B2F01"/>
    <w:rsid w:val="008B3318"/>
    <w:rsid w:val="008B34AD"/>
    <w:rsid w:val="008B3F37"/>
    <w:rsid w:val="008B59D0"/>
    <w:rsid w:val="008B6117"/>
    <w:rsid w:val="008B649F"/>
    <w:rsid w:val="008B6514"/>
    <w:rsid w:val="008B7567"/>
    <w:rsid w:val="008C350E"/>
    <w:rsid w:val="008C3776"/>
    <w:rsid w:val="008C3F13"/>
    <w:rsid w:val="008C4134"/>
    <w:rsid w:val="008C4717"/>
    <w:rsid w:val="008C49D3"/>
    <w:rsid w:val="008C7C2D"/>
    <w:rsid w:val="008D0022"/>
    <w:rsid w:val="008D021E"/>
    <w:rsid w:val="008D041A"/>
    <w:rsid w:val="008D0648"/>
    <w:rsid w:val="008D0D05"/>
    <w:rsid w:val="008D1458"/>
    <w:rsid w:val="008D173C"/>
    <w:rsid w:val="008D26C5"/>
    <w:rsid w:val="008D323C"/>
    <w:rsid w:val="008D3351"/>
    <w:rsid w:val="008D35A7"/>
    <w:rsid w:val="008D5DFB"/>
    <w:rsid w:val="008D69A7"/>
    <w:rsid w:val="008D6E76"/>
    <w:rsid w:val="008D78D0"/>
    <w:rsid w:val="008D7B75"/>
    <w:rsid w:val="008E1281"/>
    <w:rsid w:val="008E1867"/>
    <w:rsid w:val="008E329B"/>
    <w:rsid w:val="008E5B59"/>
    <w:rsid w:val="008E5C12"/>
    <w:rsid w:val="008E6F6F"/>
    <w:rsid w:val="008E6F95"/>
    <w:rsid w:val="008E7DF4"/>
    <w:rsid w:val="008F167F"/>
    <w:rsid w:val="008F187C"/>
    <w:rsid w:val="008F2025"/>
    <w:rsid w:val="008F3672"/>
    <w:rsid w:val="008F4BB1"/>
    <w:rsid w:val="008F5794"/>
    <w:rsid w:val="008F6662"/>
    <w:rsid w:val="008F71D0"/>
    <w:rsid w:val="009011A9"/>
    <w:rsid w:val="009031F5"/>
    <w:rsid w:val="009037A9"/>
    <w:rsid w:val="00903A58"/>
    <w:rsid w:val="00905C76"/>
    <w:rsid w:val="00905C9A"/>
    <w:rsid w:val="00905E3F"/>
    <w:rsid w:val="00906838"/>
    <w:rsid w:val="00906C34"/>
    <w:rsid w:val="009104CE"/>
    <w:rsid w:val="00910675"/>
    <w:rsid w:val="00910A0D"/>
    <w:rsid w:val="00910D8A"/>
    <w:rsid w:val="0091275A"/>
    <w:rsid w:val="0091465D"/>
    <w:rsid w:val="00914B05"/>
    <w:rsid w:val="00914CB0"/>
    <w:rsid w:val="00915ED8"/>
    <w:rsid w:val="0091621E"/>
    <w:rsid w:val="00916D58"/>
    <w:rsid w:val="00916D9F"/>
    <w:rsid w:val="009177F3"/>
    <w:rsid w:val="00917ABD"/>
    <w:rsid w:val="00921153"/>
    <w:rsid w:val="00921667"/>
    <w:rsid w:val="00922228"/>
    <w:rsid w:val="00922635"/>
    <w:rsid w:val="009232BB"/>
    <w:rsid w:val="0092414B"/>
    <w:rsid w:val="00925B83"/>
    <w:rsid w:val="00925EF1"/>
    <w:rsid w:val="00925F4B"/>
    <w:rsid w:val="00927088"/>
    <w:rsid w:val="00927DED"/>
    <w:rsid w:val="00931AE0"/>
    <w:rsid w:val="0093313D"/>
    <w:rsid w:val="0093353F"/>
    <w:rsid w:val="00933A1A"/>
    <w:rsid w:val="00933D38"/>
    <w:rsid w:val="00933DC4"/>
    <w:rsid w:val="00933EBA"/>
    <w:rsid w:val="00935C19"/>
    <w:rsid w:val="00935EE5"/>
    <w:rsid w:val="009365A2"/>
    <w:rsid w:val="0093695C"/>
    <w:rsid w:val="00936ED7"/>
    <w:rsid w:val="00937C5E"/>
    <w:rsid w:val="00940BFB"/>
    <w:rsid w:val="00940C19"/>
    <w:rsid w:val="00940F62"/>
    <w:rsid w:val="009421C5"/>
    <w:rsid w:val="00942438"/>
    <w:rsid w:val="009424EB"/>
    <w:rsid w:val="00943571"/>
    <w:rsid w:val="00943C00"/>
    <w:rsid w:val="009445B5"/>
    <w:rsid w:val="00944EC2"/>
    <w:rsid w:val="00944FE2"/>
    <w:rsid w:val="009452C4"/>
    <w:rsid w:val="00945A02"/>
    <w:rsid w:val="0094753E"/>
    <w:rsid w:val="0095133A"/>
    <w:rsid w:val="00952580"/>
    <w:rsid w:val="009536EE"/>
    <w:rsid w:val="0095485C"/>
    <w:rsid w:val="0095519D"/>
    <w:rsid w:val="00955888"/>
    <w:rsid w:val="00955CFB"/>
    <w:rsid w:val="00956002"/>
    <w:rsid w:val="00956DD9"/>
    <w:rsid w:val="0096072D"/>
    <w:rsid w:val="0096097E"/>
    <w:rsid w:val="00960B4E"/>
    <w:rsid w:val="00961A03"/>
    <w:rsid w:val="00962B77"/>
    <w:rsid w:val="00962F60"/>
    <w:rsid w:val="009639BA"/>
    <w:rsid w:val="00964640"/>
    <w:rsid w:val="00964DD1"/>
    <w:rsid w:val="00965A51"/>
    <w:rsid w:val="009664BA"/>
    <w:rsid w:val="00966810"/>
    <w:rsid w:val="009677AC"/>
    <w:rsid w:val="0096798E"/>
    <w:rsid w:val="0097041C"/>
    <w:rsid w:val="009712EA"/>
    <w:rsid w:val="00971926"/>
    <w:rsid w:val="00971AAB"/>
    <w:rsid w:val="0097279D"/>
    <w:rsid w:val="0097283D"/>
    <w:rsid w:val="009731F8"/>
    <w:rsid w:val="00974EB5"/>
    <w:rsid w:val="00974F9F"/>
    <w:rsid w:val="00975124"/>
    <w:rsid w:val="00975169"/>
    <w:rsid w:val="009753F4"/>
    <w:rsid w:val="009766A1"/>
    <w:rsid w:val="00976E24"/>
    <w:rsid w:val="00977FCA"/>
    <w:rsid w:val="00980072"/>
    <w:rsid w:val="00980231"/>
    <w:rsid w:val="00980AB1"/>
    <w:rsid w:val="00980BFA"/>
    <w:rsid w:val="00981515"/>
    <w:rsid w:val="00982233"/>
    <w:rsid w:val="009825A8"/>
    <w:rsid w:val="009847EC"/>
    <w:rsid w:val="00985418"/>
    <w:rsid w:val="0098703F"/>
    <w:rsid w:val="00987474"/>
    <w:rsid w:val="009903F3"/>
    <w:rsid w:val="00992DE6"/>
    <w:rsid w:val="00993273"/>
    <w:rsid w:val="00993392"/>
    <w:rsid w:val="00993768"/>
    <w:rsid w:val="00993B3F"/>
    <w:rsid w:val="009955F3"/>
    <w:rsid w:val="00996705"/>
    <w:rsid w:val="00997F5D"/>
    <w:rsid w:val="009A0B75"/>
    <w:rsid w:val="009A1284"/>
    <w:rsid w:val="009A15CE"/>
    <w:rsid w:val="009A2ABF"/>
    <w:rsid w:val="009A3728"/>
    <w:rsid w:val="009A39D0"/>
    <w:rsid w:val="009A41C3"/>
    <w:rsid w:val="009A473D"/>
    <w:rsid w:val="009A793C"/>
    <w:rsid w:val="009A7B65"/>
    <w:rsid w:val="009B029A"/>
    <w:rsid w:val="009B07AE"/>
    <w:rsid w:val="009B1470"/>
    <w:rsid w:val="009B1A5D"/>
    <w:rsid w:val="009B3EE3"/>
    <w:rsid w:val="009B5488"/>
    <w:rsid w:val="009B5C9F"/>
    <w:rsid w:val="009B5DA7"/>
    <w:rsid w:val="009B617C"/>
    <w:rsid w:val="009B687A"/>
    <w:rsid w:val="009B6B69"/>
    <w:rsid w:val="009C0E3D"/>
    <w:rsid w:val="009C15EB"/>
    <w:rsid w:val="009C18B1"/>
    <w:rsid w:val="009C3B77"/>
    <w:rsid w:val="009C40E4"/>
    <w:rsid w:val="009C4750"/>
    <w:rsid w:val="009C4AB7"/>
    <w:rsid w:val="009C5217"/>
    <w:rsid w:val="009C5ED6"/>
    <w:rsid w:val="009C6026"/>
    <w:rsid w:val="009C7001"/>
    <w:rsid w:val="009C79ED"/>
    <w:rsid w:val="009D00E6"/>
    <w:rsid w:val="009D01FE"/>
    <w:rsid w:val="009D07CA"/>
    <w:rsid w:val="009D1561"/>
    <w:rsid w:val="009D24EF"/>
    <w:rsid w:val="009D2A6C"/>
    <w:rsid w:val="009D2C6D"/>
    <w:rsid w:val="009D2E9A"/>
    <w:rsid w:val="009D506D"/>
    <w:rsid w:val="009D67C6"/>
    <w:rsid w:val="009D7D64"/>
    <w:rsid w:val="009E0143"/>
    <w:rsid w:val="009E081F"/>
    <w:rsid w:val="009E0C6C"/>
    <w:rsid w:val="009E2478"/>
    <w:rsid w:val="009E45D9"/>
    <w:rsid w:val="009E4896"/>
    <w:rsid w:val="009E50CF"/>
    <w:rsid w:val="009E639F"/>
    <w:rsid w:val="009E6D03"/>
    <w:rsid w:val="009E7219"/>
    <w:rsid w:val="009E7556"/>
    <w:rsid w:val="009E7FC8"/>
    <w:rsid w:val="009F0111"/>
    <w:rsid w:val="009F0359"/>
    <w:rsid w:val="009F05FF"/>
    <w:rsid w:val="009F1422"/>
    <w:rsid w:val="009F2DBA"/>
    <w:rsid w:val="009F50BD"/>
    <w:rsid w:val="009F6B10"/>
    <w:rsid w:val="00A005DA"/>
    <w:rsid w:val="00A035F2"/>
    <w:rsid w:val="00A036B2"/>
    <w:rsid w:val="00A03CA4"/>
    <w:rsid w:val="00A04D76"/>
    <w:rsid w:val="00A057DE"/>
    <w:rsid w:val="00A0677A"/>
    <w:rsid w:val="00A101D8"/>
    <w:rsid w:val="00A1182B"/>
    <w:rsid w:val="00A128CD"/>
    <w:rsid w:val="00A12BFA"/>
    <w:rsid w:val="00A133C6"/>
    <w:rsid w:val="00A1357C"/>
    <w:rsid w:val="00A14040"/>
    <w:rsid w:val="00A15137"/>
    <w:rsid w:val="00A17C03"/>
    <w:rsid w:val="00A20C22"/>
    <w:rsid w:val="00A2112F"/>
    <w:rsid w:val="00A21F78"/>
    <w:rsid w:val="00A23005"/>
    <w:rsid w:val="00A24576"/>
    <w:rsid w:val="00A24BA7"/>
    <w:rsid w:val="00A25635"/>
    <w:rsid w:val="00A259A0"/>
    <w:rsid w:val="00A25B59"/>
    <w:rsid w:val="00A26993"/>
    <w:rsid w:val="00A269E8"/>
    <w:rsid w:val="00A27999"/>
    <w:rsid w:val="00A303B5"/>
    <w:rsid w:val="00A305CA"/>
    <w:rsid w:val="00A30A7E"/>
    <w:rsid w:val="00A30F91"/>
    <w:rsid w:val="00A312B3"/>
    <w:rsid w:val="00A314D3"/>
    <w:rsid w:val="00A32119"/>
    <w:rsid w:val="00A34484"/>
    <w:rsid w:val="00A34AF0"/>
    <w:rsid w:val="00A35222"/>
    <w:rsid w:val="00A353C3"/>
    <w:rsid w:val="00A353DE"/>
    <w:rsid w:val="00A37802"/>
    <w:rsid w:val="00A41425"/>
    <w:rsid w:val="00A41564"/>
    <w:rsid w:val="00A41D51"/>
    <w:rsid w:val="00A4378E"/>
    <w:rsid w:val="00A43E5D"/>
    <w:rsid w:val="00A443A0"/>
    <w:rsid w:val="00A44AD7"/>
    <w:rsid w:val="00A44B0A"/>
    <w:rsid w:val="00A46960"/>
    <w:rsid w:val="00A469D5"/>
    <w:rsid w:val="00A509BA"/>
    <w:rsid w:val="00A5167B"/>
    <w:rsid w:val="00A52523"/>
    <w:rsid w:val="00A52BF8"/>
    <w:rsid w:val="00A52D30"/>
    <w:rsid w:val="00A53164"/>
    <w:rsid w:val="00A53402"/>
    <w:rsid w:val="00A536DB"/>
    <w:rsid w:val="00A54335"/>
    <w:rsid w:val="00A558CE"/>
    <w:rsid w:val="00A55DDF"/>
    <w:rsid w:val="00A56FF8"/>
    <w:rsid w:val="00A57ACA"/>
    <w:rsid w:val="00A57DA5"/>
    <w:rsid w:val="00A6095A"/>
    <w:rsid w:val="00A61110"/>
    <w:rsid w:val="00A61222"/>
    <w:rsid w:val="00A612F9"/>
    <w:rsid w:val="00A61F4F"/>
    <w:rsid w:val="00A64324"/>
    <w:rsid w:val="00A656AA"/>
    <w:rsid w:val="00A6580E"/>
    <w:rsid w:val="00A65C62"/>
    <w:rsid w:val="00A665A0"/>
    <w:rsid w:val="00A6690F"/>
    <w:rsid w:val="00A66987"/>
    <w:rsid w:val="00A66FF9"/>
    <w:rsid w:val="00A670AA"/>
    <w:rsid w:val="00A67978"/>
    <w:rsid w:val="00A70CEF"/>
    <w:rsid w:val="00A72146"/>
    <w:rsid w:val="00A73773"/>
    <w:rsid w:val="00A7415F"/>
    <w:rsid w:val="00A74327"/>
    <w:rsid w:val="00A762D5"/>
    <w:rsid w:val="00A76DF9"/>
    <w:rsid w:val="00A80D61"/>
    <w:rsid w:val="00A80F59"/>
    <w:rsid w:val="00A821F6"/>
    <w:rsid w:val="00A826B5"/>
    <w:rsid w:val="00A82F54"/>
    <w:rsid w:val="00A833C2"/>
    <w:rsid w:val="00A838B9"/>
    <w:rsid w:val="00A83AA6"/>
    <w:rsid w:val="00A84769"/>
    <w:rsid w:val="00A847C6"/>
    <w:rsid w:val="00A86A25"/>
    <w:rsid w:val="00A8702D"/>
    <w:rsid w:val="00A900B0"/>
    <w:rsid w:val="00A90D25"/>
    <w:rsid w:val="00A91CCD"/>
    <w:rsid w:val="00A923EF"/>
    <w:rsid w:val="00A93E00"/>
    <w:rsid w:val="00A946EE"/>
    <w:rsid w:val="00A95168"/>
    <w:rsid w:val="00A954F8"/>
    <w:rsid w:val="00A95C0E"/>
    <w:rsid w:val="00A96D3A"/>
    <w:rsid w:val="00A975F7"/>
    <w:rsid w:val="00A97719"/>
    <w:rsid w:val="00AA0583"/>
    <w:rsid w:val="00AA08AA"/>
    <w:rsid w:val="00AA3392"/>
    <w:rsid w:val="00AA3AFE"/>
    <w:rsid w:val="00AA4390"/>
    <w:rsid w:val="00AA5181"/>
    <w:rsid w:val="00AA69CA"/>
    <w:rsid w:val="00AA6B6B"/>
    <w:rsid w:val="00AA6DA2"/>
    <w:rsid w:val="00AA7CC3"/>
    <w:rsid w:val="00AA7DF8"/>
    <w:rsid w:val="00AB0469"/>
    <w:rsid w:val="00AB0A02"/>
    <w:rsid w:val="00AB2326"/>
    <w:rsid w:val="00AB2440"/>
    <w:rsid w:val="00AB27C1"/>
    <w:rsid w:val="00AB4ECD"/>
    <w:rsid w:val="00AB55DC"/>
    <w:rsid w:val="00AB60ED"/>
    <w:rsid w:val="00AB61F5"/>
    <w:rsid w:val="00AB6457"/>
    <w:rsid w:val="00AB6682"/>
    <w:rsid w:val="00AB7D9F"/>
    <w:rsid w:val="00AC0594"/>
    <w:rsid w:val="00AC08F8"/>
    <w:rsid w:val="00AC1E9F"/>
    <w:rsid w:val="00AC2342"/>
    <w:rsid w:val="00AC2A98"/>
    <w:rsid w:val="00AC4834"/>
    <w:rsid w:val="00AC5697"/>
    <w:rsid w:val="00AC5B9B"/>
    <w:rsid w:val="00AC5FE7"/>
    <w:rsid w:val="00AC6A06"/>
    <w:rsid w:val="00AD021C"/>
    <w:rsid w:val="00AD2E99"/>
    <w:rsid w:val="00AD3069"/>
    <w:rsid w:val="00AD36BD"/>
    <w:rsid w:val="00AD4908"/>
    <w:rsid w:val="00AD4EAA"/>
    <w:rsid w:val="00AD55F4"/>
    <w:rsid w:val="00AD5B8A"/>
    <w:rsid w:val="00AD6675"/>
    <w:rsid w:val="00AD7CC0"/>
    <w:rsid w:val="00AD7EBB"/>
    <w:rsid w:val="00AE0F61"/>
    <w:rsid w:val="00AE1783"/>
    <w:rsid w:val="00AE23AA"/>
    <w:rsid w:val="00AE301C"/>
    <w:rsid w:val="00AE4149"/>
    <w:rsid w:val="00AE475F"/>
    <w:rsid w:val="00AE54A6"/>
    <w:rsid w:val="00AE5EB3"/>
    <w:rsid w:val="00AE7346"/>
    <w:rsid w:val="00AF0C93"/>
    <w:rsid w:val="00AF33C2"/>
    <w:rsid w:val="00AF354C"/>
    <w:rsid w:val="00AF4D8C"/>
    <w:rsid w:val="00AF7229"/>
    <w:rsid w:val="00B00598"/>
    <w:rsid w:val="00B00EBE"/>
    <w:rsid w:val="00B02EE9"/>
    <w:rsid w:val="00B04DB7"/>
    <w:rsid w:val="00B06007"/>
    <w:rsid w:val="00B07BA5"/>
    <w:rsid w:val="00B11CC8"/>
    <w:rsid w:val="00B1200C"/>
    <w:rsid w:val="00B12A5C"/>
    <w:rsid w:val="00B13223"/>
    <w:rsid w:val="00B1352F"/>
    <w:rsid w:val="00B1366B"/>
    <w:rsid w:val="00B13D69"/>
    <w:rsid w:val="00B14282"/>
    <w:rsid w:val="00B14D5B"/>
    <w:rsid w:val="00B14EF8"/>
    <w:rsid w:val="00B156A1"/>
    <w:rsid w:val="00B16000"/>
    <w:rsid w:val="00B16980"/>
    <w:rsid w:val="00B17320"/>
    <w:rsid w:val="00B20687"/>
    <w:rsid w:val="00B218AE"/>
    <w:rsid w:val="00B22BEC"/>
    <w:rsid w:val="00B23B0E"/>
    <w:rsid w:val="00B23CA6"/>
    <w:rsid w:val="00B243B6"/>
    <w:rsid w:val="00B24C34"/>
    <w:rsid w:val="00B25CFD"/>
    <w:rsid w:val="00B26687"/>
    <w:rsid w:val="00B270FC"/>
    <w:rsid w:val="00B27BAE"/>
    <w:rsid w:val="00B30BD3"/>
    <w:rsid w:val="00B312AD"/>
    <w:rsid w:val="00B354E1"/>
    <w:rsid w:val="00B359E0"/>
    <w:rsid w:val="00B37802"/>
    <w:rsid w:val="00B37D85"/>
    <w:rsid w:val="00B400C2"/>
    <w:rsid w:val="00B41721"/>
    <w:rsid w:val="00B4200A"/>
    <w:rsid w:val="00B430B1"/>
    <w:rsid w:val="00B43E0C"/>
    <w:rsid w:val="00B449E6"/>
    <w:rsid w:val="00B45963"/>
    <w:rsid w:val="00B459A2"/>
    <w:rsid w:val="00B468AE"/>
    <w:rsid w:val="00B505DC"/>
    <w:rsid w:val="00B507CF"/>
    <w:rsid w:val="00B5086F"/>
    <w:rsid w:val="00B50ED9"/>
    <w:rsid w:val="00B51084"/>
    <w:rsid w:val="00B55165"/>
    <w:rsid w:val="00B553CF"/>
    <w:rsid w:val="00B554FE"/>
    <w:rsid w:val="00B55BEC"/>
    <w:rsid w:val="00B565B1"/>
    <w:rsid w:val="00B571FC"/>
    <w:rsid w:val="00B574C0"/>
    <w:rsid w:val="00B57C80"/>
    <w:rsid w:val="00B60070"/>
    <w:rsid w:val="00B6064B"/>
    <w:rsid w:val="00B60C76"/>
    <w:rsid w:val="00B60D97"/>
    <w:rsid w:val="00B61330"/>
    <w:rsid w:val="00B619B8"/>
    <w:rsid w:val="00B64372"/>
    <w:rsid w:val="00B64428"/>
    <w:rsid w:val="00B6622A"/>
    <w:rsid w:val="00B67DF8"/>
    <w:rsid w:val="00B705C2"/>
    <w:rsid w:val="00B70A02"/>
    <w:rsid w:val="00B71899"/>
    <w:rsid w:val="00B729A2"/>
    <w:rsid w:val="00B72AC3"/>
    <w:rsid w:val="00B740EA"/>
    <w:rsid w:val="00B75256"/>
    <w:rsid w:val="00B7555D"/>
    <w:rsid w:val="00B77558"/>
    <w:rsid w:val="00B77CBC"/>
    <w:rsid w:val="00B809E7"/>
    <w:rsid w:val="00B81D34"/>
    <w:rsid w:val="00B829A7"/>
    <w:rsid w:val="00B83451"/>
    <w:rsid w:val="00B83957"/>
    <w:rsid w:val="00B83DDD"/>
    <w:rsid w:val="00B843C3"/>
    <w:rsid w:val="00B8471A"/>
    <w:rsid w:val="00B85661"/>
    <w:rsid w:val="00B859C8"/>
    <w:rsid w:val="00B86068"/>
    <w:rsid w:val="00B86465"/>
    <w:rsid w:val="00B870D3"/>
    <w:rsid w:val="00B87BCA"/>
    <w:rsid w:val="00B87E63"/>
    <w:rsid w:val="00B91F90"/>
    <w:rsid w:val="00B925BB"/>
    <w:rsid w:val="00B927C1"/>
    <w:rsid w:val="00B929AF"/>
    <w:rsid w:val="00B9351B"/>
    <w:rsid w:val="00B94DCB"/>
    <w:rsid w:val="00B958E0"/>
    <w:rsid w:val="00B95D40"/>
    <w:rsid w:val="00B96601"/>
    <w:rsid w:val="00B96BA1"/>
    <w:rsid w:val="00B975B0"/>
    <w:rsid w:val="00BA0321"/>
    <w:rsid w:val="00BA06EE"/>
    <w:rsid w:val="00BA0D11"/>
    <w:rsid w:val="00BA3133"/>
    <w:rsid w:val="00BA3C45"/>
    <w:rsid w:val="00BA453B"/>
    <w:rsid w:val="00BA45BD"/>
    <w:rsid w:val="00BA46ED"/>
    <w:rsid w:val="00BA4762"/>
    <w:rsid w:val="00BA4883"/>
    <w:rsid w:val="00BA4A09"/>
    <w:rsid w:val="00BA60C8"/>
    <w:rsid w:val="00BA7509"/>
    <w:rsid w:val="00BB137B"/>
    <w:rsid w:val="00BB1D4E"/>
    <w:rsid w:val="00BB1DDF"/>
    <w:rsid w:val="00BB33B7"/>
    <w:rsid w:val="00BB34C6"/>
    <w:rsid w:val="00BB3BC4"/>
    <w:rsid w:val="00BB5149"/>
    <w:rsid w:val="00BB649D"/>
    <w:rsid w:val="00BB6549"/>
    <w:rsid w:val="00BB715A"/>
    <w:rsid w:val="00BB75FA"/>
    <w:rsid w:val="00BB7A10"/>
    <w:rsid w:val="00BC0295"/>
    <w:rsid w:val="00BC1DF3"/>
    <w:rsid w:val="00BC260C"/>
    <w:rsid w:val="00BC2AF0"/>
    <w:rsid w:val="00BC2DAF"/>
    <w:rsid w:val="00BC5D5E"/>
    <w:rsid w:val="00BD0E84"/>
    <w:rsid w:val="00BD16F0"/>
    <w:rsid w:val="00BD3D58"/>
    <w:rsid w:val="00BD4B31"/>
    <w:rsid w:val="00BD4F4C"/>
    <w:rsid w:val="00BD524D"/>
    <w:rsid w:val="00BD6C30"/>
    <w:rsid w:val="00BE1E9E"/>
    <w:rsid w:val="00BE24C5"/>
    <w:rsid w:val="00BE277E"/>
    <w:rsid w:val="00BE2E80"/>
    <w:rsid w:val="00BE359B"/>
    <w:rsid w:val="00BE3642"/>
    <w:rsid w:val="00BE3D48"/>
    <w:rsid w:val="00BE4260"/>
    <w:rsid w:val="00BE488F"/>
    <w:rsid w:val="00BE489B"/>
    <w:rsid w:val="00BE4D2C"/>
    <w:rsid w:val="00BE4E97"/>
    <w:rsid w:val="00BE639F"/>
    <w:rsid w:val="00BE6719"/>
    <w:rsid w:val="00BE7009"/>
    <w:rsid w:val="00BE76CA"/>
    <w:rsid w:val="00BE7B9D"/>
    <w:rsid w:val="00BF07FC"/>
    <w:rsid w:val="00BF133E"/>
    <w:rsid w:val="00BF3180"/>
    <w:rsid w:val="00BF46C8"/>
    <w:rsid w:val="00BF54E0"/>
    <w:rsid w:val="00BF5800"/>
    <w:rsid w:val="00C005E5"/>
    <w:rsid w:val="00C0103A"/>
    <w:rsid w:val="00C017DA"/>
    <w:rsid w:val="00C03915"/>
    <w:rsid w:val="00C03A35"/>
    <w:rsid w:val="00C05190"/>
    <w:rsid w:val="00C0603E"/>
    <w:rsid w:val="00C06DE5"/>
    <w:rsid w:val="00C1036F"/>
    <w:rsid w:val="00C108AB"/>
    <w:rsid w:val="00C108DF"/>
    <w:rsid w:val="00C11433"/>
    <w:rsid w:val="00C11530"/>
    <w:rsid w:val="00C115C9"/>
    <w:rsid w:val="00C12F12"/>
    <w:rsid w:val="00C1307D"/>
    <w:rsid w:val="00C131CE"/>
    <w:rsid w:val="00C1381C"/>
    <w:rsid w:val="00C14D7B"/>
    <w:rsid w:val="00C15996"/>
    <w:rsid w:val="00C16294"/>
    <w:rsid w:val="00C162EA"/>
    <w:rsid w:val="00C16714"/>
    <w:rsid w:val="00C17A8A"/>
    <w:rsid w:val="00C210ED"/>
    <w:rsid w:val="00C2208F"/>
    <w:rsid w:val="00C2272F"/>
    <w:rsid w:val="00C237E4"/>
    <w:rsid w:val="00C2467F"/>
    <w:rsid w:val="00C27989"/>
    <w:rsid w:val="00C27B90"/>
    <w:rsid w:val="00C30D33"/>
    <w:rsid w:val="00C30D58"/>
    <w:rsid w:val="00C3110E"/>
    <w:rsid w:val="00C313A6"/>
    <w:rsid w:val="00C318AA"/>
    <w:rsid w:val="00C32D96"/>
    <w:rsid w:val="00C33503"/>
    <w:rsid w:val="00C33527"/>
    <w:rsid w:val="00C354D6"/>
    <w:rsid w:val="00C35932"/>
    <w:rsid w:val="00C3599A"/>
    <w:rsid w:val="00C35D22"/>
    <w:rsid w:val="00C35D64"/>
    <w:rsid w:val="00C37854"/>
    <w:rsid w:val="00C40130"/>
    <w:rsid w:val="00C4100A"/>
    <w:rsid w:val="00C4178C"/>
    <w:rsid w:val="00C42523"/>
    <w:rsid w:val="00C42FBC"/>
    <w:rsid w:val="00C43642"/>
    <w:rsid w:val="00C439F8"/>
    <w:rsid w:val="00C44BB6"/>
    <w:rsid w:val="00C501B0"/>
    <w:rsid w:val="00C5028D"/>
    <w:rsid w:val="00C511DC"/>
    <w:rsid w:val="00C51CB2"/>
    <w:rsid w:val="00C5626F"/>
    <w:rsid w:val="00C579AE"/>
    <w:rsid w:val="00C616A5"/>
    <w:rsid w:val="00C632F4"/>
    <w:rsid w:val="00C633C3"/>
    <w:rsid w:val="00C63BBD"/>
    <w:rsid w:val="00C64108"/>
    <w:rsid w:val="00C66ACB"/>
    <w:rsid w:val="00C66E2A"/>
    <w:rsid w:val="00C67712"/>
    <w:rsid w:val="00C71A6F"/>
    <w:rsid w:val="00C722BE"/>
    <w:rsid w:val="00C73483"/>
    <w:rsid w:val="00C74868"/>
    <w:rsid w:val="00C74A91"/>
    <w:rsid w:val="00C74C53"/>
    <w:rsid w:val="00C8198C"/>
    <w:rsid w:val="00C81A31"/>
    <w:rsid w:val="00C81E1D"/>
    <w:rsid w:val="00C84B1F"/>
    <w:rsid w:val="00C85CCA"/>
    <w:rsid w:val="00C86F61"/>
    <w:rsid w:val="00C90383"/>
    <w:rsid w:val="00C92076"/>
    <w:rsid w:val="00C927F6"/>
    <w:rsid w:val="00C92A28"/>
    <w:rsid w:val="00C92BF5"/>
    <w:rsid w:val="00C92F6A"/>
    <w:rsid w:val="00C93340"/>
    <w:rsid w:val="00C93350"/>
    <w:rsid w:val="00C94B5E"/>
    <w:rsid w:val="00C96068"/>
    <w:rsid w:val="00C964F5"/>
    <w:rsid w:val="00C97001"/>
    <w:rsid w:val="00C971A2"/>
    <w:rsid w:val="00CA0075"/>
    <w:rsid w:val="00CA060C"/>
    <w:rsid w:val="00CA16AB"/>
    <w:rsid w:val="00CA1CFB"/>
    <w:rsid w:val="00CA21EF"/>
    <w:rsid w:val="00CA385C"/>
    <w:rsid w:val="00CA3BDC"/>
    <w:rsid w:val="00CA4C13"/>
    <w:rsid w:val="00CA561F"/>
    <w:rsid w:val="00CA68CA"/>
    <w:rsid w:val="00CA6BE4"/>
    <w:rsid w:val="00CA72BF"/>
    <w:rsid w:val="00CA75EB"/>
    <w:rsid w:val="00CA775A"/>
    <w:rsid w:val="00CB0CFD"/>
    <w:rsid w:val="00CB1183"/>
    <w:rsid w:val="00CB11B9"/>
    <w:rsid w:val="00CB181E"/>
    <w:rsid w:val="00CB232D"/>
    <w:rsid w:val="00CB280E"/>
    <w:rsid w:val="00CB37B8"/>
    <w:rsid w:val="00CB7C25"/>
    <w:rsid w:val="00CC01D8"/>
    <w:rsid w:val="00CC0502"/>
    <w:rsid w:val="00CC05C8"/>
    <w:rsid w:val="00CC13CB"/>
    <w:rsid w:val="00CC2031"/>
    <w:rsid w:val="00CC283F"/>
    <w:rsid w:val="00CC33A6"/>
    <w:rsid w:val="00CC3A67"/>
    <w:rsid w:val="00CC3DC6"/>
    <w:rsid w:val="00CC6878"/>
    <w:rsid w:val="00CC6BE5"/>
    <w:rsid w:val="00CC7D4B"/>
    <w:rsid w:val="00CD0329"/>
    <w:rsid w:val="00CD07F3"/>
    <w:rsid w:val="00CD1257"/>
    <w:rsid w:val="00CD1935"/>
    <w:rsid w:val="00CD2399"/>
    <w:rsid w:val="00CD3681"/>
    <w:rsid w:val="00CD4B88"/>
    <w:rsid w:val="00CD5902"/>
    <w:rsid w:val="00CD5C8B"/>
    <w:rsid w:val="00CE0677"/>
    <w:rsid w:val="00CE09D3"/>
    <w:rsid w:val="00CE0F4B"/>
    <w:rsid w:val="00CE1322"/>
    <w:rsid w:val="00CE1692"/>
    <w:rsid w:val="00CE217C"/>
    <w:rsid w:val="00CE2C90"/>
    <w:rsid w:val="00CE2E9F"/>
    <w:rsid w:val="00CE308E"/>
    <w:rsid w:val="00CE4123"/>
    <w:rsid w:val="00CE4B53"/>
    <w:rsid w:val="00CE75FC"/>
    <w:rsid w:val="00CF0653"/>
    <w:rsid w:val="00CF274A"/>
    <w:rsid w:val="00CF3C24"/>
    <w:rsid w:val="00CF4C79"/>
    <w:rsid w:val="00CF4E6E"/>
    <w:rsid w:val="00CF5AEC"/>
    <w:rsid w:val="00CF5E8E"/>
    <w:rsid w:val="00D0020E"/>
    <w:rsid w:val="00D00B1D"/>
    <w:rsid w:val="00D011DA"/>
    <w:rsid w:val="00D04E9D"/>
    <w:rsid w:val="00D052A7"/>
    <w:rsid w:val="00D0600B"/>
    <w:rsid w:val="00D070C1"/>
    <w:rsid w:val="00D071B9"/>
    <w:rsid w:val="00D072D6"/>
    <w:rsid w:val="00D10BDD"/>
    <w:rsid w:val="00D1145F"/>
    <w:rsid w:val="00D11AB0"/>
    <w:rsid w:val="00D11B73"/>
    <w:rsid w:val="00D1238D"/>
    <w:rsid w:val="00D12E51"/>
    <w:rsid w:val="00D13058"/>
    <w:rsid w:val="00D131C4"/>
    <w:rsid w:val="00D143FB"/>
    <w:rsid w:val="00D154CB"/>
    <w:rsid w:val="00D17103"/>
    <w:rsid w:val="00D17FC9"/>
    <w:rsid w:val="00D207FF"/>
    <w:rsid w:val="00D21F26"/>
    <w:rsid w:val="00D2376F"/>
    <w:rsid w:val="00D2756F"/>
    <w:rsid w:val="00D2789E"/>
    <w:rsid w:val="00D27AC8"/>
    <w:rsid w:val="00D27BF5"/>
    <w:rsid w:val="00D27D5F"/>
    <w:rsid w:val="00D30968"/>
    <w:rsid w:val="00D30FF9"/>
    <w:rsid w:val="00D33749"/>
    <w:rsid w:val="00D337A2"/>
    <w:rsid w:val="00D3490D"/>
    <w:rsid w:val="00D361E0"/>
    <w:rsid w:val="00D37F00"/>
    <w:rsid w:val="00D45F94"/>
    <w:rsid w:val="00D464AE"/>
    <w:rsid w:val="00D46748"/>
    <w:rsid w:val="00D47384"/>
    <w:rsid w:val="00D475FC"/>
    <w:rsid w:val="00D51588"/>
    <w:rsid w:val="00D528FB"/>
    <w:rsid w:val="00D53027"/>
    <w:rsid w:val="00D5327C"/>
    <w:rsid w:val="00D55877"/>
    <w:rsid w:val="00D56982"/>
    <w:rsid w:val="00D573B5"/>
    <w:rsid w:val="00D60833"/>
    <w:rsid w:val="00D60F09"/>
    <w:rsid w:val="00D615F7"/>
    <w:rsid w:val="00D6238C"/>
    <w:rsid w:val="00D6306B"/>
    <w:rsid w:val="00D63B4B"/>
    <w:rsid w:val="00D64640"/>
    <w:rsid w:val="00D65274"/>
    <w:rsid w:val="00D65BF3"/>
    <w:rsid w:val="00D65F9B"/>
    <w:rsid w:val="00D66870"/>
    <w:rsid w:val="00D708FD"/>
    <w:rsid w:val="00D710BC"/>
    <w:rsid w:val="00D719FB"/>
    <w:rsid w:val="00D71F21"/>
    <w:rsid w:val="00D721BF"/>
    <w:rsid w:val="00D73069"/>
    <w:rsid w:val="00D73647"/>
    <w:rsid w:val="00D73684"/>
    <w:rsid w:val="00D73E02"/>
    <w:rsid w:val="00D73E38"/>
    <w:rsid w:val="00D73E6D"/>
    <w:rsid w:val="00D74630"/>
    <w:rsid w:val="00D75399"/>
    <w:rsid w:val="00D75DA0"/>
    <w:rsid w:val="00D75DB0"/>
    <w:rsid w:val="00D7738C"/>
    <w:rsid w:val="00D812AE"/>
    <w:rsid w:val="00D81470"/>
    <w:rsid w:val="00D820D3"/>
    <w:rsid w:val="00D82BAB"/>
    <w:rsid w:val="00D82BB4"/>
    <w:rsid w:val="00D82C35"/>
    <w:rsid w:val="00D856DE"/>
    <w:rsid w:val="00D86340"/>
    <w:rsid w:val="00D864A5"/>
    <w:rsid w:val="00D8707A"/>
    <w:rsid w:val="00D90D91"/>
    <w:rsid w:val="00D90E27"/>
    <w:rsid w:val="00D91EF1"/>
    <w:rsid w:val="00D924DB"/>
    <w:rsid w:val="00D93DAF"/>
    <w:rsid w:val="00D951C7"/>
    <w:rsid w:val="00DA027D"/>
    <w:rsid w:val="00DA034C"/>
    <w:rsid w:val="00DA04B9"/>
    <w:rsid w:val="00DA0576"/>
    <w:rsid w:val="00DA1247"/>
    <w:rsid w:val="00DA1BE1"/>
    <w:rsid w:val="00DA212F"/>
    <w:rsid w:val="00DA214A"/>
    <w:rsid w:val="00DA2CB5"/>
    <w:rsid w:val="00DA3AFD"/>
    <w:rsid w:val="00DA4A4A"/>
    <w:rsid w:val="00DA7EB4"/>
    <w:rsid w:val="00DB1C9A"/>
    <w:rsid w:val="00DB3271"/>
    <w:rsid w:val="00DB3377"/>
    <w:rsid w:val="00DB342B"/>
    <w:rsid w:val="00DB383D"/>
    <w:rsid w:val="00DB648A"/>
    <w:rsid w:val="00DB66B7"/>
    <w:rsid w:val="00DB6849"/>
    <w:rsid w:val="00DB6AEA"/>
    <w:rsid w:val="00DB73B7"/>
    <w:rsid w:val="00DC09BB"/>
    <w:rsid w:val="00DC20FB"/>
    <w:rsid w:val="00DC23C5"/>
    <w:rsid w:val="00DC2B9E"/>
    <w:rsid w:val="00DC2E46"/>
    <w:rsid w:val="00DC34FF"/>
    <w:rsid w:val="00DC35BF"/>
    <w:rsid w:val="00DC4305"/>
    <w:rsid w:val="00DC49C8"/>
    <w:rsid w:val="00DC65B5"/>
    <w:rsid w:val="00DC669D"/>
    <w:rsid w:val="00DC7560"/>
    <w:rsid w:val="00DC79E6"/>
    <w:rsid w:val="00DD00A0"/>
    <w:rsid w:val="00DD7211"/>
    <w:rsid w:val="00DE106F"/>
    <w:rsid w:val="00DE316A"/>
    <w:rsid w:val="00DE767A"/>
    <w:rsid w:val="00DE79C9"/>
    <w:rsid w:val="00DE7D01"/>
    <w:rsid w:val="00DF1027"/>
    <w:rsid w:val="00DF1CC5"/>
    <w:rsid w:val="00DF2BB3"/>
    <w:rsid w:val="00DF303F"/>
    <w:rsid w:val="00DF355F"/>
    <w:rsid w:val="00DF532E"/>
    <w:rsid w:val="00DF642F"/>
    <w:rsid w:val="00DF68C0"/>
    <w:rsid w:val="00DF6CD5"/>
    <w:rsid w:val="00DF7897"/>
    <w:rsid w:val="00E0028B"/>
    <w:rsid w:val="00E01EB8"/>
    <w:rsid w:val="00E0274B"/>
    <w:rsid w:val="00E035E2"/>
    <w:rsid w:val="00E064E6"/>
    <w:rsid w:val="00E06B3D"/>
    <w:rsid w:val="00E077B7"/>
    <w:rsid w:val="00E10E32"/>
    <w:rsid w:val="00E11000"/>
    <w:rsid w:val="00E11C56"/>
    <w:rsid w:val="00E12B22"/>
    <w:rsid w:val="00E13A70"/>
    <w:rsid w:val="00E13B12"/>
    <w:rsid w:val="00E13D64"/>
    <w:rsid w:val="00E13E4E"/>
    <w:rsid w:val="00E14809"/>
    <w:rsid w:val="00E161E1"/>
    <w:rsid w:val="00E16BE6"/>
    <w:rsid w:val="00E1783F"/>
    <w:rsid w:val="00E21033"/>
    <w:rsid w:val="00E21132"/>
    <w:rsid w:val="00E21B64"/>
    <w:rsid w:val="00E22ED5"/>
    <w:rsid w:val="00E23AE3"/>
    <w:rsid w:val="00E24382"/>
    <w:rsid w:val="00E2461C"/>
    <w:rsid w:val="00E248B7"/>
    <w:rsid w:val="00E249A1"/>
    <w:rsid w:val="00E259C5"/>
    <w:rsid w:val="00E25AD8"/>
    <w:rsid w:val="00E27366"/>
    <w:rsid w:val="00E27A30"/>
    <w:rsid w:val="00E27E98"/>
    <w:rsid w:val="00E307AF"/>
    <w:rsid w:val="00E31EDB"/>
    <w:rsid w:val="00E321D7"/>
    <w:rsid w:val="00E326BF"/>
    <w:rsid w:val="00E34AB4"/>
    <w:rsid w:val="00E3682C"/>
    <w:rsid w:val="00E3689F"/>
    <w:rsid w:val="00E40740"/>
    <w:rsid w:val="00E41740"/>
    <w:rsid w:val="00E450EE"/>
    <w:rsid w:val="00E45313"/>
    <w:rsid w:val="00E466E2"/>
    <w:rsid w:val="00E4734C"/>
    <w:rsid w:val="00E50B0D"/>
    <w:rsid w:val="00E5136F"/>
    <w:rsid w:val="00E51DC5"/>
    <w:rsid w:val="00E52909"/>
    <w:rsid w:val="00E533E4"/>
    <w:rsid w:val="00E5366C"/>
    <w:rsid w:val="00E54A21"/>
    <w:rsid w:val="00E54FDD"/>
    <w:rsid w:val="00E55116"/>
    <w:rsid w:val="00E5541D"/>
    <w:rsid w:val="00E559CA"/>
    <w:rsid w:val="00E563CC"/>
    <w:rsid w:val="00E571CB"/>
    <w:rsid w:val="00E5753F"/>
    <w:rsid w:val="00E57869"/>
    <w:rsid w:val="00E603CA"/>
    <w:rsid w:val="00E60DB9"/>
    <w:rsid w:val="00E61CB8"/>
    <w:rsid w:val="00E6200C"/>
    <w:rsid w:val="00E623C6"/>
    <w:rsid w:val="00E6263F"/>
    <w:rsid w:val="00E62C22"/>
    <w:rsid w:val="00E63ED9"/>
    <w:rsid w:val="00E677BD"/>
    <w:rsid w:val="00E70023"/>
    <w:rsid w:val="00E70170"/>
    <w:rsid w:val="00E703AF"/>
    <w:rsid w:val="00E71B2F"/>
    <w:rsid w:val="00E72999"/>
    <w:rsid w:val="00E729D5"/>
    <w:rsid w:val="00E72F6A"/>
    <w:rsid w:val="00E73D17"/>
    <w:rsid w:val="00E740E0"/>
    <w:rsid w:val="00E74381"/>
    <w:rsid w:val="00E74911"/>
    <w:rsid w:val="00E76510"/>
    <w:rsid w:val="00E76C02"/>
    <w:rsid w:val="00E7715F"/>
    <w:rsid w:val="00E77D77"/>
    <w:rsid w:val="00E8152B"/>
    <w:rsid w:val="00E81E9C"/>
    <w:rsid w:val="00E81EEE"/>
    <w:rsid w:val="00E82D31"/>
    <w:rsid w:val="00E83228"/>
    <w:rsid w:val="00E83CC4"/>
    <w:rsid w:val="00E84FF5"/>
    <w:rsid w:val="00E8779D"/>
    <w:rsid w:val="00E91A7F"/>
    <w:rsid w:val="00E9252B"/>
    <w:rsid w:val="00E92606"/>
    <w:rsid w:val="00E939F3"/>
    <w:rsid w:val="00E9400F"/>
    <w:rsid w:val="00E96D78"/>
    <w:rsid w:val="00E971DA"/>
    <w:rsid w:val="00E97AB5"/>
    <w:rsid w:val="00EA1F40"/>
    <w:rsid w:val="00EA26BE"/>
    <w:rsid w:val="00EA4BA5"/>
    <w:rsid w:val="00EA4BF0"/>
    <w:rsid w:val="00EA54A8"/>
    <w:rsid w:val="00EA5E47"/>
    <w:rsid w:val="00EA7418"/>
    <w:rsid w:val="00EB1321"/>
    <w:rsid w:val="00EB25FC"/>
    <w:rsid w:val="00EB36F4"/>
    <w:rsid w:val="00EB3858"/>
    <w:rsid w:val="00EB3BF1"/>
    <w:rsid w:val="00EB4F41"/>
    <w:rsid w:val="00EB6AD1"/>
    <w:rsid w:val="00EB7C41"/>
    <w:rsid w:val="00EC0710"/>
    <w:rsid w:val="00EC1965"/>
    <w:rsid w:val="00EC2B3F"/>
    <w:rsid w:val="00EC439C"/>
    <w:rsid w:val="00EC455B"/>
    <w:rsid w:val="00EC4AC7"/>
    <w:rsid w:val="00EC5853"/>
    <w:rsid w:val="00EC5C9E"/>
    <w:rsid w:val="00EC5D12"/>
    <w:rsid w:val="00ED106A"/>
    <w:rsid w:val="00ED1611"/>
    <w:rsid w:val="00ED17A8"/>
    <w:rsid w:val="00ED2892"/>
    <w:rsid w:val="00ED2E38"/>
    <w:rsid w:val="00ED396D"/>
    <w:rsid w:val="00ED4776"/>
    <w:rsid w:val="00ED5878"/>
    <w:rsid w:val="00ED6822"/>
    <w:rsid w:val="00ED6AA0"/>
    <w:rsid w:val="00ED78D2"/>
    <w:rsid w:val="00ED7AB0"/>
    <w:rsid w:val="00EE0ABA"/>
    <w:rsid w:val="00EE0B9E"/>
    <w:rsid w:val="00EE276C"/>
    <w:rsid w:val="00EE464D"/>
    <w:rsid w:val="00EE4B0F"/>
    <w:rsid w:val="00EE4CD1"/>
    <w:rsid w:val="00EE4DE7"/>
    <w:rsid w:val="00EE50D7"/>
    <w:rsid w:val="00EE59C8"/>
    <w:rsid w:val="00EE710C"/>
    <w:rsid w:val="00EE71B2"/>
    <w:rsid w:val="00EE7336"/>
    <w:rsid w:val="00EE7CE3"/>
    <w:rsid w:val="00EF109E"/>
    <w:rsid w:val="00EF1319"/>
    <w:rsid w:val="00EF1532"/>
    <w:rsid w:val="00EF15A3"/>
    <w:rsid w:val="00EF15D2"/>
    <w:rsid w:val="00EF1D2E"/>
    <w:rsid w:val="00EF2E09"/>
    <w:rsid w:val="00EF5397"/>
    <w:rsid w:val="00EF5B41"/>
    <w:rsid w:val="00EF5B76"/>
    <w:rsid w:val="00EF6838"/>
    <w:rsid w:val="00EF6AAD"/>
    <w:rsid w:val="00EF7C3E"/>
    <w:rsid w:val="00F00622"/>
    <w:rsid w:val="00F01512"/>
    <w:rsid w:val="00F01FF0"/>
    <w:rsid w:val="00F021EA"/>
    <w:rsid w:val="00F02215"/>
    <w:rsid w:val="00F02EC4"/>
    <w:rsid w:val="00F04013"/>
    <w:rsid w:val="00F044F3"/>
    <w:rsid w:val="00F05616"/>
    <w:rsid w:val="00F10194"/>
    <w:rsid w:val="00F11B1E"/>
    <w:rsid w:val="00F11E14"/>
    <w:rsid w:val="00F1213B"/>
    <w:rsid w:val="00F13FFF"/>
    <w:rsid w:val="00F145DB"/>
    <w:rsid w:val="00F146EB"/>
    <w:rsid w:val="00F1480B"/>
    <w:rsid w:val="00F156F8"/>
    <w:rsid w:val="00F1577F"/>
    <w:rsid w:val="00F15E8B"/>
    <w:rsid w:val="00F162C4"/>
    <w:rsid w:val="00F169C3"/>
    <w:rsid w:val="00F23165"/>
    <w:rsid w:val="00F25D0A"/>
    <w:rsid w:val="00F26309"/>
    <w:rsid w:val="00F33F27"/>
    <w:rsid w:val="00F3424B"/>
    <w:rsid w:val="00F35392"/>
    <w:rsid w:val="00F36465"/>
    <w:rsid w:val="00F37B8D"/>
    <w:rsid w:val="00F40015"/>
    <w:rsid w:val="00F407A1"/>
    <w:rsid w:val="00F40910"/>
    <w:rsid w:val="00F413D7"/>
    <w:rsid w:val="00F41E43"/>
    <w:rsid w:val="00F42A97"/>
    <w:rsid w:val="00F4357E"/>
    <w:rsid w:val="00F43A81"/>
    <w:rsid w:val="00F45FA8"/>
    <w:rsid w:val="00F478A2"/>
    <w:rsid w:val="00F500F2"/>
    <w:rsid w:val="00F50820"/>
    <w:rsid w:val="00F50984"/>
    <w:rsid w:val="00F50EC2"/>
    <w:rsid w:val="00F5256C"/>
    <w:rsid w:val="00F52A2C"/>
    <w:rsid w:val="00F52E72"/>
    <w:rsid w:val="00F52EF7"/>
    <w:rsid w:val="00F53417"/>
    <w:rsid w:val="00F53E96"/>
    <w:rsid w:val="00F55038"/>
    <w:rsid w:val="00F555FE"/>
    <w:rsid w:val="00F55947"/>
    <w:rsid w:val="00F5632D"/>
    <w:rsid w:val="00F56511"/>
    <w:rsid w:val="00F57923"/>
    <w:rsid w:val="00F57B44"/>
    <w:rsid w:val="00F60C5B"/>
    <w:rsid w:val="00F6104E"/>
    <w:rsid w:val="00F61EDB"/>
    <w:rsid w:val="00F635BE"/>
    <w:rsid w:val="00F6362D"/>
    <w:rsid w:val="00F63795"/>
    <w:rsid w:val="00F63EF2"/>
    <w:rsid w:val="00F64664"/>
    <w:rsid w:val="00F6524A"/>
    <w:rsid w:val="00F661BA"/>
    <w:rsid w:val="00F6630D"/>
    <w:rsid w:val="00F71528"/>
    <w:rsid w:val="00F727ED"/>
    <w:rsid w:val="00F72839"/>
    <w:rsid w:val="00F72F45"/>
    <w:rsid w:val="00F7300C"/>
    <w:rsid w:val="00F746BB"/>
    <w:rsid w:val="00F74C84"/>
    <w:rsid w:val="00F74D66"/>
    <w:rsid w:val="00F77FC5"/>
    <w:rsid w:val="00F802DC"/>
    <w:rsid w:val="00F80C92"/>
    <w:rsid w:val="00F82C7B"/>
    <w:rsid w:val="00F82E61"/>
    <w:rsid w:val="00F83676"/>
    <w:rsid w:val="00F83C30"/>
    <w:rsid w:val="00F83D48"/>
    <w:rsid w:val="00F84CC0"/>
    <w:rsid w:val="00F84D92"/>
    <w:rsid w:val="00F85751"/>
    <w:rsid w:val="00F85B5F"/>
    <w:rsid w:val="00F86185"/>
    <w:rsid w:val="00F86615"/>
    <w:rsid w:val="00F86F48"/>
    <w:rsid w:val="00F9083B"/>
    <w:rsid w:val="00F92ACA"/>
    <w:rsid w:val="00F92BFD"/>
    <w:rsid w:val="00F9310A"/>
    <w:rsid w:val="00F94D3D"/>
    <w:rsid w:val="00F95192"/>
    <w:rsid w:val="00F96A92"/>
    <w:rsid w:val="00F96DD2"/>
    <w:rsid w:val="00F96F6C"/>
    <w:rsid w:val="00FA09B7"/>
    <w:rsid w:val="00FA0A8D"/>
    <w:rsid w:val="00FA1520"/>
    <w:rsid w:val="00FA23FA"/>
    <w:rsid w:val="00FA250C"/>
    <w:rsid w:val="00FA2889"/>
    <w:rsid w:val="00FA31B5"/>
    <w:rsid w:val="00FA4761"/>
    <w:rsid w:val="00FA47A0"/>
    <w:rsid w:val="00FA4B24"/>
    <w:rsid w:val="00FA5F2C"/>
    <w:rsid w:val="00FA6524"/>
    <w:rsid w:val="00FA77AE"/>
    <w:rsid w:val="00FA7B8A"/>
    <w:rsid w:val="00FB0F68"/>
    <w:rsid w:val="00FB1005"/>
    <w:rsid w:val="00FB48D7"/>
    <w:rsid w:val="00FB585B"/>
    <w:rsid w:val="00FB65D6"/>
    <w:rsid w:val="00FB6886"/>
    <w:rsid w:val="00FB6B34"/>
    <w:rsid w:val="00FB7CCA"/>
    <w:rsid w:val="00FC0918"/>
    <w:rsid w:val="00FC0B89"/>
    <w:rsid w:val="00FC0E09"/>
    <w:rsid w:val="00FC1BA1"/>
    <w:rsid w:val="00FC20D9"/>
    <w:rsid w:val="00FC3D14"/>
    <w:rsid w:val="00FC3EFA"/>
    <w:rsid w:val="00FC42AD"/>
    <w:rsid w:val="00FC4D74"/>
    <w:rsid w:val="00FC6625"/>
    <w:rsid w:val="00FC67C5"/>
    <w:rsid w:val="00FC6BA4"/>
    <w:rsid w:val="00FD16C4"/>
    <w:rsid w:val="00FD1D34"/>
    <w:rsid w:val="00FD1EF3"/>
    <w:rsid w:val="00FD2841"/>
    <w:rsid w:val="00FD344D"/>
    <w:rsid w:val="00FD3DAE"/>
    <w:rsid w:val="00FD42AF"/>
    <w:rsid w:val="00FD49AC"/>
    <w:rsid w:val="00FD4EA0"/>
    <w:rsid w:val="00FD569E"/>
    <w:rsid w:val="00FD599E"/>
    <w:rsid w:val="00FD6EAF"/>
    <w:rsid w:val="00FD70C7"/>
    <w:rsid w:val="00FD719D"/>
    <w:rsid w:val="00FD7649"/>
    <w:rsid w:val="00FD7692"/>
    <w:rsid w:val="00FD7F59"/>
    <w:rsid w:val="00FE045F"/>
    <w:rsid w:val="00FE08FD"/>
    <w:rsid w:val="00FE1032"/>
    <w:rsid w:val="00FE1AB9"/>
    <w:rsid w:val="00FE2DC3"/>
    <w:rsid w:val="00FE2E7F"/>
    <w:rsid w:val="00FE3E06"/>
    <w:rsid w:val="00FE7300"/>
    <w:rsid w:val="00FF01DC"/>
    <w:rsid w:val="00FF09B7"/>
    <w:rsid w:val="00FF45A4"/>
    <w:rsid w:val="00FF4C74"/>
    <w:rsid w:val="00FF4DE0"/>
    <w:rsid w:val="00FF5E18"/>
    <w:rsid w:val="00FF68A4"/>
    <w:rsid w:val="00FF6F44"/>
    <w:rsid w:val="00FF739A"/>
    <w:rsid w:val="00FF7413"/>
    <w:rsid w:val="010A6538"/>
    <w:rsid w:val="052F6A34"/>
    <w:rsid w:val="0CA11DC5"/>
    <w:rsid w:val="0E9B6EF3"/>
    <w:rsid w:val="0F4D13C3"/>
    <w:rsid w:val="107514F4"/>
    <w:rsid w:val="10DB1C9F"/>
    <w:rsid w:val="133D454B"/>
    <w:rsid w:val="15DD3DC4"/>
    <w:rsid w:val="17367C2F"/>
    <w:rsid w:val="1A400DC5"/>
    <w:rsid w:val="1BC67A5B"/>
    <w:rsid w:val="1D5232E9"/>
    <w:rsid w:val="1E763007"/>
    <w:rsid w:val="23C93BD9"/>
    <w:rsid w:val="24284DA4"/>
    <w:rsid w:val="2587208D"/>
    <w:rsid w:val="27B0758A"/>
    <w:rsid w:val="2AA84549"/>
    <w:rsid w:val="2B715282"/>
    <w:rsid w:val="2D41162B"/>
    <w:rsid w:val="2D564730"/>
    <w:rsid w:val="30D20571"/>
    <w:rsid w:val="3A313FD8"/>
    <w:rsid w:val="3C0B116B"/>
    <w:rsid w:val="3CD236A7"/>
    <w:rsid w:val="3D311FB3"/>
    <w:rsid w:val="3F1E2BD3"/>
    <w:rsid w:val="417E3DFD"/>
    <w:rsid w:val="432A7D99"/>
    <w:rsid w:val="44EF1F96"/>
    <w:rsid w:val="49191BCB"/>
    <w:rsid w:val="4BD64C9E"/>
    <w:rsid w:val="51082864"/>
    <w:rsid w:val="535D22E1"/>
    <w:rsid w:val="545274FF"/>
    <w:rsid w:val="56BD70A9"/>
    <w:rsid w:val="5D5F28DD"/>
    <w:rsid w:val="5EA7453C"/>
    <w:rsid w:val="5FC01FD0"/>
    <w:rsid w:val="66815672"/>
    <w:rsid w:val="66CA526B"/>
    <w:rsid w:val="67E85E51"/>
    <w:rsid w:val="6B29537B"/>
    <w:rsid w:val="6D430ECC"/>
    <w:rsid w:val="6D935BD4"/>
    <w:rsid w:val="71163687"/>
    <w:rsid w:val="72834520"/>
    <w:rsid w:val="73397A01"/>
    <w:rsid w:val="736D3206"/>
    <w:rsid w:val="75153B55"/>
    <w:rsid w:val="7521103F"/>
    <w:rsid w:val="7651473C"/>
    <w:rsid w:val="7651761F"/>
    <w:rsid w:val="792A0F2D"/>
    <w:rsid w:val="7A7F33C6"/>
    <w:rsid w:val="7D60202E"/>
    <w:rsid w:val="7D7E3A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qFormat="1" w:unhideWhenUsed="0" w:uiPriority="0"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0" w:semiHidden="0" w:name="annotation text"/>
    <w:lsdException w:qFormat="1" w:unhideWhenUsed="0" w:uiPriority="0" w:semiHidden="0" w:name="header"/>
    <w:lsdException w:qFormat="1" w:unhideWhenUsed="0"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qFormat="1" w:uiPriority="0" w:name="annotation reference"/>
    <w:lsdException w:uiPriority="99" w:name="line number"/>
    <w:lsdException w:uiPriority="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iPriority="99" w:name="Body Text Indent 2"/>
    <w:lsdException w:uiPriority="99" w:name="Body Text Indent 3"/>
    <w:lsdException w:qFormat="1" w:uiPriority="0" w:name="Block Text"/>
    <w:lsdException w:qFormat="1" w:uiPriority="99" w:semiHidden="0" w:name="Hyperlink"/>
    <w:lsdException w:uiPriority="99" w:name="FollowedHyperlink"/>
    <w:lsdException w:unhideWhenUsed="0" w:uiPriority="22" w:semiHidden="0" w:name="Strong"/>
    <w:lsdException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Times New Roman" w:hAnsi="Times New Roman" w:eastAsia="宋体" w:cstheme="minorBidi"/>
      <w:kern w:val="2"/>
      <w:sz w:val="24"/>
      <w:szCs w:val="22"/>
      <w:lang w:val="en-US" w:eastAsia="zh-CN" w:bidi="ar-SA"/>
    </w:rPr>
  </w:style>
  <w:style w:type="paragraph" w:styleId="2">
    <w:name w:val="heading 1"/>
    <w:basedOn w:val="1"/>
    <w:next w:val="1"/>
    <w:link w:val="38"/>
    <w:qFormat/>
    <w:uiPriority w:val="9"/>
    <w:pPr>
      <w:widowControl/>
      <w:numPr>
        <w:ilvl w:val="0"/>
        <w:numId w:val="1"/>
      </w:numPr>
      <w:spacing w:before="100" w:beforeAutospacing="1" w:after="100" w:afterAutospacing="1" w:line="240" w:lineRule="auto"/>
      <w:ind w:firstLineChars="0"/>
      <w:jc w:val="center"/>
      <w:outlineLvl w:val="0"/>
    </w:pPr>
    <w:rPr>
      <w:rFonts w:ascii="黑体" w:hAnsi="黑体" w:eastAsia="黑体" w:cs="Times New Roman"/>
      <w:snapToGrid w:val="0"/>
      <w:kern w:val="0"/>
      <w:sz w:val="30"/>
      <w:szCs w:val="30"/>
    </w:rPr>
  </w:style>
  <w:style w:type="paragraph" w:styleId="3">
    <w:name w:val="heading 2"/>
    <w:basedOn w:val="1"/>
    <w:next w:val="1"/>
    <w:link w:val="39"/>
    <w:unhideWhenUsed/>
    <w:qFormat/>
    <w:uiPriority w:val="9"/>
    <w:pPr>
      <w:spacing w:before="50" w:beforeLines="50"/>
      <w:ind w:firstLine="0" w:firstLineChars="0"/>
      <w:outlineLvl w:val="1"/>
    </w:pPr>
    <w:rPr>
      <w:rFonts w:cs="Times New Roman"/>
      <w:b/>
      <w:szCs w:val="21"/>
    </w:rPr>
  </w:style>
  <w:style w:type="paragraph" w:styleId="4">
    <w:name w:val="heading 3"/>
    <w:basedOn w:val="1"/>
    <w:next w:val="1"/>
    <w:link w:val="40"/>
    <w:semiHidden/>
    <w:unhideWhenUsed/>
    <w:qFormat/>
    <w:uiPriority w:val="9"/>
    <w:pPr>
      <w:keepNext/>
      <w:keepLines/>
      <w:numPr>
        <w:ilvl w:val="2"/>
        <w:numId w:val="1"/>
      </w:numPr>
      <w:spacing w:before="260" w:after="260" w:line="416" w:lineRule="auto"/>
      <w:ind w:firstLineChars="0"/>
      <w:outlineLvl w:val="2"/>
    </w:pPr>
    <w:rPr>
      <w:b/>
      <w:bCs/>
      <w:sz w:val="32"/>
      <w:szCs w:val="32"/>
    </w:rPr>
  </w:style>
  <w:style w:type="paragraph" w:styleId="5">
    <w:name w:val="heading 4"/>
    <w:basedOn w:val="1"/>
    <w:next w:val="1"/>
    <w:link w:val="41"/>
    <w:semiHidden/>
    <w:unhideWhenUsed/>
    <w:qFormat/>
    <w:uiPriority w:val="9"/>
    <w:pPr>
      <w:keepNext/>
      <w:keepLines/>
      <w:numPr>
        <w:ilvl w:val="3"/>
        <w:numId w:val="1"/>
      </w:numPr>
      <w:spacing w:before="280" w:after="290" w:line="376" w:lineRule="auto"/>
      <w:ind w:firstLineChars="0"/>
      <w:outlineLvl w:val="3"/>
    </w:pPr>
    <w:rPr>
      <w:rFonts w:asciiTheme="majorHAnsi" w:hAnsiTheme="majorHAnsi" w:eastAsiaTheme="majorEastAsia" w:cstheme="majorBidi"/>
      <w:b/>
      <w:bCs/>
      <w:sz w:val="28"/>
      <w:szCs w:val="28"/>
    </w:rPr>
  </w:style>
  <w:style w:type="paragraph" w:styleId="6">
    <w:name w:val="heading 5"/>
    <w:basedOn w:val="1"/>
    <w:next w:val="1"/>
    <w:link w:val="42"/>
    <w:semiHidden/>
    <w:unhideWhenUsed/>
    <w:qFormat/>
    <w:uiPriority w:val="9"/>
    <w:pPr>
      <w:keepNext/>
      <w:keepLines/>
      <w:numPr>
        <w:ilvl w:val="4"/>
        <w:numId w:val="1"/>
      </w:numPr>
      <w:spacing w:before="280" w:after="290" w:line="376" w:lineRule="auto"/>
      <w:ind w:firstLineChars="0"/>
      <w:outlineLvl w:val="4"/>
    </w:pPr>
    <w:rPr>
      <w:b/>
      <w:bCs/>
      <w:sz w:val="28"/>
      <w:szCs w:val="28"/>
    </w:rPr>
  </w:style>
  <w:style w:type="paragraph" w:styleId="7">
    <w:name w:val="heading 6"/>
    <w:basedOn w:val="1"/>
    <w:next w:val="1"/>
    <w:link w:val="43"/>
    <w:semiHidden/>
    <w:unhideWhenUsed/>
    <w:qFormat/>
    <w:uiPriority w:val="9"/>
    <w:pPr>
      <w:keepNext/>
      <w:keepLines/>
      <w:numPr>
        <w:ilvl w:val="5"/>
        <w:numId w:val="1"/>
      </w:numPr>
      <w:spacing w:before="240" w:after="64" w:line="320" w:lineRule="auto"/>
      <w:ind w:firstLineChars="0"/>
      <w:outlineLvl w:val="5"/>
    </w:pPr>
    <w:rPr>
      <w:rFonts w:asciiTheme="majorHAnsi" w:hAnsiTheme="majorHAnsi" w:eastAsiaTheme="majorEastAsia" w:cstheme="majorBidi"/>
      <w:b/>
      <w:bCs/>
      <w:szCs w:val="24"/>
    </w:rPr>
  </w:style>
  <w:style w:type="paragraph" w:styleId="8">
    <w:name w:val="heading 7"/>
    <w:basedOn w:val="1"/>
    <w:next w:val="1"/>
    <w:link w:val="44"/>
    <w:semiHidden/>
    <w:unhideWhenUsed/>
    <w:qFormat/>
    <w:uiPriority w:val="9"/>
    <w:pPr>
      <w:keepNext/>
      <w:keepLines/>
      <w:numPr>
        <w:ilvl w:val="6"/>
        <w:numId w:val="1"/>
      </w:numPr>
      <w:spacing w:before="240" w:after="64" w:line="320" w:lineRule="auto"/>
      <w:ind w:firstLineChars="0"/>
      <w:outlineLvl w:val="6"/>
    </w:pPr>
    <w:rPr>
      <w:b/>
      <w:bCs/>
      <w:szCs w:val="24"/>
    </w:rPr>
  </w:style>
  <w:style w:type="paragraph" w:styleId="9">
    <w:name w:val="heading 8"/>
    <w:basedOn w:val="1"/>
    <w:next w:val="1"/>
    <w:link w:val="45"/>
    <w:semiHidden/>
    <w:unhideWhenUsed/>
    <w:qFormat/>
    <w:uiPriority w:val="9"/>
    <w:pPr>
      <w:keepNext/>
      <w:keepLines/>
      <w:numPr>
        <w:ilvl w:val="7"/>
        <w:numId w:val="1"/>
      </w:numPr>
      <w:spacing w:before="240" w:after="64" w:line="320" w:lineRule="auto"/>
      <w:ind w:firstLineChars="0"/>
      <w:outlineLvl w:val="7"/>
    </w:pPr>
    <w:rPr>
      <w:rFonts w:asciiTheme="majorHAnsi" w:hAnsiTheme="majorHAnsi" w:eastAsiaTheme="majorEastAsia" w:cstheme="majorBidi"/>
      <w:szCs w:val="24"/>
    </w:rPr>
  </w:style>
  <w:style w:type="paragraph" w:styleId="10">
    <w:name w:val="heading 9"/>
    <w:basedOn w:val="1"/>
    <w:next w:val="1"/>
    <w:link w:val="46"/>
    <w:semiHidden/>
    <w:unhideWhenUsed/>
    <w:qFormat/>
    <w:uiPriority w:val="9"/>
    <w:pPr>
      <w:keepNext/>
      <w:keepLines/>
      <w:numPr>
        <w:ilvl w:val="8"/>
        <w:numId w:val="1"/>
      </w:numPr>
      <w:spacing w:before="240" w:after="64" w:line="320" w:lineRule="auto"/>
      <w:ind w:firstLineChars="0"/>
      <w:outlineLvl w:val="8"/>
    </w:pPr>
    <w:rPr>
      <w:rFonts w:asciiTheme="majorHAnsi" w:hAnsiTheme="majorHAnsi" w:eastAsiaTheme="majorEastAsia" w:cstheme="majorBidi"/>
      <w:sz w:val="21"/>
      <w:szCs w:val="21"/>
    </w:rPr>
  </w:style>
  <w:style w:type="character" w:default="1" w:styleId="35">
    <w:name w:val="Default Paragraph Font"/>
    <w:semiHidden/>
    <w:unhideWhenUsed/>
    <w:uiPriority w:val="1"/>
  </w:style>
  <w:style w:type="table" w:default="1" w:styleId="33">
    <w:name w:val="Normal Table"/>
    <w:semiHidden/>
    <w:unhideWhenUsed/>
    <w:uiPriority w:val="99"/>
    <w:tblPr>
      <w:tblCellMar>
        <w:top w:w="0" w:type="dxa"/>
        <w:left w:w="108" w:type="dxa"/>
        <w:bottom w:w="0" w:type="dxa"/>
        <w:right w:w="108" w:type="dxa"/>
      </w:tblCellMar>
    </w:tblPr>
  </w:style>
  <w:style w:type="paragraph" w:styleId="11">
    <w:name w:val="index 8"/>
    <w:basedOn w:val="1"/>
    <w:next w:val="1"/>
    <w:semiHidden/>
    <w:qFormat/>
    <w:uiPriority w:val="0"/>
    <w:pPr>
      <w:spacing w:line="240" w:lineRule="auto"/>
      <w:ind w:left="1400" w:leftChars="1400" w:firstLine="0" w:firstLineChars="0"/>
    </w:pPr>
    <w:rPr>
      <w:rFonts w:cs="Times New Roman"/>
      <w:sz w:val="21"/>
      <w:szCs w:val="20"/>
    </w:rPr>
  </w:style>
  <w:style w:type="paragraph" w:styleId="12">
    <w:name w:val="Normal Indent"/>
    <w:basedOn w:val="1"/>
    <w:link w:val="85"/>
    <w:qFormat/>
    <w:uiPriority w:val="0"/>
    <w:pPr>
      <w:spacing w:line="240" w:lineRule="auto"/>
      <w:ind w:firstLine="420" w:firstLineChars="0"/>
    </w:pPr>
    <w:rPr>
      <w:rFonts w:cs="Times New Roman"/>
      <w:sz w:val="21"/>
      <w:szCs w:val="21"/>
    </w:rPr>
  </w:style>
  <w:style w:type="paragraph" w:styleId="13">
    <w:name w:val="caption"/>
    <w:basedOn w:val="14"/>
    <w:next w:val="1"/>
    <w:unhideWhenUsed/>
    <w:qFormat/>
    <w:uiPriority w:val="35"/>
    <w:pPr>
      <w:spacing w:after="156"/>
    </w:pPr>
    <w:rPr>
      <w:b/>
    </w:rPr>
  </w:style>
  <w:style w:type="paragraph" w:customStyle="1" w:styleId="14">
    <w:name w:val="表格内容"/>
    <w:basedOn w:val="1"/>
    <w:next w:val="1"/>
    <w:link w:val="51"/>
    <w:qFormat/>
    <w:uiPriority w:val="0"/>
    <w:pPr>
      <w:widowControl/>
      <w:spacing w:line="240" w:lineRule="auto"/>
      <w:ind w:firstLine="0" w:firstLineChars="0"/>
      <w:jc w:val="center"/>
    </w:pPr>
    <w:rPr>
      <w:rFonts w:cs="黑体"/>
      <w:kern w:val="0"/>
      <w:sz w:val="21"/>
      <w:szCs w:val="24"/>
    </w:rPr>
  </w:style>
  <w:style w:type="paragraph" w:styleId="15">
    <w:name w:val="annotation text"/>
    <w:basedOn w:val="1"/>
    <w:link w:val="48"/>
    <w:unhideWhenUsed/>
    <w:qFormat/>
    <w:uiPriority w:val="0"/>
    <w:pPr>
      <w:wordWrap w:val="0"/>
      <w:spacing w:line="240" w:lineRule="auto"/>
      <w:ind w:firstLine="0" w:firstLineChars="0"/>
      <w:jc w:val="left"/>
    </w:pPr>
    <w:rPr>
      <w:rFonts w:cs="Times New Roman"/>
      <w:sz w:val="21"/>
      <w:szCs w:val="24"/>
    </w:rPr>
  </w:style>
  <w:style w:type="paragraph" w:styleId="16">
    <w:name w:val="Body Text"/>
    <w:basedOn w:val="1"/>
    <w:link w:val="52"/>
    <w:semiHidden/>
    <w:unhideWhenUsed/>
    <w:qFormat/>
    <w:uiPriority w:val="99"/>
    <w:pPr>
      <w:spacing w:after="120"/>
    </w:pPr>
  </w:style>
  <w:style w:type="paragraph" w:styleId="17">
    <w:name w:val="Body Text Indent"/>
    <w:basedOn w:val="1"/>
    <w:link w:val="81"/>
    <w:semiHidden/>
    <w:unhideWhenUsed/>
    <w:qFormat/>
    <w:uiPriority w:val="99"/>
    <w:pPr>
      <w:spacing w:after="120"/>
      <w:ind w:left="420" w:leftChars="200"/>
    </w:pPr>
  </w:style>
  <w:style w:type="paragraph" w:styleId="18">
    <w:name w:val="toc 3"/>
    <w:basedOn w:val="1"/>
    <w:next w:val="1"/>
    <w:autoRedefine/>
    <w:unhideWhenUsed/>
    <w:qFormat/>
    <w:uiPriority w:val="39"/>
    <w:pPr>
      <w:widowControl/>
      <w:spacing w:after="100" w:line="259" w:lineRule="auto"/>
      <w:ind w:left="440" w:firstLine="0" w:firstLineChars="0"/>
      <w:jc w:val="left"/>
    </w:pPr>
    <w:rPr>
      <w:rFonts w:cs="Times New Roman" w:asciiTheme="minorHAnsi" w:hAnsiTheme="minorHAnsi" w:eastAsiaTheme="minorEastAsia"/>
      <w:kern w:val="0"/>
      <w:sz w:val="22"/>
    </w:rPr>
  </w:style>
  <w:style w:type="paragraph" w:styleId="19">
    <w:name w:val="Plain Text"/>
    <w:basedOn w:val="1"/>
    <w:link w:val="83"/>
    <w:qFormat/>
    <w:uiPriority w:val="0"/>
    <w:pPr>
      <w:spacing w:line="240" w:lineRule="auto"/>
      <w:ind w:firstLine="0" w:firstLineChars="0"/>
    </w:pPr>
    <w:rPr>
      <w:rFonts w:ascii="宋体" w:hAnsi="Courier New" w:cs="Courier New"/>
      <w:sz w:val="21"/>
      <w:szCs w:val="21"/>
    </w:rPr>
  </w:style>
  <w:style w:type="paragraph" w:styleId="20">
    <w:name w:val="Body Text Indent 2"/>
    <w:basedOn w:val="1"/>
    <w:link w:val="59"/>
    <w:semiHidden/>
    <w:unhideWhenUsed/>
    <w:qFormat/>
    <w:uiPriority w:val="99"/>
    <w:pPr>
      <w:spacing w:after="120" w:line="480" w:lineRule="auto"/>
      <w:ind w:left="420" w:leftChars="200"/>
    </w:pPr>
  </w:style>
  <w:style w:type="paragraph" w:styleId="21">
    <w:name w:val="Balloon Text"/>
    <w:basedOn w:val="1"/>
    <w:link w:val="56"/>
    <w:semiHidden/>
    <w:unhideWhenUsed/>
    <w:qFormat/>
    <w:uiPriority w:val="99"/>
    <w:pPr>
      <w:spacing w:line="240" w:lineRule="auto"/>
    </w:pPr>
    <w:rPr>
      <w:sz w:val="18"/>
      <w:szCs w:val="18"/>
    </w:rPr>
  </w:style>
  <w:style w:type="paragraph" w:styleId="22">
    <w:name w:val="footer"/>
    <w:basedOn w:val="1"/>
    <w:link w:val="60"/>
    <w:qFormat/>
    <w:uiPriority w:val="99"/>
    <w:pPr>
      <w:tabs>
        <w:tab w:val="center" w:pos="4153"/>
        <w:tab w:val="right" w:pos="8306"/>
      </w:tabs>
      <w:snapToGrid w:val="0"/>
      <w:spacing w:line="240" w:lineRule="auto"/>
      <w:ind w:firstLine="0" w:firstLineChars="0"/>
      <w:jc w:val="left"/>
    </w:pPr>
    <w:rPr>
      <w:rFonts w:asciiTheme="minorHAnsi" w:hAnsiTheme="minorHAnsi" w:eastAsiaTheme="minorEastAsia"/>
      <w:sz w:val="18"/>
    </w:rPr>
  </w:style>
  <w:style w:type="paragraph" w:styleId="23">
    <w:name w:val="header"/>
    <w:basedOn w:val="1"/>
    <w:next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rPr>
  </w:style>
  <w:style w:type="paragraph" w:styleId="24">
    <w:name w:val="toc 1"/>
    <w:basedOn w:val="1"/>
    <w:next w:val="1"/>
    <w:autoRedefine/>
    <w:unhideWhenUsed/>
    <w:qFormat/>
    <w:uiPriority w:val="39"/>
    <w:pPr>
      <w:widowControl/>
      <w:spacing w:after="100" w:line="259" w:lineRule="auto"/>
      <w:ind w:firstLine="0" w:firstLineChars="0"/>
      <w:jc w:val="left"/>
    </w:pPr>
    <w:rPr>
      <w:rFonts w:cs="Times New Roman" w:asciiTheme="minorHAnsi" w:hAnsiTheme="minorHAnsi" w:eastAsiaTheme="minorEastAsia"/>
      <w:kern w:val="0"/>
      <w:sz w:val="22"/>
    </w:rPr>
  </w:style>
  <w:style w:type="paragraph" w:styleId="25">
    <w:name w:val="Subtitle"/>
    <w:basedOn w:val="1"/>
    <w:next w:val="1"/>
    <w:link w:val="47"/>
    <w:qFormat/>
    <w:uiPriority w:val="11"/>
    <w:pPr>
      <w:ind w:firstLine="0" w:firstLineChars="0"/>
      <w:jc w:val="center"/>
    </w:pPr>
  </w:style>
  <w:style w:type="paragraph" w:styleId="26">
    <w:name w:val="List"/>
    <w:basedOn w:val="1"/>
    <w:semiHidden/>
    <w:unhideWhenUsed/>
    <w:qFormat/>
    <w:uiPriority w:val="99"/>
    <w:pPr>
      <w:ind w:left="200" w:hanging="200" w:hangingChars="200"/>
      <w:contextualSpacing/>
    </w:pPr>
  </w:style>
  <w:style w:type="paragraph" w:styleId="27">
    <w:name w:val="toc 2"/>
    <w:basedOn w:val="1"/>
    <w:next w:val="1"/>
    <w:autoRedefine/>
    <w:unhideWhenUsed/>
    <w:qFormat/>
    <w:uiPriority w:val="39"/>
    <w:pPr>
      <w:widowControl/>
      <w:spacing w:after="100" w:line="259" w:lineRule="auto"/>
      <w:ind w:left="220" w:firstLine="0" w:firstLineChars="0"/>
      <w:jc w:val="left"/>
    </w:pPr>
    <w:rPr>
      <w:rFonts w:cs="Times New Roman" w:asciiTheme="minorHAnsi" w:hAnsiTheme="minorHAnsi" w:eastAsiaTheme="minorEastAsia"/>
      <w:kern w:val="0"/>
      <w:sz w:val="22"/>
    </w:rPr>
  </w:style>
  <w:style w:type="paragraph" w:styleId="28">
    <w:name w:val="Normal (Web)"/>
    <w:basedOn w:val="1"/>
    <w:qFormat/>
    <w:uiPriority w:val="0"/>
    <w:pPr>
      <w:spacing w:beforeAutospacing="1" w:afterAutospacing="1"/>
      <w:jc w:val="left"/>
    </w:pPr>
    <w:rPr>
      <w:rFonts w:cs="Times New Roman"/>
      <w:kern w:val="0"/>
    </w:rPr>
  </w:style>
  <w:style w:type="paragraph" w:styleId="29">
    <w:name w:val="Title"/>
    <w:basedOn w:val="30"/>
    <w:next w:val="1"/>
    <w:link w:val="50"/>
    <w:qFormat/>
    <w:uiPriority w:val="10"/>
    <w:pPr>
      <w:jc w:val="left"/>
    </w:pPr>
    <w:rPr>
      <w:sz w:val="24"/>
      <w:szCs w:val="28"/>
    </w:rPr>
  </w:style>
  <w:style w:type="paragraph" w:styleId="30">
    <w:name w:val="No Spacing"/>
    <w:basedOn w:val="1"/>
    <w:next w:val="1"/>
    <w:qFormat/>
    <w:uiPriority w:val="1"/>
    <w:pPr>
      <w:spacing w:line="240" w:lineRule="auto"/>
      <w:ind w:firstLine="0" w:firstLineChars="0"/>
      <w:jc w:val="center"/>
    </w:pPr>
    <w:rPr>
      <w:sz w:val="21"/>
    </w:rPr>
  </w:style>
  <w:style w:type="paragraph" w:styleId="31">
    <w:name w:val="annotation subject"/>
    <w:basedOn w:val="15"/>
    <w:next w:val="15"/>
    <w:link w:val="49"/>
    <w:semiHidden/>
    <w:unhideWhenUsed/>
    <w:qFormat/>
    <w:uiPriority w:val="99"/>
    <w:pPr>
      <w:wordWrap/>
      <w:spacing w:line="360" w:lineRule="auto"/>
      <w:ind w:firstLine="200" w:firstLineChars="200"/>
    </w:pPr>
    <w:rPr>
      <w:rFonts w:cstheme="minorBidi"/>
      <w:b/>
      <w:bCs/>
      <w:sz w:val="24"/>
      <w:szCs w:val="22"/>
    </w:rPr>
  </w:style>
  <w:style w:type="paragraph" w:styleId="32">
    <w:name w:val="Body Text First Indent 2"/>
    <w:basedOn w:val="17"/>
    <w:link w:val="82"/>
    <w:qFormat/>
    <w:uiPriority w:val="0"/>
    <w:pPr>
      <w:spacing w:line="240" w:lineRule="auto"/>
      <w:ind w:firstLine="420"/>
    </w:pPr>
    <w:rPr>
      <w:rFonts w:cs="Times New Roman"/>
      <w:sz w:val="21"/>
      <w:szCs w:val="21"/>
    </w:rPr>
  </w:style>
  <w:style w:type="table" w:styleId="34">
    <w:name w:val="Table Grid"/>
    <w:basedOn w:val="33"/>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6">
    <w:name w:val="Hyperlink"/>
    <w:basedOn w:val="35"/>
    <w:unhideWhenUsed/>
    <w:qFormat/>
    <w:uiPriority w:val="99"/>
    <w:rPr>
      <w:color w:val="0563C1" w:themeColor="hyperlink"/>
      <w:u w:val="single"/>
      <w14:textFill>
        <w14:solidFill>
          <w14:schemeClr w14:val="hlink"/>
        </w14:solidFill>
      </w14:textFill>
    </w:rPr>
  </w:style>
  <w:style w:type="character" w:styleId="37">
    <w:name w:val="annotation reference"/>
    <w:basedOn w:val="35"/>
    <w:semiHidden/>
    <w:unhideWhenUsed/>
    <w:qFormat/>
    <w:uiPriority w:val="0"/>
    <w:rPr>
      <w:sz w:val="21"/>
      <w:szCs w:val="21"/>
    </w:rPr>
  </w:style>
  <w:style w:type="character" w:customStyle="1" w:styleId="38">
    <w:name w:val="标题 1 字符"/>
    <w:basedOn w:val="35"/>
    <w:link w:val="2"/>
    <w:qFormat/>
    <w:uiPriority w:val="9"/>
    <w:rPr>
      <w:rFonts w:ascii="黑体" w:hAnsi="黑体" w:eastAsia="黑体" w:cs="Times New Roman"/>
      <w:snapToGrid w:val="0"/>
      <w:kern w:val="0"/>
      <w:sz w:val="30"/>
      <w:szCs w:val="30"/>
    </w:rPr>
  </w:style>
  <w:style w:type="character" w:customStyle="1" w:styleId="39">
    <w:name w:val="标题 2 字符"/>
    <w:basedOn w:val="35"/>
    <w:link w:val="3"/>
    <w:qFormat/>
    <w:uiPriority w:val="9"/>
    <w:rPr>
      <w:rFonts w:ascii="Times New Roman" w:hAnsi="Times New Roman" w:eastAsia="宋体" w:cs="Times New Roman"/>
      <w:b/>
      <w:sz w:val="24"/>
      <w:szCs w:val="21"/>
    </w:rPr>
  </w:style>
  <w:style w:type="character" w:customStyle="1" w:styleId="40">
    <w:name w:val="标题 3 字符"/>
    <w:basedOn w:val="35"/>
    <w:link w:val="4"/>
    <w:semiHidden/>
    <w:qFormat/>
    <w:uiPriority w:val="9"/>
    <w:rPr>
      <w:rFonts w:ascii="Times New Roman" w:hAnsi="Times New Roman" w:eastAsia="宋体"/>
      <w:b/>
      <w:bCs/>
      <w:sz w:val="32"/>
      <w:szCs w:val="32"/>
    </w:rPr>
  </w:style>
  <w:style w:type="character" w:customStyle="1" w:styleId="41">
    <w:name w:val="标题 4 字符"/>
    <w:basedOn w:val="35"/>
    <w:link w:val="5"/>
    <w:semiHidden/>
    <w:qFormat/>
    <w:uiPriority w:val="9"/>
    <w:rPr>
      <w:rFonts w:asciiTheme="majorHAnsi" w:hAnsiTheme="majorHAnsi" w:eastAsiaTheme="majorEastAsia" w:cstheme="majorBidi"/>
      <w:b/>
      <w:bCs/>
      <w:sz w:val="28"/>
      <w:szCs w:val="28"/>
    </w:rPr>
  </w:style>
  <w:style w:type="character" w:customStyle="1" w:styleId="42">
    <w:name w:val="标题 5 字符"/>
    <w:basedOn w:val="35"/>
    <w:link w:val="6"/>
    <w:semiHidden/>
    <w:qFormat/>
    <w:uiPriority w:val="9"/>
    <w:rPr>
      <w:rFonts w:ascii="Times New Roman" w:hAnsi="Times New Roman" w:eastAsia="宋体"/>
      <w:b/>
      <w:bCs/>
      <w:sz w:val="28"/>
      <w:szCs w:val="28"/>
    </w:rPr>
  </w:style>
  <w:style w:type="character" w:customStyle="1" w:styleId="43">
    <w:name w:val="标题 6 字符"/>
    <w:basedOn w:val="35"/>
    <w:link w:val="7"/>
    <w:semiHidden/>
    <w:qFormat/>
    <w:uiPriority w:val="9"/>
    <w:rPr>
      <w:rFonts w:asciiTheme="majorHAnsi" w:hAnsiTheme="majorHAnsi" w:eastAsiaTheme="majorEastAsia" w:cstheme="majorBidi"/>
      <w:b/>
      <w:bCs/>
      <w:sz w:val="24"/>
      <w:szCs w:val="24"/>
    </w:rPr>
  </w:style>
  <w:style w:type="character" w:customStyle="1" w:styleId="44">
    <w:name w:val="标题 7 字符"/>
    <w:basedOn w:val="35"/>
    <w:link w:val="8"/>
    <w:semiHidden/>
    <w:qFormat/>
    <w:uiPriority w:val="9"/>
    <w:rPr>
      <w:rFonts w:ascii="Times New Roman" w:hAnsi="Times New Roman" w:eastAsia="宋体"/>
      <w:b/>
      <w:bCs/>
      <w:sz w:val="24"/>
      <w:szCs w:val="24"/>
    </w:rPr>
  </w:style>
  <w:style w:type="character" w:customStyle="1" w:styleId="45">
    <w:name w:val="标题 8 字符"/>
    <w:basedOn w:val="35"/>
    <w:link w:val="9"/>
    <w:semiHidden/>
    <w:qFormat/>
    <w:uiPriority w:val="9"/>
    <w:rPr>
      <w:rFonts w:asciiTheme="majorHAnsi" w:hAnsiTheme="majorHAnsi" w:eastAsiaTheme="majorEastAsia" w:cstheme="majorBidi"/>
      <w:sz w:val="24"/>
      <w:szCs w:val="24"/>
    </w:rPr>
  </w:style>
  <w:style w:type="character" w:customStyle="1" w:styleId="46">
    <w:name w:val="标题 9 字符"/>
    <w:basedOn w:val="35"/>
    <w:link w:val="10"/>
    <w:semiHidden/>
    <w:qFormat/>
    <w:uiPriority w:val="9"/>
    <w:rPr>
      <w:rFonts w:asciiTheme="majorHAnsi" w:hAnsiTheme="majorHAnsi" w:eastAsiaTheme="majorEastAsia" w:cstheme="majorBidi"/>
      <w:szCs w:val="21"/>
    </w:rPr>
  </w:style>
  <w:style w:type="character" w:customStyle="1" w:styleId="47">
    <w:name w:val="副标题 字符"/>
    <w:basedOn w:val="35"/>
    <w:link w:val="25"/>
    <w:qFormat/>
    <w:uiPriority w:val="11"/>
    <w:rPr>
      <w:rFonts w:ascii="Times New Roman" w:hAnsi="Times New Roman" w:eastAsia="宋体"/>
      <w:sz w:val="24"/>
    </w:rPr>
  </w:style>
  <w:style w:type="character" w:customStyle="1" w:styleId="48">
    <w:name w:val="批注文字 字符"/>
    <w:basedOn w:val="35"/>
    <w:link w:val="15"/>
    <w:qFormat/>
    <w:uiPriority w:val="0"/>
    <w:rPr>
      <w:rFonts w:ascii="Times New Roman" w:hAnsi="Times New Roman" w:eastAsia="宋体" w:cs="Times New Roman"/>
      <w:szCs w:val="24"/>
    </w:rPr>
  </w:style>
  <w:style w:type="character" w:customStyle="1" w:styleId="49">
    <w:name w:val="批注主题 字符"/>
    <w:basedOn w:val="48"/>
    <w:link w:val="31"/>
    <w:semiHidden/>
    <w:qFormat/>
    <w:uiPriority w:val="99"/>
    <w:rPr>
      <w:rFonts w:ascii="Times New Roman" w:hAnsi="Times New Roman" w:eastAsia="宋体" w:cs="Times New Roman"/>
      <w:b/>
      <w:bCs/>
      <w:sz w:val="24"/>
      <w:szCs w:val="24"/>
    </w:rPr>
  </w:style>
  <w:style w:type="character" w:customStyle="1" w:styleId="50">
    <w:name w:val="标题 字符"/>
    <w:basedOn w:val="35"/>
    <w:link w:val="29"/>
    <w:qFormat/>
    <w:uiPriority w:val="10"/>
    <w:rPr>
      <w:rFonts w:ascii="Times New Roman" w:hAnsi="Times New Roman" w:eastAsia="宋体"/>
      <w:sz w:val="24"/>
      <w:szCs w:val="28"/>
    </w:rPr>
  </w:style>
  <w:style w:type="character" w:customStyle="1" w:styleId="51">
    <w:name w:val="表格内容 字符"/>
    <w:basedOn w:val="35"/>
    <w:link w:val="14"/>
    <w:qFormat/>
    <w:uiPriority w:val="0"/>
    <w:rPr>
      <w:rFonts w:ascii="Times New Roman" w:hAnsi="Times New Roman" w:eastAsia="宋体" w:cs="黑体"/>
      <w:kern w:val="0"/>
      <w:szCs w:val="24"/>
    </w:rPr>
  </w:style>
  <w:style w:type="character" w:customStyle="1" w:styleId="52">
    <w:name w:val="正文文本 字符"/>
    <w:basedOn w:val="35"/>
    <w:link w:val="16"/>
    <w:semiHidden/>
    <w:qFormat/>
    <w:uiPriority w:val="99"/>
    <w:rPr>
      <w:rFonts w:ascii="Times New Roman" w:hAnsi="Times New Roman" w:eastAsia="宋体"/>
      <w:sz w:val="24"/>
    </w:rPr>
  </w:style>
  <w:style w:type="paragraph" w:customStyle="1" w:styleId="53">
    <w:name w:val="表格内加粗"/>
    <w:basedOn w:val="14"/>
    <w:next w:val="14"/>
    <w:qFormat/>
    <w:uiPriority w:val="0"/>
    <w:rPr>
      <w:b/>
    </w:rPr>
  </w:style>
  <w:style w:type="table" w:customStyle="1" w:styleId="54">
    <w:name w:val="默认表格"/>
    <w:basedOn w:val="33"/>
    <w:qFormat/>
    <w:uiPriority w:val="99"/>
    <w:pPr>
      <w:jc w:val="center"/>
    </w:pPr>
    <w:rPr>
      <w:kern w:val="21"/>
    </w:rPr>
    <w:tblPr>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cantSplit/>
      <w:jc w:val="center"/>
    </w:trPr>
    <w:tcPr>
      <w:vAlign w:val="center"/>
    </w:tcPr>
  </w:style>
  <w:style w:type="character" w:customStyle="1" w:styleId="55">
    <w:name w:val="未处理的提及1"/>
    <w:basedOn w:val="35"/>
    <w:semiHidden/>
    <w:unhideWhenUsed/>
    <w:qFormat/>
    <w:uiPriority w:val="99"/>
    <w:rPr>
      <w:color w:val="605E5C"/>
      <w:shd w:val="clear" w:color="auto" w:fill="E1DFDD"/>
    </w:rPr>
  </w:style>
  <w:style w:type="character" w:customStyle="1" w:styleId="56">
    <w:name w:val="批注框文本 字符"/>
    <w:basedOn w:val="35"/>
    <w:link w:val="21"/>
    <w:semiHidden/>
    <w:qFormat/>
    <w:uiPriority w:val="99"/>
    <w:rPr>
      <w:rFonts w:ascii="Times New Roman" w:hAnsi="Times New Roman" w:eastAsia="宋体"/>
      <w:sz w:val="18"/>
      <w:szCs w:val="18"/>
    </w:rPr>
  </w:style>
  <w:style w:type="paragraph" w:styleId="57">
    <w:name w:val="List Paragraph"/>
    <w:basedOn w:val="1"/>
    <w:qFormat/>
    <w:uiPriority w:val="34"/>
    <w:pPr>
      <w:ind w:firstLine="420"/>
    </w:pPr>
  </w:style>
  <w:style w:type="paragraph" w:customStyle="1" w:styleId="58">
    <w:name w:val="修订1"/>
    <w:hidden/>
    <w:semiHidden/>
    <w:qFormat/>
    <w:uiPriority w:val="99"/>
    <w:rPr>
      <w:rFonts w:ascii="Times New Roman" w:hAnsi="Times New Roman" w:eastAsia="宋体" w:cstheme="minorBidi"/>
      <w:kern w:val="2"/>
      <w:sz w:val="24"/>
      <w:szCs w:val="22"/>
      <w:lang w:val="en-US" w:eastAsia="zh-CN" w:bidi="ar-SA"/>
    </w:rPr>
  </w:style>
  <w:style w:type="character" w:customStyle="1" w:styleId="59">
    <w:name w:val="正文文本缩进 2 字符"/>
    <w:basedOn w:val="35"/>
    <w:link w:val="20"/>
    <w:semiHidden/>
    <w:qFormat/>
    <w:uiPriority w:val="99"/>
    <w:rPr>
      <w:rFonts w:ascii="Times New Roman" w:hAnsi="Times New Roman" w:eastAsia="宋体"/>
      <w:sz w:val="24"/>
    </w:rPr>
  </w:style>
  <w:style w:type="character" w:customStyle="1" w:styleId="60">
    <w:name w:val="页脚 字符1"/>
    <w:link w:val="22"/>
    <w:qFormat/>
    <w:locked/>
    <w:uiPriority w:val="99"/>
    <w:rPr>
      <w:sz w:val="18"/>
    </w:rPr>
  </w:style>
  <w:style w:type="character" w:customStyle="1" w:styleId="61">
    <w:name w:val="页脚 字符"/>
    <w:basedOn w:val="35"/>
    <w:qFormat/>
    <w:uiPriority w:val="99"/>
    <w:rPr>
      <w:rFonts w:ascii="Times New Roman" w:hAnsi="Times New Roman" w:eastAsia="宋体"/>
      <w:sz w:val="18"/>
      <w:szCs w:val="18"/>
    </w:rPr>
  </w:style>
  <w:style w:type="paragraph" w:customStyle="1" w:styleId="62">
    <w:name w:val="TOC 标题1"/>
    <w:basedOn w:val="2"/>
    <w:next w:val="1"/>
    <w:unhideWhenUsed/>
    <w:qFormat/>
    <w:uiPriority w:val="39"/>
    <w:pPr>
      <w:keepNext/>
      <w:keepLines/>
      <w:numPr>
        <w:numId w:val="0"/>
      </w:numPr>
      <w:spacing w:before="240" w:beforeAutospacing="0" w:after="0" w:afterAutospacing="0" w:line="259" w:lineRule="auto"/>
      <w:jc w:val="left"/>
      <w:outlineLvl w:val="9"/>
    </w:pPr>
    <w:rPr>
      <w:rFonts w:asciiTheme="majorHAnsi" w:hAnsiTheme="majorHAnsi" w:eastAsiaTheme="majorEastAsia" w:cstheme="majorBidi"/>
      <w:snapToGrid/>
      <w:color w:val="2F5597" w:themeColor="accent1" w:themeShade="BF"/>
      <w:sz w:val="32"/>
      <w:szCs w:val="32"/>
    </w:rPr>
  </w:style>
  <w:style w:type="character" w:styleId="63">
    <w:name w:val="Placeholder Text"/>
    <w:basedOn w:val="35"/>
    <w:semiHidden/>
    <w:qFormat/>
    <w:uiPriority w:val="99"/>
    <w:rPr>
      <w:color w:val="808080"/>
    </w:rPr>
  </w:style>
  <w:style w:type="paragraph" w:customStyle="1" w:styleId="64">
    <w:name w:val="描述正文"/>
    <w:basedOn w:val="1"/>
    <w:link w:val="65"/>
    <w:qFormat/>
    <w:uiPriority w:val="0"/>
    <w:pPr>
      <w:autoSpaceDE w:val="0"/>
      <w:autoSpaceDN w:val="0"/>
      <w:adjustRightInd w:val="0"/>
      <w:snapToGrid w:val="0"/>
    </w:pPr>
    <w:rPr>
      <w:rFonts w:cs="Times New Roman"/>
      <w:kern w:val="0"/>
      <w:szCs w:val="24"/>
    </w:rPr>
  </w:style>
  <w:style w:type="character" w:customStyle="1" w:styleId="65">
    <w:name w:val="描述正文 字符"/>
    <w:basedOn w:val="35"/>
    <w:link w:val="64"/>
    <w:qFormat/>
    <w:uiPriority w:val="0"/>
    <w:rPr>
      <w:rFonts w:ascii="Times New Roman" w:hAnsi="Times New Roman" w:eastAsia="宋体" w:cs="Times New Roman"/>
      <w:kern w:val="0"/>
      <w:sz w:val="24"/>
      <w:szCs w:val="24"/>
    </w:rPr>
  </w:style>
  <w:style w:type="paragraph" w:customStyle="1" w:styleId="66">
    <w:name w:val="章标题"/>
    <w:next w:val="67"/>
    <w:qFormat/>
    <w:uiPriority w:val="0"/>
    <w:pPr>
      <w:spacing w:before="158" w:after="153" w:line="323" w:lineRule="atLeast"/>
      <w:ind w:right="-120"/>
      <w:jc w:val="center"/>
      <w:textAlignment w:val="baseline"/>
    </w:pPr>
    <w:rPr>
      <w:rFonts w:ascii="Calibri" w:hAnsi="Calibri" w:eastAsia="宋体" w:cs="Times New Roman"/>
      <w:color w:val="FF0000"/>
      <w:sz w:val="18"/>
      <w:szCs w:val="18"/>
      <w:lang w:val="en-US" w:eastAsia="zh-CN" w:bidi="ar-SA"/>
    </w:rPr>
  </w:style>
  <w:style w:type="paragraph" w:customStyle="1" w:styleId="67">
    <w:name w:val="节标题"/>
    <w:next w:val="1"/>
    <w:qFormat/>
    <w:uiPriority w:val="0"/>
    <w:pPr>
      <w:spacing w:line="289" w:lineRule="atLeast"/>
      <w:jc w:val="center"/>
      <w:textAlignment w:val="baseline"/>
    </w:pPr>
    <w:rPr>
      <w:rFonts w:ascii="Calibri" w:hAnsi="Calibri" w:eastAsia="宋体" w:cs="Times New Roman"/>
      <w:color w:val="000000"/>
      <w:sz w:val="28"/>
      <w:lang w:val="en-US" w:eastAsia="zh-CN" w:bidi="ar-SA"/>
    </w:rPr>
  </w:style>
  <w:style w:type="paragraph" w:customStyle="1" w:styleId="68">
    <w:name w:val="Normal_0_0"/>
    <w:autoRedefine/>
    <w:qFormat/>
    <w:uiPriority w:val="0"/>
    <w:pPr>
      <w:widowControl w:val="0"/>
      <w:spacing w:line="360" w:lineRule="auto"/>
      <w:ind w:firstLine="200" w:firstLineChars="200"/>
      <w:jc w:val="both"/>
    </w:pPr>
    <w:rPr>
      <w:rFonts w:ascii="Times New Roman" w:hAnsi="Times New Roman" w:eastAsia="仿宋" w:cs="Times New Roman"/>
      <w:kern w:val="2"/>
      <w:sz w:val="28"/>
      <w:szCs w:val="21"/>
      <w:lang w:val="en-US" w:eastAsia="zh-CN" w:bidi="ar-SA"/>
    </w:rPr>
  </w:style>
  <w:style w:type="character" w:customStyle="1" w:styleId="69">
    <w:name w:val="报告表正文 Char"/>
    <w:link w:val="70"/>
    <w:qFormat/>
    <w:uiPriority w:val="0"/>
    <w:rPr>
      <w:sz w:val="24"/>
    </w:rPr>
  </w:style>
  <w:style w:type="paragraph" w:customStyle="1" w:styleId="70">
    <w:name w:val="报告表正文"/>
    <w:basedOn w:val="1"/>
    <w:link w:val="69"/>
    <w:qFormat/>
    <w:uiPriority w:val="0"/>
    <w:pPr>
      <w:adjustRightInd w:val="0"/>
      <w:spacing w:line="312" w:lineRule="auto"/>
      <w:ind w:left="113" w:right="113" w:firstLine="482" w:firstLineChars="0"/>
      <w:jc w:val="left"/>
      <w:textAlignment w:val="baseline"/>
    </w:pPr>
    <w:rPr>
      <w:rFonts w:cs="Times New Roman"/>
      <w:kern w:val="0"/>
      <w:szCs w:val="20"/>
    </w:rPr>
  </w:style>
  <w:style w:type="character" w:customStyle="1" w:styleId="71">
    <w:name w:val="12 Char"/>
    <w:link w:val="72"/>
    <w:qFormat/>
    <w:uiPriority w:val="0"/>
    <w:rPr>
      <w:kern w:val="2"/>
      <w:sz w:val="24"/>
      <w:szCs w:val="24"/>
    </w:rPr>
  </w:style>
  <w:style w:type="paragraph" w:customStyle="1" w:styleId="72">
    <w:name w:val="12"/>
    <w:basedOn w:val="1"/>
    <w:link w:val="71"/>
    <w:qFormat/>
    <w:uiPriority w:val="0"/>
    <w:pPr>
      <w:wordWrap w:val="0"/>
      <w:topLinePunct/>
      <w:adjustRightInd w:val="0"/>
      <w:snapToGrid w:val="0"/>
      <w:jc w:val="left"/>
    </w:pPr>
    <w:rPr>
      <w:rFonts w:cs="Times New Roman"/>
      <w:szCs w:val="24"/>
    </w:rPr>
  </w:style>
  <w:style w:type="character" w:customStyle="1" w:styleId="73">
    <w:name w:val="13 Char"/>
    <w:link w:val="74"/>
    <w:qFormat/>
    <w:uiPriority w:val="0"/>
    <w:rPr>
      <w:sz w:val="21"/>
      <w:szCs w:val="21"/>
    </w:rPr>
  </w:style>
  <w:style w:type="paragraph" w:customStyle="1" w:styleId="74">
    <w:name w:val="13"/>
    <w:basedOn w:val="1"/>
    <w:link w:val="73"/>
    <w:qFormat/>
    <w:uiPriority w:val="0"/>
    <w:pPr>
      <w:wordWrap w:val="0"/>
      <w:autoSpaceDE w:val="0"/>
      <w:autoSpaceDN w:val="0"/>
      <w:adjustRightInd w:val="0"/>
      <w:spacing w:line="240" w:lineRule="auto"/>
      <w:ind w:firstLine="0" w:firstLineChars="0"/>
      <w:jc w:val="center"/>
    </w:pPr>
    <w:rPr>
      <w:rFonts w:cs="Times New Roman"/>
      <w:kern w:val="0"/>
      <w:sz w:val="21"/>
      <w:szCs w:val="21"/>
    </w:rPr>
  </w:style>
  <w:style w:type="character" w:customStyle="1" w:styleId="75">
    <w:name w:val="表内容 Char"/>
    <w:link w:val="76"/>
    <w:qFormat/>
    <w:uiPriority w:val="0"/>
    <w:rPr>
      <w:kern w:val="2"/>
      <w:sz w:val="21"/>
      <w:szCs w:val="21"/>
    </w:rPr>
  </w:style>
  <w:style w:type="paragraph" w:customStyle="1" w:styleId="76">
    <w:name w:val="表内容"/>
    <w:basedOn w:val="1"/>
    <w:next w:val="1"/>
    <w:link w:val="75"/>
    <w:qFormat/>
    <w:uiPriority w:val="0"/>
    <w:pPr>
      <w:spacing w:line="240" w:lineRule="auto"/>
      <w:ind w:firstLine="0" w:firstLineChars="0"/>
      <w:jc w:val="center"/>
    </w:pPr>
    <w:rPr>
      <w:rFonts w:cs="Times New Roman"/>
      <w:sz w:val="21"/>
      <w:szCs w:val="21"/>
    </w:rPr>
  </w:style>
  <w:style w:type="paragraph" w:customStyle="1" w:styleId="77">
    <w:name w:val="表格1"/>
    <w:qFormat/>
    <w:uiPriority w:val="0"/>
    <w:pPr>
      <w:autoSpaceDE w:val="0"/>
      <w:autoSpaceDN w:val="0"/>
      <w:adjustRightInd w:val="0"/>
      <w:snapToGrid w:val="0"/>
      <w:jc w:val="center"/>
    </w:pPr>
    <w:rPr>
      <w:rFonts w:ascii="Times New Roman" w:hAnsi="Times New Roman" w:eastAsia="宋体" w:cs="Times New Roman"/>
      <w:sz w:val="21"/>
      <w:lang w:val="en-US" w:eastAsia="zh-CN" w:bidi="ar-SA"/>
    </w:rPr>
  </w:style>
  <w:style w:type="character" w:customStyle="1" w:styleId="78">
    <w:name w:val="样式2 字符"/>
    <w:link w:val="79"/>
    <w:qFormat/>
    <w:uiPriority w:val="0"/>
    <w:rPr>
      <w:sz w:val="24"/>
    </w:rPr>
  </w:style>
  <w:style w:type="paragraph" w:customStyle="1" w:styleId="79">
    <w:name w:val="样式2"/>
    <w:link w:val="78"/>
    <w:qFormat/>
    <w:uiPriority w:val="0"/>
    <w:pPr>
      <w:autoSpaceDE w:val="0"/>
      <w:autoSpaceDN w:val="0"/>
      <w:adjustRightInd w:val="0"/>
      <w:snapToGrid w:val="0"/>
      <w:spacing w:line="360" w:lineRule="auto"/>
      <w:ind w:firstLine="720" w:firstLineChars="200"/>
      <w:jc w:val="both"/>
    </w:pPr>
    <w:rPr>
      <w:rFonts w:ascii="Times New Roman" w:hAnsi="Times New Roman" w:eastAsia="宋体" w:cs="Times New Roman"/>
      <w:sz w:val="24"/>
      <w:lang w:val="en-US" w:eastAsia="zh-CN" w:bidi="ar-SA"/>
    </w:rPr>
  </w:style>
  <w:style w:type="paragraph" w:customStyle="1" w:styleId="80">
    <w:name w:val="报告"/>
    <w:basedOn w:val="1"/>
    <w:qFormat/>
    <w:uiPriority w:val="0"/>
    <w:pPr>
      <w:adjustRightInd w:val="0"/>
      <w:ind w:firstLine="505" w:firstLineChars="0"/>
      <w:jc w:val="left"/>
    </w:pPr>
    <w:rPr>
      <w:rFonts w:cs="Times New Roman"/>
      <w:kern w:val="0"/>
      <w:szCs w:val="20"/>
    </w:rPr>
  </w:style>
  <w:style w:type="character" w:customStyle="1" w:styleId="81">
    <w:name w:val="正文文本缩进 字符"/>
    <w:basedOn w:val="35"/>
    <w:link w:val="17"/>
    <w:semiHidden/>
    <w:qFormat/>
    <w:uiPriority w:val="99"/>
    <w:rPr>
      <w:rFonts w:cstheme="minorBidi"/>
      <w:kern w:val="2"/>
      <w:sz w:val="24"/>
      <w:szCs w:val="22"/>
    </w:rPr>
  </w:style>
  <w:style w:type="character" w:customStyle="1" w:styleId="82">
    <w:name w:val="正文文本首行缩进 2 字符"/>
    <w:basedOn w:val="81"/>
    <w:link w:val="32"/>
    <w:qFormat/>
    <w:uiPriority w:val="0"/>
    <w:rPr>
      <w:rFonts w:cstheme="minorBidi"/>
      <w:kern w:val="2"/>
      <w:sz w:val="21"/>
      <w:szCs w:val="21"/>
    </w:rPr>
  </w:style>
  <w:style w:type="character" w:customStyle="1" w:styleId="83">
    <w:name w:val="纯文本 字符1"/>
    <w:link w:val="19"/>
    <w:qFormat/>
    <w:uiPriority w:val="0"/>
    <w:rPr>
      <w:rFonts w:ascii="宋体" w:hAnsi="Courier New" w:cs="Courier New"/>
      <w:kern w:val="2"/>
      <w:sz w:val="21"/>
      <w:szCs w:val="21"/>
    </w:rPr>
  </w:style>
  <w:style w:type="character" w:customStyle="1" w:styleId="84">
    <w:name w:val="纯文本 字符"/>
    <w:basedOn w:val="35"/>
    <w:semiHidden/>
    <w:qFormat/>
    <w:uiPriority w:val="99"/>
    <w:rPr>
      <w:rFonts w:hAnsi="Courier New" w:cs="Courier New" w:asciiTheme="minorEastAsia" w:eastAsiaTheme="minorEastAsia"/>
      <w:kern w:val="2"/>
      <w:sz w:val="24"/>
      <w:szCs w:val="22"/>
    </w:rPr>
  </w:style>
  <w:style w:type="character" w:customStyle="1" w:styleId="85">
    <w:name w:val="正文缩进 字符"/>
    <w:link w:val="12"/>
    <w:qFormat/>
    <w:uiPriority w:val="0"/>
    <w:rPr>
      <w:kern w:val="2"/>
      <w:sz w:val="21"/>
      <w:szCs w:val="21"/>
    </w:rPr>
  </w:style>
  <w:style w:type="paragraph" w:customStyle="1" w:styleId="86">
    <w:name w:val="Table Text"/>
    <w:basedOn w:val="1"/>
    <w:semiHidden/>
    <w:qFormat/>
    <w:uiPriority w:val="0"/>
    <w:pPr>
      <w:spacing w:line="240" w:lineRule="auto"/>
      <w:ind w:firstLine="0" w:firstLineChars="0"/>
    </w:pPr>
    <w:rPr>
      <w:rFonts w:ascii="宋体" w:hAnsi="宋体" w:cs="宋体"/>
      <w:szCs w:val="24"/>
      <w:lang w:eastAsia="en-US"/>
    </w:rPr>
  </w:style>
  <w:style w:type="table" w:customStyle="1" w:styleId="87">
    <w:name w:val="Table Normal"/>
    <w:unhideWhenUsed/>
    <w:qFormat/>
    <w:uiPriority w:val="0"/>
    <w:tblPr>
      <w:tblCellMar>
        <w:top w:w="0" w:type="dxa"/>
        <w:left w:w="0" w:type="dxa"/>
        <w:bottom w:w="0" w:type="dxa"/>
        <w:right w:w="0" w:type="dxa"/>
      </w:tblCellMar>
    </w:tblPr>
  </w:style>
  <w:style w:type="character" w:customStyle="1" w:styleId="88">
    <w:name w:val="未处理的提及2"/>
    <w:basedOn w:val="35"/>
    <w:semiHidden/>
    <w:unhideWhenUsed/>
    <w:qFormat/>
    <w:uiPriority w:val="99"/>
    <w:rPr>
      <w:color w:val="605E5C"/>
      <w:shd w:val="clear" w:color="auto" w:fill="E1DFDD"/>
    </w:rPr>
  </w:style>
  <w:style w:type="character" w:customStyle="1" w:styleId="89">
    <w:name w:val="fontstyle01"/>
    <w:basedOn w:val="35"/>
    <w:qFormat/>
    <w:uiPriority w:val="0"/>
    <w:rPr>
      <w:rFonts w:ascii="宋体" w:hAnsi="宋体" w:eastAsia="宋体" w:cs="宋体"/>
      <w:color w:val="000000"/>
      <w:sz w:val="24"/>
      <w:szCs w:val="24"/>
    </w:rPr>
  </w:style>
  <w:style w:type="character" w:customStyle="1" w:styleId="90">
    <w:name w:val="fontstyle21"/>
    <w:basedOn w:val="35"/>
    <w:uiPriority w:val="0"/>
    <w:rPr>
      <w:rFonts w:ascii="TimesNewRomanPSMT" w:hAnsi="TimesNewRomanPSMT" w:eastAsia="TimesNewRomanPSMT" w:cs="TimesNewRomanPSMT"/>
      <w:color w:val="000000"/>
      <w:sz w:val="24"/>
      <w:szCs w:val="24"/>
    </w:rPr>
  </w:style>
  <w:style w:type="character" w:customStyle="1" w:styleId="91">
    <w:name w:val="fontstyle31"/>
    <w:basedOn w:val="35"/>
    <w:uiPriority w:val="0"/>
    <w:rPr>
      <w:rFonts w:hint="default" w:ascii="TimesNewRomanPS-BoldMT" w:hAnsi="TimesNewRomanPS-BoldMT"/>
      <w:b/>
      <w:bCs/>
      <w:color w:val="000000"/>
      <w:sz w:val="14"/>
      <w:szCs w:val="1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1" Type="http://schemas.openxmlformats.org/officeDocument/2006/relationships/fontTable" Target="fontTable.xml"/><Relationship Id="rId40" Type="http://schemas.openxmlformats.org/officeDocument/2006/relationships/customXml" Target="../customXml/item2.xml"/><Relationship Id="rId4" Type="http://schemas.openxmlformats.org/officeDocument/2006/relationships/endnotes" Target="endnotes.xml"/><Relationship Id="rId39" Type="http://schemas.openxmlformats.org/officeDocument/2006/relationships/numbering" Target="numbering.xml"/><Relationship Id="rId38" Type="http://schemas.openxmlformats.org/officeDocument/2006/relationships/customXml" Target="../customXml/item1.xml"/><Relationship Id="rId37" Type="http://schemas.openxmlformats.org/officeDocument/2006/relationships/image" Target="media/image22.png"/><Relationship Id="rId36" Type="http://schemas.openxmlformats.org/officeDocument/2006/relationships/image" Target="media/image21.png"/><Relationship Id="rId35" Type="http://schemas.openxmlformats.org/officeDocument/2006/relationships/image" Target="media/image20.png"/><Relationship Id="rId34" Type="http://schemas.openxmlformats.org/officeDocument/2006/relationships/image" Target="media/image19.png"/><Relationship Id="rId33" Type="http://schemas.openxmlformats.org/officeDocument/2006/relationships/image" Target="media/image18.png"/><Relationship Id="rId32" Type="http://schemas.openxmlformats.org/officeDocument/2006/relationships/image" Target="media/image17.png"/><Relationship Id="rId31" Type="http://schemas.openxmlformats.org/officeDocument/2006/relationships/image" Target="media/image16.png"/><Relationship Id="rId30" Type="http://schemas.openxmlformats.org/officeDocument/2006/relationships/image" Target="media/image15.emf"/><Relationship Id="rId3" Type="http://schemas.openxmlformats.org/officeDocument/2006/relationships/footnotes" Target="footnotes.xml"/><Relationship Id="rId29" Type="http://schemas.openxmlformats.org/officeDocument/2006/relationships/oleObject" Target="embeddings/oleObject2.bin"/><Relationship Id="rId28" Type="http://schemas.openxmlformats.org/officeDocument/2006/relationships/image" Target="media/image14.jpeg"/><Relationship Id="rId27" Type="http://schemas.openxmlformats.org/officeDocument/2006/relationships/image" Target="media/image13.jpeg"/><Relationship Id="rId26" Type="http://schemas.openxmlformats.org/officeDocument/2006/relationships/image" Target="media/image12.jpeg"/><Relationship Id="rId25" Type="http://schemas.openxmlformats.org/officeDocument/2006/relationships/image" Target="media/image11.jpeg"/><Relationship Id="rId24" Type="http://schemas.openxmlformats.org/officeDocument/2006/relationships/image" Target="media/image10.emf"/><Relationship Id="rId23" Type="http://schemas.openxmlformats.org/officeDocument/2006/relationships/oleObject" Target="embeddings/oleObject1.bin"/><Relationship Id="rId22" Type="http://schemas.openxmlformats.org/officeDocument/2006/relationships/image" Target="media/image9.png"/><Relationship Id="rId21" Type="http://schemas.openxmlformats.org/officeDocument/2006/relationships/image" Target="media/image8.jpeg"/><Relationship Id="rId20" Type="http://schemas.openxmlformats.org/officeDocument/2006/relationships/image" Target="media/image7.jpeg"/><Relationship Id="rId2" Type="http://schemas.openxmlformats.org/officeDocument/2006/relationships/settings" Target="settings.xml"/><Relationship Id="rId19" Type="http://schemas.openxmlformats.org/officeDocument/2006/relationships/image" Target="media/image6.jpeg"/><Relationship Id="rId18" Type="http://schemas.openxmlformats.org/officeDocument/2006/relationships/image" Target="media/image5.png"/><Relationship Id="rId17" Type="http://schemas.openxmlformats.org/officeDocument/2006/relationships/image" Target="media/image4.png"/><Relationship Id="rId16" Type="http://schemas.openxmlformats.org/officeDocument/2006/relationships/image" Target="media/image3.png"/><Relationship Id="rId15" Type="http://schemas.openxmlformats.org/officeDocument/2006/relationships/image" Target="media/image2.png"/><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065483C-F4E8-484B-9BE5-A77FE0F9B423}">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88</Pages>
  <Words>7065</Words>
  <Characters>7731</Characters>
  <Lines>492</Lines>
  <Paragraphs>138</Paragraphs>
  <TotalTime>415</TotalTime>
  <ScaleCrop>false</ScaleCrop>
  <LinksUpToDate>false</LinksUpToDate>
  <CharactersWithSpaces>7805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2026-03-31T02:23:00Z</dcterms:created>
  <dc:creator>HYGK</dc:creator>
  <cp:lastModifiedBy>等风</cp:lastModifiedBy>
  <cp:lastPrinted>2025-09-22T03:25:00Z</cp:lastPrinted>
  <dcterms:modified xsi:type="dcterms:W3CDTF">2026-07-10T00:55:26Z</dcterms:modified>
  <cp:revision>130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FE78AD45FD4F424593EEDAE5D4AF464C_13</vt:lpwstr>
  </property>
  <property fmtid="{D5CDD505-2E9C-101B-9397-08002B2CF9AE}" pid="4" name="KSOTemplateDocerSaveRecord">
    <vt:lpwstr>eyJoZGlkIjoiNDE1YjM3OTVhNDdiNDkzZDkyYTdiMjQzNmVhMGI4OWIiLCJ1c2VySWQiOiI1MTQ5MTEwMzUifQ==</vt:lpwstr>
  </property>
</Properties>
</file>